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25799" w14:textId="77777777" w:rsidR="00F56C38" w:rsidRPr="004306A0" w:rsidRDefault="00163AF0">
      <w:pPr>
        <w:jc w:val="center"/>
        <w:rPr>
          <w:rFonts w:cs="Times New Roman"/>
          <w:b/>
          <w:sz w:val="28"/>
          <w:szCs w:val="28"/>
        </w:rPr>
      </w:pPr>
      <w:r w:rsidRPr="004306A0">
        <w:rPr>
          <w:rFonts w:cs="Times New Roman"/>
          <w:b/>
          <w:sz w:val="28"/>
          <w:szCs w:val="28"/>
        </w:rPr>
        <w:t>Comparative Assessment of Polycyclic Aromatic Hydrocarbon Levels in Indoor and Outdoor Air and Associated Inhalation Health Risks in Akpajo, Alesa and Aleto Communities, Eleme, Rivers State, Nigeria</w:t>
      </w:r>
    </w:p>
    <w:p w14:paraId="45B779F3" w14:textId="77777777" w:rsidR="001A68F3" w:rsidRPr="004306A0" w:rsidRDefault="001A68F3" w:rsidP="001A68F3">
      <w:pPr>
        <w:spacing w:after="0" w:line="240" w:lineRule="auto"/>
        <w:jc w:val="center"/>
        <w:rPr>
          <w:rFonts w:eastAsia="Calibri" w:cs="Times New Roman"/>
          <w:color w:val="000000" w:themeColor="text1"/>
          <w:kern w:val="2"/>
          <w:sz w:val="22"/>
        </w:rPr>
      </w:pPr>
    </w:p>
    <w:p w14:paraId="2ACE324D" w14:textId="77777777" w:rsidR="00F56C38" w:rsidRPr="004306A0" w:rsidRDefault="00163AF0" w:rsidP="001A68F3">
      <w:pPr>
        <w:spacing w:after="0" w:line="240" w:lineRule="auto"/>
        <w:jc w:val="center"/>
        <w:rPr>
          <w:rFonts w:eastAsia="Calibri" w:cs="Times New Roman"/>
          <w:b/>
          <w:bCs/>
          <w:color w:val="000000" w:themeColor="text1"/>
          <w:kern w:val="2"/>
          <w:szCs w:val="24"/>
        </w:rPr>
      </w:pPr>
      <w:r w:rsidRPr="004306A0">
        <w:rPr>
          <w:rFonts w:cs="Times New Roman"/>
          <w:b/>
          <w:bCs/>
          <w:szCs w:val="24"/>
        </w:rPr>
        <w:t>Abstract</w:t>
      </w:r>
    </w:p>
    <w:p w14:paraId="436C7157" w14:textId="77777777" w:rsidR="006A41A2" w:rsidRPr="004306A0" w:rsidRDefault="00163AF0" w:rsidP="006A41A2">
      <w:pPr>
        <w:jc w:val="both"/>
        <w:rPr>
          <w:rFonts w:cs="Times New Roman"/>
          <w:szCs w:val="24"/>
        </w:rPr>
      </w:pPr>
      <w:r w:rsidRPr="004306A0">
        <w:t xml:space="preserve">Polycyclic aromatic hydrocarbons (PAHs) are persistent semi-volatile organic contaminants generated mainly during the incomplete combustion of organic materials and petroleum-derived fuels. This study assessed PAH levels in indoor and outdoor air and estimated the associated inhalation health risks in Akpajo, Alesa and Aleto communities of Eleme Local Government Area, Rivers State, Nigeria, an industrially and traffic-influenced area of the Niger Delta. Twelve 24-hour integrated air-sampling conditions were evaluated across three communities, two seasons (dry and wet) and two microenvironments (indoor and outdoor). Airborne particulate-bound PAHs were collected using a high-volume air-sampling approach, solvent-extracted with </w:t>
      </w:r>
      <w:proofErr w:type="gramStart"/>
      <w:r w:rsidRPr="004306A0">
        <w:t>dichloromethane:n</w:t>
      </w:r>
      <w:proofErr w:type="gramEnd"/>
      <w:r w:rsidRPr="004306A0">
        <w:t>-hexane (1:1, v/v), concentrated and quantified by gas chromatography-mass spectrometry. Method quality control included internal-standard calibration, field and method blanks, duplicate checks, surrogate recovery assessment, blank correction, and limits of detection and quantification. Statistical analysis was based on descriptive statistics, including range, arithmetic mean, pooled congener totals, community means, seasonal means and indoor-outdoor means. Total PAH concentrations ranged from 7.40 µg/m³ in Alesa wet-season indoor air to 30.55 µg/m³ in Aleto dry-season outdoor air. The mean total PAH concentration was highest in Aleto (21.41 µg/m³), followed by Akpajo (11.80 µg/m³) and Alesa (10.39 µg/m³). Dry-season air had a higher mean total PAH concentration (18.18 µg/m³) than wet-season air (10.88 µg/m³), while outdoor air (15.75 µg/m³) exceeded indoor air (13.32 µg/m³). Anthracene, pyrene, benzo(k)fluoranthene, naphthalene, fluorene and phenanthrene were the dominant contributors to the pooled PAH burden. Non-detected high-molecular-weight PAHs were reported as below the method detection limit rather than as true zero values. Screening-level risk assessment showed that children had higher estimated lifetime average daily dose and incremental lifetime carcinogenic risk than adults under the same sampling conditions. The highest child ILCR occurred in Aleto dry-season outdoor air (4.12E-04), while several child-risk estimates exceeded 1.00E-04, indicating potential concern under the assumptions used. The findings demonstrate measurable PAH contamination in the studied communities and support routine monitoring, emission reduction, dust suppression and targeted public-health communication, particularly for children and other sensitive receptors.</w:t>
      </w:r>
    </w:p>
    <w:p w14:paraId="3244E761" w14:textId="77777777" w:rsidR="00CB1509" w:rsidRPr="004306A0" w:rsidRDefault="00CB1509" w:rsidP="006A41A2">
      <w:pPr>
        <w:jc w:val="both"/>
        <w:rPr>
          <w:rFonts w:cs="Times New Roman"/>
          <w:szCs w:val="24"/>
        </w:rPr>
      </w:pPr>
      <w:r w:rsidRPr="004306A0">
        <w:t>Keywords: Polycyclic aromatic hydrocarbons (PAHs), health risk, gas chromatography, public-health communication</w:t>
      </w:r>
    </w:p>
    <w:p w14:paraId="186D46BD" w14:textId="77777777" w:rsidR="00CB1509" w:rsidRPr="004306A0" w:rsidRDefault="00CB1509" w:rsidP="006A41A2">
      <w:pPr>
        <w:jc w:val="both"/>
        <w:rPr>
          <w:rFonts w:cs="Times New Roman"/>
          <w:szCs w:val="24"/>
        </w:rPr>
      </w:pPr>
    </w:p>
    <w:p w14:paraId="333F739D" w14:textId="77777777" w:rsidR="00CB1509" w:rsidRPr="004306A0" w:rsidRDefault="00CB1509" w:rsidP="006A41A2">
      <w:pPr>
        <w:jc w:val="both"/>
        <w:rPr>
          <w:rFonts w:cs="Times New Roman"/>
          <w:szCs w:val="24"/>
        </w:rPr>
      </w:pPr>
    </w:p>
    <w:p w14:paraId="2443154B" w14:textId="77777777" w:rsidR="00A554FE" w:rsidRPr="004306A0" w:rsidRDefault="00A554FE" w:rsidP="006A41A2">
      <w:pPr>
        <w:jc w:val="both"/>
        <w:rPr>
          <w:rFonts w:cs="Times New Roman"/>
          <w:szCs w:val="24"/>
        </w:rPr>
      </w:pPr>
    </w:p>
    <w:p w14:paraId="3C94AE1F" w14:textId="77777777" w:rsidR="00A554FE" w:rsidRPr="004306A0" w:rsidRDefault="00A554FE" w:rsidP="006A41A2">
      <w:pPr>
        <w:jc w:val="both"/>
        <w:rPr>
          <w:rFonts w:cs="Times New Roman"/>
          <w:szCs w:val="24"/>
        </w:rPr>
      </w:pPr>
    </w:p>
    <w:p w14:paraId="2EE8A6DE" w14:textId="77777777" w:rsidR="00A554FE" w:rsidRPr="004306A0" w:rsidRDefault="00A554FE" w:rsidP="006A41A2">
      <w:pPr>
        <w:jc w:val="both"/>
        <w:rPr>
          <w:rFonts w:cs="Times New Roman"/>
          <w:szCs w:val="24"/>
        </w:rPr>
      </w:pPr>
    </w:p>
    <w:p w14:paraId="2E5650B1" w14:textId="77777777" w:rsidR="00F56C38" w:rsidRPr="004306A0" w:rsidRDefault="00163AF0" w:rsidP="006A41A2">
      <w:pPr>
        <w:jc w:val="center"/>
        <w:rPr>
          <w:rFonts w:cs="Times New Roman"/>
          <w:b/>
          <w:bCs/>
          <w:szCs w:val="24"/>
        </w:rPr>
      </w:pPr>
      <w:r w:rsidRPr="004306A0">
        <w:rPr>
          <w:rFonts w:cs="Times New Roman"/>
          <w:b/>
          <w:bCs/>
          <w:szCs w:val="24"/>
        </w:rPr>
        <w:t>Introduction</w:t>
      </w:r>
    </w:p>
    <w:p w14:paraId="40625910" w14:textId="17F5D65E" w:rsidR="00F56C38" w:rsidRPr="004306A0" w:rsidRDefault="00163AF0" w:rsidP="007C1B1B">
      <w:pPr>
        <w:spacing w:line="480" w:lineRule="auto"/>
        <w:contextualSpacing/>
        <w:jc w:val="both"/>
        <w:rPr>
          <w:rFonts w:cs="Times New Roman"/>
          <w:szCs w:val="24"/>
        </w:rPr>
      </w:pPr>
      <w:r w:rsidRPr="004306A0">
        <w:t>Air pollution remains a major environmental and public-health concern in industrialised and rapidly urbanising regions. It involves chemical, physical and biological alterations of the atmosphere that can degrade air quality, affect visibility and harm human health and ecosystems (World Health Organization [WHO], 20</w:t>
      </w:r>
      <w:r w:rsidR="00AD5159">
        <w:t>24</w:t>
      </w:r>
      <w:r w:rsidRPr="004306A0">
        <w:t>, 2021, 202</w:t>
      </w:r>
      <w:r w:rsidR="00AD5159">
        <w:t>4</w:t>
      </w:r>
      <w:r w:rsidRPr="004306A0">
        <w:t>). In the Niger Delta region of Nigeria, air quality is influenced by petroleum-related activities, road traffic, domestic and commercial generator use, open combustion, industrial operations, port-related activities and construction-related dust (Ana et al., 2012; Ede &amp; Edokpa, 2015; Antai et al., 2020).</w:t>
      </w:r>
    </w:p>
    <w:p w14:paraId="17FF8E96" w14:textId="77777777" w:rsidR="00F56C38" w:rsidRPr="004306A0" w:rsidRDefault="00163AF0" w:rsidP="007C1B1B">
      <w:pPr>
        <w:spacing w:line="480" w:lineRule="auto"/>
        <w:contextualSpacing/>
        <w:jc w:val="both"/>
        <w:rPr>
          <w:rFonts w:cs="Times New Roman"/>
          <w:bCs/>
          <w:szCs w:val="24"/>
        </w:rPr>
      </w:pPr>
      <w:r w:rsidRPr="004306A0">
        <w:t xml:space="preserve">Polycyclic aromatic hydrocarbons are a class of semi-volatile organic compounds composed of two or more fused aromatic rings. They are formed largely during incomplete combustion of carbon-containing materials such as petroleum products, biomass, refuse and coal-derived materials (Maliszewska-Kordybach, 1999; Ghetu et al., 2022). PAHs can exist in both vapour and particle-associated phases; lower-molecular-weight compounds are generally more volatile, whereas higher-molecular-weight congeners are more strongly associated with soot, dust and fine particulate matter. </w:t>
      </w:r>
      <w:proofErr w:type="gramStart"/>
      <w:r w:rsidRPr="004306A0">
        <w:t>This partitioning influences</w:t>
      </w:r>
      <w:proofErr w:type="gramEnd"/>
      <w:r w:rsidRPr="004306A0">
        <w:t xml:space="preserve"> atmospheric transport, deposition, persistence and inhalation exposure (Maliszewska-Kordybach, 1999; Seo et al., 2009). Recent review evidence similarly identifies PAHs as persistent combustion-derived environmental contaminants whose toxic relevance supports their continued monitoring in affected environmental media (Onwujekwe et al., 2022).</w:t>
      </w:r>
    </w:p>
    <w:p w14:paraId="420DC6D1" w14:textId="77777777" w:rsidR="00F56C38" w:rsidRPr="004306A0" w:rsidRDefault="00163AF0" w:rsidP="007C1B1B">
      <w:pPr>
        <w:spacing w:line="480" w:lineRule="auto"/>
        <w:contextualSpacing/>
        <w:jc w:val="both"/>
        <w:rPr>
          <w:rFonts w:cs="Times New Roman"/>
          <w:bCs/>
          <w:szCs w:val="24"/>
        </w:rPr>
      </w:pPr>
      <w:r w:rsidRPr="004306A0">
        <w:t xml:space="preserve">The health relevance of PAHs arises from their toxic, mutagenic and carcinogenic potential. Several PAH congeners have been used in risk assessment because their toxicological potency can contribute to lifetime cancer risk under chronic exposure assumptions (U.S. Environmental </w:t>
      </w:r>
      <w:r w:rsidRPr="004306A0">
        <w:lastRenderedPageBreak/>
        <w:t>Protection Agency [USEPA], 1989, 2001; International Agency for Research on Cancer [IARC], 2010). Benzo(a)pyrene is frequently used as an indicator compound, but other congeners may contribute to overall risk depending on concentration, exposure route and potency factor. Recent atmospheric studies also show that source analysis and health-risk assessment are useful for interpreting particulate-bound PAH occurrence where combustion-related emissions are suspected (Wu et al., 2024).</w:t>
      </w:r>
    </w:p>
    <w:p w14:paraId="25910DDA" w14:textId="77777777" w:rsidR="00F56C38" w:rsidRPr="004306A0" w:rsidRDefault="00163AF0" w:rsidP="007C1B1B">
      <w:pPr>
        <w:spacing w:line="480" w:lineRule="auto"/>
        <w:contextualSpacing/>
        <w:jc w:val="both"/>
        <w:rPr>
          <w:rFonts w:cs="Times New Roman"/>
          <w:bCs/>
          <w:szCs w:val="24"/>
        </w:rPr>
      </w:pPr>
      <w:r w:rsidRPr="004306A0">
        <w:t>Indoor and outdoor air may both contribute to PAH exposure. Outdoor PAHs may reflect traffic exhaust, petroleum-related activities, combustion emissions, road dust and atmospheric dispersion conditions, while indoor PAHs may be influenced by outdoor infiltration, cooking practices, household fuel use, generator emissions and ventilation patterns (Mannan &amp; Al-Ghamdi, 2021; Ghetu et al., 2022). In settings where residential areas, schools, roads and industrial activities are closely spaced, comparing indoor and outdoor microenvironments is important for exposure interpretation. A recent Nigerian study around a scrap-iron smelting plant further demonstrates that indoor-outdoor and seasonal PAH patterns can differ by local source context and exposure pathway (Adeniran et al., 2025).</w:t>
      </w:r>
    </w:p>
    <w:p w14:paraId="48CD3A70" w14:textId="77777777" w:rsidR="00F56C38" w:rsidRPr="004306A0" w:rsidRDefault="00163AF0" w:rsidP="007C1B1B">
      <w:pPr>
        <w:spacing w:line="480" w:lineRule="auto"/>
        <w:contextualSpacing/>
        <w:jc w:val="both"/>
        <w:rPr>
          <w:rFonts w:cs="Times New Roman"/>
          <w:bCs/>
          <w:szCs w:val="24"/>
        </w:rPr>
      </w:pPr>
      <w:r w:rsidRPr="004306A0">
        <w:t>Eleme Local Government Area in Rivers State is an important industrial and transport corridor within the Niger Delta. Akpajo, Alesa and Aleto are environmentally relevant communities because they are located within an area affected by major roads, residential activities, commercial movement and nearby industrial operations. Dry and wet seasons may also influence PAH behaviour through differences in rainfall washout, dust resuspension, humidity, wind movement and atmospheric mixing (Fann et al., 2016; Antai et al., 2020). Recent particulate matter monitoring in industrial communities in Rivers State further supports the need for localised air-quality assessment in industrially influenced settlements (Ideriah et al., 2025).</w:t>
      </w:r>
    </w:p>
    <w:p w14:paraId="0447B727" w14:textId="77777777" w:rsidR="00F56C38" w:rsidRPr="004306A0" w:rsidRDefault="00163AF0" w:rsidP="007C1B1B">
      <w:pPr>
        <w:spacing w:line="480" w:lineRule="auto"/>
        <w:contextualSpacing/>
        <w:jc w:val="both"/>
        <w:rPr>
          <w:rFonts w:cs="Times New Roman"/>
          <w:bCs/>
          <w:szCs w:val="24"/>
        </w:rPr>
      </w:pPr>
      <w:r w:rsidRPr="004306A0">
        <w:lastRenderedPageBreak/>
        <w:t>Despite existing evidence on air-quality concerns in the Niger Delta, community-specific comparative information on PAH levels in both indoor and outdoor air across dry and wet seasons remains limited for Akpajo, Alesa and Aleto. This study addresses this gap by linking measured PAH concentrations with screening-level inhalation risk estimates for adult and child receptors in the selected communities.</w:t>
      </w:r>
    </w:p>
    <w:p w14:paraId="4E4A0C30" w14:textId="77777777" w:rsidR="007C1B1B" w:rsidRPr="004306A0" w:rsidRDefault="00163AF0" w:rsidP="007C1B1B">
      <w:pPr>
        <w:spacing w:line="480" w:lineRule="auto"/>
        <w:contextualSpacing/>
        <w:jc w:val="both"/>
        <w:rPr>
          <w:rFonts w:cs="Times New Roman"/>
          <w:szCs w:val="24"/>
        </w:rPr>
      </w:pPr>
      <w:r w:rsidRPr="004306A0">
        <w:t>The aim of this study is to assess the occurrence, seasonal distribution and screening-level inhalation health risks of PAHs in indoor and outdoor air from Akpajo, Alesa and Aleto communities in Eleme, Rivers State, Nigeria. The specific objectives are to: (i) quantify selected PAH congeners in indoor and outdoor air during dry and wet seasons; (ii) compare total PAH concentrations across community, season and microenvironment; (iii) identify the dominant PAH congeners contributing to the measured PAH burden; (iv) estimate adult and child LADD and ILCR values using established screening-risk equations; and (v) provide environmental health recommendations relevant to monitoring and exposure reduction.</w:t>
      </w:r>
    </w:p>
    <w:p w14:paraId="09C2700C" w14:textId="77777777" w:rsidR="007C1B1B" w:rsidRPr="004306A0" w:rsidRDefault="00163AF0" w:rsidP="007C1B1B">
      <w:pPr>
        <w:jc w:val="center"/>
        <w:rPr>
          <w:rFonts w:cs="Times New Roman"/>
          <w:b/>
          <w:bCs/>
          <w:szCs w:val="24"/>
        </w:rPr>
      </w:pPr>
      <w:r w:rsidRPr="004306A0">
        <w:rPr>
          <w:rFonts w:cs="Times New Roman"/>
          <w:b/>
          <w:bCs/>
          <w:szCs w:val="24"/>
        </w:rPr>
        <w:t>Materials and Methods</w:t>
      </w:r>
    </w:p>
    <w:p w14:paraId="03513156" w14:textId="77777777" w:rsidR="00F56C38" w:rsidRPr="004306A0" w:rsidRDefault="00163AF0" w:rsidP="007C1B1B">
      <w:pPr>
        <w:rPr>
          <w:rFonts w:cs="Times New Roman"/>
          <w:b/>
          <w:bCs/>
          <w:szCs w:val="24"/>
        </w:rPr>
      </w:pPr>
      <w:r w:rsidRPr="004306A0">
        <w:rPr>
          <w:rFonts w:cs="Times New Roman"/>
          <w:b/>
          <w:bCs/>
          <w:szCs w:val="24"/>
        </w:rPr>
        <w:t>Study area and sampling design</w:t>
      </w:r>
    </w:p>
    <w:p w14:paraId="5CDE73D3" w14:textId="77777777" w:rsidR="00F56C38" w:rsidRPr="004306A0" w:rsidRDefault="00163AF0" w:rsidP="007C1B1B">
      <w:pPr>
        <w:spacing w:line="480" w:lineRule="auto"/>
        <w:contextualSpacing/>
        <w:jc w:val="both"/>
        <w:rPr>
          <w:rFonts w:cs="Times New Roman"/>
          <w:szCs w:val="24"/>
        </w:rPr>
      </w:pPr>
      <w:r w:rsidRPr="004306A0">
        <w:t>The study was conducted in Akpajo, Alesa and Aleto communities (Figure 1) in Eleme Local Government Area, Rivers State, Nigeria. Eleme lies within the industrialised Niger Delta and is influenced by residential settlements, schools, transport routes, commercial activities, port-related movement and petroleum-linked operations. Previous studies have identified the Niger Delta and Eleme axis as environmentally important for air-quality monitoring because of the interaction of industrial activity, traffic emissions, seasonal meteorology and community exposure settings (Ana et al., 2012; Ede &amp; Edokpa, 2015; Yorkor et al., 2017; Antai et al., 2020).</w:t>
      </w:r>
    </w:p>
    <w:p w14:paraId="5D0E5FB6" w14:textId="77777777" w:rsidR="00F56C38" w:rsidRPr="004306A0" w:rsidRDefault="00163AF0" w:rsidP="007C1B1B">
      <w:pPr>
        <w:spacing w:line="480" w:lineRule="auto"/>
        <w:contextualSpacing/>
        <w:jc w:val="both"/>
        <w:rPr>
          <w:rFonts w:cs="Times New Roman"/>
          <w:szCs w:val="24"/>
        </w:rPr>
      </w:pPr>
      <w:r w:rsidRPr="004306A0">
        <w:t xml:space="preserve">The sampling programme covered a 12-month period from November 2023 to October 2024 and was structured to compare community, season and microenvironment. Twelve 24-hour integrated </w:t>
      </w:r>
      <w:r w:rsidRPr="004306A0">
        <w:lastRenderedPageBreak/>
        <w:t>air-sampling conditions were reported: three communities × two seasons × two microenvironments. Indoor samples represented residential or school-related indoor exposure settings, while outdoor samples represented ambient exposure around community activity zones. This design allowed descriptive comparison of seasonal and indoor-outdoor PAH patterns and is summarised in Table 1.</w:t>
      </w:r>
    </w:p>
    <w:p w14:paraId="0B7AB5D7" w14:textId="77777777" w:rsidR="00F56C38" w:rsidRPr="004306A0" w:rsidRDefault="00163AF0">
      <w:pPr>
        <w:pStyle w:val="Caption"/>
        <w:rPr>
          <w:rFonts w:cs="Times New Roman"/>
          <w:i w:val="0"/>
          <w:iCs/>
          <w:color w:val="auto"/>
          <w:sz w:val="24"/>
          <w:szCs w:val="24"/>
        </w:rPr>
      </w:pPr>
      <w:r w:rsidRPr="004306A0">
        <w:rPr>
          <w:rFonts w:cs="Times New Roman"/>
          <w:i w:val="0"/>
          <w:iCs/>
          <w:color w:val="auto"/>
          <w:sz w:val="24"/>
          <w:szCs w:val="24"/>
        </w:rPr>
        <w:t>Table 1. Sampling design for PAH monitoring in air</w:t>
      </w:r>
    </w:p>
    <w:tbl>
      <w:tblPr>
        <w:tblW w:w="9894" w:type="dxa"/>
        <w:jc w:val="center"/>
        <w:tblBorders>
          <w:top w:val="single" w:sz="4" w:space="0" w:color="auto"/>
          <w:bottom w:val="single" w:sz="4" w:space="0" w:color="auto"/>
        </w:tblBorders>
        <w:tblLayout w:type="fixed"/>
        <w:tblLook w:val="04A0" w:firstRow="1" w:lastRow="0" w:firstColumn="1" w:lastColumn="0" w:noHBand="0" w:noVBand="1"/>
      </w:tblPr>
      <w:tblGrid>
        <w:gridCol w:w="1635"/>
        <w:gridCol w:w="2322"/>
        <w:gridCol w:w="1852"/>
        <w:gridCol w:w="2446"/>
        <w:gridCol w:w="1639"/>
      </w:tblGrid>
      <w:tr w:rsidR="00F56C38" w:rsidRPr="004306A0" w14:paraId="0036794D" w14:textId="77777777" w:rsidTr="007C1B1B">
        <w:trPr>
          <w:trHeight w:val="381"/>
          <w:tblHeader/>
          <w:jc w:val="center"/>
        </w:trPr>
        <w:tc>
          <w:tcPr>
            <w:tcW w:w="1635" w:type="dxa"/>
            <w:tcBorders>
              <w:top w:val="single" w:sz="4" w:space="0" w:color="auto"/>
              <w:bottom w:val="single" w:sz="4" w:space="0" w:color="auto"/>
            </w:tcBorders>
            <w:vAlign w:val="center"/>
          </w:tcPr>
          <w:p w14:paraId="7D9EC215" w14:textId="77777777" w:rsidR="00F56C38" w:rsidRPr="004306A0" w:rsidRDefault="00163AF0">
            <w:pPr>
              <w:spacing w:after="0" w:line="240" w:lineRule="auto"/>
              <w:jc w:val="center"/>
              <w:rPr>
                <w:rFonts w:cs="Times New Roman"/>
                <w:b/>
                <w:szCs w:val="24"/>
              </w:rPr>
            </w:pPr>
            <w:r w:rsidRPr="004306A0">
              <w:rPr>
                <w:rFonts w:cs="Times New Roman"/>
                <w:b/>
                <w:szCs w:val="24"/>
              </w:rPr>
              <w:t>Community</w:t>
            </w:r>
          </w:p>
        </w:tc>
        <w:tc>
          <w:tcPr>
            <w:tcW w:w="2322" w:type="dxa"/>
            <w:tcBorders>
              <w:top w:val="single" w:sz="4" w:space="0" w:color="auto"/>
              <w:bottom w:val="single" w:sz="4" w:space="0" w:color="auto"/>
            </w:tcBorders>
            <w:vAlign w:val="center"/>
          </w:tcPr>
          <w:p w14:paraId="4E889CAF" w14:textId="77777777" w:rsidR="00F56C38" w:rsidRPr="004306A0" w:rsidRDefault="00163AF0">
            <w:pPr>
              <w:spacing w:after="0" w:line="240" w:lineRule="auto"/>
              <w:jc w:val="center"/>
              <w:rPr>
                <w:rFonts w:cs="Times New Roman"/>
                <w:b/>
                <w:szCs w:val="24"/>
              </w:rPr>
            </w:pPr>
            <w:r w:rsidRPr="004306A0">
              <w:rPr>
                <w:rFonts w:cs="Times New Roman"/>
                <w:b/>
                <w:szCs w:val="24"/>
              </w:rPr>
              <w:t>Representative sampling points</w:t>
            </w:r>
          </w:p>
        </w:tc>
        <w:tc>
          <w:tcPr>
            <w:tcW w:w="1852" w:type="dxa"/>
            <w:tcBorders>
              <w:top w:val="single" w:sz="4" w:space="0" w:color="auto"/>
              <w:bottom w:val="single" w:sz="4" w:space="0" w:color="auto"/>
            </w:tcBorders>
            <w:vAlign w:val="center"/>
          </w:tcPr>
          <w:p w14:paraId="69EFC58E" w14:textId="77777777" w:rsidR="00F56C38" w:rsidRPr="004306A0" w:rsidRDefault="00163AF0">
            <w:pPr>
              <w:spacing w:after="0" w:line="240" w:lineRule="auto"/>
              <w:jc w:val="center"/>
              <w:rPr>
                <w:rFonts w:cs="Times New Roman"/>
                <w:b/>
                <w:szCs w:val="24"/>
              </w:rPr>
            </w:pPr>
            <w:r w:rsidRPr="004306A0">
              <w:rPr>
                <w:rFonts w:cs="Times New Roman"/>
                <w:b/>
                <w:szCs w:val="24"/>
              </w:rPr>
              <w:t>Seasonal coverage</w:t>
            </w:r>
          </w:p>
        </w:tc>
        <w:tc>
          <w:tcPr>
            <w:tcW w:w="2446" w:type="dxa"/>
            <w:tcBorders>
              <w:top w:val="single" w:sz="4" w:space="0" w:color="auto"/>
              <w:bottom w:val="single" w:sz="4" w:space="0" w:color="auto"/>
            </w:tcBorders>
            <w:vAlign w:val="center"/>
          </w:tcPr>
          <w:p w14:paraId="2E7ACC94" w14:textId="77777777" w:rsidR="00F56C38" w:rsidRPr="004306A0" w:rsidRDefault="00163AF0">
            <w:pPr>
              <w:spacing w:after="0" w:line="240" w:lineRule="auto"/>
              <w:jc w:val="center"/>
              <w:rPr>
                <w:rFonts w:cs="Times New Roman"/>
                <w:b/>
                <w:szCs w:val="24"/>
              </w:rPr>
            </w:pPr>
            <w:r w:rsidRPr="004306A0">
              <w:rPr>
                <w:rFonts w:cs="Times New Roman"/>
                <w:b/>
                <w:szCs w:val="24"/>
              </w:rPr>
              <w:t>Microenvironmental coverage</w:t>
            </w:r>
          </w:p>
        </w:tc>
        <w:tc>
          <w:tcPr>
            <w:tcW w:w="1639" w:type="dxa"/>
            <w:tcBorders>
              <w:top w:val="single" w:sz="4" w:space="0" w:color="auto"/>
              <w:bottom w:val="single" w:sz="4" w:space="0" w:color="auto"/>
            </w:tcBorders>
            <w:vAlign w:val="center"/>
          </w:tcPr>
          <w:p w14:paraId="38070423" w14:textId="77777777" w:rsidR="00F56C38" w:rsidRPr="004306A0" w:rsidRDefault="00163AF0">
            <w:pPr>
              <w:spacing w:after="0" w:line="240" w:lineRule="auto"/>
              <w:jc w:val="center"/>
              <w:rPr>
                <w:rFonts w:cs="Times New Roman"/>
                <w:b/>
                <w:szCs w:val="24"/>
              </w:rPr>
            </w:pPr>
            <w:r w:rsidRPr="004306A0">
              <w:rPr>
                <w:rFonts w:cs="Times New Roman"/>
                <w:b/>
                <w:szCs w:val="24"/>
              </w:rPr>
              <w:t>Reported air observations</w:t>
            </w:r>
          </w:p>
        </w:tc>
      </w:tr>
      <w:tr w:rsidR="00F56C38" w:rsidRPr="004306A0" w14:paraId="1A87615A" w14:textId="77777777" w:rsidTr="007C1B1B">
        <w:trPr>
          <w:trHeight w:val="1310"/>
          <w:jc w:val="center"/>
        </w:trPr>
        <w:tc>
          <w:tcPr>
            <w:tcW w:w="1635" w:type="dxa"/>
            <w:tcBorders>
              <w:top w:val="single" w:sz="4" w:space="0" w:color="auto"/>
            </w:tcBorders>
            <w:vAlign w:val="center"/>
          </w:tcPr>
          <w:p w14:paraId="44D8367F" w14:textId="77777777" w:rsidR="00F56C38" w:rsidRPr="004306A0" w:rsidRDefault="00163AF0">
            <w:pPr>
              <w:spacing w:after="0" w:line="240" w:lineRule="auto"/>
              <w:jc w:val="center"/>
              <w:rPr>
                <w:rFonts w:cs="Times New Roman"/>
                <w:szCs w:val="24"/>
              </w:rPr>
            </w:pPr>
            <w:r w:rsidRPr="004306A0">
              <w:rPr>
                <w:rFonts w:cs="Times New Roman"/>
                <w:szCs w:val="24"/>
              </w:rPr>
              <w:t>Akpajo</w:t>
            </w:r>
          </w:p>
        </w:tc>
        <w:tc>
          <w:tcPr>
            <w:tcW w:w="2322" w:type="dxa"/>
            <w:tcBorders>
              <w:top w:val="single" w:sz="4" w:space="0" w:color="auto"/>
            </w:tcBorders>
            <w:vAlign w:val="center"/>
          </w:tcPr>
          <w:p w14:paraId="35AF7078" w14:textId="77777777" w:rsidR="00F56C38" w:rsidRPr="004306A0" w:rsidRDefault="00163AF0">
            <w:pPr>
              <w:spacing w:after="0" w:line="240" w:lineRule="auto"/>
              <w:jc w:val="center"/>
              <w:rPr>
                <w:rFonts w:cs="Times New Roman"/>
                <w:szCs w:val="24"/>
              </w:rPr>
            </w:pPr>
            <w:r w:rsidRPr="004306A0">
              <w:rPr>
                <w:rFonts w:cs="Times New Roman"/>
                <w:szCs w:val="24"/>
              </w:rPr>
              <w:t>Community Senior Secondary School and residential setting</w:t>
            </w:r>
          </w:p>
        </w:tc>
        <w:tc>
          <w:tcPr>
            <w:tcW w:w="1852" w:type="dxa"/>
            <w:tcBorders>
              <w:top w:val="single" w:sz="4" w:space="0" w:color="auto"/>
            </w:tcBorders>
            <w:vAlign w:val="center"/>
          </w:tcPr>
          <w:p w14:paraId="267A74A7" w14:textId="77777777" w:rsidR="00F56C38" w:rsidRPr="004306A0" w:rsidRDefault="00163AF0">
            <w:pPr>
              <w:spacing w:after="0" w:line="240" w:lineRule="auto"/>
              <w:jc w:val="center"/>
              <w:rPr>
                <w:rFonts w:cs="Times New Roman"/>
                <w:szCs w:val="24"/>
              </w:rPr>
            </w:pPr>
            <w:r w:rsidRPr="004306A0">
              <w:rPr>
                <w:rFonts w:cs="Times New Roman"/>
                <w:szCs w:val="24"/>
              </w:rPr>
              <w:t>Dry and wet seasons</w:t>
            </w:r>
          </w:p>
        </w:tc>
        <w:tc>
          <w:tcPr>
            <w:tcW w:w="2446" w:type="dxa"/>
            <w:tcBorders>
              <w:top w:val="single" w:sz="4" w:space="0" w:color="auto"/>
            </w:tcBorders>
            <w:vAlign w:val="center"/>
          </w:tcPr>
          <w:p w14:paraId="42D9E1F7" w14:textId="77777777" w:rsidR="00F56C38" w:rsidRPr="004306A0" w:rsidRDefault="00163AF0">
            <w:pPr>
              <w:spacing w:after="0" w:line="240" w:lineRule="auto"/>
              <w:jc w:val="center"/>
              <w:rPr>
                <w:rFonts w:cs="Times New Roman"/>
                <w:szCs w:val="24"/>
              </w:rPr>
            </w:pPr>
            <w:r w:rsidRPr="004306A0">
              <w:rPr>
                <w:rFonts w:cs="Times New Roman"/>
                <w:szCs w:val="24"/>
              </w:rPr>
              <w:t>Indoor and outdoor</w:t>
            </w:r>
          </w:p>
        </w:tc>
        <w:tc>
          <w:tcPr>
            <w:tcW w:w="1639" w:type="dxa"/>
            <w:tcBorders>
              <w:top w:val="single" w:sz="4" w:space="0" w:color="auto"/>
            </w:tcBorders>
            <w:vAlign w:val="center"/>
          </w:tcPr>
          <w:p w14:paraId="3BBE9C85" w14:textId="77777777" w:rsidR="00F56C38" w:rsidRPr="004306A0" w:rsidRDefault="00163AF0">
            <w:pPr>
              <w:spacing w:after="0" w:line="240" w:lineRule="auto"/>
              <w:jc w:val="center"/>
              <w:rPr>
                <w:rFonts w:cs="Times New Roman"/>
                <w:szCs w:val="24"/>
              </w:rPr>
            </w:pPr>
            <w:r w:rsidRPr="004306A0">
              <w:rPr>
                <w:rFonts w:cs="Times New Roman"/>
                <w:szCs w:val="24"/>
              </w:rPr>
              <w:t>4</w:t>
            </w:r>
          </w:p>
        </w:tc>
      </w:tr>
      <w:tr w:rsidR="00F56C38" w:rsidRPr="004306A0" w14:paraId="4B23E346" w14:textId="77777777" w:rsidTr="007C1B1B">
        <w:trPr>
          <w:trHeight w:val="967"/>
          <w:jc w:val="center"/>
        </w:trPr>
        <w:tc>
          <w:tcPr>
            <w:tcW w:w="1635" w:type="dxa"/>
            <w:vAlign w:val="center"/>
          </w:tcPr>
          <w:p w14:paraId="56AE74AA" w14:textId="77777777" w:rsidR="00F56C38" w:rsidRPr="004306A0" w:rsidRDefault="00163AF0">
            <w:pPr>
              <w:spacing w:after="0" w:line="240" w:lineRule="auto"/>
              <w:jc w:val="center"/>
              <w:rPr>
                <w:rFonts w:cs="Times New Roman"/>
                <w:szCs w:val="24"/>
              </w:rPr>
            </w:pPr>
            <w:r w:rsidRPr="004306A0">
              <w:rPr>
                <w:rFonts w:cs="Times New Roman"/>
                <w:szCs w:val="24"/>
              </w:rPr>
              <w:t>Alesa</w:t>
            </w:r>
          </w:p>
        </w:tc>
        <w:tc>
          <w:tcPr>
            <w:tcW w:w="2322" w:type="dxa"/>
            <w:vAlign w:val="center"/>
          </w:tcPr>
          <w:p w14:paraId="7DBE75B8" w14:textId="77777777" w:rsidR="00F56C38" w:rsidRPr="004306A0" w:rsidRDefault="00163AF0">
            <w:pPr>
              <w:spacing w:after="0" w:line="240" w:lineRule="auto"/>
              <w:jc w:val="center"/>
              <w:rPr>
                <w:rFonts w:cs="Times New Roman"/>
                <w:szCs w:val="24"/>
              </w:rPr>
            </w:pPr>
            <w:r w:rsidRPr="004306A0">
              <w:rPr>
                <w:rFonts w:cs="Times New Roman"/>
                <w:szCs w:val="24"/>
              </w:rPr>
              <w:t>Comprehensive High School and residential setting</w:t>
            </w:r>
          </w:p>
        </w:tc>
        <w:tc>
          <w:tcPr>
            <w:tcW w:w="1852" w:type="dxa"/>
            <w:vAlign w:val="center"/>
          </w:tcPr>
          <w:p w14:paraId="0EB71D7E" w14:textId="77777777" w:rsidR="00F56C38" w:rsidRPr="004306A0" w:rsidRDefault="00163AF0">
            <w:pPr>
              <w:spacing w:after="0" w:line="240" w:lineRule="auto"/>
              <w:jc w:val="center"/>
              <w:rPr>
                <w:rFonts w:cs="Times New Roman"/>
                <w:szCs w:val="24"/>
              </w:rPr>
            </w:pPr>
            <w:r w:rsidRPr="004306A0">
              <w:rPr>
                <w:rFonts w:cs="Times New Roman"/>
                <w:szCs w:val="24"/>
              </w:rPr>
              <w:t>Dry and wet seasons</w:t>
            </w:r>
          </w:p>
        </w:tc>
        <w:tc>
          <w:tcPr>
            <w:tcW w:w="2446" w:type="dxa"/>
            <w:vAlign w:val="center"/>
          </w:tcPr>
          <w:p w14:paraId="21F311D0" w14:textId="77777777" w:rsidR="00F56C38" w:rsidRPr="004306A0" w:rsidRDefault="00163AF0">
            <w:pPr>
              <w:spacing w:after="0" w:line="240" w:lineRule="auto"/>
              <w:jc w:val="center"/>
              <w:rPr>
                <w:rFonts w:cs="Times New Roman"/>
                <w:szCs w:val="24"/>
              </w:rPr>
            </w:pPr>
            <w:r w:rsidRPr="004306A0">
              <w:rPr>
                <w:rFonts w:cs="Times New Roman"/>
                <w:szCs w:val="24"/>
              </w:rPr>
              <w:t>Indoor and outdoor</w:t>
            </w:r>
          </w:p>
        </w:tc>
        <w:tc>
          <w:tcPr>
            <w:tcW w:w="1639" w:type="dxa"/>
            <w:vAlign w:val="center"/>
          </w:tcPr>
          <w:p w14:paraId="04FF2465" w14:textId="77777777" w:rsidR="00F56C38" w:rsidRPr="004306A0" w:rsidRDefault="00163AF0">
            <w:pPr>
              <w:spacing w:after="0" w:line="240" w:lineRule="auto"/>
              <w:jc w:val="center"/>
              <w:rPr>
                <w:rFonts w:cs="Times New Roman"/>
                <w:szCs w:val="24"/>
              </w:rPr>
            </w:pPr>
            <w:r w:rsidRPr="004306A0">
              <w:rPr>
                <w:rFonts w:cs="Times New Roman"/>
                <w:szCs w:val="24"/>
              </w:rPr>
              <w:t>4</w:t>
            </w:r>
          </w:p>
        </w:tc>
      </w:tr>
      <w:tr w:rsidR="00F56C38" w:rsidRPr="004306A0" w14:paraId="6179C862" w14:textId="77777777" w:rsidTr="007C1B1B">
        <w:trPr>
          <w:trHeight w:val="1310"/>
          <w:jc w:val="center"/>
        </w:trPr>
        <w:tc>
          <w:tcPr>
            <w:tcW w:w="1635" w:type="dxa"/>
            <w:vAlign w:val="center"/>
          </w:tcPr>
          <w:p w14:paraId="3AD2D131" w14:textId="77777777" w:rsidR="00F56C38" w:rsidRPr="004306A0" w:rsidRDefault="00163AF0">
            <w:pPr>
              <w:spacing w:after="0" w:line="240" w:lineRule="auto"/>
              <w:jc w:val="center"/>
              <w:rPr>
                <w:rFonts w:cs="Times New Roman"/>
                <w:szCs w:val="24"/>
              </w:rPr>
            </w:pPr>
            <w:r w:rsidRPr="004306A0">
              <w:rPr>
                <w:rFonts w:cs="Times New Roman"/>
                <w:szCs w:val="24"/>
              </w:rPr>
              <w:t>Aleto</w:t>
            </w:r>
          </w:p>
        </w:tc>
        <w:tc>
          <w:tcPr>
            <w:tcW w:w="2322" w:type="dxa"/>
            <w:vAlign w:val="center"/>
          </w:tcPr>
          <w:p w14:paraId="44B019B2" w14:textId="77777777" w:rsidR="00F56C38" w:rsidRPr="004306A0" w:rsidRDefault="00163AF0">
            <w:pPr>
              <w:spacing w:after="0" w:line="240" w:lineRule="auto"/>
              <w:jc w:val="center"/>
              <w:rPr>
                <w:rFonts w:cs="Times New Roman"/>
                <w:szCs w:val="24"/>
              </w:rPr>
            </w:pPr>
            <w:r w:rsidRPr="004306A0">
              <w:rPr>
                <w:rFonts w:cs="Times New Roman"/>
                <w:szCs w:val="24"/>
              </w:rPr>
              <w:t>Community Secondary School and residential setting</w:t>
            </w:r>
          </w:p>
        </w:tc>
        <w:tc>
          <w:tcPr>
            <w:tcW w:w="1852" w:type="dxa"/>
            <w:vAlign w:val="center"/>
          </w:tcPr>
          <w:p w14:paraId="32D693C9" w14:textId="77777777" w:rsidR="00F56C38" w:rsidRPr="004306A0" w:rsidRDefault="00163AF0">
            <w:pPr>
              <w:spacing w:after="0" w:line="240" w:lineRule="auto"/>
              <w:jc w:val="center"/>
              <w:rPr>
                <w:rFonts w:cs="Times New Roman"/>
                <w:szCs w:val="24"/>
              </w:rPr>
            </w:pPr>
            <w:r w:rsidRPr="004306A0">
              <w:rPr>
                <w:rFonts w:cs="Times New Roman"/>
                <w:szCs w:val="24"/>
              </w:rPr>
              <w:t>Dry and wet seasons</w:t>
            </w:r>
          </w:p>
        </w:tc>
        <w:tc>
          <w:tcPr>
            <w:tcW w:w="2446" w:type="dxa"/>
            <w:vAlign w:val="center"/>
          </w:tcPr>
          <w:p w14:paraId="6CF062DA" w14:textId="77777777" w:rsidR="00F56C38" w:rsidRPr="004306A0" w:rsidRDefault="00163AF0">
            <w:pPr>
              <w:spacing w:after="0" w:line="240" w:lineRule="auto"/>
              <w:jc w:val="center"/>
              <w:rPr>
                <w:rFonts w:cs="Times New Roman"/>
                <w:szCs w:val="24"/>
              </w:rPr>
            </w:pPr>
            <w:r w:rsidRPr="004306A0">
              <w:rPr>
                <w:rFonts w:cs="Times New Roman"/>
                <w:szCs w:val="24"/>
              </w:rPr>
              <w:t>Indoor and outdoor</w:t>
            </w:r>
          </w:p>
        </w:tc>
        <w:tc>
          <w:tcPr>
            <w:tcW w:w="1639" w:type="dxa"/>
            <w:vAlign w:val="center"/>
          </w:tcPr>
          <w:p w14:paraId="5D0D476B" w14:textId="77777777" w:rsidR="00F56C38" w:rsidRPr="004306A0" w:rsidRDefault="00163AF0">
            <w:pPr>
              <w:spacing w:after="0" w:line="240" w:lineRule="auto"/>
              <w:jc w:val="center"/>
              <w:rPr>
                <w:rFonts w:cs="Times New Roman"/>
                <w:szCs w:val="24"/>
              </w:rPr>
            </w:pPr>
            <w:r w:rsidRPr="004306A0">
              <w:rPr>
                <w:rFonts w:cs="Times New Roman"/>
                <w:szCs w:val="24"/>
              </w:rPr>
              <w:t>4</w:t>
            </w:r>
          </w:p>
        </w:tc>
      </w:tr>
      <w:tr w:rsidR="00F56C38" w:rsidRPr="004306A0" w14:paraId="7E421601" w14:textId="77777777" w:rsidTr="007C1B1B">
        <w:trPr>
          <w:trHeight w:val="649"/>
          <w:jc w:val="center"/>
        </w:trPr>
        <w:tc>
          <w:tcPr>
            <w:tcW w:w="1635" w:type="dxa"/>
            <w:vAlign w:val="center"/>
          </w:tcPr>
          <w:p w14:paraId="180942C0" w14:textId="77777777" w:rsidR="00F56C38" w:rsidRPr="004306A0" w:rsidRDefault="00163AF0">
            <w:pPr>
              <w:spacing w:after="0" w:line="240" w:lineRule="auto"/>
              <w:jc w:val="center"/>
              <w:rPr>
                <w:rFonts w:cs="Times New Roman"/>
                <w:szCs w:val="24"/>
              </w:rPr>
            </w:pPr>
            <w:r w:rsidRPr="004306A0">
              <w:rPr>
                <w:rFonts w:cs="Times New Roman"/>
                <w:szCs w:val="24"/>
              </w:rPr>
              <w:t>Total</w:t>
            </w:r>
          </w:p>
        </w:tc>
        <w:tc>
          <w:tcPr>
            <w:tcW w:w="2322" w:type="dxa"/>
            <w:vAlign w:val="center"/>
          </w:tcPr>
          <w:p w14:paraId="36528FD9" w14:textId="77777777" w:rsidR="00F56C38" w:rsidRPr="004306A0" w:rsidRDefault="00163AF0">
            <w:pPr>
              <w:spacing w:after="0" w:line="240" w:lineRule="auto"/>
              <w:jc w:val="center"/>
              <w:rPr>
                <w:rFonts w:cs="Times New Roman"/>
                <w:szCs w:val="24"/>
              </w:rPr>
            </w:pPr>
            <w:r w:rsidRPr="004306A0">
              <w:rPr>
                <w:rFonts w:cs="Times New Roman"/>
                <w:szCs w:val="24"/>
              </w:rPr>
              <w:t>Three communities</w:t>
            </w:r>
          </w:p>
        </w:tc>
        <w:tc>
          <w:tcPr>
            <w:tcW w:w="1852" w:type="dxa"/>
            <w:vAlign w:val="center"/>
          </w:tcPr>
          <w:p w14:paraId="18655858" w14:textId="77777777" w:rsidR="00F56C38" w:rsidRPr="004306A0" w:rsidRDefault="00163AF0">
            <w:pPr>
              <w:spacing w:after="0" w:line="240" w:lineRule="auto"/>
              <w:jc w:val="center"/>
              <w:rPr>
                <w:rFonts w:cs="Times New Roman"/>
                <w:szCs w:val="24"/>
              </w:rPr>
            </w:pPr>
            <w:r w:rsidRPr="004306A0">
              <w:rPr>
                <w:rFonts w:cs="Times New Roman"/>
                <w:szCs w:val="24"/>
              </w:rPr>
              <w:t>Two seasons</w:t>
            </w:r>
          </w:p>
        </w:tc>
        <w:tc>
          <w:tcPr>
            <w:tcW w:w="2446" w:type="dxa"/>
            <w:vAlign w:val="center"/>
          </w:tcPr>
          <w:p w14:paraId="02FAD9A6" w14:textId="77777777" w:rsidR="00F56C38" w:rsidRPr="004306A0" w:rsidRDefault="00163AF0">
            <w:pPr>
              <w:spacing w:after="0" w:line="240" w:lineRule="auto"/>
              <w:jc w:val="center"/>
              <w:rPr>
                <w:rFonts w:cs="Times New Roman"/>
                <w:szCs w:val="24"/>
              </w:rPr>
            </w:pPr>
            <w:r w:rsidRPr="004306A0">
              <w:rPr>
                <w:rFonts w:cs="Times New Roman"/>
                <w:szCs w:val="24"/>
              </w:rPr>
              <w:t>Two microenvironments</w:t>
            </w:r>
          </w:p>
        </w:tc>
        <w:tc>
          <w:tcPr>
            <w:tcW w:w="1639" w:type="dxa"/>
            <w:vAlign w:val="center"/>
          </w:tcPr>
          <w:p w14:paraId="6C7C7930" w14:textId="77777777" w:rsidR="00F56C38" w:rsidRPr="004306A0" w:rsidRDefault="00163AF0">
            <w:pPr>
              <w:spacing w:after="0" w:line="240" w:lineRule="auto"/>
              <w:jc w:val="center"/>
              <w:rPr>
                <w:rFonts w:cs="Times New Roman"/>
                <w:szCs w:val="24"/>
              </w:rPr>
            </w:pPr>
            <w:r w:rsidRPr="004306A0">
              <w:rPr>
                <w:rFonts w:cs="Times New Roman"/>
                <w:szCs w:val="24"/>
              </w:rPr>
              <w:t>12</w:t>
            </w:r>
          </w:p>
        </w:tc>
      </w:tr>
    </w:tbl>
    <w:p w14:paraId="485326F7" w14:textId="77777777" w:rsidR="00F56C38" w:rsidRPr="004306A0" w:rsidRDefault="00163AF0">
      <w:pPr>
        <w:jc w:val="center"/>
        <w:rPr>
          <w:rFonts w:cs="Times New Roman"/>
          <w:szCs w:val="24"/>
        </w:rPr>
      </w:pPr>
      <w:r w:rsidRPr="004306A0">
        <w:rPr>
          <w:rFonts w:cs="Times New Roman"/>
          <w:noProof/>
          <w:szCs w:val="24"/>
        </w:rPr>
        <w:lastRenderedPageBreak/>
        <w:drawing>
          <wp:inline distT="0" distB="0" distL="0" distR="0" wp14:anchorId="4346350B" wp14:editId="776DC40E">
            <wp:extent cx="5669280" cy="3959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tretch>
                      <a:fillRect/>
                    </a:stretch>
                  </pic:blipFill>
                  <pic:spPr bwMode="auto">
                    <a:xfrm>
                      <a:off x="0" y="0"/>
                      <a:ext cx="5669280" cy="3959225"/>
                    </a:xfrm>
                    <a:prstGeom prst="rect">
                      <a:avLst/>
                    </a:prstGeom>
                    <a:noFill/>
                  </pic:spPr>
                </pic:pic>
              </a:graphicData>
            </a:graphic>
          </wp:inline>
        </w:drawing>
      </w:r>
    </w:p>
    <w:p w14:paraId="390A9C49" w14:textId="77777777" w:rsidR="007C1B1B" w:rsidRPr="004306A0" w:rsidRDefault="00163AF0" w:rsidP="007C1B1B">
      <w:pPr>
        <w:pStyle w:val="Caption"/>
        <w:rPr>
          <w:rFonts w:cs="Times New Roman"/>
          <w:i w:val="0"/>
          <w:iCs/>
          <w:color w:val="auto"/>
          <w:sz w:val="24"/>
          <w:szCs w:val="24"/>
        </w:rPr>
      </w:pPr>
      <w:r w:rsidRPr="004306A0">
        <w:rPr>
          <w:rFonts w:cs="Times New Roman"/>
          <w:i w:val="0"/>
          <w:iCs/>
          <w:color w:val="auto"/>
          <w:sz w:val="24"/>
          <w:szCs w:val="24"/>
        </w:rPr>
        <w:t>Figure 1. Study area showing sampling locations in Eleme Local Government Area, Rivers State, Nigeria</w:t>
      </w:r>
    </w:p>
    <w:p w14:paraId="671A6C17" w14:textId="77777777" w:rsidR="007C1B1B" w:rsidRPr="004306A0" w:rsidRDefault="007C1B1B" w:rsidP="007C1B1B"/>
    <w:p w14:paraId="7BB1AACF" w14:textId="77777777" w:rsidR="00F56C38" w:rsidRPr="004306A0" w:rsidRDefault="00163AF0" w:rsidP="007C1B1B">
      <w:pPr>
        <w:pStyle w:val="Caption"/>
        <w:rPr>
          <w:rFonts w:cs="Times New Roman"/>
          <w:i w:val="0"/>
          <w:iCs/>
          <w:color w:val="auto"/>
          <w:sz w:val="24"/>
          <w:szCs w:val="24"/>
        </w:rPr>
      </w:pPr>
      <w:r w:rsidRPr="004306A0">
        <w:rPr>
          <w:rFonts w:cs="Times New Roman"/>
          <w:i w:val="0"/>
          <w:iCs/>
          <w:color w:val="auto"/>
          <w:sz w:val="24"/>
          <w:szCs w:val="24"/>
        </w:rPr>
        <w:t>Air sampling, extraction and GC-MS determination</w:t>
      </w:r>
    </w:p>
    <w:p w14:paraId="69F2BC16" w14:textId="77777777" w:rsidR="00F56C38" w:rsidRPr="004306A0" w:rsidRDefault="00163AF0" w:rsidP="007C1B1B">
      <w:pPr>
        <w:spacing w:line="480" w:lineRule="auto"/>
        <w:contextualSpacing/>
        <w:jc w:val="both"/>
        <w:rPr>
          <w:rFonts w:cs="Times New Roman"/>
          <w:szCs w:val="24"/>
        </w:rPr>
      </w:pPr>
      <w:r w:rsidRPr="004306A0">
        <w:t>Particulate-bound PAHs were collected using a high-volume air sampling (HVAS, EMS 2000) approach consistent with established ambient air PAH monitoring practice (USEPA, 1999). The high-volume air sampler was operated at a nominal flow rate of 1.13 m³/min for 24 hours, giving a typical sampled air volume of approximately 1,627 m³ per condition. Filters were handled with clean forceps, wrapped, transported to the laboratory and stored under conditions intended to minimise contamination and loss of semi-volatile compounds.</w:t>
      </w:r>
    </w:p>
    <w:p w14:paraId="20267F9F" w14:textId="77777777" w:rsidR="00925010" w:rsidRPr="004306A0" w:rsidRDefault="00925010" w:rsidP="007C1B1B">
      <w:pPr>
        <w:spacing w:line="480" w:lineRule="auto"/>
        <w:contextualSpacing/>
        <w:jc w:val="both"/>
        <w:rPr>
          <w:rFonts w:cs="Times New Roman"/>
          <w:szCs w:val="24"/>
        </w:rPr>
      </w:pPr>
      <w:r w:rsidRPr="004306A0">
        <w:t xml:space="preserve">Before extraction, each filter was allowed to equilibrate to room temperature in a clean laboratory environment. The filter was then cut into small pieces using solvent-rinsed stainless-steel scissors and transferred into a pre-cleaned cellulose extraction thimble. Surrogate recovery standards, </w:t>
      </w:r>
      <w:r w:rsidRPr="004306A0">
        <w:lastRenderedPageBreak/>
        <w:t>including deuterated PAH standards, were added to the filter samples and allowed to equilibrate before extraction.</w:t>
      </w:r>
    </w:p>
    <w:p w14:paraId="7FFAB240" w14:textId="77777777" w:rsidR="00925010" w:rsidRPr="004306A0" w:rsidRDefault="00925010" w:rsidP="007C1B1B">
      <w:pPr>
        <w:spacing w:line="480" w:lineRule="auto"/>
        <w:contextualSpacing/>
        <w:jc w:val="both"/>
        <w:rPr>
          <w:rFonts w:cs="Times New Roman"/>
          <w:szCs w:val="24"/>
        </w:rPr>
      </w:pPr>
      <w:r w:rsidRPr="004306A0">
        <w:t>The PAHs were extracted using 200-250 mL of a 1:1 (v/v) mixture of n-hexane and dichloromethane in a Soxhlet apparatus. Extraction was carried out for 16-24 h under gentle reflux. The extract was allowed to cool and was then passed through pre-cleaned anhydrous sodium sulphate to remove residual moisture. The filtrate was concentrated using a rotary evaporator at 35-40 °C under reduced pressure to approximately 2-5 mL.</w:t>
      </w:r>
    </w:p>
    <w:p w14:paraId="4F9549FE" w14:textId="77777777" w:rsidR="00925010" w:rsidRPr="004306A0" w:rsidRDefault="00925010" w:rsidP="007C1B1B">
      <w:pPr>
        <w:spacing w:line="480" w:lineRule="auto"/>
        <w:contextualSpacing/>
        <w:jc w:val="both"/>
        <w:rPr>
          <w:rFonts w:cs="Times New Roman"/>
          <w:szCs w:val="24"/>
        </w:rPr>
      </w:pPr>
      <w:r w:rsidRPr="004306A0">
        <w:t>The concentrated extract was cleaned up using a glass chromatography column packed with activated silica gel, activated alumina and anhydrous sodium sulphate. The column was preconditioned with n-hexane before the sample extract was loaded. The PAH fraction was eluted with n-</w:t>
      </w:r>
      <w:proofErr w:type="gramStart"/>
      <w:r w:rsidRPr="004306A0">
        <w:t>hexane:dichloromethane</w:t>
      </w:r>
      <w:proofErr w:type="gramEnd"/>
      <w:r w:rsidRPr="004306A0">
        <w:t xml:space="preserve"> (1:1, v/v) at an approximate flow rate of 0.5-1.0 mL min⁻¹. The eluate was further concentrated using rotary evaporation and gentle nitrogen blowdown, solvent-exchanged into n-hexane and adjusted to a final volume of 1.0 mL before GC-MS analysis (USEPA, 1999, 2018; Seo et al., 2009).</w:t>
      </w:r>
    </w:p>
    <w:p w14:paraId="2D448225" w14:textId="77777777" w:rsidR="00F56C38" w:rsidRPr="004306A0" w:rsidRDefault="00163AF0" w:rsidP="007C1B1B">
      <w:pPr>
        <w:spacing w:line="480" w:lineRule="auto"/>
        <w:contextualSpacing/>
        <w:jc w:val="both"/>
        <w:rPr>
          <w:rFonts w:cs="Times New Roman"/>
          <w:szCs w:val="24"/>
        </w:rPr>
      </w:pPr>
      <w:r w:rsidRPr="004306A0">
        <w:t xml:space="preserve">PAH analysis was performed using an Agilent 7890 gas chromatograph coupled to an Agilent 5975C mass selective detector. Separation was achieved on an HP-5MS UI capillary column (30 m × 0.25 mm × 0.25 µm). The injection volume was 1 µL in splitless mode, with the injector temperature set at 300 °C. Helium (99.999%) was used as the carrier gas at 1.0 mL/min. The oven programme began at 60 °C (2 min hold), increased to 230 °C at 8 °C/min (2 min hold), increased to 290 °C at 2 °C/min (2 min hold), and then increased to 300 °C at 5 °C/min (12 min hold). The mass spectrometer operated in electron-impact ionisation mode at 70 eV, with an ion source temperature of 230 °C, quadrupole temperature of 150 °C and transfer-line temperature of 280 °C. Selected-ion monitoring was used for quantification, with a scan range of m/z 50-500 used for </w:t>
      </w:r>
      <w:r w:rsidRPr="004306A0">
        <w:lastRenderedPageBreak/>
        <w:t>tuning and confirmation. The main method-performance and sampling conditions are presented in Table 2.</w:t>
      </w:r>
    </w:p>
    <w:p w14:paraId="38419C5C" w14:textId="77777777" w:rsidR="00F56C38" w:rsidRPr="004306A0" w:rsidRDefault="00163AF0">
      <w:pPr>
        <w:pStyle w:val="Caption"/>
        <w:rPr>
          <w:rFonts w:cs="Times New Roman"/>
          <w:i w:val="0"/>
          <w:iCs/>
          <w:color w:val="auto"/>
          <w:sz w:val="24"/>
          <w:szCs w:val="24"/>
        </w:rPr>
      </w:pPr>
      <w:r w:rsidRPr="004306A0">
        <w:rPr>
          <w:rFonts w:cs="Times New Roman"/>
          <w:i w:val="0"/>
          <w:iCs/>
          <w:color w:val="auto"/>
          <w:sz w:val="24"/>
          <w:szCs w:val="24"/>
        </w:rPr>
        <w:t>Table 2. Method-performance and sampling conditions for PAH determination</w:t>
      </w:r>
    </w:p>
    <w:tbl>
      <w:tblPr>
        <w:tblW w:w="10056" w:type="dxa"/>
        <w:jc w:val="center"/>
        <w:tblBorders>
          <w:top w:val="single" w:sz="4" w:space="0" w:color="auto"/>
          <w:bottom w:val="single" w:sz="4" w:space="0" w:color="auto"/>
        </w:tblBorders>
        <w:tblLayout w:type="fixed"/>
        <w:tblLook w:val="04A0" w:firstRow="1" w:lastRow="0" w:firstColumn="1" w:lastColumn="0" w:noHBand="0" w:noVBand="1"/>
      </w:tblPr>
      <w:tblGrid>
        <w:gridCol w:w="5028"/>
        <w:gridCol w:w="5028"/>
      </w:tblGrid>
      <w:tr w:rsidR="00F56C38" w:rsidRPr="004306A0" w14:paraId="5B9D6019" w14:textId="77777777" w:rsidTr="00A81789">
        <w:trPr>
          <w:trHeight w:val="344"/>
          <w:tblHeader/>
          <w:jc w:val="center"/>
        </w:trPr>
        <w:tc>
          <w:tcPr>
            <w:tcW w:w="5028" w:type="dxa"/>
            <w:tcBorders>
              <w:top w:val="single" w:sz="4" w:space="0" w:color="auto"/>
              <w:bottom w:val="single" w:sz="4" w:space="0" w:color="auto"/>
            </w:tcBorders>
            <w:vAlign w:val="center"/>
          </w:tcPr>
          <w:p w14:paraId="481843DF" w14:textId="77777777" w:rsidR="00F56C38" w:rsidRPr="004306A0" w:rsidRDefault="00163AF0">
            <w:pPr>
              <w:spacing w:after="0" w:line="240" w:lineRule="auto"/>
              <w:jc w:val="center"/>
              <w:rPr>
                <w:rFonts w:cs="Times New Roman"/>
                <w:b/>
                <w:szCs w:val="24"/>
              </w:rPr>
            </w:pPr>
            <w:r w:rsidRPr="004306A0">
              <w:rPr>
                <w:rFonts w:cs="Times New Roman"/>
                <w:b/>
                <w:szCs w:val="24"/>
              </w:rPr>
              <w:t>Parameter</w:t>
            </w:r>
          </w:p>
        </w:tc>
        <w:tc>
          <w:tcPr>
            <w:tcW w:w="5028" w:type="dxa"/>
            <w:tcBorders>
              <w:top w:val="single" w:sz="4" w:space="0" w:color="auto"/>
              <w:bottom w:val="single" w:sz="4" w:space="0" w:color="auto"/>
            </w:tcBorders>
            <w:vAlign w:val="center"/>
          </w:tcPr>
          <w:p w14:paraId="65F0A2AB" w14:textId="77777777" w:rsidR="00F56C38" w:rsidRPr="004306A0" w:rsidRDefault="00163AF0">
            <w:pPr>
              <w:spacing w:after="0" w:line="240" w:lineRule="auto"/>
              <w:jc w:val="center"/>
              <w:rPr>
                <w:rFonts w:cs="Times New Roman"/>
                <w:b/>
                <w:szCs w:val="24"/>
              </w:rPr>
            </w:pPr>
            <w:r w:rsidRPr="004306A0">
              <w:rPr>
                <w:rFonts w:cs="Times New Roman"/>
                <w:b/>
                <w:szCs w:val="24"/>
              </w:rPr>
              <w:t>Value used in method</w:t>
            </w:r>
          </w:p>
        </w:tc>
      </w:tr>
      <w:tr w:rsidR="00F56C38" w:rsidRPr="004306A0" w14:paraId="5BE4D040" w14:textId="77777777" w:rsidTr="00A81789">
        <w:trPr>
          <w:trHeight w:val="332"/>
          <w:jc w:val="center"/>
        </w:trPr>
        <w:tc>
          <w:tcPr>
            <w:tcW w:w="5028" w:type="dxa"/>
            <w:tcBorders>
              <w:top w:val="single" w:sz="4" w:space="0" w:color="auto"/>
            </w:tcBorders>
            <w:vAlign w:val="center"/>
          </w:tcPr>
          <w:p w14:paraId="3F7C8117" w14:textId="77777777" w:rsidR="00F56C38" w:rsidRPr="004306A0" w:rsidRDefault="00163AF0">
            <w:pPr>
              <w:spacing w:after="0" w:line="240" w:lineRule="auto"/>
              <w:jc w:val="center"/>
              <w:rPr>
                <w:rFonts w:cs="Times New Roman"/>
                <w:szCs w:val="24"/>
              </w:rPr>
            </w:pPr>
            <w:r w:rsidRPr="004306A0">
              <w:rPr>
                <w:rFonts w:cs="Times New Roman"/>
                <w:szCs w:val="24"/>
              </w:rPr>
              <w:t>Extraction solvent</w:t>
            </w:r>
          </w:p>
        </w:tc>
        <w:tc>
          <w:tcPr>
            <w:tcW w:w="5028" w:type="dxa"/>
            <w:tcBorders>
              <w:top w:val="single" w:sz="4" w:space="0" w:color="auto"/>
            </w:tcBorders>
            <w:vAlign w:val="center"/>
          </w:tcPr>
          <w:p w14:paraId="26711950" w14:textId="77777777" w:rsidR="00F56C38" w:rsidRPr="004306A0" w:rsidRDefault="00163AF0">
            <w:pPr>
              <w:spacing w:after="0" w:line="240" w:lineRule="auto"/>
              <w:jc w:val="center"/>
              <w:rPr>
                <w:rFonts w:cs="Times New Roman"/>
                <w:szCs w:val="24"/>
              </w:rPr>
            </w:pPr>
            <w:proofErr w:type="gramStart"/>
            <w:r w:rsidRPr="004306A0">
              <w:rPr>
                <w:rFonts w:cs="Times New Roman"/>
                <w:szCs w:val="24"/>
              </w:rPr>
              <w:t>Dichloromethane:n</w:t>
            </w:r>
            <w:proofErr w:type="gramEnd"/>
            <w:r w:rsidRPr="004306A0">
              <w:rPr>
                <w:rFonts w:cs="Times New Roman"/>
                <w:szCs w:val="24"/>
              </w:rPr>
              <w:t>-hexane (1:1 v/v)</w:t>
            </w:r>
          </w:p>
        </w:tc>
      </w:tr>
      <w:tr w:rsidR="00F56C38" w:rsidRPr="004306A0" w14:paraId="7C57B44A" w14:textId="77777777" w:rsidTr="00A81789">
        <w:trPr>
          <w:trHeight w:val="344"/>
          <w:jc w:val="center"/>
        </w:trPr>
        <w:tc>
          <w:tcPr>
            <w:tcW w:w="5028" w:type="dxa"/>
            <w:vAlign w:val="center"/>
          </w:tcPr>
          <w:p w14:paraId="74161E4F" w14:textId="77777777" w:rsidR="00F56C38" w:rsidRPr="004306A0" w:rsidRDefault="00163AF0">
            <w:pPr>
              <w:spacing w:after="0" w:line="240" w:lineRule="auto"/>
              <w:jc w:val="center"/>
              <w:rPr>
                <w:rFonts w:cs="Times New Roman"/>
                <w:szCs w:val="24"/>
              </w:rPr>
            </w:pPr>
            <w:r w:rsidRPr="004306A0">
              <w:rPr>
                <w:rFonts w:cs="Times New Roman"/>
                <w:szCs w:val="24"/>
              </w:rPr>
              <w:t>Solvent volume</w:t>
            </w:r>
          </w:p>
        </w:tc>
        <w:tc>
          <w:tcPr>
            <w:tcW w:w="5028" w:type="dxa"/>
            <w:vAlign w:val="center"/>
          </w:tcPr>
          <w:p w14:paraId="0F95AE98" w14:textId="77777777" w:rsidR="00F56C38" w:rsidRPr="004306A0" w:rsidRDefault="00163AF0">
            <w:pPr>
              <w:spacing w:after="0" w:line="240" w:lineRule="auto"/>
              <w:jc w:val="center"/>
              <w:rPr>
                <w:rFonts w:cs="Times New Roman"/>
                <w:szCs w:val="24"/>
              </w:rPr>
            </w:pPr>
            <w:r w:rsidRPr="004306A0">
              <w:rPr>
                <w:rFonts w:cs="Times New Roman"/>
                <w:szCs w:val="24"/>
              </w:rPr>
              <w:t>200-250 mL</w:t>
            </w:r>
          </w:p>
        </w:tc>
      </w:tr>
      <w:tr w:rsidR="00F56C38" w:rsidRPr="004306A0" w14:paraId="5EF9888D" w14:textId="77777777" w:rsidTr="00A81789">
        <w:trPr>
          <w:trHeight w:val="332"/>
          <w:jc w:val="center"/>
        </w:trPr>
        <w:tc>
          <w:tcPr>
            <w:tcW w:w="5028" w:type="dxa"/>
            <w:vAlign w:val="center"/>
          </w:tcPr>
          <w:p w14:paraId="4BAC6821" w14:textId="77777777" w:rsidR="00F56C38" w:rsidRPr="004306A0" w:rsidRDefault="00163AF0">
            <w:pPr>
              <w:spacing w:after="0" w:line="240" w:lineRule="auto"/>
              <w:jc w:val="center"/>
              <w:rPr>
                <w:rFonts w:cs="Times New Roman"/>
                <w:szCs w:val="24"/>
              </w:rPr>
            </w:pPr>
            <w:r w:rsidRPr="004306A0">
              <w:rPr>
                <w:rFonts w:cs="Times New Roman"/>
                <w:szCs w:val="24"/>
              </w:rPr>
              <w:t>Extraction time</w:t>
            </w:r>
          </w:p>
        </w:tc>
        <w:tc>
          <w:tcPr>
            <w:tcW w:w="5028" w:type="dxa"/>
            <w:vAlign w:val="center"/>
          </w:tcPr>
          <w:p w14:paraId="30238D89" w14:textId="77777777" w:rsidR="00F56C38" w:rsidRPr="004306A0" w:rsidRDefault="00163AF0">
            <w:pPr>
              <w:spacing w:after="0" w:line="240" w:lineRule="auto"/>
              <w:jc w:val="center"/>
              <w:rPr>
                <w:rFonts w:cs="Times New Roman"/>
                <w:szCs w:val="24"/>
              </w:rPr>
            </w:pPr>
            <w:r w:rsidRPr="004306A0">
              <w:rPr>
                <w:rFonts w:cs="Times New Roman"/>
                <w:szCs w:val="24"/>
              </w:rPr>
              <w:t>16-24 h</w:t>
            </w:r>
          </w:p>
        </w:tc>
      </w:tr>
      <w:tr w:rsidR="00F56C38" w:rsidRPr="004306A0" w14:paraId="55939FC8" w14:textId="77777777" w:rsidTr="00A81789">
        <w:trPr>
          <w:trHeight w:val="344"/>
          <w:jc w:val="center"/>
        </w:trPr>
        <w:tc>
          <w:tcPr>
            <w:tcW w:w="5028" w:type="dxa"/>
            <w:vAlign w:val="center"/>
          </w:tcPr>
          <w:p w14:paraId="25F86383" w14:textId="77777777" w:rsidR="00F56C38" w:rsidRPr="004306A0" w:rsidRDefault="00163AF0">
            <w:pPr>
              <w:spacing w:after="0" w:line="240" w:lineRule="auto"/>
              <w:jc w:val="center"/>
              <w:rPr>
                <w:rFonts w:cs="Times New Roman"/>
                <w:szCs w:val="24"/>
              </w:rPr>
            </w:pPr>
            <w:r w:rsidRPr="004306A0">
              <w:rPr>
                <w:rFonts w:cs="Times New Roman"/>
                <w:szCs w:val="24"/>
              </w:rPr>
              <w:t>Rotary evaporation temperature</w:t>
            </w:r>
          </w:p>
        </w:tc>
        <w:tc>
          <w:tcPr>
            <w:tcW w:w="5028" w:type="dxa"/>
            <w:vAlign w:val="center"/>
          </w:tcPr>
          <w:p w14:paraId="450E6DB5" w14:textId="77777777" w:rsidR="00F56C38" w:rsidRPr="004306A0" w:rsidRDefault="00163AF0">
            <w:pPr>
              <w:spacing w:after="0" w:line="240" w:lineRule="auto"/>
              <w:jc w:val="center"/>
              <w:rPr>
                <w:rFonts w:cs="Times New Roman"/>
                <w:szCs w:val="24"/>
              </w:rPr>
            </w:pPr>
            <w:r w:rsidRPr="004306A0">
              <w:rPr>
                <w:rFonts w:cs="Times New Roman"/>
                <w:szCs w:val="24"/>
              </w:rPr>
              <w:t>35-40 °C</w:t>
            </w:r>
          </w:p>
        </w:tc>
      </w:tr>
      <w:tr w:rsidR="00F56C38" w:rsidRPr="004306A0" w14:paraId="0454FC42" w14:textId="77777777" w:rsidTr="00A81789">
        <w:trPr>
          <w:trHeight w:val="344"/>
          <w:jc w:val="center"/>
        </w:trPr>
        <w:tc>
          <w:tcPr>
            <w:tcW w:w="5028" w:type="dxa"/>
            <w:vAlign w:val="center"/>
          </w:tcPr>
          <w:p w14:paraId="1B658C22" w14:textId="77777777" w:rsidR="00F56C38" w:rsidRPr="004306A0" w:rsidRDefault="00163AF0">
            <w:pPr>
              <w:spacing w:after="0" w:line="240" w:lineRule="auto"/>
              <w:jc w:val="center"/>
              <w:rPr>
                <w:rFonts w:cs="Times New Roman"/>
                <w:szCs w:val="24"/>
              </w:rPr>
            </w:pPr>
            <w:r w:rsidRPr="004306A0">
              <w:rPr>
                <w:rFonts w:cs="Times New Roman"/>
                <w:szCs w:val="24"/>
              </w:rPr>
              <w:t>Final extract volume</w:t>
            </w:r>
          </w:p>
        </w:tc>
        <w:tc>
          <w:tcPr>
            <w:tcW w:w="5028" w:type="dxa"/>
            <w:vAlign w:val="center"/>
          </w:tcPr>
          <w:p w14:paraId="21BDAAFA" w14:textId="77777777" w:rsidR="00F56C38" w:rsidRPr="004306A0" w:rsidRDefault="00163AF0">
            <w:pPr>
              <w:spacing w:after="0" w:line="240" w:lineRule="auto"/>
              <w:jc w:val="center"/>
              <w:rPr>
                <w:rFonts w:cs="Times New Roman"/>
                <w:szCs w:val="24"/>
              </w:rPr>
            </w:pPr>
            <w:r w:rsidRPr="004306A0">
              <w:rPr>
                <w:rFonts w:cs="Times New Roman"/>
                <w:szCs w:val="24"/>
              </w:rPr>
              <w:t>1.0 mL</w:t>
            </w:r>
          </w:p>
        </w:tc>
      </w:tr>
      <w:tr w:rsidR="00F56C38" w:rsidRPr="004306A0" w14:paraId="5593F446" w14:textId="77777777" w:rsidTr="00A81789">
        <w:trPr>
          <w:trHeight w:val="332"/>
          <w:jc w:val="center"/>
        </w:trPr>
        <w:tc>
          <w:tcPr>
            <w:tcW w:w="5028" w:type="dxa"/>
            <w:vAlign w:val="center"/>
          </w:tcPr>
          <w:p w14:paraId="4B5E35BC" w14:textId="77777777" w:rsidR="00F56C38" w:rsidRPr="004306A0" w:rsidRDefault="00163AF0">
            <w:pPr>
              <w:spacing w:after="0" w:line="240" w:lineRule="auto"/>
              <w:jc w:val="center"/>
              <w:rPr>
                <w:rFonts w:cs="Times New Roman"/>
                <w:szCs w:val="24"/>
              </w:rPr>
            </w:pPr>
            <w:r w:rsidRPr="004306A0">
              <w:rPr>
                <w:rFonts w:cs="Times New Roman"/>
                <w:szCs w:val="24"/>
              </w:rPr>
              <w:t>Surrogate recovery acceptance range</w:t>
            </w:r>
          </w:p>
        </w:tc>
        <w:tc>
          <w:tcPr>
            <w:tcW w:w="5028" w:type="dxa"/>
            <w:vAlign w:val="center"/>
          </w:tcPr>
          <w:p w14:paraId="78404B41" w14:textId="77777777" w:rsidR="00F56C38" w:rsidRPr="004306A0" w:rsidRDefault="00163AF0">
            <w:pPr>
              <w:spacing w:after="0" w:line="240" w:lineRule="auto"/>
              <w:jc w:val="center"/>
              <w:rPr>
                <w:rFonts w:cs="Times New Roman"/>
                <w:szCs w:val="24"/>
              </w:rPr>
            </w:pPr>
            <w:r w:rsidRPr="004306A0">
              <w:rPr>
                <w:rFonts w:cs="Times New Roman"/>
                <w:szCs w:val="24"/>
              </w:rPr>
              <w:t>70-120%</w:t>
            </w:r>
          </w:p>
        </w:tc>
      </w:tr>
      <w:tr w:rsidR="00F56C38" w:rsidRPr="004306A0" w14:paraId="42222675" w14:textId="77777777" w:rsidTr="00A81789">
        <w:trPr>
          <w:trHeight w:val="344"/>
          <w:jc w:val="center"/>
        </w:trPr>
        <w:tc>
          <w:tcPr>
            <w:tcW w:w="5028" w:type="dxa"/>
            <w:vAlign w:val="center"/>
          </w:tcPr>
          <w:p w14:paraId="280EFE6B" w14:textId="77777777" w:rsidR="00F56C38" w:rsidRPr="004306A0" w:rsidRDefault="00163AF0">
            <w:pPr>
              <w:spacing w:after="0" w:line="240" w:lineRule="auto"/>
              <w:jc w:val="center"/>
              <w:rPr>
                <w:rFonts w:cs="Times New Roman"/>
                <w:szCs w:val="24"/>
              </w:rPr>
            </w:pPr>
            <w:r w:rsidRPr="004306A0">
              <w:rPr>
                <w:rFonts w:cs="Times New Roman"/>
                <w:szCs w:val="24"/>
              </w:rPr>
              <w:t>HVAS nominal flow rate</w:t>
            </w:r>
          </w:p>
        </w:tc>
        <w:tc>
          <w:tcPr>
            <w:tcW w:w="5028" w:type="dxa"/>
            <w:vAlign w:val="center"/>
          </w:tcPr>
          <w:p w14:paraId="6243124E" w14:textId="77777777" w:rsidR="00F56C38" w:rsidRPr="004306A0" w:rsidRDefault="00163AF0">
            <w:pPr>
              <w:spacing w:after="0" w:line="240" w:lineRule="auto"/>
              <w:jc w:val="center"/>
              <w:rPr>
                <w:rFonts w:cs="Times New Roman"/>
                <w:szCs w:val="24"/>
              </w:rPr>
            </w:pPr>
            <w:r w:rsidRPr="004306A0">
              <w:rPr>
                <w:rFonts w:cs="Times New Roman"/>
                <w:szCs w:val="24"/>
              </w:rPr>
              <w:t>1.13 m³/min</w:t>
            </w:r>
          </w:p>
        </w:tc>
      </w:tr>
      <w:tr w:rsidR="00F56C38" w:rsidRPr="004306A0" w14:paraId="226E39F5" w14:textId="77777777" w:rsidTr="00A81789">
        <w:trPr>
          <w:trHeight w:val="332"/>
          <w:jc w:val="center"/>
        </w:trPr>
        <w:tc>
          <w:tcPr>
            <w:tcW w:w="5028" w:type="dxa"/>
            <w:vAlign w:val="center"/>
          </w:tcPr>
          <w:p w14:paraId="332A3477" w14:textId="77777777" w:rsidR="00F56C38" w:rsidRPr="004306A0" w:rsidRDefault="00163AF0">
            <w:pPr>
              <w:spacing w:after="0" w:line="240" w:lineRule="auto"/>
              <w:jc w:val="center"/>
              <w:rPr>
                <w:rFonts w:cs="Times New Roman"/>
                <w:szCs w:val="24"/>
              </w:rPr>
            </w:pPr>
            <w:r w:rsidRPr="004306A0">
              <w:rPr>
                <w:rFonts w:cs="Times New Roman"/>
                <w:szCs w:val="24"/>
              </w:rPr>
              <w:t>Sampling duration</w:t>
            </w:r>
          </w:p>
        </w:tc>
        <w:tc>
          <w:tcPr>
            <w:tcW w:w="5028" w:type="dxa"/>
            <w:vAlign w:val="center"/>
          </w:tcPr>
          <w:p w14:paraId="752B8A86" w14:textId="77777777" w:rsidR="00F56C38" w:rsidRPr="004306A0" w:rsidRDefault="00163AF0">
            <w:pPr>
              <w:spacing w:after="0" w:line="240" w:lineRule="auto"/>
              <w:jc w:val="center"/>
              <w:rPr>
                <w:rFonts w:cs="Times New Roman"/>
                <w:szCs w:val="24"/>
              </w:rPr>
            </w:pPr>
            <w:r w:rsidRPr="004306A0">
              <w:rPr>
                <w:rFonts w:cs="Times New Roman"/>
                <w:szCs w:val="24"/>
              </w:rPr>
              <w:t>24 h</w:t>
            </w:r>
          </w:p>
        </w:tc>
      </w:tr>
      <w:tr w:rsidR="00F56C38" w:rsidRPr="004306A0" w14:paraId="78B3B679" w14:textId="77777777" w:rsidTr="00A81789">
        <w:trPr>
          <w:trHeight w:val="344"/>
          <w:jc w:val="center"/>
        </w:trPr>
        <w:tc>
          <w:tcPr>
            <w:tcW w:w="5028" w:type="dxa"/>
            <w:vAlign w:val="center"/>
          </w:tcPr>
          <w:p w14:paraId="79B22878" w14:textId="77777777" w:rsidR="00F56C38" w:rsidRPr="004306A0" w:rsidRDefault="00163AF0">
            <w:pPr>
              <w:spacing w:after="0" w:line="240" w:lineRule="auto"/>
              <w:jc w:val="center"/>
              <w:rPr>
                <w:rFonts w:cs="Times New Roman"/>
                <w:szCs w:val="24"/>
              </w:rPr>
            </w:pPr>
            <w:r w:rsidRPr="004306A0">
              <w:rPr>
                <w:rFonts w:cs="Times New Roman"/>
                <w:szCs w:val="24"/>
              </w:rPr>
              <w:t>Typical sampled air volume</w:t>
            </w:r>
          </w:p>
        </w:tc>
        <w:tc>
          <w:tcPr>
            <w:tcW w:w="5028" w:type="dxa"/>
            <w:vAlign w:val="center"/>
          </w:tcPr>
          <w:p w14:paraId="42C773D6" w14:textId="77777777" w:rsidR="00F56C38" w:rsidRPr="004306A0" w:rsidRDefault="00163AF0">
            <w:pPr>
              <w:spacing w:after="0" w:line="240" w:lineRule="auto"/>
              <w:jc w:val="center"/>
              <w:rPr>
                <w:rFonts w:cs="Times New Roman"/>
                <w:szCs w:val="24"/>
              </w:rPr>
            </w:pPr>
            <w:r w:rsidRPr="004306A0">
              <w:rPr>
                <w:rFonts w:cs="Times New Roman"/>
                <w:szCs w:val="24"/>
              </w:rPr>
              <w:t>~1,627 m³</w:t>
            </w:r>
          </w:p>
        </w:tc>
      </w:tr>
    </w:tbl>
    <w:p w14:paraId="216C4914" w14:textId="77777777" w:rsidR="00A81789" w:rsidRPr="004306A0" w:rsidRDefault="00A81789">
      <w:pPr>
        <w:jc w:val="both"/>
        <w:rPr>
          <w:rFonts w:cs="Times New Roman"/>
          <w:szCs w:val="24"/>
        </w:rPr>
      </w:pPr>
    </w:p>
    <w:p w14:paraId="523C4753" w14:textId="77777777" w:rsidR="00A81789" w:rsidRPr="004306A0" w:rsidRDefault="00A81789">
      <w:pPr>
        <w:jc w:val="both"/>
        <w:rPr>
          <w:rFonts w:cs="Times New Roman"/>
          <w:b/>
          <w:bCs/>
          <w:szCs w:val="24"/>
        </w:rPr>
      </w:pPr>
      <w:r w:rsidRPr="004306A0">
        <w:rPr>
          <w:rFonts w:cs="Times New Roman"/>
          <w:b/>
          <w:bCs/>
          <w:szCs w:val="24"/>
        </w:rPr>
        <w:t xml:space="preserve">Quality assurance, blank correction and detection limits </w:t>
      </w:r>
    </w:p>
    <w:p w14:paraId="6D892ACB" w14:textId="77777777" w:rsidR="00F56C38" w:rsidRPr="004306A0" w:rsidRDefault="00163AF0" w:rsidP="00A81789">
      <w:pPr>
        <w:spacing w:line="480" w:lineRule="auto"/>
        <w:contextualSpacing/>
        <w:jc w:val="both"/>
        <w:rPr>
          <w:rFonts w:cs="Times New Roman"/>
          <w:szCs w:val="24"/>
        </w:rPr>
      </w:pPr>
      <w:r w:rsidRPr="004306A0">
        <w:t>Quality assurance and quality control were applied throughout sampling, extraction and GC-MS analysis in line with standard analytical expectations for semi-volatile organic compounds in environmental samples (USEPA, 1999, 2018). Calibration curves containing priority PAH standards were prepared at multiple concentration levels. Quantification was based on internal-standard calibration. Surrogate standards were used to evaluate extraction and analytical recovery, and recoveries within 70-120% were considered acceptable for the screening dataset.</w:t>
      </w:r>
    </w:p>
    <w:p w14:paraId="423BA050" w14:textId="77777777" w:rsidR="00F56C38" w:rsidRPr="004306A0" w:rsidRDefault="00163AF0" w:rsidP="00A81789">
      <w:pPr>
        <w:spacing w:line="480" w:lineRule="auto"/>
        <w:contextualSpacing/>
        <w:jc w:val="both"/>
        <w:rPr>
          <w:rFonts w:cs="Times New Roman"/>
          <w:szCs w:val="24"/>
        </w:rPr>
      </w:pPr>
      <w:r w:rsidRPr="004306A0">
        <w:t xml:space="preserve">Field blanks, method blanks, duplicate samples and matrix-spike checks were included with analytical batches to control contamination and analytical drift. Where blank responses were detected, sample concentrations were blank-corrected before final reporting. Relative percent differences between duplicate determinations were maintained below 20%. Limits of detection (LOD) and limits of quantification (LOQ) were determined using signal-to-noise ratios of 3 and 10, respectively. The available method record showed LODs of 0.01-0.06 ng/m³ and LOQs of </w:t>
      </w:r>
      <w:r w:rsidRPr="004306A0">
        <w:lastRenderedPageBreak/>
        <w:t>0.03-0.20 ng/m³ for selected PAHs (Table 3). Results recorded as 0.00 were treated as below LOD and presented as &lt; LOD in the concentration tables, rather than interpreted as true absence.</w:t>
      </w:r>
    </w:p>
    <w:p w14:paraId="0481EC91" w14:textId="77777777" w:rsidR="00F56C38" w:rsidRPr="004306A0" w:rsidRDefault="00163AF0">
      <w:pPr>
        <w:pStyle w:val="Caption"/>
        <w:rPr>
          <w:rFonts w:cs="Times New Roman"/>
          <w:i w:val="0"/>
          <w:iCs/>
          <w:color w:val="auto"/>
          <w:sz w:val="24"/>
          <w:szCs w:val="24"/>
        </w:rPr>
      </w:pPr>
      <w:r w:rsidRPr="004306A0">
        <w:rPr>
          <w:rFonts w:cs="Times New Roman"/>
          <w:i w:val="0"/>
          <w:iCs/>
          <w:color w:val="auto"/>
          <w:sz w:val="24"/>
          <w:szCs w:val="24"/>
        </w:rPr>
        <w:t>Table 3. Method detection and quantification limits for selected PAHs</w:t>
      </w:r>
    </w:p>
    <w:tbl>
      <w:tblPr>
        <w:tblW w:w="9987" w:type="dxa"/>
        <w:jc w:val="center"/>
        <w:tblBorders>
          <w:top w:val="single" w:sz="4" w:space="0" w:color="auto"/>
          <w:bottom w:val="single" w:sz="4" w:space="0" w:color="auto"/>
        </w:tblBorders>
        <w:tblLayout w:type="fixed"/>
        <w:tblLook w:val="04A0" w:firstRow="1" w:lastRow="0" w:firstColumn="1" w:lastColumn="0" w:noHBand="0" w:noVBand="1"/>
      </w:tblPr>
      <w:tblGrid>
        <w:gridCol w:w="3329"/>
        <w:gridCol w:w="3329"/>
        <w:gridCol w:w="3329"/>
      </w:tblGrid>
      <w:tr w:rsidR="00F56C38" w:rsidRPr="004306A0" w14:paraId="7E71B95D" w14:textId="77777777" w:rsidTr="00086C37">
        <w:trPr>
          <w:trHeight w:val="334"/>
          <w:tblHeader/>
          <w:jc w:val="center"/>
        </w:trPr>
        <w:tc>
          <w:tcPr>
            <w:tcW w:w="3329" w:type="dxa"/>
            <w:tcBorders>
              <w:top w:val="single" w:sz="4" w:space="0" w:color="auto"/>
              <w:bottom w:val="single" w:sz="4" w:space="0" w:color="auto"/>
            </w:tcBorders>
            <w:vAlign w:val="center"/>
          </w:tcPr>
          <w:p w14:paraId="075D1F71" w14:textId="77777777" w:rsidR="00F56C38" w:rsidRPr="004306A0" w:rsidRDefault="00163AF0">
            <w:pPr>
              <w:spacing w:after="0" w:line="240" w:lineRule="auto"/>
              <w:jc w:val="center"/>
              <w:rPr>
                <w:rFonts w:cs="Times New Roman"/>
                <w:b/>
                <w:szCs w:val="24"/>
              </w:rPr>
            </w:pPr>
            <w:r w:rsidRPr="004306A0">
              <w:rPr>
                <w:rFonts w:cs="Times New Roman"/>
                <w:b/>
                <w:szCs w:val="24"/>
              </w:rPr>
              <w:t>PAH compound</w:t>
            </w:r>
          </w:p>
        </w:tc>
        <w:tc>
          <w:tcPr>
            <w:tcW w:w="3329" w:type="dxa"/>
            <w:tcBorders>
              <w:top w:val="single" w:sz="4" w:space="0" w:color="auto"/>
              <w:bottom w:val="single" w:sz="4" w:space="0" w:color="auto"/>
            </w:tcBorders>
            <w:vAlign w:val="center"/>
          </w:tcPr>
          <w:p w14:paraId="1A8BDE56" w14:textId="77777777" w:rsidR="00F56C38" w:rsidRPr="004306A0" w:rsidRDefault="00163AF0">
            <w:pPr>
              <w:spacing w:after="0" w:line="240" w:lineRule="auto"/>
              <w:jc w:val="center"/>
              <w:rPr>
                <w:rFonts w:cs="Times New Roman"/>
                <w:b/>
                <w:szCs w:val="24"/>
              </w:rPr>
            </w:pPr>
            <w:r w:rsidRPr="004306A0">
              <w:rPr>
                <w:rFonts w:cs="Times New Roman"/>
                <w:b/>
                <w:szCs w:val="24"/>
              </w:rPr>
              <w:t>LOD (ng/m³)</w:t>
            </w:r>
          </w:p>
        </w:tc>
        <w:tc>
          <w:tcPr>
            <w:tcW w:w="3329" w:type="dxa"/>
            <w:tcBorders>
              <w:top w:val="single" w:sz="4" w:space="0" w:color="auto"/>
              <w:bottom w:val="single" w:sz="4" w:space="0" w:color="auto"/>
            </w:tcBorders>
            <w:vAlign w:val="center"/>
          </w:tcPr>
          <w:p w14:paraId="02DD4A22" w14:textId="77777777" w:rsidR="00F56C38" w:rsidRPr="004306A0" w:rsidRDefault="00163AF0">
            <w:pPr>
              <w:spacing w:after="0" w:line="240" w:lineRule="auto"/>
              <w:jc w:val="center"/>
              <w:rPr>
                <w:rFonts w:cs="Times New Roman"/>
                <w:b/>
                <w:szCs w:val="24"/>
              </w:rPr>
            </w:pPr>
            <w:r w:rsidRPr="004306A0">
              <w:rPr>
                <w:rFonts w:cs="Times New Roman"/>
                <w:b/>
                <w:szCs w:val="24"/>
              </w:rPr>
              <w:t>LOQ (ng/m³)</w:t>
            </w:r>
          </w:p>
        </w:tc>
      </w:tr>
      <w:tr w:rsidR="00F56C38" w:rsidRPr="004306A0" w14:paraId="460F59CC" w14:textId="77777777" w:rsidTr="00086C37">
        <w:trPr>
          <w:trHeight w:val="322"/>
          <w:jc w:val="center"/>
        </w:trPr>
        <w:tc>
          <w:tcPr>
            <w:tcW w:w="3329" w:type="dxa"/>
            <w:tcBorders>
              <w:top w:val="single" w:sz="4" w:space="0" w:color="auto"/>
            </w:tcBorders>
            <w:vAlign w:val="center"/>
          </w:tcPr>
          <w:p w14:paraId="6BE11BC5" w14:textId="77777777" w:rsidR="00F56C38" w:rsidRPr="004306A0" w:rsidRDefault="00163AF0">
            <w:pPr>
              <w:spacing w:after="0" w:line="240" w:lineRule="auto"/>
              <w:jc w:val="center"/>
              <w:rPr>
                <w:rFonts w:cs="Times New Roman"/>
                <w:szCs w:val="24"/>
              </w:rPr>
            </w:pPr>
            <w:r w:rsidRPr="004306A0">
              <w:rPr>
                <w:rFonts w:cs="Times New Roman"/>
                <w:szCs w:val="24"/>
              </w:rPr>
              <w:t>Naphthalene</w:t>
            </w:r>
          </w:p>
        </w:tc>
        <w:tc>
          <w:tcPr>
            <w:tcW w:w="3329" w:type="dxa"/>
            <w:tcBorders>
              <w:top w:val="single" w:sz="4" w:space="0" w:color="auto"/>
            </w:tcBorders>
            <w:vAlign w:val="center"/>
          </w:tcPr>
          <w:p w14:paraId="35F35691" w14:textId="77777777" w:rsidR="00F56C38" w:rsidRPr="004306A0" w:rsidRDefault="00163AF0">
            <w:pPr>
              <w:spacing w:after="0" w:line="240" w:lineRule="auto"/>
              <w:jc w:val="center"/>
              <w:rPr>
                <w:rFonts w:cs="Times New Roman"/>
                <w:szCs w:val="24"/>
              </w:rPr>
            </w:pPr>
            <w:r w:rsidRPr="004306A0">
              <w:rPr>
                <w:rFonts w:cs="Times New Roman"/>
                <w:szCs w:val="24"/>
              </w:rPr>
              <w:t>0.01</w:t>
            </w:r>
          </w:p>
        </w:tc>
        <w:tc>
          <w:tcPr>
            <w:tcW w:w="3329" w:type="dxa"/>
            <w:tcBorders>
              <w:top w:val="single" w:sz="4" w:space="0" w:color="auto"/>
            </w:tcBorders>
            <w:vAlign w:val="center"/>
          </w:tcPr>
          <w:p w14:paraId="534CD835" w14:textId="77777777" w:rsidR="00F56C38" w:rsidRPr="004306A0" w:rsidRDefault="00163AF0">
            <w:pPr>
              <w:spacing w:after="0" w:line="240" w:lineRule="auto"/>
              <w:jc w:val="center"/>
              <w:rPr>
                <w:rFonts w:cs="Times New Roman"/>
                <w:szCs w:val="24"/>
              </w:rPr>
            </w:pPr>
            <w:r w:rsidRPr="004306A0">
              <w:rPr>
                <w:rFonts w:cs="Times New Roman"/>
                <w:szCs w:val="24"/>
              </w:rPr>
              <w:t>0.03</w:t>
            </w:r>
          </w:p>
        </w:tc>
      </w:tr>
      <w:tr w:rsidR="00F56C38" w:rsidRPr="004306A0" w14:paraId="7E27A618" w14:textId="77777777" w:rsidTr="00086C37">
        <w:trPr>
          <w:trHeight w:val="334"/>
          <w:jc w:val="center"/>
        </w:trPr>
        <w:tc>
          <w:tcPr>
            <w:tcW w:w="3329" w:type="dxa"/>
            <w:vAlign w:val="center"/>
          </w:tcPr>
          <w:p w14:paraId="55F4BA34" w14:textId="77777777" w:rsidR="00F56C38" w:rsidRPr="004306A0" w:rsidRDefault="00163AF0">
            <w:pPr>
              <w:spacing w:after="0" w:line="240" w:lineRule="auto"/>
              <w:jc w:val="center"/>
              <w:rPr>
                <w:rFonts w:cs="Times New Roman"/>
                <w:szCs w:val="24"/>
              </w:rPr>
            </w:pPr>
            <w:r w:rsidRPr="004306A0">
              <w:rPr>
                <w:rFonts w:cs="Times New Roman"/>
                <w:szCs w:val="24"/>
              </w:rPr>
              <w:t>Acenaphthylene</w:t>
            </w:r>
          </w:p>
        </w:tc>
        <w:tc>
          <w:tcPr>
            <w:tcW w:w="3329" w:type="dxa"/>
            <w:vAlign w:val="center"/>
          </w:tcPr>
          <w:p w14:paraId="28984797" w14:textId="77777777" w:rsidR="00F56C38" w:rsidRPr="004306A0" w:rsidRDefault="00163AF0">
            <w:pPr>
              <w:spacing w:after="0" w:line="240" w:lineRule="auto"/>
              <w:jc w:val="center"/>
              <w:rPr>
                <w:rFonts w:cs="Times New Roman"/>
                <w:szCs w:val="24"/>
              </w:rPr>
            </w:pPr>
            <w:r w:rsidRPr="004306A0">
              <w:rPr>
                <w:rFonts w:cs="Times New Roman"/>
                <w:szCs w:val="24"/>
              </w:rPr>
              <w:t>0.01</w:t>
            </w:r>
          </w:p>
        </w:tc>
        <w:tc>
          <w:tcPr>
            <w:tcW w:w="3329" w:type="dxa"/>
            <w:vAlign w:val="center"/>
          </w:tcPr>
          <w:p w14:paraId="74FF3881" w14:textId="77777777" w:rsidR="00F56C38" w:rsidRPr="004306A0" w:rsidRDefault="00163AF0">
            <w:pPr>
              <w:spacing w:after="0" w:line="240" w:lineRule="auto"/>
              <w:jc w:val="center"/>
              <w:rPr>
                <w:rFonts w:cs="Times New Roman"/>
                <w:szCs w:val="24"/>
              </w:rPr>
            </w:pPr>
            <w:r w:rsidRPr="004306A0">
              <w:rPr>
                <w:rFonts w:cs="Times New Roman"/>
                <w:szCs w:val="24"/>
              </w:rPr>
              <w:t>0.04</w:t>
            </w:r>
          </w:p>
        </w:tc>
      </w:tr>
      <w:tr w:rsidR="00F56C38" w:rsidRPr="004306A0" w14:paraId="646B3D8E" w14:textId="77777777" w:rsidTr="00086C37">
        <w:trPr>
          <w:trHeight w:val="322"/>
          <w:jc w:val="center"/>
        </w:trPr>
        <w:tc>
          <w:tcPr>
            <w:tcW w:w="3329" w:type="dxa"/>
            <w:vAlign w:val="center"/>
          </w:tcPr>
          <w:p w14:paraId="521BE306" w14:textId="77777777" w:rsidR="00F56C38" w:rsidRPr="004306A0" w:rsidRDefault="00163AF0">
            <w:pPr>
              <w:spacing w:after="0" w:line="240" w:lineRule="auto"/>
              <w:jc w:val="center"/>
              <w:rPr>
                <w:rFonts w:cs="Times New Roman"/>
                <w:szCs w:val="24"/>
              </w:rPr>
            </w:pPr>
            <w:r w:rsidRPr="004306A0">
              <w:rPr>
                <w:rFonts w:cs="Times New Roman"/>
                <w:szCs w:val="24"/>
              </w:rPr>
              <w:t>Fluorene</w:t>
            </w:r>
          </w:p>
        </w:tc>
        <w:tc>
          <w:tcPr>
            <w:tcW w:w="3329" w:type="dxa"/>
            <w:vAlign w:val="center"/>
          </w:tcPr>
          <w:p w14:paraId="12E14436" w14:textId="77777777" w:rsidR="00F56C38" w:rsidRPr="004306A0" w:rsidRDefault="00163AF0">
            <w:pPr>
              <w:spacing w:after="0" w:line="240" w:lineRule="auto"/>
              <w:jc w:val="center"/>
              <w:rPr>
                <w:rFonts w:cs="Times New Roman"/>
                <w:szCs w:val="24"/>
              </w:rPr>
            </w:pPr>
            <w:r w:rsidRPr="004306A0">
              <w:rPr>
                <w:rFonts w:cs="Times New Roman"/>
                <w:szCs w:val="24"/>
              </w:rPr>
              <w:t>0.02</w:t>
            </w:r>
          </w:p>
        </w:tc>
        <w:tc>
          <w:tcPr>
            <w:tcW w:w="3329" w:type="dxa"/>
            <w:vAlign w:val="center"/>
          </w:tcPr>
          <w:p w14:paraId="670275BA" w14:textId="77777777" w:rsidR="00F56C38" w:rsidRPr="004306A0" w:rsidRDefault="00163AF0">
            <w:pPr>
              <w:spacing w:after="0" w:line="240" w:lineRule="auto"/>
              <w:jc w:val="center"/>
              <w:rPr>
                <w:rFonts w:cs="Times New Roman"/>
                <w:szCs w:val="24"/>
              </w:rPr>
            </w:pPr>
            <w:r w:rsidRPr="004306A0">
              <w:rPr>
                <w:rFonts w:cs="Times New Roman"/>
                <w:szCs w:val="24"/>
              </w:rPr>
              <w:t>0.06</w:t>
            </w:r>
          </w:p>
        </w:tc>
      </w:tr>
      <w:tr w:rsidR="00F56C38" w:rsidRPr="004306A0" w14:paraId="30629E6C" w14:textId="77777777" w:rsidTr="00086C37">
        <w:trPr>
          <w:trHeight w:val="334"/>
          <w:jc w:val="center"/>
        </w:trPr>
        <w:tc>
          <w:tcPr>
            <w:tcW w:w="3329" w:type="dxa"/>
            <w:vAlign w:val="center"/>
          </w:tcPr>
          <w:p w14:paraId="01255A64" w14:textId="77777777" w:rsidR="00F56C38" w:rsidRPr="004306A0" w:rsidRDefault="00163AF0">
            <w:pPr>
              <w:spacing w:after="0" w:line="240" w:lineRule="auto"/>
              <w:jc w:val="center"/>
              <w:rPr>
                <w:rFonts w:cs="Times New Roman"/>
                <w:szCs w:val="24"/>
              </w:rPr>
            </w:pPr>
            <w:r w:rsidRPr="004306A0">
              <w:rPr>
                <w:rFonts w:cs="Times New Roman"/>
                <w:szCs w:val="24"/>
              </w:rPr>
              <w:t>Phenanthrene</w:t>
            </w:r>
          </w:p>
        </w:tc>
        <w:tc>
          <w:tcPr>
            <w:tcW w:w="3329" w:type="dxa"/>
            <w:vAlign w:val="center"/>
          </w:tcPr>
          <w:p w14:paraId="11094DBA" w14:textId="77777777" w:rsidR="00F56C38" w:rsidRPr="004306A0" w:rsidRDefault="00163AF0">
            <w:pPr>
              <w:spacing w:after="0" w:line="240" w:lineRule="auto"/>
              <w:jc w:val="center"/>
              <w:rPr>
                <w:rFonts w:cs="Times New Roman"/>
                <w:szCs w:val="24"/>
              </w:rPr>
            </w:pPr>
            <w:r w:rsidRPr="004306A0">
              <w:rPr>
                <w:rFonts w:cs="Times New Roman"/>
                <w:szCs w:val="24"/>
              </w:rPr>
              <w:t>0.02</w:t>
            </w:r>
          </w:p>
        </w:tc>
        <w:tc>
          <w:tcPr>
            <w:tcW w:w="3329" w:type="dxa"/>
            <w:vAlign w:val="center"/>
          </w:tcPr>
          <w:p w14:paraId="2CF7902B" w14:textId="77777777" w:rsidR="00F56C38" w:rsidRPr="004306A0" w:rsidRDefault="00163AF0">
            <w:pPr>
              <w:spacing w:after="0" w:line="240" w:lineRule="auto"/>
              <w:jc w:val="center"/>
              <w:rPr>
                <w:rFonts w:cs="Times New Roman"/>
                <w:szCs w:val="24"/>
              </w:rPr>
            </w:pPr>
            <w:r w:rsidRPr="004306A0">
              <w:rPr>
                <w:rFonts w:cs="Times New Roman"/>
                <w:szCs w:val="24"/>
              </w:rPr>
              <w:t>0.07</w:t>
            </w:r>
          </w:p>
        </w:tc>
      </w:tr>
      <w:tr w:rsidR="00F56C38" w:rsidRPr="004306A0" w14:paraId="0CF45F33" w14:textId="77777777" w:rsidTr="00086C37">
        <w:trPr>
          <w:trHeight w:val="334"/>
          <w:jc w:val="center"/>
        </w:trPr>
        <w:tc>
          <w:tcPr>
            <w:tcW w:w="3329" w:type="dxa"/>
            <w:vAlign w:val="center"/>
          </w:tcPr>
          <w:p w14:paraId="52645A6E" w14:textId="77777777" w:rsidR="00F56C38" w:rsidRPr="004306A0" w:rsidRDefault="00163AF0">
            <w:pPr>
              <w:spacing w:after="0" w:line="240" w:lineRule="auto"/>
              <w:jc w:val="center"/>
              <w:rPr>
                <w:rFonts w:cs="Times New Roman"/>
                <w:szCs w:val="24"/>
              </w:rPr>
            </w:pPr>
            <w:r w:rsidRPr="004306A0">
              <w:rPr>
                <w:rFonts w:cs="Times New Roman"/>
                <w:szCs w:val="24"/>
              </w:rPr>
              <w:t>Fluoranthene</w:t>
            </w:r>
          </w:p>
        </w:tc>
        <w:tc>
          <w:tcPr>
            <w:tcW w:w="3329" w:type="dxa"/>
            <w:vAlign w:val="center"/>
          </w:tcPr>
          <w:p w14:paraId="6EEE1133" w14:textId="77777777" w:rsidR="00F56C38" w:rsidRPr="004306A0" w:rsidRDefault="00163AF0">
            <w:pPr>
              <w:spacing w:after="0" w:line="240" w:lineRule="auto"/>
              <w:jc w:val="center"/>
              <w:rPr>
                <w:rFonts w:cs="Times New Roman"/>
                <w:szCs w:val="24"/>
              </w:rPr>
            </w:pPr>
            <w:r w:rsidRPr="004306A0">
              <w:rPr>
                <w:rFonts w:cs="Times New Roman"/>
                <w:szCs w:val="24"/>
              </w:rPr>
              <w:t>0.03</w:t>
            </w:r>
          </w:p>
        </w:tc>
        <w:tc>
          <w:tcPr>
            <w:tcW w:w="3329" w:type="dxa"/>
            <w:vAlign w:val="center"/>
          </w:tcPr>
          <w:p w14:paraId="3E16D4F4" w14:textId="77777777" w:rsidR="00F56C38" w:rsidRPr="004306A0" w:rsidRDefault="00163AF0">
            <w:pPr>
              <w:spacing w:after="0" w:line="240" w:lineRule="auto"/>
              <w:jc w:val="center"/>
              <w:rPr>
                <w:rFonts w:cs="Times New Roman"/>
                <w:szCs w:val="24"/>
              </w:rPr>
            </w:pPr>
            <w:r w:rsidRPr="004306A0">
              <w:rPr>
                <w:rFonts w:cs="Times New Roman"/>
                <w:szCs w:val="24"/>
              </w:rPr>
              <w:t>0.10</w:t>
            </w:r>
          </w:p>
        </w:tc>
      </w:tr>
      <w:tr w:rsidR="00F56C38" w:rsidRPr="004306A0" w14:paraId="590A5ED7" w14:textId="77777777" w:rsidTr="00086C37">
        <w:trPr>
          <w:trHeight w:val="322"/>
          <w:jc w:val="center"/>
        </w:trPr>
        <w:tc>
          <w:tcPr>
            <w:tcW w:w="3329" w:type="dxa"/>
            <w:vAlign w:val="center"/>
          </w:tcPr>
          <w:p w14:paraId="15F4D0BE" w14:textId="77777777" w:rsidR="00F56C38" w:rsidRPr="004306A0" w:rsidRDefault="00163AF0">
            <w:pPr>
              <w:spacing w:after="0" w:line="240" w:lineRule="auto"/>
              <w:jc w:val="center"/>
              <w:rPr>
                <w:rFonts w:cs="Times New Roman"/>
                <w:szCs w:val="24"/>
              </w:rPr>
            </w:pPr>
            <w:r w:rsidRPr="004306A0">
              <w:rPr>
                <w:rFonts w:cs="Times New Roman"/>
                <w:szCs w:val="24"/>
              </w:rPr>
              <w:t>Pyrene</w:t>
            </w:r>
          </w:p>
        </w:tc>
        <w:tc>
          <w:tcPr>
            <w:tcW w:w="3329" w:type="dxa"/>
            <w:vAlign w:val="center"/>
          </w:tcPr>
          <w:p w14:paraId="6BF8B8C0" w14:textId="77777777" w:rsidR="00F56C38" w:rsidRPr="004306A0" w:rsidRDefault="00163AF0">
            <w:pPr>
              <w:spacing w:after="0" w:line="240" w:lineRule="auto"/>
              <w:jc w:val="center"/>
              <w:rPr>
                <w:rFonts w:cs="Times New Roman"/>
                <w:szCs w:val="24"/>
              </w:rPr>
            </w:pPr>
            <w:r w:rsidRPr="004306A0">
              <w:rPr>
                <w:rFonts w:cs="Times New Roman"/>
                <w:szCs w:val="24"/>
              </w:rPr>
              <w:t>0.03</w:t>
            </w:r>
          </w:p>
        </w:tc>
        <w:tc>
          <w:tcPr>
            <w:tcW w:w="3329" w:type="dxa"/>
            <w:vAlign w:val="center"/>
          </w:tcPr>
          <w:p w14:paraId="3FD492A3" w14:textId="77777777" w:rsidR="00F56C38" w:rsidRPr="004306A0" w:rsidRDefault="00163AF0">
            <w:pPr>
              <w:spacing w:after="0" w:line="240" w:lineRule="auto"/>
              <w:jc w:val="center"/>
              <w:rPr>
                <w:rFonts w:cs="Times New Roman"/>
                <w:szCs w:val="24"/>
              </w:rPr>
            </w:pPr>
            <w:r w:rsidRPr="004306A0">
              <w:rPr>
                <w:rFonts w:cs="Times New Roman"/>
                <w:szCs w:val="24"/>
              </w:rPr>
              <w:t>0.10</w:t>
            </w:r>
          </w:p>
        </w:tc>
      </w:tr>
      <w:tr w:rsidR="00F56C38" w:rsidRPr="004306A0" w14:paraId="34BAC8E5" w14:textId="77777777" w:rsidTr="00086C37">
        <w:trPr>
          <w:trHeight w:val="334"/>
          <w:jc w:val="center"/>
        </w:trPr>
        <w:tc>
          <w:tcPr>
            <w:tcW w:w="3329" w:type="dxa"/>
            <w:vAlign w:val="center"/>
          </w:tcPr>
          <w:p w14:paraId="7DE53FF5" w14:textId="77777777" w:rsidR="00F56C38" w:rsidRPr="004306A0" w:rsidRDefault="00163AF0">
            <w:pPr>
              <w:spacing w:after="0" w:line="240" w:lineRule="auto"/>
              <w:jc w:val="center"/>
              <w:rPr>
                <w:rFonts w:cs="Times New Roman"/>
                <w:szCs w:val="24"/>
              </w:rPr>
            </w:pPr>
            <w:r w:rsidRPr="004306A0">
              <w:rPr>
                <w:rFonts w:cs="Times New Roman"/>
                <w:szCs w:val="24"/>
              </w:rPr>
              <w:t>Benzo(a)anthracene</w:t>
            </w:r>
          </w:p>
        </w:tc>
        <w:tc>
          <w:tcPr>
            <w:tcW w:w="3329" w:type="dxa"/>
            <w:vAlign w:val="center"/>
          </w:tcPr>
          <w:p w14:paraId="5ED3A2BF" w14:textId="77777777" w:rsidR="00F56C38" w:rsidRPr="004306A0" w:rsidRDefault="00163AF0">
            <w:pPr>
              <w:spacing w:after="0" w:line="240" w:lineRule="auto"/>
              <w:jc w:val="center"/>
              <w:rPr>
                <w:rFonts w:cs="Times New Roman"/>
                <w:szCs w:val="24"/>
              </w:rPr>
            </w:pPr>
            <w:r w:rsidRPr="004306A0">
              <w:rPr>
                <w:rFonts w:cs="Times New Roman"/>
                <w:szCs w:val="24"/>
              </w:rPr>
              <w:t>0.04</w:t>
            </w:r>
          </w:p>
        </w:tc>
        <w:tc>
          <w:tcPr>
            <w:tcW w:w="3329" w:type="dxa"/>
            <w:vAlign w:val="center"/>
          </w:tcPr>
          <w:p w14:paraId="78176641" w14:textId="77777777" w:rsidR="00F56C38" w:rsidRPr="004306A0" w:rsidRDefault="00163AF0">
            <w:pPr>
              <w:spacing w:after="0" w:line="240" w:lineRule="auto"/>
              <w:jc w:val="center"/>
              <w:rPr>
                <w:rFonts w:cs="Times New Roman"/>
                <w:szCs w:val="24"/>
              </w:rPr>
            </w:pPr>
            <w:r w:rsidRPr="004306A0">
              <w:rPr>
                <w:rFonts w:cs="Times New Roman"/>
                <w:szCs w:val="24"/>
              </w:rPr>
              <w:t>0.12</w:t>
            </w:r>
          </w:p>
        </w:tc>
      </w:tr>
      <w:tr w:rsidR="00F56C38" w:rsidRPr="004306A0" w14:paraId="4CFABBC0" w14:textId="77777777" w:rsidTr="00086C37">
        <w:trPr>
          <w:trHeight w:val="322"/>
          <w:jc w:val="center"/>
        </w:trPr>
        <w:tc>
          <w:tcPr>
            <w:tcW w:w="3329" w:type="dxa"/>
            <w:vAlign w:val="center"/>
          </w:tcPr>
          <w:p w14:paraId="7CB9C7A3" w14:textId="77777777" w:rsidR="00F56C38" w:rsidRPr="004306A0" w:rsidRDefault="00163AF0">
            <w:pPr>
              <w:spacing w:after="0" w:line="240" w:lineRule="auto"/>
              <w:jc w:val="center"/>
              <w:rPr>
                <w:rFonts w:cs="Times New Roman"/>
                <w:szCs w:val="24"/>
              </w:rPr>
            </w:pPr>
            <w:r w:rsidRPr="004306A0">
              <w:rPr>
                <w:rFonts w:cs="Times New Roman"/>
                <w:szCs w:val="24"/>
              </w:rPr>
              <w:t>Chrysene</w:t>
            </w:r>
          </w:p>
        </w:tc>
        <w:tc>
          <w:tcPr>
            <w:tcW w:w="3329" w:type="dxa"/>
            <w:vAlign w:val="center"/>
          </w:tcPr>
          <w:p w14:paraId="7E2CBF3B" w14:textId="77777777" w:rsidR="00F56C38" w:rsidRPr="004306A0" w:rsidRDefault="00163AF0">
            <w:pPr>
              <w:spacing w:after="0" w:line="240" w:lineRule="auto"/>
              <w:jc w:val="center"/>
              <w:rPr>
                <w:rFonts w:cs="Times New Roman"/>
                <w:szCs w:val="24"/>
              </w:rPr>
            </w:pPr>
            <w:r w:rsidRPr="004306A0">
              <w:rPr>
                <w:rFonts w:cs="Times New Roman"/>
                <w:szCs w:val="24"/>
              </w:rPr>
              <w:t>0.04</w:t>
            </w:r>
          </w:p>
        </w:tc>
        <w:tc>
          <w:tcPr>
            <w:tcW w:w="3329" w:type="dxa"/>
            <w:vAlign w:val="center"/>
          </w:tcPr>
          <w:p w14:paraId="15B146ED" w14:textId="77777777" w:rsidR="00F56C38" w:rsidRPr="004306A0" w:rsidRDefault="00163AF0">
            <w:pPr>
              <w:spacing w:after="0" w:line="240" w:lineRule="auto"/>
              <w:jc w:val="center"/>
              <w:rPr>
                <w:rFonts w:cs="Times New Roman"/>
                <w:szCs w:val="24"/>
              </w:rPr>
            </w:pPr>
            <w:r w:rsidRPr="004306A0">
              <w:rPr>
                <w:rFonts w:cs="Times New Roman"/>
                <w:szCs w:val="24"/>
              </w:rPr>
              <w:t>0.12</w:t>
            </w:r>
          </w:p>
        </w:tc>
      </w:tr>
      <w:tr w:rsidR="00F56C38" w:rsidRPr="004306A0" w14:paraId="3F6CA5EF" w14:textId="77777777" w:rsidTr="00086C37">
        <w:trPr>
          <w:trHeight w:val="334"/>
          <w:jc w:val="center"/>
        </w:trPr>
        <w:tc>
          <w:tcPr>
            <w:tcW w:w="3329" w:type="dxa"/>
            <w:vAlign w:val="center"/>
          </w:tcPr>
          <w:p w14:paraId="4A01A3CB" w14:textId="77777777" w:rsidR="00F56C38" w:rsidRPr="004306A0" w:rsidRDefault="00163AF0">
            <w:pPr>
              <w:spacing w:after="0" w:line="240" w:lineRule="auto"/>
              <w:jc w:val="center"/>
              <w:rPr>
                <w:rFonts w:cs="Times New Roman"/>
                <w:szCs w:val="24"/>
              </w:rPr>
            </w:pPr>
            <w:r w:rsidRPr="004306A0">
              <w:rPr>
                <w:rFonts w:cs="Times New Roman"/>
                <w:szCs w:val="24"/>
              </w:rPr>
              <w:t>Benzo(b)fluoranthene</w:t>
            </w:r>
          </w:p>
        </w:tc>
        <w:tc>
          <w:tcPr>
            <w:tcW w:w="3329" w:type="dxa"/>
            <w:vAlign w:val="center"/>
          </w:tcPr>
          <w:p w14:paraId="3BF583EE" w14:textId="77777777" w:rsidR="00F56C38" w:rsidRPr="004306A0" w:rsidRDefault="00163AF0">
            <w:pPr>
              <w:spacing w:after="0" w:line="240" w:lineRule="auto"/>
              <w:jc w:val="center"/>
              <w:rPr>
                <w:rFonts w:cs="Times New Roman"/>
                <w:szCs w:val="24"/>
              </w:rPr>
            </w:pPr>
            <w:r w:rsidRPr="004306A0">
              <w:rPr>
                <w:rFonts w:cs="Times New Roman"/>
                <w:szCs w:val="24"/>
              </w:rPr>
              <w:t>0.05</w:t>
            </w:r>
          </w:p>
        </w:tc>
        <w:tc>
          <w:tcPr>
            <w:tcW w:w="3329" w:type="dxa"/>
            <w:vAlign w:val="center"/>
          </w:tcPr>
          <w:p w14:paraId="54D30B7D" w14:textId="77777777" w:rsidR="00F56C38" w:rsidRPr="004306A0" w:rsidRDefault="00163AF0">
            <w:pPr>
              <w:spacing w:after="0" w:line="240" w:lineRule="auto"/>
              <w:jc w:val="center"/>
              <w:rPr>
                <w:rFonts w:cs="Times New Roman"/>
                <w:szCs w:val="24"/>
              </w:rPr>
            </w:pPr>
            <w:r w:rsidRPr="004306A0">
              <w:rPr>
                <w:rFonts w:cs="Times New Roman"/>
                <w:szCs w:val="24"/>
              </w:rPr>
              <w:t>0.15</w:t>
            </w:r>
          </w:p>
        </w:tc>
      </w:tr>
      <w:tr w:rsidR="00F56C38" w:rsidRPr="004306A0" w14:paraId="5BE5A208" w14:textId="77777777" w:rsidTr="00086C37">
        <w:trPr>
          <w:trHeight w:val="334"/>
          <w:jc w:val="center"/>
        </w:trPr>
        <w:tc>
          <w:tcPr>
            <w:tcW w:w="3329" w:type="dxa"/>
            <w:vAlign w:val="center"/>
          </w:tcPr>
          <w:p w14:paraId="46268E67" w14:textId="77777777" w:rsidR="00F56C38" w:rsidRPr="004306A0" w:rsidRDefault="00163AF0">
            <w:pPr>
              <w:spacing w:after="0" w:line="240" w:lineRule="auto"/>
              <w:jc w:val="center"/>
              <w:rPr>
                <w:rFonts w:cs="Times New Roman"/>
                <w:szCs w:val="24"/>
              </w:rPr>
            </w:pPr>
            <w:r w:rsidRPr="004306A0">
              <w:rPr>
                <w:rFonts w:cs="Times New Roman"/>
                <w:szCs w:val="24"/>
              </w:rPr>
              <w:t>Benzo(k)fluoranthene</w:t>
            </w:r>
          </w:p>
        </w:tc>
        <w:tc>
          <w:tcPr>
            <w:tcW w:w="3329" w:type="dxa"/>
            <w:vAlign w:val="center"/>
          </w:tcPr>
          <w:p w14:paraId="5031D152" w14:textId="77777777" w:rsidR="00F56C38" w:rsidRPr="004306A0" w:rsidRDefault="00163AF0">
            <w:pPr>
              <w:spacing w:after="0" w:line="240" w:lineRule="auto"/>
              <w:jc w:val="center"/>
              <w:rPr>
                <w:rFonts w:cs="Times New Roman"/>
                <w:szCs w:val="24"/>
              </w:rPr>
            </w:pPr>
            <w:r w:rsidRPr="004306A0">
              <w:rPr>
                <w:rFonts w:cs="Times New Roman"/>
                <w:szCs w:val="24"/>
              </w:rPr>
              <w:t>0.05</w:t>
            </w:r>
          </w:p>
        </w:tc>
        <w:tc>
          <w:tcPr>
            <w:tcW w:w="3329" w:type="dxa"/>
            <w:vAlign w:val="center"/>
          </w:tcPr>
          <w:p w14:paraId="223810B5" w14:textId="77777777" w:rsidR="00F56C38" w:rsidRPr="004306A0" w:rsidRDefault="00163AF0">
            <w:pPr>
              <w:spacing w:after="0" w:line="240" w:lineRule="auto"/>
              <w:jc w:val="center"/>
              <w:rPr>
                <w:rFonts w:cs="Times New Roman"/>
                <w:szCs w:val="24"/>
              </w:rPr>
            </w:pPr>
            <w:r w:rsidRPr="004306A0">
              <w:rPr>
                <w:rFonts w:cs="Times New Roman"/>
                <w:szCs w:val="24"/>
              </w:rPr>
              <w:t>0.15</w:t>
            </w:r>
          </w:p>
        </w:tc>
      </w:tr>
      <w:tr w:rsidR="00F56C38" w:rsidRPr="004306A0" w14:paraId="2E4DD8F7" w14:textId="77777777" w:rsidTr="00086C37">
        <w:trPr>
          <w:trHeight w:val="322"/>
          <w:jc w:val="center"/>
        </w:trPr>
        <w:tc>
          <w:tcPr>
            <w:tcW w:w="3329" w:type="dxa"/>
            <w:vAlign w:val="center"/>
          </w:tcPr>
          <w:p w14:paraId="1385E22D" w14:textId="77777777" w:rsidR="00F56C38" w:rsidRPr="004306A0" w:rsidRDefault="00163AF0">
            <w:pPr>
              <w:spacing w:after="0" w:line="240" w:lineRule="auto"/>
              <w:jc w:val="center"/>
              <w:rPr>
                <w:rFonts w:cs="Times New Roman"/>
                <w:szCs w:val="24"/>
              </w:rPr>
            </w:pPr>
            <w:r w:rsidRPr="004306A0">
              <w:rPr>
                <w:rFonts w:cs="Times New Roman"/>
                <w:szCs w:val="24"/>
              </w:rPr>
              <w:t>Benzo(a)pyrene</w:t>
            </w:r>
          </w:p>
        </w:tc>
        <w:tc>
          <w:tcPr>
            <w:tcW w:w="3329" w:type="dxa"/>
            <w:vAlign w:val="center"/>
          </w:tcPr>
          <w:p w14:paraId="1242A6F3" w14:textId="77777777" w:rsidR="00F56C38" w:rsidRPr="004306A0" w:rsidRDefault="00163AF0">
            <w:pPr>
              <w:spacing w:after="0" w:line="240" w:lineRule="auto"/>
              <w:jc w:val="center"/>
              <w:rPr>
                <w:rFonts w:cs="Times New Roman"/>
                <w:szCs w:val="24"/>
              </w:rPr>
            </w:pPr>
            <w:r w:rsidRPr="004306A0">
              <w:rPr>
                <w:rFonts w:cs="Times New Roman"/>
                <w:szCs w:val="24"/>
              </w:rPr>
              <w:t>0.05</w:t>
            </w:r>
          </w:p>
        </w:tc>
        <w:tc>
          <w:tcPr>
            <w:tcW w:w="3329" w:type="dxa"/>
            <w:vAlign w:val="center"/>
          </w:tcPr>
          <w:p w14:paraId="220B8083" w14:textId="77777777" w:rsidR="00F56C38" w:rsidRPr="004306A0" w:rsidRDefault="00163AF0">
            <w:pPr>
              <w:spacing w:after="0" w:line="240" w:lineRule="auto"/>
              <w:jc w:val="center"/>
              <w:rPr>
                <w:rFonts w:cs="Times New Roman"/>
                <w:szCs w:val="24"/>
              </w:rPr>
            </w:pPr>
            <w:r w:rsidRPr="004306A0">
              <w:rPr>
                <w:rFonts w:cs="Times New Roman"/>
                <w:szCs w:val="24"/>
              </w:rPr>
              <w:t>0.15</w:t>
            </w:r>
          </w:p>
        </w:tc>
      </w:tr>
      <w:tr w:rsidR="00F56C38" w:rsidRPr="004306A0" w14:paraId="59E7B7A2" w14:textId="77777777" w:rsidTr="00086C37">
        <w:trPr>
          <w:trHeight w:val="334"/>
          <w:jc w:val="center"/>
        </w:trPr>
        <w:tc>
          <w:tcPr>
            <w:tcW w:w="3329" w:type="dxa"/>
            <w:vAlign w:val="center"/>
          </w:tcPr>
          <w:p w14:paraId="7B89381F" w14:textId="77777777" w:rsidR="00F56C38" w:rsidRPr="004306A0" w:rsidRDefault="00163AF0">
            <w:pPr>
              <w:spacing w:after="0" w:line="240" w:lineRule="auto"/>
              <w:jc w:val="center"/>
              <w:rPr>
                <w:rFonts w:cs="Times New Roman"/>
                <w:szCs w:val="24"/>
              </w:rPr>
            </w:pPr>
            <w:r w:rsidRPr="004306A0">
              <w:rPr>
                <w:rFonts w:cs="Times New Roman"/>
                <w:szCs w:val="24"/>
              </w:rPr>
              <w:t>Indeno(1,2,3-</w:t>
            </w:r>
            <w:proofErr w:type="gramStart"/>
            <w:r w:rsidRPr="004306A0">
              <w:rPr>
                <w:rFonts w:cs="Times New Roman"/>
                <w:szCs w:val="24"/>
              </w:rPr>
              <w:t>cd)pyrene</w:t>
            </w:r>
            <w:proofErr w:type="gramEnd"/>
          </w:p>
        </w:tc>
        <w:tc>
          <w:tcPr>
            <w:tcW w:w="3329" w:type="dxa"/>
            <w:vAlign w:val="center"/>
          </w:tcPr>
          <w:p w14:paraId="5A3AE689" w14:textId="77777777" w:rsidR="00F56C38" w:rsidRPr="004306A0" w:rsidRDefault="00163AF0">
            <w:pPr>
              <w:spacing w:after="0" w:line="240" w:lineRule="auto"/>
              <w:jc w:val="center"/>
              <w:rPr>
                <w:rFonts w:cs="Times New Roman"/>
                <w:szCs w:val="24"/>
              </w:rPr>
            </w:pPr>
            <w:r w:rsidRPr="004306A0">
              <w:rPr>
                <w:rFonts w:cs="Times New Roman"/>
                <w:szCs w:val="24"/>
              </w:rPr>
              <w:t>0.06</w:t>
            </w:r>
          </w:p>
        </w:tc>
        <w:tc>
          <w:tcPr>
            <w:tcW w:w="3329" w:type="dxa"/>
            <w:vAlign w:val="center"/>
          </w:tcPr>
          <w:p w14:paraId="20AAF78E" w14:textId="77777777" w:rsidR="00F56C38" w:rsidRPr="004306A0" w:rsidRDefault="00163AF0">
            <w:pPr>
              <w:spacing w:after="0" w:line="240" w:lineRule="auto"/>
              <w:jc w:val="center"/>
              <w:rPr>
                <w:rFonts w:cs="Times New Roman"/>
                <w:szCs w:val="24"/>
              </w:rPr>
            </w:pPr>
            <w:r w:rsidRPr="004306A0">
              <w:rPr>
                <w:rFonts w:cs="Times New Roman"/>
                <w:szCs w:val="24"/>
              </w:rPr>
              <w:t>0.20</w:t>
            </w:r>
          </w:p>
        </w:tc>
      </w:tr>
      <w:tr w:rsidR="00F56C38" w:rsidRPr="004306A0" w14:paraId="15F20C83" w14:textId="77777777" w:rsidTr="00086C37">
        <w:trPr>
          <w:trHeight w:val="322"/>
          <w:jc w:val="center"/>
        </w:trPr>
        <w:tc>
          <w:tcPr>
            <w:tcW w:w="3329" w:type="dxa"/>
            <w:vAlign w:val="center"/>
          </w:tcPr>
          <w:p w14:paraId="297CB2C5" w14:textId="77777777" w:rsidR="00F56C38" w:rsidRPr="004306A0" w:rsidRDefault="00163AF0">
            <w:pPr>
              <w:spacing w:after="0" w:line="240" w:lineRule="auto"/>
              <w:jc w:val="center"/>
              <w:rPr>
                <w:rFonts w:cs="Times New Roman"/>
                <w:szCs w:val="24"/>
              </w:rPr>
            </w:pPr>
            <w:r w:rsidRPr="004306A0">
              <w:rPr>
                <w:rFonts w:cs="Times New Roman"/>
                <w:szCs w:val="24"/>
              </w:rPr>
              <w:t>Dibenz(</w:t>
            </w:r>
            <w:proofErr w:type="spellStart"/>
            <w:proofErr w:type="gramStart"/>
            <w:r w:rsidRPr="004306A0">
              <w:rPr>
                <w:rFonts w:cs="Times New Roman"/>
                <w:szCs w:val="24"/>
              </w:rPr>
              <w:t>a,h</w:t>
            </w:r>
            <w:proofErr w:type="spellEnd"/>
            <w:proofErr w:type="gramEnd"/>
            <w:r w:rsidRPr="004306A0">
              <w:rPr>
                <w:rFonts w:cs="Times New Roman"/>
                <w:szCs w:val="24"/>
              </w:rPr>
              <w:t>)anthracene</w:t>
            </w:r>
          </w:p>
        </w:tc>
        <w:tc>
          <w:tcPr>
            <w:tcW w:w="3329" w:type="dxa"/>
            <w:vAlign w:val="center"/>
          </w:tcPr>
          <w:p w14:paraId="2FE2FF24" w14:textId="77777777" w:rsidR="00F56C38" w:rsidRPr="004306A0" w:rsidRDefault="00163AF0">
            <w:pPr>
              <w:spacing w:after="0" w:line="240" w:lineRule="auto"/>
              <w:jc w:val="center"/>
              <w:rPr>
                <w:rFonts w:cs="Times New Roman"/>
                <w:szCs w:val="24"/>
              </w:rPr>
            </w:pPr>
            <w:r w:rsidRPr="004306A0">
              <w:rPr>
                <w:rFonts w:cs="Times New Roman"/>
                <w:szCs w:val="24"/>
              </w:rPr>
              <w:t>0.06</w:t>
            </w:r>
          </w:p>
        </w:tc>
        <w:tc>
          <w:tcPr>
            <w:tcW w:w="3329" w:type="dxa"/>
            <w:vAlign w:val="center"/>
          </w:tcPr>
          <w:p w14:paraId="3262DE2C" w14:textId="77777777" w:rsidR="00F56C38" w:rsidRPr="004306A0" w:rsidRDefault="00163AF0">
            <w:pPr>
              <w:spacing w:after="0" w:line="240" w:lineRule="auto"/>
              <w:jc w:val="center"/>
              <w:rPr>
                <w:rFonts w:cs="Times New Roman"/>
                <w:szCs w:val="24"/>
              </w:rPr>
            </w:pPr>
            <w:r w:rsidRPr="004306A0">
              <w:rPr>
                <w:rFonts w:cs="Times New Roman"/>
                <w:szCs w:val="24"/>
              </w:rPr>
              <w:t>0.20</w:t>
            </w:r>
          </w:p>
        </w:tc>
      </w:tr>
      <w:tr w:rsidR="00F56C38" w:rsidRPr="004306A0" w14:paraId="3590B53F" w14:textId="77777777" w:rsidTr="00086C37">
        <w:trPr>
          <w:trHeight w:val="334"/>
          <w:jc w:val="center"/>
        </w:trPr>
        <w:tc>
          <w:tcPr>
            <w:tcW w:w="3329" w:type="dxa"/>
            <w:vAlign w:val="center"/>
          </w:tcPr>
          <w:p w14:paraId="01D6BEDB" w14:textId="77777777" w:rsidR="00F56C38" w:rsidRPr="004306A0" w:rsidRDefault="00163AF0">
            <w:pPr>
              <w:spacing w:after="0" w:line="240" w:lineRule="auto"/>
              <w:jc w:val="center"/>
              <w:rPr>
                <w:rFonts w:cs="Times New Roman"/>
                <w:szCs w:val="24"/>
              </w:rPr>
            </w:pPr>
            <w:r w:rsidRPr="004306A0">
              <w:rPr>
                <w:rFonts w:cs="Times New Roman"/>
                <w:szCs w:val="24"/>
              </w:rPr>
              <w:t>Benzo(</w:t>
            </w:r>
            <w:proofErr w:type="spellStart"/>
            <w:proofErr w:type="gramStart"/>
            <w:r w:rsidRPr="004306A0">
              <w:rPr>
                <w:rFonts w:cs="Times New Roman"/>
                <w:szCs w:val="24"/>
              </w:rPr>
              <w:t>g,h</w:t>
            </w:r>
            <w:proofErr w:type="gramEnd"/>
            <w:r w:rsidRPr="004306A0">
              <w:rPr>
                <w:rFonts w:cs="Times New Roman"/>
                <w:szCs w:val="24"/>
              </w:rPr>
              <w:t>,</w:t>
            </w:r>
            <w:proofErr w:type="gramStart"/>
            <w:r w:rsidRPr="004306A0">
              <w:rPr>
                <w:rFonts w:cs="Times New Roman"/>
                <w:szCs w:val="24"/>
              </w:rPr>
              <w:t>i</w:t>
            </w:r>
            <w:proofErr w:type="spellEnd"/>
            <w:r w:rsidRPr="004306A0">
              <w:rPr>
                <w:rFonts w:cs="Times New Roman"/>
                <w:szCs w:val="24"/>
              </w:rPr>
              <w:t>)perylene</w:t>
            </w:r>
            <w:proofErr w:type="gramEnd"/>
          </w:p>
        </w:tc>
        <w:tc>
          <w:tcPr>
            <w:tcW w:w="3329" w:type="dxa"/>
            <w:vAlign w:val="center"/>
          </w:tcPr>
          <w:p w14:paraId="2664930E" w14:textId="77777777" w:rsidR="00F56C38" w:rsidRPr="004306A0" w:rsidRDefault="00163AF0">
            <w:pPr>
              <w:spacing w:after="0" w:line="240" w:lineRule="auto"/>
              <w:jc w:val="center"/>
              <w:rPr>
                <w:rFonts w:cs="Times New Roman"/>
                <w:szCs w:val="24"/>
              </w:rPr>
            </w:pPr>
            <w:r w:rsidRPr="004306A0">
              <w:rPr>
                <w:rFonts w:cs="Times New Roman"/>
                <w:szCs w:val="24"/>
              </w:rPr>
              <w:t>0.06</w:t>
            </w:r>
          </w:p>
        </w:tc>
        <w:tc>
          <w:tcPr>
            <w:tcW w:w="3329" w:type="dxa"/>
            <w:vAlign w:val="center"/>
          </w:tcPr>
          <w:p w14:paraId="7B6A3C1A" w14:textId="77777777" w:rsidR="00F56C38" w:rsidRPr="004306A0" w:rsidRDefault="00163AF0">
            <w:pPr>
              <w:spacing w:after="0" w:line="240" w:lineRule="auto"/>
              <w:jc w:val="center"/>
              <w:rPr>
                <w:rFonts w:cs="Times New Roman"/>
                <w:szCs w:val="24"/>
              </w:rPr>
            </w:pPr>
            <w:r w:rsidRPr="004306A0">
              <w:rPr>
                <w:rFonts w:cs="Times New Roman"/>
                <w:szCs w:val="24"/>
              </w:rPr>
              <w:t>0.20</w:t>
            </w:r>
          </w:p>
        </w:tc>
      </w:tr>
    </w:tbl>
    <w:p w14:paraId="0B85F8D9" w14:textId="77777777" w:rsidR="00086C37" w:rsidRPr="004306A0" w:rsidRDefault="00086C37">
      <w:pPr>
        <w:jc w:val="both"/>
        <w:rPr>
          <w:rFonts w:cs="Times New Roman"/>
          <w:szCs w:val="24"/>
        </w:rPr>
      </w:pPr>
    </w:p>
    <w:p w14:paraId="2DA850D5" w14:textId="77777777" w:rsidR="00086C37" w:rsidRPr="004306A0" w:rsidRDefault="00086C37">
      <w:pPr>
        <w:jc w:val="both"/>
        <w:rPr>
          <w:rFonts w:cs="Times New Roman"/>
          <w:b/>
          <w:bCs/>
          <w:szCs w:val="24"/>
        </w:rPr>
      </w:pPr>
      <w:r w:rsidRPr="004306A0">
        <w:rPr>
          <w:rFonts w:cs="Times New Roman"/>
          <w:b/>
          <w:bCs/>
          <w:szCs w:val="24"/>
        </w:rPr>
        <w:t>Calculation of air concentrations</w:t>
      </w:r>
    </w:p>
    <w:p w14:paraId="2D31D778" w14:textId="77777777" w:rsidR="00F56C38" w:rsidRPr="004306A0" w:rsidRDefault="00163AF0" w:rsidP="00086C37">
      <w:pPr>
        <w:spacing w:line="480" w:lineRule="auto"/>
        <w:contextualSpacing/>
        <w:jc w:val="both"/>
        <w:rPr>
          <w:rFonts w:cs="Times New Roman"/>
          <w:szCs w:val="24"/>
        </w:rPr>
      </w:pPr>
      <w:r w:rsidRPr="004306A0">
        <w:t>PAH concentrations in air were calculated by normalising the mass of each compound detected in the final extract to the total volume of air sampled, following the mass-per-volume reporting principle used in USEPA Compendium Method TO-13A for PAHs in ambient air (USEPA, 1999). Total PAHs were calculated as the arithmetic sum of individual PAH congeners quantified in each condition. Values below LOD were retained as &lt; LOD in the concentration tables rather than converted to true zero values. Equation (1) was used to calculate air concentrations.</w:t>
      </w:r>
    </w:p>
    <w:p w14:paraId="6C23D322" w14:textId="77777777" w:rsidR="00F56C38" w:rsidRPr="004306A0" w:rsidRDefault="00163AF0" w:rsidP="00086C37">
      <w:pPr>
        <w:spacing w:line="480" w:lineRule="auto"/>
        <w:ind w:firstLine="720"/>
        <w:contextualSpacing/>
        <w:jc w:val="both"/>
        <w:rPr>
          <w:rFonts w:cs="Times New Roman"/>
          <w:iCs/>
          <w:szCs w:val="24"/>
        </w:rPr>
      </w:pPr>
      <w:proofErr w:type="spellStart"/>
      <w:r w:rsidRPr="004306A0">
        <w:rPr>
          <w:rFonts w:cs="Times New Roman"/>
          <w:iCs/>
          <w:szCs w:val="24"/>
        </w:rPr>
        <w:t>C</w:t>
      </w:r>
      <w:r w:rsidRPr="004306A0">
        <w:rPr>
          <w:rFonts w:cs="Times New Roman"/>
          <w:iCs/>
          <w:szCs w:val="24"/>
          <w:vertAlign w:val="subscript"/>
        </w:rPr>
        <w:t>air</w:t>
      </w:r>
      <w:proofErr w:type="spellEnd"/>
      <w:r w:rsidRPr="004306A0">
        <w:rPr>
          <w:rFonts w:cs="Times New Roman"/>
          <w:iCs/>
          <w:szCs w:val="24"/>
        </w:rPr>
        <w:t xml:space="preserve"> = (</w:t>
      </w:r>
      <w:proofErr w:type="spellStart"/>
      <w:r w:rsidRPr="004306A0">
        <w:rPr>
          <w:rFonts w:cs="Times New Roman"/>
          <w:iCs/>
          <w:szCs w:val="24"/>
        </w:rPr>
        <w:t>C</w:t>
      </w:r>
      <w:r w:rsidRPr="004306A0">
        <w:rPr>
          <w:rFonts w:cs="Times New Roman"/>
          <w:iCs/>
          <w:szCs w:val="24"/>
          <w:vertAlign w:val="subscript"/>
        </w:rPr>
        <w:t>ext</w:t>
      </w:r>
      <w:proofErr w:type="spellEnd"/>
      <w:r w:rsidRPr="004306A0">
        <w:rPr>
          <w:rFonts w:cs="Times New Roman"/>
          <w:iCs/>
          <w:szCs w:val="24"/>
        </w:rPr>
        <w:t xml:space="preserve"> × </w:t>
      </w:r>
      <w:proofErr w:type="spellStart"/>
      <w:r w:rsidRPr="004306A0">
        <w:rPr>
          <w:rFonts w:cs="Times New Roman"/>
          <w:iCs/>
          <w:szCs w:val="24"/>
        </w:rPr>
        <w:t>V</w:t>
      </w:r>
      <w:r w:rsidRPr="004306A0">
        <w:rPr>
          <w:rFonts w:cs="Times New Roman"/>
          <w:iCs/>
          <w:szCs w:val="24"/>
          <w:vertAlign w:val="subscript"/>
        </w:rPr>
        <w:t>ext</w:t>
      </w:r>
      <w:proofErr w:type="spellEnd"/>
      <w:r w:rsidRPr="004306A0">
        <w:rPr>
          <w:rFonts w:cs="Times New Roman"/>
          <w:iCs/>
          <w:szCs w:val="24"/>
        </w:rPr>
        <w:t xml:space="preserve">) / </w:t>
      </w:r>
      <w:proofErr w:type="spellStart"/>
      <w:r w:rsidRPr="004306A0">
        <w:rPr>
          <w:rFonts w:cs="Times New Roman"/>
          <w:iCs/>
          <w:szCs w:val="24"/>
        </w:rPr>
        <w:t>V</w:t>
      </w:r>
      <w:r w:rsidRPr="004306A0">
        <w:rPr>
          <w:rFonts w:cs="Times New Roman"/>
          <w:iCs/>
          <w:szCs w:val="24"/>
          <w:vertAlign w:val="subscript"/>
        </w:rPr>
        <w:t>air</w:t>
      </w:r>
      <w:proofErr w:type="spellEnd"/>
      <w:r w:rsidR="00F07898" w:rsidRPr="004306A0">
        <w:rPr>
          <w:rFonts w:cs="Times New Roman"/>
          <w:iCs/>
          <w:szCs w:val="24"/>
          <w:vertAlign w:val="subscript"/>
        </w:rPr>
        <w:tab/>
      </w:r>
      <w:r w:rsidR="00F07898" w:rsidRPr="004306A0">
        <w:rPr>
          <w:rFonts w:cs="Times New Roman"/>
          <w:iCs/>
          <w:szCs w:val="24"/>
          <w:vertAlign w:val="subscript"/>
        </w:rPr>
        <w:tab/>
      </w:r>
      <w:r w:rsidR="00F07898" w:rsidRPr="004306A0">
        <w:rPr>
          <w:rFonts w:cs="Times New Roman"/>
          <w:iCs/>
          <w:szCs w:val="24"/>
          <w:vertAlign w:val="subscript"/>
        </w:rPr>
        <w:tab/>
      </w:r>
      <w:r w:rsidR="00F07898" w:rsidRPr="004306A0">
        <w:rPr>
          <w:rFonts w:cs="Times New Roman"/>
          <w:iCs/>
          <w:szCs w:val="24"/>
          <w:vertAlign w:val="subscript"/>
        </w:rPr>
        <w:tab/>
      </w:r>
      <w:r w:rsidR="00F07898" w:rsidRPr="004306A0">
        <w:rPr>
          <w:rFonts w:cs="Times New Roman"/>
          <w:iCs/>
          <w:szCs w:val="24"/>
          <w:vertAlign w:val="subscript"/>
        </w:rPr>
        <w:tab/>
      </w:r>
      <w:r w:rsidR="00F07898" w:rsidRPr="004306A0">
        <w:rPr>
          <w:rFonts w:cs="Times New Roman"/>
          <w:iCs/>
          <w:szCs w:val="24"/>
          <w:vertAlign w:val="subscript"/>
        </w:rPr>
        <w:tab/>
      </w:r>
      <w:r w:rsidR="00F07898" w:rsidRPr="004306A0">
        <w:rPr>
          <w:rFonts w:cs="Times New Roman"/>
          <w:iCs/>
          <w:szCs w:val="24"/>
          <w:vertAlign w:val="subscript"/>
        </w:rPr>
        <w:tab/>
      </w:r>
      <w:r w:rsidR="00F07898" w:rsidRPr="004306A0">
        <w:rPr>
          <w:rFonts w:cs="Times New Roman"/>
          <w:iCs/>
          <w:szCs w:val="24"/>
          <w:vertAlign w:val="subscript"/>
        </w:rPr>
        <w:tab/>
      </w:r>
      <w:r w:rsidR="00F07898" w:rsidRPr="004306A0">
        <w:rPr>
          <w:rFonts w:cs="Times New Roman"/>
          <w:iCs/>
          <w:szCs w:val="24"/>
        </w:rPr>
        <w:t>(1)</w:t>
      </w:r>
    </w:p>
    <w:p w14:paraId="3567B690" w14:textId="77777777" w:rsidR="00086C37" w:rsidRPr="004306A0" w:rsidRDefault="00163AF0" w:rsidP="00086C37">
      <w:pPr>
        <w:spacing w:line="480" w:lineRule="auto"/>
        <w:contextualSpacing/>
        <w:jc w:val="both"/>
        <w:rPr>
          <w:rFonts w:cs="Times New Roman"/>
          <w:szCs w:val="24"/>
        </w:rPr>
      </w:pPr>
      <w:r w:rsidRPr="004306A0">
        <w:rPr>
          <w:rFonts w:cs="Times New Roman"/>
          <w:szCs w:val="24"/>
        </w:rPr>
        <w:t xml:space="preserve">where </w:t>
      </w:r>
      <w:proofErr w:type="spellStart"/>
      <w:r w:rsidRPr="004306A0">
        <w:rPr>
          <w:rFonts w:cs="Times New Roman"/>
          <w:szCs w:val="24"/>
        </w:rPr>
        <w:t>C</w:t>
      </w:r>
      <w:r w:rsidRPr="004306A0">
        <w:rPr>
          <w:rFonts w:cs="Times New Roman"/>
          <w:szCs w:val="24"/>
          <w:vertAlign w:val="subscript"/>
        </w:rPr>
        <w:t>air</w:t>
      </w:r>
      <w:proofErr w:type="spellEnd"/>
      <w:r w:rsidRPr="004306A0">
        <w:rPr>
          <w:rFonts w:cs="Times New Roman"/>
          <w:szCs w:val="24"/>
        </w:rPr>
        <w:t xml:space="preserve"> is the PAH concentration in air, </w:t>
      </w:r>
      <w:proofErr w:type="spellStart"/>
      <w:r w:rsidRPr="004306A0">
        <w:rPr>
          <w:rFonts w:cs="Times New Roman"/>
          <w:szCs w:val="24"/>
        </w:rPr>
        <w:t>C</w:t>
      </w:r>
      <w:r w:rsidRPr="004306A0">
        <w:rPr>
          <w:rFonts w:cs="Times New Roman"/>
          <w:szCs w:val="24"/>
          <w:vertAlign w:val="subscript"/>
        </w:rPr>
        <w:t>ext</w:t>
      </w:r>
      <w:proofErr w:type="spellEnd"/>
      <w:r w:rsidRPr="004306A0">
        <w:rPr>
          <w:rFonts w:cs="Times New Roman"/>
          <w:szCs w:val="24"/>
        </w:rPr>
        <w:t xml:space="preserve"> is the GC-MS concentration in the final extract, </w:t>
      </w:r>
      <w:proofErr w:type="spellStart"/>
      <w:r w:rsidRPr="004306A0">
        <w:rPr>
          <w:rFonts w:cs="Times New Roman"/>
          <w:szCs w:val="24"/>
        </w:rPr>
        <w:t>V</w:t>
      </w:r>
      <w:r w:rsidRPr="004306A0">
        <w:rPr>
          <w:rFonts w:cs="Times New Roman"/>
          <w:szCs w:val="24"/>
          <w:vertAlign w:val="subscript"/>
        </w:rPr>
        <w:t>ext</w:t>
      </w:r>
      <w:proofErr w:type="spellEnd"/>
      <w:r w:rsidRPr="004306A0">
        <w:rPr>
          <w:rFonts w:cs="Times New Roman"/>
          <w:szCs w:val="24"/>
        </w:rPr>
        <w:t xml:space="preserve"> is the final extract volume, and </w:t>
      </w:r>
      <w:proofErr w:type="spellStart"/>
      <w:r w:rsidRPr="004306A0">
        <w:rPr>
          <w:rFonts w:cs="Times New Roman"/>
          <w:szCs w:val="24"/>
        </w:rPr>
        <w:t>V</w:t>
      </w:r>
      <w:r w:rsidRPr="004306A0">
        <w:rPr>
          <w:rFonts w:cs="Times New Roman"/>
          <w:szCs w:val="24"/>
          <w:vertAlign w:val="subscript"/>
        </w:rPr>
        <w:t>air</w:t>
      </w:r>
      <w:proofErr w:type="spellEnd"/>
      <w:r w:rsidRPr="004306A0">
        <w:rPr>
          <w:rFonts w:cs="Times New Roman"/>
          <w:szCs w:val="24"/>
        </w:rPr>
        <w:t xml:space="preserve"> is the total volume of air sampled.</w:t>
      </w:r>
    </w:p>
    <w:p w14:paraId="66D38BDA" w14:textId="77777777" w:rsidR="00086C37" w:rsidRPr="004306A0" w:rsidRDefault="00086C37" w:rsidP="00086C37">
      <w:pPr>
        <w:spacing w:line="480" w:lineRule="auto"/>
        <w:contextualSpacing/>
        <w:jc w:val="both"/>
        <w:rPr>
          <w:rFonts w:cs="Times New Roman"/>
          <w:szCs w:val="24"/>
        </w:rPr>
      </w:pPr>
    </w:p>
    <w:p w14:paraId="5CA9065B" w14:textId="77777777" w:rsidR="00F56C38" w:rsidRPr="004306A0" w:rsidRDefault="00163AF0" w:rsidP="00086C37">
      <w:pPr>
        <w:spacing w:line="480" w:lineRule="auto"/>
        <w:contextualSpacing/>
        <w:jc w:val="both"/>
        <w:rPr>
          <w:rFonts w:cs="Times New Roman"/>
          <w:b/>
          <w:bCs/>
          <w:szCs w:val="24"/>
        </w:rPr>
      </w:pPr>
      <w:r w:rsidRPr="004306A0">
        <w:rPr>
          <w:rFonts w:cs="Times New Roman"/>
          <w:b/>
          <w:bCs/>
          <w:szCs w:val="24"/>
        </w:rPr>
        <w:lastRenderedPageBreak/>
        <w:t>Inhalation health</w:t>
      </w:r>
      <w:r w:rsidR="00086C37" w:rsidRPr="004306A0">
        <w:rPr>
          <w:rFonts w:cs="Times New Roman"/>
          <w:b/>
          <w:bCs/>
          <w:szCs w:val="24"/>
        </w:rPr>
        <w:t xml:space="preserve"> </w:t>
      </w:r>
      <w:r w:rsidRPr="004306A0">
        <w:rPr>
          <w:rFonts w:cs="Times New Roman"/>
          <w:b/>
          <w:bCs/>
          <w:szCs w:val="24"/>
        </w:rPr>
        <w:t>risk assessment</w:t>
      </w:r>
    </w:p>
    <w:p w14:paraId="5B65BAEE" w14:textId="77777777" w:rsidR="00F56C38" w:rsidRPr="004306A0" w:rsidRDefault="00163AF0" w:rsidP="00086C37">
      <w:pPr>
        <w:spacing w:line="480" w:lineRule="auto"/>
        <w:contextualSpacing/>
        <w:jc w:val="both"/>
        <w:rPr>
          <w:rFonts w:cs="Times New Roman"/>
          <w:szCs w:val="24"/>
        </w:rPr>
      </w:pPr>
      <w:r w:rsidRPr="004306A0">
        <w:rPr>
          <w:rFonts w:cs="Times New Roman"/>
          <w:szCs w:val="24"/>
        </w:rPr>
        <w:t>Screening-level inhalation risk was assessed using lifetime average daily dose (LADD) and incremental lifetime carcinogenic risk (ILCR) for adult and child receptor groups. The assessment was designed as a screening tool rather than a clinical or individual exposure diagnosis. Exposure may vary with age, activity pattern, time spent indoors, occupation, household behaviour and proximity to local emission activities.</w:t>
      </w:r>
    </w:p>
    <w:p w14:paraId="68C12F8C" w14:textId="77777777" w:rsidR="00F56C38" w:rsidRPr="004306A0" w:rsidRDefault="00163AF0" w:rsidP="00086C37">
      <w:pPr>
        <w:spacing w:line="480" w:lineRule="auto"/>
        <w:contextualSpacing/>
        <w:jc w:val="both"/>
        <w:rPr>
          <w:rFonts w:cs="Times New Roman"/>
          <w:szCs w:val="24"/>
        </w:rPr>
      </w:pPr>
      <w:r w:rsidRPr="004306A0">
        <w:t>Equations (2)-(5) were adapted from established USEPA human health risk assessment guidance for Superfund baseline risk evaluation, inhalation risk assessment and exposure factor selection, as shown in Table 4 (USEPA, 1989, 2009, 2011). The LADD equation was used to express chronic intake normalised by body weight and averaging time, while ILCR was estimated by multiplying LADD by the relevant cancer slope factor for PAHs with available toxicity values. For each PAH congener with an assigned cancer slope factor, the following equations were applied:</w:t>
      </w:r>
    </w:p>
    <w:p w14:paraId="564A0E10" w14:textId="77777777" w:rsidR="00F56C38" w:rsidRPr="004306A0" w:rsidRDefault="00163AF0" w:rsidP="00086C37">
      <w:pPr>
        <w:spacing w:line="480" w:lineRule="auto"/>
        <w:ind w:firstLine="720"/>
        <w:contextualSpacing/>
        <w:jc w:val="both"/>
        <w:rPr>
          <w:rFonts w:cs="Times New Roman"/>
          <w:iCs/>
          <w:szCs w:val="24"/>
        </w:rPr>
      </w:pPr>
      <w:r w:rsidRPr="004306A0">
        <w:rPr>
          <w:rFonts w:cs="Times New Roman"/>
          <w:iCs/>
          <w:szCs w:val="24"/>
        </w:rPr>
        <w:t xml:space="preserve">LADD = (C × IR × EF × ED × CF) / (BW × </w:t>
      </w:r>
      <w:proofErr w:type="gramStart"/>
      <w:r w:rsidRPr="004306A0">
        <w:rPr>
          <w:rFonts w:cs="Times New Roman"/>
          <w:iCs/>
          <w:szCs w:val="24"/>
        </w:rPr>
        <w:t xml:space="preserve">AT)   </w:t>
      </w:r>
      <w:proofErr w:type="gramEnd"/>
      <w:r w:rsidR="00F07898" w:rsidRPr="004306A0">
        <w:rPr>
          <w:rFonts w:cs="Times New Roman"/>
          <w:iCs/>
          <w:szCs w:val="24"/>
        </w:rPr>
        <w:tab/>
      </w:r>
      <w:r w:rsidR="00F07898" w:rsidRPr="004306A0">
        <w:rPr>
          <w:rFonts w:cs="Times New Roman"/>
          <w:iCs/>
          <w:szCs w:val="24"/>
        </w:rPr>
        <w:tab/>
      </w:r>
      <w:r w:rsidR="00F07898" w:rsidRPr="004306A0">
        <w:rPr>
          <w:rFonts w:cs="Times New Roman"/>
          <w:iCs/>
          <w:szCs w:val="24"/>
        </w:rPr>
        <w:tab/>
      </w:r>
      <w:r w:rsidR="00F07898" w:rsidRPr="004306A0">
        <w:rPr>
          <w:rFonts w:cs="Times New Roman"/>
          <w:iCs/>
          <w:szCs w:val="24"/>
        </w:rPr>
        <w:tab/>
      </w:r>
      <w:r w:rsidR="00F07898" w:rsidRPr="004306A0">
        <w:rPr>
          <w:rFonts w:cs="Times New Roman"/>
          <w:iCs/>
          <w:szCs w:val="24"/>
        </w:rPr>
        <w:tab/>
        <w:t xml:space="preserve"> </w:t>
      </w:r>
      <w:proofErr w:type="gramStart"/>
      <w:r w:rsidR="00F07898" w:rsidRPr="004306A0">
        <w:rPr>
          <w:rFonts w:cs="Times New Roman"/>
          <w:iCs/>
          <w:szCs w:val="24"/>
        </w:rPr>
        <w:t xml:space="preserve">   </w:t>
      </w:r>
      <w:r w:rsidRPr="004306A0">
        <w:rPr>
          <w:rFonts w:cs="Times New Roman"/>
          <w:iCs/>
          <w:szCs w:val="24"/>
        </w:rPr>
        <w:t>(</w:t>
      </w:r>
      <w:proofErr w:type="gramEnd"/>
      <w:r w:rsidR="00F07898" w:rsidRPr="004306A0">
        <w:rPr>
          <w:rFonts w:cs="Times New Roman"/>
          <w:iCs/>
          <w:szCs w:val="24"/>
        </w:rPr>
        <w:t>2</w:t>
      </w:r>
      <w:r w:rsidRPr="004306A0">
        <w:rPr>
          <w:rFonts w:cs="Times New Roman"/>
          <w:iCs/>
          <w:szCs w:val="24"/>
        </w:rPr>
        <w:t>)</w:t>
      </w:r>
    </w:p>
    <w:p w14:paraId="720A4D7B" w14:textId="77777777" w:rsidR="00F56C38" w:rsidRPr="004306A0" w:rsidRDefault="00163AF0" w:rsidP="00086C37">
      <w:pPr>
        <w:spacing w:line="480" w:lineRule="auto"/>
        <w:ind w:firstLine="720"/>
        <w:contextualSpacing/>
        <w:jc w:val="both"/>
        <w:rPr>
          <w:rFonts w:cs="Times New Roman"/>
          <w:iCs/>
          <w:szCs w:val="24"/>
        </w:rPr>
      </w:pPr>
      <w:r w:rsidRPr="004306A0">
        <w:rPr>
          <w:rFonts w:cs="Times New Roman"/>
          <w:iCs/>
          <w:szCs w:val="24"/>
        </w:rPr>
        <w:t xml:space="preserve">ILCR = LADD × SF        </w:t>
      </w:r>
      <w:r w:rsidR="00F07898" w:rsidRPr="004306A0">
        <w:rPr>
          <w:rFonts w:cs="Times New Roman"/>
          <w:iCs/>
          <w:szCs w:val="24"/>
        </w:rPr>
        <w:tab/>
      </w:r>
      <w:r w:rsidR="00F07898" w:rsidRPr="004306A0">
        <w:rPr>
          <w:rFonts w:cs="Times New Roman"/>
          <w:iCs/>
          <w:szCs w:val="24"/>
        </w:rPr>
        <w:tab/>
      </w:r>
      <w:r w:rsidR="00F07898" w:rsidRPr="004306A0">
        <w:rPr>
          <w:rFonts w:cs="Times New Roman"/>
          <w:iCs/>
          <w:szCs w:val="24"/>
        </w:rPr>
        <w:tab/>
      </w:r>
      <w:r w:rsidR="00F07898" w:rsidRPr="004306A0">
        <w:rPr>
          <w:rFonts w:cs="Times New Roman"/>
          <w:iCs/>
          <w:szCs w:val="24"/>
        </w:rPr>
        <w:tab/>
      </w:r>
      <w:r w:rsidR="00F07898" w:rsidRPr="004306A0">
        <w:rPr>
          <w:rFonts w:cs="Times New Roman"/>
          <w:iCs/>
          <w:szCs w:val="24"/>
        </w:rPr>
        <w:tab/>
      </w:r>
      <w:r w:rsidR="00F07898" w:rsidRPr="004306A0">
        <w:rPr>
          <w:rFonts w:cs="Times New Roman"/>
          <w:iCs/>
          <w:szCs w:val="24"/>
        </w:rPr>
        <w:tab/>
      </w:r>
      <w:r w:rsidR="00F07898" w:rsidRPr="004306A0">
        <w:rPr>
          <w:rFonts w:cs="Times New Roman"/>
          <w:iCs/>
          <w:szCs w:val="24"/>
        </w:rPr>
        <w:tab/>
      </w:r>
      <w:r w:rsidR="00F07898" w:rsidRPr="004306A0">
        <w:rPr>
          <w:rFonts w:cs="Times New Roman"/>
          <w:iCs/>
          <w:szCs w:val="24"/>
        </w:rPr>
        <w:tab/>
        <w:t xml:space="preserve"> </w:t>
      </w:r>
      <w:proofErr w:type="gramStart"/>
      <w:r w:rsidR="00F07898" w:rsidRPr="004306A0">
        <w:rPr>
          <w:rFonts w:cs="Times New Roman"/>
          <w:iCs/>
          <w:szCs w:val="24"/>
        </w:rPr>
        <w:t xml:space="preserve">   </w:t>
      </w:r>
      <w:r w:rsidRPr="004306A0">
        <w:rPr>
          <w:rFonts w:cs="Times New Roman"/>
          <w:iCs/>
          <w:szCs w:val="24"/>
        </w:rPr>
        <w:t>(</w:t>
      </w:r>
      <w:proofErr w:type="gramEnd"/>
      <w:r w:rsidR="00F07898" w:rsidRPr="004306A0">
        <w:rPr>
          <w:rFonts w:cs="Times New Roman"/>
          <w:iCs/>
          <w:szCs w:val="24"/>
        </w:rPr>
        <w:t>3</w:t>
      </w:r>
      <w:r w:rsidRPr="004306A0">
        <w:rPr>
          <w:rFonts w:cs="Times New Roman"/>
          <w:iCs/>
          <w:szCs w:val="24"/>
        </w:rPr>
        <w:t>)</w:t>
      </w:r>
    </w:p>
    <w:p w14:paraId="104B6771" w14:textId="77777777" w:rsidR="00F56C38" w:rsidRPr="004306A0" w:rsidRDefault="00163AF0" w:rsidP="00086C37">
      <w:pPr>
        <w:spacing w:line="480" w:lineRule="auto"/>
        <w:ind w:firstLine="720"/>
        <w:contextualSpacing/>
        <w:jc w:val="both"/>
        <w:rPr>
          <w:rFonts w:cs="Times New Roman"/>
          <w:szCs w:val="24"/>
        </w:rPr>
      </w:pPr>
      <w:r w:rsidRPr="004306A0">
        <w:rPr>
          <w:rFonts w:cs="Times New Roman"/>
          <w:szCs w:val="24"/>
        </w:rPr>
        <w:t xml:space="preserve">ΣLADD = LADD₁ + LADD₂ + LADD₃ + … + LADDₙ       </w:t>
      </w:r>
      <w:r w:rsidR="00F07898" w:rsidRPr="004306A0">
        <w:rPr>
          <w:rFonts w:cs="Times New Roman"/>
          <w:szCs w:val="24"/>
        </w:rPr>
        <w:tab/>
      </w:r>
      <w:r w:rsidR="00F07898" w:rsidRPr="004306A0">
        <w:rPr>
          <w:rFonts w:cs="Times New Roman"/>
          <w:szCs w:val="24"/>
        </w:rPr>
        <w:tab/>
      </w:r>
      <w:r w:rsidR="00F07898" w:rsidRPr="004306A0">
        <w:rPr>
          <w:rFonts w:cs="Times New Roman"/>
          <w:szCs w:val="24"/>
        </w:rPr>
        <w:tab/>
      </w:r>
      <w:r w:rsidR="00F07898" w:rsidRPr="004306A0">
        <w:rPr>
          <w:rFonts w:cs="Times New Roman"/>
          <w:szCs w:val="24"/>
        </w:rPr>
        <w:tab/>
        <w:t xml:space="preserve"> </w:t>
      </w:r>
      <w:proofErr w:type="gramStart"/>
      <w:r w:rsidR="00F07898" w:rsidRPr="004306A0">
        <w:rPr>
          <w:rFonts w:cs="Times New Roman"/>
          <w:szCs w:val="24"/>
        </w:rPr>
        <w:t xml:space="preserve">  </w:t>
      </w:r>
      <w:r w:rsidRPr="004306A0">
        <w:rPr>
          <w:rFonts w:cs="Times New Roman"/>
          <w:szCs w:val="24"/>
        </w:rPr>
        <w:t xml:space="preserve"> (</w:t>
      </w:r>
      <w:proofErr w:type="gramEnd"/>
      <w:r w:rsidR="00F07898" w:rsidRPr="004306A0">
        <w:rPr>
          <w:rFonts w:cs="Times New Roman"/>
          <w:szCs w:val="24"/>
        </w:rPr>
        <w:t>4</w:t>
      </w:r>
      <w:r w:rsidRPr="004306A0">
        <w:rPr>
          <w:rFonts w:cs="Times New Roman"/>
          <w:szCs w:val="24"/>
        </w:rPr>
        <w:t>)</w:t>
      </w:r>
    </w:p>
    <w:p w14:paraId="37CC01FD" w14:textId="77777777" w:rsidR="00F56C38" w:rsidRPr="004306A0" w:rsidRDefault="00163AF0" w:rsidP="00086C37">
      <w:pPr>
        <w:spacing w:line="480" w:lineRule="auto"/>
        <w:ind w:firstLine="720"/>
        <w:contextualSpacing/>
        <w:jc w:val="both"/>
        <w:rPr>
          <w:rFonts w:cs="Times New Roman"/>
          <w:szCs w:val="24"/>
        </w:rPr>
      </w:pPr>
      <w:r w:rsidRPr="004306A0">
        <w:rPr>
          <w:rFonts w:cs="Times New Roman"/>
          <w:szCs w:val="24"/>
        </w:rPr>
        <w:t xml:space="preserve">ΣILCR = ILCR₁ + ILCR₂ + ILCR₃ + … + ILCRₙ       </w:t>
      </w:r>
      <w:r w:rsidR="00F07898" w:rsidRPr="004306A0">
        <w:rPr>
          <w:rFonts w:cs="Times New Roman"/>
          <w:szCs w:val="24"/>
        </w:rPr>
        <w:tab/>
      </w:r>
      <w:r w:rsidR="00F07898" w:rsidRPr="004306A0">
        <w:rPr>
          <w:rFonts w:cs="Times New Roman"/>
          <w:szCs w:val="24"/>
        </w:rPr>
        <w:tab/>
      </w:r>
      <w:r w:rsidR="00F07898" w:rsidRPr="004306A0">
        <w:rPr>
          <w:rFonts w:cs="Times New Roman"/>
          <w:szCs w:val="24"/>
        </w:rPr>
        <w:tab/>
      </w:r>
      <w:r w:rsidR="00F07898" w:rsidRPr="004306A0">
        <w:rPr>
          <w:rFonts w:cs="Times New Roman"/>
          <w:szCs w:val="24"/>
        </w:rPr>
        <w:tab/>
        <w:t xml:space="preserve"> </w:t>
      </w:r>
      <w:proofErr w:type="gramStart"/>
      <w:r w:rsidR="00F07898" w:rsidRPr="004306A0">
        <w:rPr>
          <w:rFonts w:cs="Times New Roman"/>
          <w:szCs w:val="24"/>
        </w:rPr>
        <w:t xml:space="preserve">  </w:t>
      </w:r>
      <w:r w:rsidRPr="004306A0">
        <w:rPr>
          <w:rFonts w:cs="Times New Roman"/>
          <w:szCs w:val="24"/>
        </w:rPr>
        <w:t xml:space="preserve"> (</w:t>
      </w:r>
      <w:proofErr w:type="gramEnd"/>
      <w:r w:rsidR="00F07898" w:rsidRPr="004306A0">
        <w:rPr>
          <w:rFonts w:cs="Times New Roman"/>
          <w:szCs w:val="24"/>
        </w:rPr>
        <w:t>5</w:t>
      </w:r>
      <w:r w:rsidRPr="004306A0">
        <w:rPr>
          <w:rFonts w:cs="Times New Roman"/>
          <w:szCs w:val="24"/>
        </w:rPr>
        <w:t>)</w:t>
      </w:r>
    </w:p>
    <w:p w14:paraId="287519A2" w14:textId="77777777" w:rsidR="00F56C38" w:rsidRPr="004306A0" w:rsidRDefault="00163AF0" w:rsidP="00086C37">
      <w:pPr>
        <w:spacing w:line="480" w:lineRule="auto"/>
        <w:contextualSpacing/>
        <w:jc w:val="both"/>
        <w:rPr>
          <w:rFonts w:cs="Times New Roman"/>
          <w:szCs w:val="24"/>
        </w:rPr>
      </w:pPr>
      <w:r w:rsidRPr="004306A0">
        <w:rPr>
          <w:rFonts w:cs="Times New Roman"/>
          <w:szCs w:val="24"/>
        </w:rPr>
        <w:t xml:space="preserve">where C is concentration in air (µg/m³), IR is inhalation rate (m³/day), EF is exposure frequency (days/year), ED is exposure duration (years), CF is the conversion factor from µg to mg (1 × 10⁻³ mg/µg), BW is body weight (kg), AT is averaging time for carcinogenic risk (days), SF is the cancer slope factor ((mg/kg-day)⁻¹), and n is the number of PAH congeners included in the summation. Total LADD and total ILCR were obtained by summing the congener-specific estimates as shown in Equations </w:t>
      </w:r>
      <w:r w:rsidR="00086C37" w:rsidRPr="004306A0">
        <w:rPr>
          <w:rFonts w:cs="Times New Roman"/>
          <w:szCs w:val="24"/>
        </w:rPr>
        <w:t>4</w:t>
      </w:r>
      <w:r w:rsidRPr="004306A0">
        <w:rPr>
          <w:rFonts w:cs="Times New Roman"/>
          <w:szCs w:val="24"/>
        </w:rPr>
        <w:t xml:space="preserve"> and </w:t>
      </w:r>
      <w:r w:rsidR="00086C37" w:rsidRPr="004306A0">
        <w:rPr>
          <w:rFonts w:cs="Times New Roman"/>
          <w:szCs w:val="24"/>
        </w:rPr>
        <w:t>5</w:t>
      </w:r>
      <w:r w:rsidRPr="004306A0">
        <w:rPr>
          <w:rFonts w:cs="Times New Roman"/>
          <w:szCs w:val="24"/>
        </w:rPr>
        <w:t>.</w:t>
      </w:r>
    </w:p>
    <w:p w14:paraId="2F6523B6" w14:textId="77777777" w:rsidR="00F56C38" w:rsidRPr="004306A0" w:rsidRDefault="00163AF0" w:rsidP="00086C37">
      <w:pPr>
        <w:spacing w:line="480" w:lineRule="auto"/>
        <w:contextualSpacing/>
        <w:jc w:val="both"/>
        <w:rPr>
          <w:rFonts w:cs="Times New Roman"/>
          <w:szCs w:val="24"/>
        </w:rPr>
      </w:pPr>
      <w:r w:rsidRPr="004306A0">
        <w:lastRenderedPageBreak/>
        <w:t>The exposure dose and cancer risk equations follow USEPA Risk Assessment Guidance for Superfund, Volume I, Part A (USEPA, 1989), the inhalation risk framework in RAGS Part F (USEPA, 2009) and exposure factor recommendations in the USEPA Exposure Factors Handbook (USEPA, 2011).</w:t>
      </w:r>
    </w:p>
    <w:p w14:paraId="5617B803" w14:textId="77777777" w:rsidR="00F56C38" w:rsidRPr="004306A0" w:rsidRDefault="00163AF0">
      <w:pPr>
        <w:pStyle w:val="Caption"/>
        <w:rPr>
          <w:rFonts w:cs="Times New Roman"/>
          <w:sz w:val="24"/>
          <w:szCs w:val="24"/>
        </w:rPr>
      </w:pPr>
      <w:r w:rsidRPr="004306A0">
        <w:rPr>
          <w:rFonts w:cs="Times New Roman"/>
          <w:i w:val="0"/>
          <w:iCs/>
          <w:color w:val="auto"/>
          <w:sz w:val="24"/>
          <w:szCs w:val="24"/>
        </w:rPr>
        <w:t>Table 4. Exposure and toxicological parameters used for screening inhalation risk</w:t>
      </w:r>
    </w:p>
    <w:tbl>
      <w:tblPr>
        <w:tblW w:w="9746" w:type="dxa"/>
        <w:jc w:val="center"/>
        <w:tblBorders>
          <w:top w:val="single" w:sz="4" w:space="0" w:color="auto"/>
          <w:bottom w:val="single" w:sz="4" w:space="0" w:color="auto"/>
        </w:tblBorders>
        <w:tblLayout w:type="fixed"/>
        <w:tblLook w:val="04A0" w:firstRow="1" w:lastRow="0" w:firstColumn="1" w:lastColumn="0" w:noHBand="0" w:noVBand="1"/>
      </w:tblPr>
      <w:tblGrid>
        <w:gridCol w:w="1949"/>
        <w:gridCol w:w="1949"/>
        <w:gridCol w:w="1949"/>
        <w:gridCol w:w="1949"/>
        <w:gridCol w:w="1950"/>
      </w:tblGrid>
      <w:tr w:rsidR="00F56C38" w:rsidRPr="004306A0" w14:paraId="4BA2D61F" w14:textId="77777777" w:rsidTr="00E12272">
        <w:trPr>
          <w:tblHeader/>
          <w:jc w:val="center"/>
        </w:trPr>
        <w:tc>
          <w:tcPr>
            <w:tcW w:w="1949" w:type="dxa"/>
            <w:tcBorders>
              <w:top w:val="single" w:sz="4" w:space="0" w:color="auto"/>
              <w:bottom w:val="single" w:sz="4" w:space="0" w:color="auto"/>
            </w:tcBorders>
            <w:vAlign w:val="center"/>
          </w:tcPr>
          <w:p w14:paraId="66FB1C16" w14:textId="77777777" w:rsidR="00F56C38" w:rsidRPr="004306A0" w:rsidRDefault="00163AF0">
            <w:pPr>
              <w:rPr>
                <w:rFonts w:cs="Times New Roman"/>
                <w:b/>
                <w:szCs w:val="24"/>
              </w:rPr>
            </w:pPr>
            <w:r w:rsidRPr="004306A0">
              <w:rPr>
                <w:rFonts w:cs="Times New Roman"/>
                <w:b/>
                <w:szCs w:val="24"/>
              </w:rPr>
              <w:t>Parameter</w:t>
            </w:r>
          </w:p>
        </w:tc>
        <w:tc>
          <w:tcPr>
            <w:tcW w:w="1949" w:type="dxa"/>
            <w:tcBorders>
              <w:top w:val="single" w:sz="4" w:space="0" w:color="auto"/>
              <w:bottom w:val="single" w:sz="4" w:space="0" w:color="auto"/>
            </w:tcBorders>
            <w:vAlign w:val="center"/>
          </w:tcPr>
          <w:p w14:paraId="4A715F65" w14:textId="77777777" w:rsidR="00F56C38" w:rsidRPr="004306A0" w:rsidRDefault="00163AF0">
            <w:pPr>
              <w:rPr>
                <w:rFonts w:cs="Times New Roman"/>
                <w:b/>
                <w:szCs w:val="24"/>
              </w:rPr>
            </w:pPr>
            <w:r w:rsidRPr="004306A0">
              <w:rPr>
                <w:rFonts w:cs="Times New Roman"/>
                <w:b/>
                <w:szCs w:val="24"/>
              </w:rPr>
              <w:t>Symbol</w:t>
            </w:r>
          </w:p>
        </w:tc>
        <w:tc>
          <w:tcPr>
            <w:tcW w:w="1949" w:type="dxa"/>
            <w:tcBorders>
              <w:top w:val="single" w:sz="4" w:space="0" w:color="auto"/>
              <w:bottom w:val="single" w:sz="4" w:space="0" w:color="auto"/>
            </w:tcBorders>
            <w:vAlign w:val="center"/>
          </w:tcPr>
          <w:p w14:paraId="7A6572A4" w14:textId="77777777" w:rsidR="00F56C38" w:rsidRPr="004306A0" w:rsidRDefault="00163AF0">
            <w:pPr>
              <w:rPr>
                <w:rFonts w:cs="Times New Roman"/>
                <w:b/>
                <w:szCs w:val="24"/>
              </w:rPr>
            </w:pPr>
            <w:r w:rsidRPr="004306A0">
              <w:rPr>
                <w:rFonts w:cs="Times New Roman"/>
                <w:b/>
                <w:szCs w:val="24"/>
              </w:rPr>
              <w:t>Adult</w:t>
            </w:r>
          </w:p>
        </w:tc>
        <w:tc>
          <w:tcPr>
            <w:tcW w:w="1949" w:type="dxa"/>
            <w:tcBorders>
              <w:top w:val="single" w:sz="4" w:space="0" w:color="auto"/>
              <w:bottom w:val="single" w:sz="4" w:space="0" w:color="auto"/>
            </w:tcBorders>
            <w:vAlign w:val="center"/>
          </w:tcPr>
          <w:p w14:paraId="20EBEC53" w14:textId="77777777" w:rsidR="00F56C38" w:rsidRPr="004306A0" w:rsidRDefault="00163AF0">
            <w:pPr>
              <w:rPr>
                <w:rFonts w:cs="Times New Roman"/>
                <w:b/>
                <w:szCs w:val="24"/>
              </w:rPr>
            </w:pPr>
            <w:r w:rsidRPr="004306A0">
              <w:rPr>
                <w:rFonts w:cs="Times New Roman"/>
                <w:b/>
                <w:szCs w:val="24"/>
              </w:rPr>
              <w:t>Child</w:t>
            </w:r>
          </w:p>
        </w:tc>
        <w:tc>
          <w:tcPr>
            <w:tcW w:w="1950" w:type="dxa"/>
            <w:tcBorders>
              <w:top w:val="single" w:sz="4" w:space="0" w:color="auto"/>
              <w:bottom w:val="single" w:sz="4" w:space="0" w:color="auto"/>
            </w:tcBorders>
            <w:vAlign w:val="center"/>
          </w:tcPr>
          <w:p w14:paraId="15D5F19D" w14:textId="77777777" w:rsidR="00F56C38" w:rsidRPr="004306A0" w:rsidRDefault="00163AF0">
            <w:pPr>
              <w:rPr>
                <w:rFonts w:cs="Times New Roman"/>
                <w:b/>
                <w:szCs w:val="24"/>
              </w:rPr>
            </w:pPr>
            <w:r w:rsidRPr="004306A0">
              <w:rPr>
                <w:rFonts w:cs="Times New Roman"/>
                <w:b/>
                <w:szCs w:val="24"/>
              </w:rPr>
              <w:t>Unit/description</w:t>
            </w:r>
          </w:p>
        </w:tc>
      </w:tr>
      <w:tr w:rsidR="00F56C38" w:rsidRPr="004306A0" w14:paraId="1CB05229" w14:textId="77777777" w:rsidTr="00E12272">
        <w:trPr>
          <w:jc w:val="center"/>
        </w:trPr>
        <w:tc>
          <w:tcPr>
            <w:tcW w:w="1949" w:type="dxa"/>
            <w:tcBorders>
              <w:top w:val="single" w:sz="4" w:space="0" w:color="auto"/>
            </w:tcBorders>
            <w:vAlign w:val="center"/>
          </w:tcPr>
          <w:p w14:paraId="40FD450B" w14:textId="77777777" w:rsidR="00F56C38" w:rsidRPr="004306A0" w:rsidRDefault="00163AF0">
            <w:pPr>
              <w:rPr>
                <w:rFonts w:cs="Times New Roman"/>
                <w:szCs w:val="24"/>
              </w:rPr>
            </w:pPr>
            <w:r w:rsidRPr="004306A0">
              <w:rPr>
                <w:rFonts w:cs="Times New Roman"/>
                <w:szCs w:val="24"/>
              </w:rPr>
              <w:t>Pollutant concentration</w:t>
            </w:r>
          </w:p>
        </w:tc>
        <w:tc>
          <w:tcPr>
            <w:tcW w:w="1949" w:type="dxa"/>
            <w:tcBorders>
              <w:top w:val="single" w:sz="4" w:space="0" w:color="auto"/>
            </w:tcBorders>
            <w:vAlign w:val="center"/>
          </w:tcPr>
          <w:p w14:paraId="4F4E9268" w14:textId="77777777" w:rsidR="00F56C38" w:rsidRPr="004306A0" w:rsidRDefault="00163AF0">
            <w:pPr>
              <w:rPr>
                <w:rFonts w:cs="Times New Roman"/>
                <w:szCs w:val="24"/>
              </w:rPr>
            </w:pPr>
            <w:r w:rsidRPr="004306A0">
              <w:rPr>
                <w:rFonts w:cs="Times New Roman"/>
                <w:szCs w:val="24"/>
              </w:rPr>
              <w:t>C</w:t>
            </w:r>
          </w:p>
        </w:tc>
        <w:tc>
          <w:tcPr>
            <w:tcW w:w="1949" w:type="dxa"/>
            <w:tcBorders>
              <w:top w:val="single" w:sz="4" w:space="0" w:color="auto"/>
            </w:tcBorders>
            <w:vAlign w:val="center"/>
          </w:tcPr>
          <w:p w14:paraId="145390B4" w14:textId="77777777" w:rsidR="00F56C38" w:rsidRPr="004306A0" w:rsidRDefault="00163AF0">
            <w:pPr>
              <w:rPr>
                <w:rFonts w:cs="Times New Roman"/>
                <w:szCs w:val="24"/>
              </w:rPr>
            </w:pPr>
            <w:r w:rsidRPr="004306A0">
              <w:rPr>
                <w:rFonts w:cs="Times New Roman"/>
                <w:szCs w:val="24"/>
              </w:rPr>
              <w:t>Measured</w:t>
            </w:r>
          </w:p>
        </w:tc>
        <w:tc>
          <w:tcPr>
            <w:tcW w:w="1949" w:type="dxa"/>
            <w:tcBorders>
              <w:top w:val="single" w:sz="4" w:space="0" w:color="auto"/>
            </w:tcBorders>
            <w:vAlign w:val="center"/>
          </w:tcPr>
          <w:p w14:paraId="64E2F299" w14:textId="77777777" w:rsidR="00F56C38" w:rsidRPr="004306A0" w:rsidRDefault="00163AF0">
            <w:pPr>
              <w:rPr>
                <w:rFonts w:cs="Times New Roman"/>
                <w:szCs w:val="24"/>
              </w:rPr>
            </w:pPr>
            <w:r w:rsidRPr="004306A0">
              <w:rPr>
                <w:rFonts w:cs="Times New Roman"/>
                <w:szCs w:val="24"/>
              </w:rPr>
              <w:t>Measured</w:t>
            </w:r>
          </w:p>
        </w:tc>
        <w:tc>
          <w:tcPr>
            <w:tcW w:w="1950" w:type="dxa"/>
            <w:tcBorders>
              <w:top w:val="single" w:sz="4" w:space="0" w:color="auto"/>
            </w:tcBorders>
            <w:vAlign w:val="center"/>
          </w:tcPr>
          <w:p w14:paraId="7181D409" w14:textId="77777777" w:rsidR="00F56C38" w:rsidRPr="004306A0" w:rsidRDefault="00163AF0">
            <w:pPr>
              <w:rPr>
                <w:rFonts w:cs="Times New Roman"/>
                <w:szCs w:val="24"/>
              </w:rPr>
            </w:pPr>
            <w:r w:rsidRPr="004306A0">
              <w:rPr>
                <w:rFonts w:cs="Times New Roman"/>
                <w:szCs w:val="24"/>
              </w:rPr>
              <w:t>µg/m³</w:t>
            </w:r>
          </w:p>
        </w:tc>
      </w:tr>
      <w:tr w:rsidR="00F56C38" w:rsidRPr="004306A0" w14:paraId="279E21BE" w14:textId="77777777" w:rsidTr="00E12272">
        <w:trPr>
          <w:jc w:val="center"/>
        </w:trPr>
        <w:tc>
          <w:tcPr>
            <w:tcW w:w="1949" w:type="dxa"/>
            <w:vAlign w:val="center"/>
          </w:tcPr>
          <w:p w14:paraId="334CB028" w14:textId="77777777" w:rsidR="00F56C38" w:rsidRPr="004306A0" w:rsidRDefault="00163AF0">
            <w:pPr>
              <w:rPr>
                <w:rFonts w:cs="Times New Roman"/>
                <w:szCs w:val="24"/>
              </w:rPr>
            </w:pPr>
            <w:r w:rsidRPr="004306A0">
              <w:rPr>
                <w:rFonts w:cs="Times New Roman"/>
                <w:szCs w:val="24"/>
              </w:rPr>
              <w:t>Inhalation rate</w:t>
            </w:r>
          </w:p>
        </w:tc>
        <w:tc>
          <w:tcPr>
            <w:tcW w:w="1949" w:type="dxa"/>
            <w:vAlign w:val="center"/>
          </w:tcPr>
          <w:p w14:paraId="200ED064" w14:textId="77777777" w:rsidR="00F56C38" w:rsidRPr="004306A0" w:rsidRDefault="00163AF0">
            <w:pPr>
              <w:rPr>
                <w:rFonts w:cs="Times New Roman"/>
                <w:szCs w:val="24"/>
              </w:rPr>
            </w:pPr>
            <w:r w:rsidRPr="004306A0">
              <w:rPr>
                <w:rFonts w:cs="Times New Roman"/>
                <w:szCs w:val="24"/>
              </w:rPr>
              <w:t>IR</w:t>
            </w:r>
          </w:p>
        </w:tc>
        <w:tc>
          <w:tcPr>
            <w:tcW w:w="1949" w:type="dxa"/>
            <w:vAlign w:val="center"/>
          </w:tcPr>
          <w:p w14:paraId="735D4858" w14:textId="77777777" w:rsidR="00F56C38" w:rsidRPr="004306A0" w:rsidRDefault="00163AF0">
            <w:pPr>
              <w:rPr>
                <w:rFonts w:cs="Times New Roman"/>
                <w:szCs w:val="24"/>
              </w:rPr>
            </w:pPr>
            <w:r w:rsidRPr="004306A0">
              <w:rPr>
                <w:rFonts w:cs="Times New Roman"/>
                <w:szCs w:val="24"/>
              </w:rPr>
              <w:t>20</w:t>
            </w:r>
          </w:p>
        </w:tc>
        <w:tc>
          <w:tcPr>
            <w:tcW w:w="1949" w:type="dxa"/>
            <w:vAlign w:val="center"/>
          </w:tcPr>
          <w:p w14:paraId="5CAD44C3" w14:textId="77777777" w:rsidR="00F56C38" w:rsidRPr="004306A0" w:rsidRDefault="00163AF0">
            <w:pPr>
              <w:rPr>
                <w:rFonts w:cs="Times New Roman"/>
                <w:szCs w:val="24"/>
              </w:rPr>
            </w:pPr>
            <w:r w:rsidRPr="004306A0">
              <w:rPr>
                <w:rFonts w:cs="Times New Roman"/>
                <w:szCs w:val="24"/>
              </w:rPr>
              <w:t>7.6-10</w:t>
            </w:r>
          </w:p>
        </w:tc>
        <w:tc>
          <w:tcPr>
            <w:tcW w:w="1950" w:type="dxa"/>
            <w:vAlign w:val="center"/>
          </w:tcPr>
          <w:p w14:paraId="7E33E326" w14:textId="77777777" w:rsidR="00F56C38" w:rsidRPr="004306A0" w:rsidRDefault="00163AF0">
            <w:pPr>
              <w:rPr>
                <w:rFonts w:cs="Times New Roman"/>
                <w:szCs w:val="24"/>
              </w:rPr>
            </w:pPr>
            <w:r w:rsidRPr="004306A0">
              <w:rPr>
                <w:rFonts w:cs="Times New Roman"/>
                <w:szCs w:val="24"/>
              </w:rPr>
              <w:t>m³/day</w:t>
            </w:r>
          </w:p>
        </w:tc>
      </w:tr>
      <w:tr w:rsidR="00F56C38" w:rsidRPr="004306A0" w14:paraId="662900C0" w14:textId="77777777" w:rsidTr="00E12272">
        <w:trPr>
          <w:jc w:val="center"/>
        </w:trPr>
        <w:tc>
          <w:tcPr>
            <w:tcW w:w="1949" w:type="dxa"/>
            <w:vAlign w:val="center"/>
          </w:tcPr>
          <w:p w14:paraId="78813017" w14:textId="77777777" w:rsidR="00F56C38" w:rsidRPr="004306A0" w:rsidRDefault="00163AF0">
            <w:pPr>
              <w:rPr>
                <w:rFonts w:cs="Times New Roman"/>
                <w:szCs w:val="24"/>
              </w:rPr>
            </w:pPr>
            <w:r w:rsidRPr="004306A0">
              <w:rPr>
                <w:rFonts w:cs="Times New Roman"/>
                <w:szCs w:val="24"/>
              </w:rPr>
              <w:t>Exposure frequency</w:t>
            </w:r>
          </w:p>
        </w:tc>
        <w:tc>
          <w:tcPr>
            <w:tcW w:w="1949" w:type="dxa"/>
            <w:vAlign w:val="center"/>
          </w:tcPr>
          <w:p w14:paraId="0F1ED9CB" w14:textId="77777777" w:rsidR="00F56C38" w:rsidRPr="004306A0" w:rsidRDefault="00163AF0">
            <w:pPr>
              <w:rPr>
                <w:rFonts w:cs="Times New Roman"/>
                <w:szCs w:val="24"/>
              </w:rPr>
            </w:pPr>
            <w:r w:rsidRPr="004306A0">
              <w:rPr>
                <w:rFonts w:cs="Times New Roman"/>
                <w:szCs w:val="24"/>
              </w:rPr>
              <w:t>EF</w:t>
            </w:r>
          </w:p>
        </w:tc>
        <w:tc>
          <w:tcPr>
            <w:tcW w:w="1949" w:type="dxa"/>
            <w:vAlign w:val="center"/>
          </w:tcPr>
          <w:p w14:paraId="2D9608E7" w14:textId="77777777" w:rsidR="00F56C38" w:rsidRPr="004306A0" w:rsidRDefault="00163AF0">
            <w:pPr>
              <w:rPr>
                <w:rFonts w:cs="Times New Roman"/>
                <w:szCs w:val="24"/>
              </w:rPr>
            </w:pPr>
            <w:r w:rsidRPr="004306A0">
              <w:rPr>
                <w:rFonts w:cs="Times New Roman"/>
                <w:szCs w:val="24"/>
              </w:rPr>
              <w:t>350</w:t>
            </w:r>
          </w:p>
        </w:tc>
        <w:tc>
          <w:tcPr>
            <w:tcW w:w="1949" w:type="dxa"/>
            <w:vAlign w:val="center"/>
          </w:tcPr>
          <w:p w14:paraId="6FE05CAF" w14:textId="77777777" w:rsidR="00F56C38" w:rsidRPr="004306A0" w:rsidRDefault="00163AF0">
            <w:pPr>
              <w:rPr>
                <w:rFonts w:cs="Times New Roman"/>
                <w:szCs w:val="24"/>
              </w:rPr>
            </w:pPr>
            <w:r w:rsidRPr="004306A0">
              <w:rPr>
                <w:rFonts w:cs="Times New Roman"/>
                <w:szCs w:val="24"/>
              </w:rPr>
              <w:t>350</w:t>
            </w:r>
          </w:p>
        </w:tc>
        <w:tc>
          <w:tcPr>
            <w:tcW w:w="1950" w:type="dxa"/>
            <w:vAlign w:val="center"/>
          </w:tcPr>
          <w:p w14:paraId="0D508C74" w14:textId="77777777" w:rsidR="00F56C38" w:rsidRPr="004306A0" w:rsidRDefault="00163AF0">
            <w:pPr>
              <w:rPr>
                <w:rFonts w:cs="Times New Roman"/>
                <w:szCs w:val="24"/>
              </w:rPr>
            </w:pPr>
            <w:r w:rsidRPr="004306A0">
              <w:rPr>
                <w:rFonts w:cs="Times New Roman"/>
                <w:szCs w:val="24"/>
              </w:rPr>
              <w:t>days/year</w:t>
            </w:r>
          </w:p>
        </w:tc>
      </w:tr>
      <w:tr w:rsidR="00F56C38" w:rsidRPr="004306A0" w14:paraId="779B7FBE" w14:textId="77777777" w:rsidTr="00E12272">
        <w:trPr>
          <w:jc w:val="center"/>
        </w:trPr>
        <w:tc>
          <w:tcPr>
            <w:tcW w:w="1949" w:type="dxa"/>
            <w:vAlign w:val="center"/>
          </w:tcPr>
          <w:p w14:paraId="4E0EB1F2" w14:textId="77777777" w:rsidR="00F56C38" w:rsidRPr="004306A0" w:rsidRDefault="00163AF0">
            <w:pPr>
              <w:rPr>
                <w:rFonts w:cs="Times New Roman"/>
                <w:szCs w:val="24"/>
              </w:rPr>
            </w:pPr>
            <w:r w:rsidRPr="004306A0">
              <w:rPr>
                <w:rFonts w:cs="Times New Roman"/>
                <w:szCs w:val="24"/>
              </w:rPr>
              <w:t>Exposure duration</w:t>
            </w:r>
          </w:p>
        </w:tc>
        <w:tc>
          <w:tcPr>
            <w:tcW w:w="1949" w:type="dxa"/>
            <w:vAlign w:val="center"/>
          </w:tcPr>
          <w:p w14:paraId="24CD75D8" w14:textId="77777777" w:rsidR="00F56C38" w:rsidRPr="004306A0" w:rsidRDefault="00163AF0">
            <w:pPr>
              <w:rPr>
                <w:rFonts w:cs="Times New Roman"/>
                <w:szCs w:val="24"/>
              </w:rPr>
            </w:pPr>
            <w:r w:rsidRPr="004306A0">
              <w:rPr>
                <w:rFonts w:cs="Times New Roman"/>
                <w:szCs w:val="24"/>
              </w:rPr>
              <w:t>ED</w:t>
            </w:r>
          </w:p>
        </w:tc>
        <w:tc>
          <w:tcPr>
            <w:tcW w:w="1949" w:type="dxa"/>
            <w:vAlign w:val="center"/>
          </w:tcPr>
          <w:p w14:paraId="792EACA4" w14:textId="77777777" w:rsidR="00F56C38" w:rsidRPr="004306A0" w:rsidRDefault="00163AF0">
            <w:pPr>
              <w:rPr>
                <w:rFonts w:cs="Times New Roman"/>
                <w:szCs w:val="24"/>
              </w:rPr>
            </w:pPr>
            <w:r w:rsidRPr="004306A0">
              <w:rPr>
                <w:rFonts w:cs="Times New Roman"/>
                <w:szCs w:val="24"/>
              </w:rPr>
              <w:t>30</w:t>
            </w:r>
          </w:p>
        </w:tc>
        <w:tc>
          <w:tcPr>
            <w:tcW w:w="1949" w:type="dxa"/>
            <w:vAlign w:val="center"/>
          </w:tcPr>
          <w:p w14:paraId="0EA2133B" w14:textId="77777777" w:rsidR="00F56C38" w:rsidRPr="004306A0" w:rsidRDefault="00163AF0">
            <w:pPr>
              <w:rPr>
                <w:rFonts w:cs="Times New Roman"/>
                <w:szCs w:val="24"/>
              </w:rPr>
            </w:pPr>
            <w:r w:rsidRPr="004306A0">
              <w:rPr>
                <w:rFonts w:cs="Times New Roman"/>
                <w:szCs w:val="24"/>
              </w:rPr>
              <w:t>6</w:t>
            </w:r>
          </w:p>
        </w:tc>
        <w:tc>
          <w:tcPr>
            <w:tcW w:w="1950" w:type="dxa"/>
            <w:vAlign w:val="center"/>
          </w:tcPr>
          <w:p w14:paraId="7AC87773" w14:textId="77777777" w:rsidR="00F56C38" w:rsidRPr="004306A0" w:rsidRDefault="00163AF0">
            <w:pPr>
              <w:rPr>
                <w:rFonts w:cs="Times New Roman"/>
                <w:szCs w:val="24"/>
              </w:rPr>
            </w:pPr>
            <w:r w:rsidRPr="004306A0">
              <w:rPr>
                <w:rFonts w:cs="Times New Roman"/>
                <w:szCs w:val="24"/>
              </w:rPr>
              <w:t>years</w:t>
            </w:r>
          </w:p>
        </w:tc>
      </w:tr>
      <w:tr w:rsidR="00F56C38" w:rsidRPr="004306A0" w14:paraId="46342012" w14:textId="77777777" w:rsidTr="00E12272">
        <w:trPr>
          <w:jc w:val="center"/>
        </w:trPr>
        <w:tc>
          <w:tcPr>
            <w:tcW w:w="1949" w:type="dxa"/>
            <w:vAlign w:val="center"/>
          </w:tcPr>
          <w:p w14:paraId="23809DBA" w14:textId="77777777" w:rsidR="00F56C38" w:rsidRPr="004306A0" w:rsidRDefault="00163AF0">
            <w:pPr>
              <w:rPr>
                <w:rFonts w:cs="Times New Roman"/>
                <w:szCs w:val="24"/>
              </w:rPr>
            </w:pPr>
            <w:r w:rsidRPr="004306A0">
              <w:rPr>
                <w:rFonts w:cs="Times New Roman"/>
                <w:szCs w:val="24"/>
              </w:rPr>
              <w:t>Body weight</w:t>
            </w:r>
          </w:p>
        </w:tc>
        <w:tc>
          <w:tcPr>
            <w:tcW w:w="1949" w:type="dxa"/>
            <w:vAlign w:val="center"/>
          </w:tcPr>
          <w:p w14:paraId="182FAC3C" w14:textId="77777777" w:rsidR="00F56C38" w:rsidRPr="004306A0" w:rsidRDefault="00163AF0">
            <w:pPr>
              <w:rPr>
                <w:rFonts w:cs="Times New Roman"/>
                <w:szCs w:val="24"/>
              </w:rPr>
            </w:pPr>
            <w:r w:rsidRPr="004306A0">
              <w:rPr>
                <w:rFonts w:cs="Times New Roman"/>
                <w:szCs w:val="24"/>
              </w:rPr>
              <w:t>BW</w:t>
            </w:r>
          </w:p>
        </w:tc>
        <w:tc>
          <w:tcPr>
            <w:tcW w:w="1949" w:type="dxa"/>
            <w:vAlign w:val="center"/>
          </w:tcPr>
          <w:p w14:paraId="77EF2E18" w14:textId="77777777" w:rsidR="00F56C38" w:rsidRPr="004306A0" w:rsidRDefault="00163AF0">
            <w:pPr>
              <w:rPr>
                <w:rFonts w:cs="Times New Roman"/>
                <w:szCs w:val="24"/>
              </w:rPr>
            </w:pPr>
            <w:r w:rsidRPr="004306A0">
              <w:rPr>
                <w:rFonts w:cs="Times New Roman"/>
                <w:szCs w:val="24"/>
              </w:rPr>
              <w:t>70</w:t>
            </w:r>
          </w:p>
        </w:tc>
        <w:tc>
          <w:tcPr>
            <w:tcW w:w="1949" w:type="dxa"/>
            <w:vAlign w:val="center"/>
          </w:tcPr>
          <w:p w14:paraId="2DC846AE" w14:textId="77777777" w:rsidR="00F56C38" w:rsidRPr="004306A0" w:rsidRDefault="00163AF0">
            <w:pPr>
              <w:rPr>
                <w:rFonts w:cs="Times New Roman"/>
                <w:szCs w:val="24"/>
              </w:rPr>
            </w:pPr>
            <w:r w:rsidRPr="004306A0">
              <w:rPr>
                <w:rFonts w:cs="Times New Roman"/>
                <w:szCs w:val="24"/>
              </w:rPr>
              <w:t>15</w:t>
            </w:r>
          </w:p>
        </w:tc>
        <w:tc>
          <w:tcPr>
            <w:tcW w:w="1950" w:type="dxa"/>
            <w:vAlign w:val="center"/>
          </w:tcPr>
          <w:p w14:paraId="774C53B4" w14:textId="77777777" w:rsidR="00F56C38" w:rsidRPr="004306A0" w:rsidRDefault="00163AF0">
            <w:pPr>
              <w:rPr>
                <w:rFonts w:cs="Times New Roman"/>
                <w:szCs w:val="24"/>
              </w:rPr>
            </w:pPr>
            <w:r w:rsidRPr="004306A0">
              <w:rPr>
                <w:rFonts w:cs="Times New Roman"/>
                <w:szCs w:val="24"/>
              </w:rPr>
              <w:t>kg</w:t>
            </w:r>
          </w:p>
        </w:tc>
      </w:tr>
      <w:tr w:rsidR="00F56C38" w:rsidRPr="004306A0" w14:paraId="12CC7603" w14:textId="77777777" w:rsidTr="00E12272">
        <w:trPr>
          <w:jc w:val="center"/>
        </w:trPr>
        <w:tc>
          <w:tcPr>
            <w:tcW w:w="1949" w:type="dxa"/>
            <w:vAlign w:val="center"/>
          </w:tcPr>
          <w:p w14:paraId="58BF19CB" w14:textId="77777777" w:rsidR="00F56C38" w:rsidRPr="004306A0" w:rsidRDefault="00163AF0">
            <w:pPr>
              <w:rPr>
                <w:rFonts w:cs="Times New Roman"/>
                <w:szCs w:val="24"/>
              </w:rPr>
            </w:pPr>
            <w:r w:rsidRPr="004306A0">
              <w:rPr>
                <w:rFonts w:cs="Times New Roman"/>
                <w:szCs w:val="24"/>
              </w:rPr>
              <w:t>Averaging time for cancer</w:t>
            </w:r>
          </w:p>
        </w:tc>
        <w:tc>
          <w:tcPr>
            <w:tcW w:w="1949" w:type="dxa"/>
            <w:vAlign w:val="center"/>
          </w:tcPr>
          <w:p w14:paraId="364D76FC" w14:textId="77777777" w:rsidR="00F56C38" w:rsidRPr="004306A0" w:rsidRDefault="00163AF0">
            <w:pPr>
              <w:rPr>
                <w:rFonts w:cs="Times New Roman"/>
                <w:szCs w:val="24"/>
              </w:rPr>
            </w:pPr>
            <w:r w:rsidRPr="004306A0">
              <w:rPr>
                <w:rFonts w:cs="Times New Roman"/>
                <w:szCs w:val="24"/>
              </w:rPr>
              <w:t>AT</w:t>
            </w:r>
          </w:p>
        </w:tc>
        <w:tc>
          <w:tcPr>
            <w:tcW w:w="1949" w:type="dxa"/>
            <w:vAlign w:val="center"/>
          </w:tcPr>
          <w:p w14:paraId="54DA6D26" w14:textId="77777777" w:rsidR="00F56C38" w:rsidRPr="004306A0" w:rsidRDefault="00163AF0">
            <w:pPr>
              <w:rPr>
                <w:rFonts w:cs="Times New Roman"/>
                <w:szCs w:val="24"/>
              </w:rPr>
            </w:pPr>
            <w:r w:rsidRPr="004306A0">
              <w:rPr>
                <w:rFonts w:cs="Times New Roman"/>
                <w:szCs w:val="24"/>
              </w:rPr>
              <w:t>25,550</w:t>
            </w:r>
          </w:p>
        </w:tc>
        <w:tc>
          <w:tcPr>
            <w:tcW w:w="1949" w:type="dxa"/>
            <w:vAlign w:val="center"/>
          </w:tcPr>
          <w:p w14:paraId="5A9A2F35" w14:textId="77777777" w:rsidR="00F56C38" w:rsidRPr="004306A0" w:rsidRDefault="00163AF0">
            <w:pPr>
              <w:rPr>
                <w:rFonts w:cs="Times New Roman"/>
                <w:szCs w:val="24"/>
              </w:rPr>
            </w:pPr>
            <w:r w:rsidRPr="004306A0">
              <w:rPr>
                <w:rFonts w:cs="Times New Roman"/>
                <w:szCs w:val="24"/>
              </w:rPr>
              <w:t>25,550</w:t>
            </w:r>
          </w:p>
        </w:tc>
        <w:tc>
          <w:tcPr>
            <w:tcW w:w="1950" w:type="dxa"/>
            <w:vAlign w:val="center"/>
          </w:tcPr>
          <w:p w14:paraId="6811ED60" w14:textId="77777777" w:rsidR="00F56C38" w:rsidRPr="004306A0" w:rsidRDefault="00163AF0">
            <w:pPr>
              <w:rPr>
                <w:rFonts w:cs="Times New Roman"/>
                <w:szCs w:val="24"/>
              </w:rPr>
            </w:pPr>
            <w:r w:rsidRPr="004306A0">
              <w:rPr>
                <w:rFonts w:cs="Times New Roman"/>
                <w:szCs w:val="24"/>
              </w:rPr>
              <w:t>days</w:t>
            </w:r>
          </w:p>
        </w:tc>
      </w:tr>
      <w:tr w:rsidR="00F56C38" w:rsidRPr="004306A0" w14:paraId="1B6E99B1" w14:textId="77777777" w:rsidTr="00E12272">
        <w:trPr>
          <w:jc w:val="center"/>
        </w:trPr>
        <w:tc>
          <w:tcPr>
            <w:tcW w:w="1949" w:type="dxa"/>
            <w:vAlign w:val="center"/>
          </w:tcPr>
          <w:p w14:paraId="48D8076A" w14:textId="77777777" w:rsidR="00F56C38" w:rsidRPr="004306A0" w:rsidRDefault="00163AF0">
            <w:pPr>
              <w:rPr>
                <w:rFonts w:cs="Times New Roman"/>
                <w:szCs w:val="24"/>
              </w:rPr>
            </w:pPr>
            <w:r w:rsidRPr="004306A0">
              <w:rPr>
                <w:rFonts w:cs="Times New Roman"/>
                <w:szCs w:val="24"/>
              </w:rPr>
              <w:t>Conversion factor</w:t>
            </w:r>
          </w:p>
        </w:tc>
        <w:tc>
          <w:tcPr>
            <w:tcW w:w="1949" w:type="dxa"/>
            <w:vAlign w:val="center"/>
          </w:tcPr>
          <w:p w14:paraId="22A13B6F" w14:textId="77777777" w:rsidR="00F56C38" w:rsidRPr="004306A0" w:rsidRDefault="00163AF0">
            <w:pPr>
              <w:rPr>
                <w:rFonts w:cs="Times New Roman"/>
                <w:szCs w:val="24"/>
              </w:rPr>
            </w:pPr>
            <w:r w:rsidRPr="004306A0">
              <w:rPr>
                <w:rFonts w:cs="Times New Roman"/>
                <w:szCs w:val="24"/>
              </w:rPr>
              <w:t>CF</w:t>
            </w:r>
          </w:p>
        </w:tc>
        <w:tc>
          <w:tcPr>
            <w:tcW w:w="1949" w:type="dxa"/>
            <w:vAlign w:val="center"/>
          </w:tcPr>
          <w:p w14:paraId="1E71E792" w14:textId="77777777" w:rsidR="00F56C38" w:rsidRPr="004306A0" w:rsidRDefault="00163AF0">
            <w:pPr>
              <w:rPr>
                <w:rFonts w:cs="Times New Roman"/>
                <w:szCs w:val="24"/>
              </w:rPr>
            </w:pPr>
            <w:r w:rsidRPr="004306A0">
              <w:rPr>
                <w:rFonts w:cs="Times New Roman"/>
                <w:szCs w:val="24"/>
              </w:rPr>
              <w:t>1 × 10⁻³</w:t>
            </w:r>
          </w:p>
        </w:tc>
        <w:tc>
          <w:tcPr>
            <w:tcW w:w="1949" w:type="dxa"/>
            <w:vAlign w:val="center"/>
          </w:tcPr>
          <w:p w14:paraId="12CD8224" w14:textId="77777777" w:rsidR="00F56C38" w:rsidRPr="004306A0" w:rsidRDefault="00163AF0">
            <w:pPr>
              <w:rPr>
                <w:rFonts w:cs="Times New Roman"/>
                <w:szCs w:val="24"/>
              </w:rPr>
            </w:pPr>
            <w:r w:rsidRPr="004306A0">
              <w:rPr>
                <w:rFonts w:cs="Times New Roman"/>
                <w:szCs w:val="24"/>
              </w:rPr>
              <w:t>1 × 10⁻³</w:t>
            </w:r>
          </w:p>
        </w:tc>
        <w:tc>
          <w:tcPr>
            <w:tcW w:w="1950" w:type="dxa"/>
            <w:vAlign w:val="center"/>
          </w:tcPr>
          <w:p w14:paraId="71065819" w14:textId="77777777" w:rsidR="00F56C38" w:rsidRPr="004306A0" w:rsidRDefault="00163AF0">
            <w:pPr>
              <w:rPr>
                <w:rFonts w:cs="Times New Roman"/>
                <w:szCs w:val="24"/>
              </w:rPr>
            </w:pPr>
            <w:r w:rsidRPr="004306A0">
              <w:rPr>
                <w:rFonts w:cs="Times New Roman"/>
                <w:szCs w:val="24"/>
              </w:rPr>
              <w:t>mg/µg</w:t>
            </w:r>
          </w:p>
        </w:tc>
      </w:tr>
      <w:tr w:rsidR="00F56C38" w:rsidRPr="004306A0" w14:paraId="510F61C5" w14:textId="77777777" w:rsidTr="00E12272">
        <w:trPr>
          <w:jc w:val="center"/>
        </w:trPr>
        <w:tc>
          <w:tcPr>
            <w:tcW w:w="1949" w:type="dxa"/>
            <w:vAlign w:val="center"/>
          </w:tcPr>
          <w:p w14:paraId="7D0AD046" w14:textId="77777777" w:rsidR="00F56C38" w:rsidRPr="004306A0" w:rsidRDefault="00163AF0">
            <w:pPr>
              <w:rPr>
                <w:rFonts w:cs="Times New Roman"/>
                <w:szCs w:val="24"/>
              </w:rPr>
            </w:pPr>
            <w:r w:rsidRPr="004306A0">
              <w:rPr>
                <w:rFonts w:cs="Times New Roman"/>
                <w:szCs w:val="24"/>
              </w:rPr>
              <w:t>Slope factors applied</w:t>
            </w:r>
          </w:p>
        </w:tc>
        <w:tc>
          <w:tcPr>
            <w:tcW w:w="1949" w:type="dxa"/>
            <w:vAlign w:val="center"/>
          </w:tcPr>
          <w:p w14:paraId="22E4F761" w14:textId="77777777" w:rsidR="00F56C38" w:rsidRPr="004306A0" w:rsidRDefault="00163AF0">
            <w:pPr>
              <w:rPr>
                <w:rFonts w:cs="Times New Roman"/>
                <w:szCs w:val="24"/>
              </w:rPr>
            </w:pPr>
            <w:r w:rsidRPr="004306A0">
              <w:rPr>
                <w:rFonts w:cs="Times New Roman"/>
                <w:szCs w:val="24"/>
              </w:rPr>
              <w:t>SF</w:t>
            </w:r>
          </w:p>
        </w:tc>
        <w:tc>
          <w:tcPr>
            <w:tcW w:w="1949" w:type="dxa"/>
            <w:vAlign w:val="center"/>
          </w:tcPr>
          <w:p w14:paraId="44F31815" w14:textId="77777777" w:rsidR="00F56C38" w:rsidRPr="004306A0" w:rsidRDefault="00163AF0">
            <w:pPr>
              <w:rPr>
                <w:rFonts w:cs="Times New Roman"/>
                <w:szCs w:val="24"/>
              </w:rPr>
            </w:pPr>
            <w:proofErr w:type="spellStart"/>
            <w:r w:rsidRPr="004306A0">
              <w:rPr>
                <w:rFonts w:cs="Times New Roman"/>
                <w:szCs w:val="24"/>
              </w:rPr>
              <w:t>BaA</w:t>
            </w:r>
            <w:proofErr w:type="spellEnd"/>
            <w:r w:rsidRPr="004306A0">
              <w:rPr>
                <w:rFonts w:cs="Times New Roman"/>
                <w:szCs w:val="24"/>
              </w:rPr>
              <w:t xml:space="preserve"> 0.60; Chr 0.061; </w:t>
            </w:r>
            <w:proofErr w:type="spellStart"/>
            <w:r w:rsidRPr="004306A0">
              <w:rPr>
                <w:rFonts w:cs="Times New Roman"/>
                <w:szCs w:val="24"/>
              </w:rPr>
              <w:t>BkF</w:t>
            </w:r>
            <w:proofErr w:type="spellEnd"/>
            <w:r w:rsidRPr="004306A0">
              <w:rPr>
                <w:rFonts w:cs="Times New Roman"/>
                <w:szCs w:val="24"/>
              </w:rPr>
              <w:t xml:space="preserve"> 0.061; </w:t>
            </w:r>
            <w:proofErr w:type="spellStart"/>
            <w:r w:rsidRPr="004306A0">
              <w:rPr>
                <w:rFonts w:cs="Times New Roman"/>
                <w:szCs w:val="24"/>
              </w:rPr>
              <w:t>BaP</w:t>
            </w:r>
            <w:proofErr w:type="spellEnd"/>
            <w:r w:rsidRPr="004306A0">
              <w:rPr>
                <w:rFonts w:cs="Times New Roman"/>
                <w:szCs w:val="24"/>
              </w:rPr>
              <w:t xml:space="preserve"> 6.10; </w:t>
            </w:r>
            <w:proofErr w:type="spellStart"/>
            <w:r w:rsidRPr="004306A0">
              <w:rPr>
                <w:rFonts w:cs="Times New Roman"/>
                <w:szCs w:val="24"/>
              </w:rPr>
              <w:t>IcdP</w:t>
            </w:r>
            <w:proofErr w:type="spellEnd"/>
            <w:r w:rsidRPr="004306A0">
              <w:rPr>
                <w:rFonts w:cs="Times New Roman"/>
                <w:szCs w:val="24"/>
              </w:rPr>
              <w:t xml:space="preserve"> 0.61; DahA 6.10</w:t>
            </w:r>
          </w:p>
        </w:tc>
        <w:tc>
          <w:tcPr>
            <w:tcW w:w="1949" w:type="dxa"/>
            <w:vAlign w:val="center"/>
          </w:tcPr>
          <w:p w14:paraId="3CEFC149" w14:textId="77777777" w:rsidR="00F56C38" w:rsidRPr="004306A0" w:rsidRDefault="00163AF0">
            <w:pPr>
              <w:rPr>
                <w:rFonts w:cs="Times New Roman"/>
                <w:szCs w:val="24"/>
              </w:rPr>
            </w:pPr>
            <w:r w:rsidRPr="004306A0">
              <w:rPr>
                <w:rFonts w:cs="Times New Roman"/>
                <w:szCs w:val="24"/>
              </w:rPr>
              <w:t>Same as adult</w:t>
            </w:r>
          </w:p>
        </w:tc>
        <w:tc>
          <w:tcPr>
            <w:tcW w:w="1950" w:type="dxa"/>
            <w:vAlign w:val="center"/>
          </w:tcPr>
          <w:p w14:paraId="54D6D753" w14:textId="77777777" w:rsidR="00F56C38" w:rsidRPr="004306A0" w:rsidRDefault="00163AF0">
            <w:pPr>
              <w:rPr>
                <w:rFonts w:cs="Times New Roman"/>
                <w:szCs w:val="24"/>
              </w:rPr>
            </w:pPr>
            <w:r w:rsidRPr="004306A0">
              <w:rPr>
                <w:rFonts w:cs="Times New Roman"/>
                <w:szCs w:val="24"/>
              </w:rPr>
              <w:t>(mg/kg-</w:t>
            </w:r>
            <w:proofErr w:type="gramStart"/>
            <w:r w:rsidRPr="004306A0">
              <w:rPr>
                <w:rFonts w:cs="Times New Roman"/>
                <w:szCs w:val="24"/>
              </w:rPr>
              <w:t>day)⁻</w:t>
            </w:r>
            <w:proofErr w:type="gramEnd"/>
            <w:r w:rsidRPr="004306A0">
              <w:rPr>
                <w:rFonts w:cs="Times New Roman"/>
                <w:szCs w:val="24"/>
              </w:rPr>
              <w:t>¹</w:t>
            </w:r>
          </w:p>
        </w:tc>
      </w:tr>
      <w:tr w:rsidR="00F56C38" w:rsidRPr="004306A0" w14:paraId="4BDBFE68" w14:textId="77777777" w:rsidTr="00E12272">
        <w:trPr>
          <w:jc w:val="center"/>
        </w:trPr>
        <w:tc>
          <w:tcPr>
            <w:tcW w:w="1949" w:type="dxa"/>
            <w:vAlign w:val="center"/>
          </w:tcPr>
          <w:p w14:paraId="56269B81" w14:textId="77777777" w:rsidR="00F56C38" w:rsidRPr="004306A0" w:rsidRDefault="00163AF0">
            <w:pPr>
              <w:rPr>
                <w:rFonts w:cs="Times New Roman"/>
                <w:szCs w:val="24"/>
              </w:rPr>
            </w:pPr>
            <w:r w:rsidRPr="004306A0">
              <w:rPr>
                <w:rFonts w:cs="Times New Roman"/>
                <w:szCs w:val="24"/>
              </w:rPr>
              <w:t>Risk-screening categories</w:t>
            </w:r>
          </w:p>
        </w:tc>
        <w:tc>
          <w:tcPr>
            <w:tcW w:w="1949" w:type="dxa"/>
            <w:vAlign w:val="center"/>
          </w:tcPr>
          <w:p w14:paraId="22289502" w14:textId="77777777" w:rsidR="00F56C38" w:rsidRPr="004306A0" w:rsidRDefault="00163AF0">
            <w:pPr>
              <w:rPr>
                <w:rFonts w:cs="Times New Roman"/>
                <w:szCs w:val="24"/>
              </w:rPr>
            </w:pPr>
            <w:r w:rsidRPr="004306A0">
              <w:rPr>
                <w:rFonts w:cs="Times New Roman"/>
                <w:szCs w:val="24"/>
              </w:rPr>
              <w:t>ILCR</w:t>
            </w:r>
          </w:p>
        </w:tc>
        <w:tc>
          <w:tcPr>
            <w:tcW w:w="1949" w:type="dxa"/>
            <w:vAlign w:val="center"/>
          </w:tcPr>
          <w:p w14:paraId="09E92BD9" w14:textId="77777777" w:rsidR="00F56C38" w:rsidRPr="004306A0" w:rsidRDefault="00163AF0">
            <w:pPr>
              <w:rPr>
                <w:rFonts w:cs="Times New Roman"/>
                <w:szCs w:val="24"/>
                <w:lang w:val="es-US"/>
              </w:rPr>
            </w:pPr>
            <w:r w:rsidRPr="004306A0">
              <w:rPr>
                <w:rFonts w:cs="Times New Roman"/>
                <w:szCs w:val="24"/>
                <w:lang w:val="es-US"/>
              </w:rPr>
              <w:t xml:space="preserve">&lt;1E-06 negligible; 1E-06-1E-04 tolerable; &gt;1E-04 </w:t>
            </w:r>
            <w:proofErr w:type="spellStart"/>
            <w:r w:rsidRPr="004306A0">
              <w:rPr>
                <w:rFonts w:cs="Times New Roman"/>
                <w:szCs w:val="24"/>
                <w:lang w:val="es-US"/>
              </w:rPr>
              <w:t>potential</w:t>
            </w:r>
            <w:proofErr w:type="spellEnd"/>
            <w:r w:rsidRPr="004306A0">
              <w:rPr>
                <w:rFonts w:cs="Times New Roman"/>
                <w:szCs w:val="24"/>
                <w:lang w:val="es-US"/>
              </w:rPr>
              <w:t xml:space="preserve"> </w:t>
            </w:r>
            <w:proofErr w:type="spellStart"/>
            <w:r w:rsidRPr="004306A0">
              <w:rPr>
                <w:rFonts w:cs="Times New Roman"/>
                <w:szCs w:val="24"/>
                <w:lang w:val="es-US"/>
              </w:rPr>
              <w:t>concern</w:t>
            </w:r>
            <w:proofErr w:type="spellEnd"/>
          </w:p>
        </w:tc>
        <w:tc>
          <w:tcPr>
            <w:tcW w:w="1949" w:type="dxa"/>
            <w:vAlign w:val="center"/>
          </w:tcPr>
          <w:p w14:paraId="5143C733" w14:textId="77777777" w:rsidR="00F56C38" w:rsidRPr="004306A0" w:rsidRDefault="00163AF0">
            <w:pPr>
              <w:rPr>
                <w:rFonts w:cs="Times New Roman"/>
                <w:szCs w:val="24"/>
              </w:rPr>
            </w:pPr>
            <w:r w:rsidRPr="004306A0">
              <w:rPr>
                <w:rFonts w:cs="Times New Roman"/>
                <w:szCs w:val="24"/>
              </w:rPr>
              <w:t>Same as adult</w:t>
            </w:r>
          </w:p>
        </w:tc>
        <w:tc>
          <w:tcPr>
            <w:tcW w:w="1950" w:type="dxa"/>
            <w:vAlign w:val="center"/>
          </w:tcPr>
          <w:p w14:paraId="303DBF2D" w14:textId="77777777" w:rsidR="00F56C38" w:rsidRPr="004306A0" w:rsidRDefault="00163AF0">
            <w:pPr>
              <w:rPr>
                <w:rFonts w:cs="Times New Roman"/>
                <w:szCs w:val="24"/>
              </w:rPr>
            </w:pPr>
            <w:r w:rsidRPr="004306A0">
              <w:rPr>
                <w:rFonts w:cs="Times New Roman"/>
                <w:szCs w:val="24"/>
              </w:rPr>
              <w:t>unitless</w:t>
            </w:r>
          </w:p>
        </w:tc>
      </w:tr>
    </w:tbl>
    <w:p w14:paraId="51BBCC8C" w14:textId="77777777" w:rsidR="00E12272" w:rsidRPr="004306A0" w:rsidRDefault="00163AF0" w:rsidP="00E12272">
      <w:pPr>
        <w:jc w:val="both"/>
        <w:rPr>
          <w:rFonts w:cs="Times New Roman"/>
          <w:sz w:val="20"/>
          <w:szCs w:val="20"/>
        </w:rPr>
      </w:pPr>
      <w:r w:rsidRPr="004306A0">
        <w:rPr>
          <w:rFonts w:cs="Times New Roman"/>
          <w:sz w:val="20"/>
          <w:szCs w:val="20"/>
        </w:rPr>
        <w:t>Note: The summarized risk values in Table 10 reproduce the congener-specific screening-risk tables available for the dataset. Congeners without assigned slope factors in those tables were included in total LADD but did not contribute to ILCR. Risk results are screening estimates and should be interpreted together with the USEPA risk-assessment sources cited for Equations (</w:t>
      </w:r>
      <w:r w:rsidR="00E12272" w:rsidRPr="004306A0">
        <w:rPr>
          <w:rFonts w:cs="Times New Roman"/>
          <w:sz w:val="20"/>
          <w:szCs w:val="20"/>
        </w:rPr>
        <w:t>2</w:t>
      </w:r>
      <w:r w:rsidRPr="004306A0">
        <w:rPr>
          <w:rFonts w:cs="Times New Roman"/>
          <w:sz w:val="20"/>
          <w:szCs w:val="20"/>
        </w:rPr>
        <w:t>)</w:t>
      </w:r>
      <w:proofErr w:type="gramStart"/>
      <w:r w:rsidRPr="004306A0">
        <w:rPr>
          <w:rFonts w:cs="Times New Roman"/>
          <w:sz w:val="20"/>
          <w:szCs w:val="20"/>
        </w:rPr>
        <w:t>–(</w:t>
      </w:r>
      <w:proofErr w:type="gramEnd"/>
      <w:r w:rsidR="00E12272" w:rsidRPr="004306A0">
        <w:rPr>
          <w:rFonts w:cs="Times New Roman"/>
          <w:sz w:val="20"/>
          <w:szCs w:val="20"/>
        </w:rPr>
        <w:t>5</w:t>
      </w:r>
      <w:r w:rsidRPr="004306A0">
        <w:rPr>
          <w:rFonts w:cs="Times New Roman"/>
          <w:sz w:val="20"/>
          <w:szCs w:val="20"/>
        </w:rPr>
        <w:t>).</w:t>
      </w:r>
    </w:p>
    <w:p w14:paraId="2CA2FEDD" w14:textId="77777777" w:rsidR="00E12272" w:rsidRPr="004306A0" w:rsidRDefault="00E12272" w:rsidP="00E12272">
      <w:pPr>
        <w:jc w:val="both"/>
        <w:rPr>
          <w:rFonts w:cs="Times New Roman"/>
          <w:sz w:val="20"/>
          <w:szCs w:val="20"/>
        </w:rPr>
      </w:pPr>
    </w:p>
    <w:p w14:paraId="04181C43" w14:textId="77777777" w:rsidR="00E12272" w:rsidRPr="004306A0" w:rsidRDefault="00E12272" w:rsidP="00E12272">
      <w:pPr>
        <w:jc w:val="both"/>
        <w:rPr>
          <w:rFonts w:cs="Times New Roman"/>
          <w:sz w:val="20"/>
          <w:szCs w:val="20"/>
        </w:rPr>
      </w:pPr>
    </w:p>
    <w:p w14:paraId="2C00DDC1" w14:textId="77777777" w:rsidR="00D63466" w:rsidRPr="004306A0" w:rsidRDefault="00163AF0" w:rsidP="00E12272">
      <w:pPr>
        <w:jc w:val="both"/>
        <w:rPr>
          <w:rFonts w:cs="Times New Roman"/>
          <w:b/>
          <w:bCs/>
          <w:sz w:val="20"/>
          <w:szCs w:val="20"/>
        </w:rPr>
      </w:pPr>
      <w:r w:rsidRPr="004306A0">
        <w:rPr>
          <w:rFonts w:cs="Times New Roman"/>
          <w:b/>
          <w:bCs/>
          <w:szCs w:val="24"/>
        </w:rPr>
        <w:lastRenderedPageBreak/>
        <w:t>Data treatment and statistical approach</w:t>
      </w:r>
    </w:p>
    <w:p w14:paraId="3847FD6B" w14:textId="77777777" w:rsidR="00E12272" w:rsidRPr="004306A0" w:rsidRDefault="00D63466" w:rsidP="00E12272">
      <w:pPr>
        <w:spacing w:line="480" w:lineRule="auto"/>
        <w:contextualSpacing/>
        <w:jc w:val="both"/>
        <w:rPr>
          <w:rFonts w:cs="Times New Roman"/>
          <w:szCs w:val="24"/>
        </w:rPr>
      </w:pPr>
      <w:r w:rsidRPr="004306A0">
        <w:t>The data were treated using descriptive statistical procedures based on the reported condition-specific PAH concentrations across the selected communities, seasons and microenvironments. The analysis involved the determination of concentration ranges, arithmetic means, community-based mean values, seasonal mean values, indoor-outdoor mean values, pooled congener totals and percentage contributions of the dominant PAH congeners. These descriptive outputs were used to evaluate PAH occurrence, identify concentration patterns across sampling conditions and support the interpretation of screening-level inhalation health risks.</w:t>
      </w:r>
    </w:p>
    <w:p w14:paraId="3CD1D693" w14:textId="77777777" w:rsidR="00E12272" w:rsidRPr="004306A0" w:rsidRDefault="00E12272" w:rsidP="00E12272">
      <w:pPr>
        <w:spacing w:line="480" w:lineRule="auto"/>
        <w:contextualSpacing/>
        <w:jc w:val="both"/>
        <w:rPr>
          <w:rFonts w:cs="Times New Roman"/>
          <w:szCs w:val="24"/>
        </w:rPr>
      </w:pPr>
    </w:p>
    <w:p w14:paraId="5921A409" w14:textId="77777777" w:rsidR="00E12272" w:rsidRPr="004306A0" w:rsidRDefault="00163AF0" w:rsidP="00E12272">
      <w:pPr>
        <w:spacing w:line="480" w:lineRule="auto"/>
        <w:contextualSpacing/>
        <w:jc w:val="center"/>
        <w:rPr>
          <w:rFonts w:cs="Times New Roman"/>
          <w:b/>
          <w:bCs/>
          <w:szCs w:val="24"/>
        </w:rPr>
      </w:pPr>
      <w:r w:rsidRPr="004306A0">
        <w:rPr>
          <w:rFonts w:cs="Times New Roman"/>
          <w:b/>
          <w:bCs/>
          <w:szCs w:val="24"/>
        </w:rPr>
        <w:t>Results and Discussion</w:t>
      </w:r>
    </w:p>
    <w:p w14:paraId="7A9ED6EA" w14:textId="77777777" w:rsidR="00F56C38" w:rsidRPr="004306A0" w:rsidRDefault="00163AF0" w:rsidP="00E12272">
      <w:pPr>
        <w:spacing w:line="480" w:lineRule="auto"/>
        <w:contextualSpacing/>
        <w:rPr>
          <w:rFonts w:cs="Times New Roman"/>
          <w:b/>
          <w:bCs/>
          <w:szCs w:val="24"/>
        </w:rPr>
      </w:pPr>
      <w:r w:rsidRPr="004306A0">
        <w:rPr>
          <w:rFonts w:cs="Times New Roman"/>
          <w:b/>
          <w:bCs/>
          <w:szCs w:val="24"/>
        </w:rPr>
        <w:t>Concentrations of PAHs in indoor and outdoor air</w:t>
      </w:r>
    </w:p>
    <w:p w14:paraId="3AA7D38E" w14:textId="77777777" w:rsidR="00F56C38" w:rsidRPr="004306A0" w:rsidRDefault="00163AF0" w:rsidP="00A73566">
      <w:pPr>
        <w:spacing w:line="480" w:lineRule="auto"/>
        <w:contextualSpacing/>
        <w:jc w:val="both"/>
        <w:rPr>
          <w:rFonts w:cs="Times New Roman"/>
          <w:szCs w:val="24"/>
        </w:rPr>
      </w:pPr>
      <w:r w:rsidRPr="004306A0">
        <w:t>The concentrations of individual PAHs and total PAHs are presented by community in Tables 5-7. Across all twelve reported conditions, total PAHs ranged from 7.40 to 30.55 µg/m³. This range shows that PAH levels were not uniform across the study area; rather, they varied with community, season and indoor/outdoor microenvironment. The highest total PAH concentration occurred in Aleto dry-season outdoor air (30.55 µg/m³), whereas the lowest occurred in Alesa wet-season indoor air (7.40 µg/m³). Figure 2 illustrates the condition-specific total PAH pattern across the three communities.</w:t>
      </w:r>
    </w:p>
    <w:p w14:paraId="536BD4DD" w14:textId="77777777" w:rsidR="00F56C38" w:rsidRPr="004306A0" w:rsidRDefault="00163AF0" w:rsidP="00A73566">
      <w:pPr>
        <w:spacing w:line="480" w:lineRule="auto"/>
        <w:contextualSpacing/>
        <w:jc w:val="both"/>
        <w:rPr>
          <w:rFonts w:cs="Times New Roman"/>
          <w:szCs w:val="24"/>
        </w:rPr>
      </w:pPr>
      <w:r w:rsidRPr="004306A0">
        <w:t>The data show a clear concentration gradient among the three communities. Aleto recorded the highest mean total PAH concentration (21.41 µg/m³), followed by Akpajo (11.80 µg/m³) and Alesa (10.39 µg/m³). In Aleto, three of the four reported conditions exceeded 20 µg/m³, indicating that the community had a consistently larger PAH burden than Akpajo and Alesa during the monitored periods. This pattern identifies Aleto as a priority location for closer environmental surveillance and exposure-reduction attention.</w:t>
      </w:r>
    </w:p>
    <w:p w14:paraId="6AD1F9CD" w14:textId="77777777" w:rsidR="00F56C38" w:rsidRPr="004306A0" w:rsidRDefault="003933EF" w:rsidP="00A73566">
      <w:pPr>
        <w:spacing w:line="480" w:lineRule="auto"/>
        <w:contextualSpacing/>
        <w:jc w:val="both"/>
        <w:rPr>
          <w:rFonts w:cs="Times New Roman"/>
          <w:szCs w:val="24"/>
        </w:rPr>
      </w:pPr>
      <w:r w:rsidRPr="004306A0">
        <w:lastRenderedPageBreak/>
        <w:t>Dry-season total PAHs were generally higher than wet-season values. The dry-season mean was 18.18 µg/m³, compared with 10.88 µg/m³ in the wet season (Table 8). This seasonal contrast is environmentally plausible because rainfall can remove particle-associated PAHs by wet deposition, while dry conditions may increase dust resuspension, traffic-related particles and atmospheric stagnation (Fann et al., 2016; Antai et al., 2020). Nevertheless, wet-season values were not negligible, particularly at Aleto outdoor (20.70 µg/m³), indicating that rainfall reduced but did not eliminate airborne PAH occurrence.</w:t>
      </w:r>
    </w:p>
    <w:p w14:paraId="14690D4F" w14:textId="77777777" w:rsidR="00F56C38" w:rsidRPr="004306A0" w:rsidRDefault="00163AF0" w:rsidP="00A73566">
      <w:pPr>
        <w:spacing w:line="480" w:lineRule="auto"/>
        <w:contextualSpacing/>
        <w:jc w:val="both"/>
        <w:rPr>
          <w:rFonts w:cs="Times New Roman"/>
          <w:szCs w:val="24"/>
        </w:rPr>
      </w:pPr>
      <w:r w:rsidRPr="004306A0">
        <w:t>Outdoor air had a higher mean total PAH concentration (15.75 µg/m³) than indoor air (13.32 µg/m³). This suggests that outdoor sources or outdoor-to-indoor transport may be important in the studied communities. Indoor values remained substantial, especially in Akpajo dry-season indoor air (16.65 µg/m³) and Aleto dry-season indoor air (22.20 µg/m³), showing that indoor exposure cannot be ignored. Indoor PAHs may arise from infiltration of outdoor particles as well as household-level activities and ventilation conditions (Mannan &amp; Al-Ghamdi, 2021; Ghetu et al., 2022).</w:t>
      </w:r>
    </w:p>
    <w:p w14:paraId="1D304F77" w14:textId="77777777" w:rsidR="00A73566" w:rsidRPr="004306A0" w:rsidRDefault="00A73566" w:rsidP="00A73566">
      <w:pPr>
        <w:spacing w:line="480" w:lineRule="auto"/>
        <w:contextualSpacing/>
        <w:jc w:val="both"/>
        <w:rPr>
          <w:rFonts w:cs="Times New Roman"/>
          <w:szCs w:val="24"/>
        </w:rPr>
      </w:pPr>
    </w:p>
    <w:p w14:paraId="616551CF" w14:textId="77777777" w:rsidR="00A73566" w:rsidRPr="004306A0" w:rsidRDefault="00A73566" w:rsidP="00A73566">
      <w:pPr>
        <w:spacing w:line="480" w:lineRule="auto"/>
        <w:contextualSpacing/>
        <w:jc w:val="both"/>
        <w:rPr>
          <w:rFonts w:cs="Times New Roman"/>
          <w:szCs w:val="24"/>
        </w:rPr>
      </w:pPr>
    </w:p>
    <w:p w14:paraId="07005A47" w14:textId="77777777" w:rsidR="00A73566" w:rsidRPr="004306A0" w:rsidRDefault="00A73566" w:rsidP="00A73566">
      <w:pPr>
        <w:spacing w:line="480" w:lineRule="auto"/>
        <w:contextualSpacing/>
        <w:jc w:val="both"/>
        <w:rPr>
          <w:rFonts w:cs="Times New Roman"/>
          <w:szCs w:val="24"/>
        </w:rPr>
      </w:pPr>
    </w:p>
    <w:p w14:paraId="339414BC" w14:textId="77777777" w:rsidR="00A73566" w:rsidRPr="004306A0" w:rsidRDefault="00A73566" w:rsidP="00A73566">
      <w:pPr>
        <w:spacing w:line="480" w:lineRule="auto"/>
        <w:contextualSpacing/>
        <w:jc w:val="both"/>
        <w:rPr>
          <w:rFonts w:cs="Times New Roman"/>
          <w:szCs w:val="24"/>
        </w:rPr>
      </w:pPr>
    </w:p>
    <w:p w14:paraId="52EC39F3" w14:textId="77777777" w:rsidR="00A73566" w:rsidRPr="004306A0" w:rsidRDefault="00A73566" w:rsidP="00A73566">
      <w:pPr>
        <w:spacing w:line="480" w:lineRule="auto"/>
        <w:contextualSpacing/>
        <w:jc w:val="both"/>
        <w:rPr>
          <w:rFonts w:cs="Times New Roman"/>
          <w:szCs w:val="24"/>
        </w:rPr>
      </w:pPr>
    </w:p>
    <w:p w14:paraId="4B780E52" w14:textId="77777777" w:rsidR="00A73566" w:rsidRPr="004306A0" w:rsidRDefault="00A73566" w:rsidP="00A73566">
      <w:pPr>
        <w:spacing w:line="480" w:lineRule="auto"/>
        <w:contextualSpacing/>
        <w:jc w:val="both"/>
        <w:rPr>
          <w:rFonts w:cs="Times New Roman"/>
          <w:szCs w:val="24"/>
        </w:rPr>
      </w:pPr>
    </w:p>
    <w:p w14:paraId="57CA40F8" w14:textId="77777777" w:rsidR="00A73566" w:rsidRPr="004306A0" w:rsidRDefault="00A73566" w:rsidP="00A73566">
      <w:pPr>
        <w:spacing w:line="480" w:lineRule="auto"/>
        <w:contextualSpacing/>
        <w:jc w:val="both"/>
        <w:rPr>
          <w:rFonts w:cs="Times New Roman"/>
          <w:szCs w:val="24"/>
        </w:rPr>
      </w:pPr>
    </w:p>
    <w:p w14:paraId="052B5A7D" w14:textId="77777777" w:rsidR="00A73566" w:rsidRPr="004306A0" w:rsidRDefault="00A73566" w:rsidP="00A73566">
      <w:pPr>
        <w:spacing w:line="480" w:lineRule="auto"/>
        <w:contextualSpacing/>
        <w:jc w:val="both"/>
        <w:rPr>
          <w:rFonts w:cs="Times New Roman"/>
          <w:szCs w:val="24"/>
        </w:rPr>
      </w:pPr>
    </w:p>
    <w:p w14:paraId="6B3B3291" w14:textId="77777777" w:rsidR="00A73566" w:rsidRPr="004306A0" w:rsidRDefault="00A73566" w:rsidP="00A73566">
      <w:pPr>
        <w:spacing w:line="480" w:lineRule="auto"/>
        <w:contextualSpacing/>
        <w:jc w:val="both"/>
        <w:rPr>
          <w:rFonts w:cs="Times New Roman"/>
          <w:szCs w:val="24"/>
        </w:rPr>
      </w:pPr>
    </w:p>
    <w:p w14:paraId="590FD79D" w14:textId="77777777" w:rsidR="00F56C38" w:rsidRPr="004306A0" w:rsidRDefault="00163AF0">
      <w:pPr>
        <w:pStyle w:val="Caption"/>
        <w:rPr>
          <w:rFonts w:cs="Times New Roman"/>
          <w:i w:val="0"/>
          <w:iCs/>
          <w:sz w:val="24"/>
          <w:szCs w:val="24"/>
        </w:rPr>
      </w:pPr>
      <w:r w:rsidRPr="004306A0">
        <w:rPr>
          <w:rFonts w:cs="Times New Roman"/>
          <w:i w:val="0"/>
          <w:iCs/>
          <w:color w:val="auto"/>
          <w:sz w:val="24"/>
          <w:szCs w:val="24"/>
        </w:rPr>
        <w:lastRenderedPageBreak/>
        <w:t>Table 5. PAH concentrations in Akpajo indoor and outdoor air (µg/m³)</w:t>
      </w:r>
    </w:p>
    <w:tbl>
      <w:tblPr>
        <w:tblW w:w="9901" w:type="dxa"/>
        <w:jc w:val="center"/>
        <w:tblBorders>
          <w:top w:val="single" w:sz="4" w:space="0" w:color="auto"/>
          <w:bottom w:val="single" w:sz="4" w:space="0" w:color="auto"/>
        </w:tblBorders>
        <w:tblLayout w:type="fixed"/>
        <w:tblLook w:val="04A0" w:firstRow="1" w:lastRow="0" w:firstColumn="1" w:lastColumn="0" w:noHBand="0" w:noVBand="1"/>
      </w:tblPr>
      <w:tblGrid>
        <w:gridCol w:w="2411"/>
        <w:gridCol w:w="1735"/>
        <w:gridCol w:w="1918"/>
        <w:gridCol w:w="1918"/>
        <w:gridCol w:w="1919"/>
      </w:tblGrid>
      <w:tr w:rsidR="00F56C38" w:rsidRPr="004306A0" w14:paraId="74AFDCB0" w14:textId="77777777" w:rsidTr="00A73566">
        <w:trPr>
          <w:trHeight w:val="736"/>
          <w:tblHeader/>
          <w:jc w:val="center"/>
        </w:trPr>
        <w:tc>
          <w:tcPr>
            <w:tcW w:w="2411" w:type="dxa"/>
            <w:tcBorders>
              <w:top w:val="single" w:sz="4" w:space="0" w:color="auto"/>
              <w:bottom w:val="single" w:sz="4" w:space="0" w:color="auto"/>
            </w:tcBorders>
            <w:vAlign w:val="center"/>
          </w:tcPr>
          <w:p w14:paraId="4FCF9473" w14:textId="77777777" w:rsidR="00F56C38" w:rsidRPr="004306A0" w:rsidRDefault="00163AF0">
            <w:pPr>
              <w:spacing w:after="0" w:line="240" w:lineRule="auto"/>
              <w:jc w:val="center"/>
              <w:rPr>
                <w:rFonts w:cs="Times New Roman"/>
                <w:b/>
              </w:rPr>
            </w:pPr>
            <w:r w:rsidRPr="004306A0">
              <w:rPr>
                <w:rFonts w:cs="Times New Roman"/>
                <w:b/>
                <w:sz w:val="22"/>
              </w:rPr>
              <w:t>PAH component</w:t>
            </w:r>
          </w:p>
        </w:tc>
        <w:tc>
          <w:tcPr>
            <w:tcW w:w="1735" w:type="dxa"/>
            <w:tcBorders>
              <w:top w:val="single" w:sz="4" w:space="0" w:color="auto"/>
              <w:bottom w:val="single" w:sz="4" w:space="0" w:color="auto"/>
            </w:tcBorders>
            <w:vAlign w:val="center"/>
          </w:tcPr>
          <w:p w14:paraId="697EE7A0" w14:textId="77777777" w:rsidR="00F56C38" w:rsidRPr="004306A0" w:rsidRDefault="00163AF0">
            <w:pPr>
              <w:spacing w:after="0" w:line="240" w:lineRule="auto"/>
              <w:jc w:val="center"/>
              <w:rPr>
                <w:rFonts w:cs="Times New Roman"/>
                <w:b/>
              </w:rPr>
            </w:pPr>
            <w:r w:rsidRPr="004306A0">
              <w:rPr>
                <w:rFonts w:cs="Times New Roman"/>
                <w:b/>
                <w:sz w:val="22"/>
              </w:rPr>
              <w:t>Akpajo Dry Indoor</w:t>
            </w:r>
          </w:p>
        </w:tc>
        <w:tc>
          <w:tcPr>
            <w:tcW w:w="1918" w:type="dxa"/>
            <w:tcBorders>
              <w:top w:val="single" w:sz="4" w:space="0" w:color="auto"/>
              <w:bottom w:val="single" w:sz="4" w:space="0" w:color="auto"/>
            </w:tcBorders>
            <w:vAlign w:val="center"/>
          </w:tcPr>
          <w:p w14:paraId="4488DBE3" w14:textId="77777777" w:rsidR="00F56C38" w:rsidRPr="004306A0" w:rsidRDefault="00163AF0">
            <w:pPr>
              <w:spacing w:after="0" w:line="240" w:lineRule="auto"/>
              <w:jc w:val="center"/>
              <w:rPr>
                <w:rFonts w:cs="Times New Roman"/>
                <w:b/>
              </w:rPr>
            </w:pPr>
            <w:r w:rsidRPr="004306A0">
              <w:rPr>
                <w:rFonts w:cs="Times New Roman"/>
                <w:b/>
                <w:sz w:val="22"/>
              </w:rPr>
              <w:t>Akpajo Dry Outdoor</w:t>
            </w:r>
          </w:p>
        </w:tc>
        <w:tc>
          <w:tcPr>
            <w:tcW w:w="1918" w:type="dxa"/>
            <w:tcBorders>
              <w:top w:val="single" w:sz="4" w:space="0" w:color="auto"/>
              <w:bottom w:val="single" w:sz="4" w:space="0" w:color="auto"/>
            </w:tcBorders>
            <w:vAlign w:val="center"/>
          </w:tcPr>
          <w:p w14:paraId="5168697B" w14:textId="77777777" w:rsidR="00F56C38" w:rsidRPr="004306A0" w:rsidRDefault="00163AF0">
            <w:pPr>
              <w:spacing w:after="0" w:line="240" w:lineRule="auto"/>
              <w:jc w:val="center"/>
              <w:rPr>
                <w:rFonts w:cs="Times New Roman"/>
                <w:b/>
              </w:rPr>
            </w:pPr>
            <w:r w:rsidRPr="004306A0">
              <w:rPr>
                <w:rFonts w:cs="Times New Roman"/>
                <w:b/>
                <w:sz w:val="22"/>
              </w:rPr>
              <w:t>Akpajo Wet Indoor</w:t>
            </w:r>
          </w:p>
        </w:tc>
        <w:tc>
          <w:tcPr>
            <w:tcW w:w="1919" w:type="dxa"/>
            <w:tcBorders>
              <w:top w:val="single" w:sz="4" w:space="0" w:color="auto"/>
              <w:bottom w:val="single" w:sz="4" w:space="0" w:color="auto"/>
            </w:tcBorders>
            <w:vAlign w:val="center"/>
          </w:tcPr>
          <w:p w14:paraId="2DA3819B" w14:textId="77777777" w:rsidR="00F56C38" w:rsidRPr="004306A0" w:rsidRDefault="00163AF0">
            <w:pPr>
              <w:spacing w:after="0" w:line="240" w:lineRule="auto"/>
              <w:jc w:val="center"/>
              <w:rPr>
                <w:rFonts w:cs="Times New Roman"/>
                <w:b/>
              </w:rPr>
            </w:pPr>
            <w:r w:rsidRPr="004306A0">
              <w:rPr>
                <w:rFonts w:cs="Times New Roman"/>
                <w:b/>
                <w:sz w:val="22"/>
              </w:rPr>
              <w:t>Akpajo Wet Outdoor</w:t>
            </w:r>
          </w:p>
        </w:tc>
      </w:tr>
      <w:tr w:rsidR="00F56C38" w:rsidRPr="004306A0" w14:paraId="5B2E6228" w14:textId="77777777" w:rsidTr="00A73566">
        <w:trPr>
          <w:trHeight w:val="361"/>
          <w:jc w:val="center"/>
        </w:trPr>
        <w:tc>
          <w:tcPr>
            <w:tcW w:w="2411" w:type="dxa"/>
            <w:tcBorders>
              <w:top w:val="single" w:sz="4" w:space="0" w:color="auto"/>
            </w:tcBorders>
            <w:vAlign w:val="center"/>
          </w:tcPr>
          <w:p w14:paraId="19B253C9" w14:textId="77777777" w:rsidR="00F56C38" w:rsidRPr="004306A0" w:rsidRDefault="00163AF0">
            <w:pPr>
              <w:spacing w:after="0" w:line="240" w:lineRule="auto"/>
              <w:jc w:val="center"/>
              <w:rPr>
                <w:rFonts w:cs="Times New Roman"/>
              </w:rPr>
            </w:pPr>
            <w:r w:rsidRPr="004306A0">
              <w:rPr>
                <w:rFonts w:cs="Times New Roman"/>
                <w:sz w:val="22"/>
              </w:rPr>
              <w:t>Naphthalene</w:t>
            </w:r>
          </w:p>
        </w:tc>
        <w:tc>
          <w:tcPr>
            <w:tcW w:w="1735" w:type="dxa"/>
            <w:tcBorders>
              <w:top w:val="single" w:sz="4" w:space="0" w:color="auto"/>
            </w:tcBorders>
            <w:vAlign w:val="center"/>
          </w:tcPr>
          <w:p w14:paraId="694505A2" w14:textId="77777777" w:rsidR="00F56C38" w:rsidRPr="004306A0" w:rsidRDefault="00163AF0">
            <w:pPr>
              <w:spacing w:after="0" w:line="240" w:lineRule="auto"/>
              <w:jc w:val="center"/>
              <w:rPr>
                <w:rFonts w:cs="Times New Roman"/>
              </w:rPr>
            </w:pPr>
            <w:r w:rsidRPr="004306A0">
              <w:rPr>
                <w:rFonts w:cs="Times New Roman"/>
                <w:sz w:val="22"/>
              </w:rPr>
              <w:t>0.45</w:t>
            </w:r>
          </w:p>
        </w:tc>
        <w:tc>
          <w:tcPr>
            <w:tcW w:w="1918" w:type="dxa"/>
            <w:tcBorders>
              <w:top w:val="single" w:sz="4" w:space="0" w:color="auto"/>
            </w:tcBorders>
            <w:vAlign w:val="center"/>
          </w:tcPr>
          <w:p w14:paraId="17F5F9DC" w14:textId="77777777" w:rsidR="00F56C38" w:rsidRPr="004306A0" w:rsidRDefault="00163AF0">
            <w:pPr>
              <w:spacing w:after="0" w:line="240" w:lineRule="auto"/>
              <w:jc w:val="center"/>
              <w:rPr>
                <w:rFonts w:cs="Times New Roman"/>
              </w:rPr>
            </w:pPr>
            <w:r w:rsidRPr="004306A0">
              <w:rPr>
                <w:rFonts w:cs="Times New Roman"/>
                <w:sz w:val="22"/>
              </w:rPr>
              <w:t>2.25</w:t>
            </w:r>
          </w:p>
        </w:tc>
        <w:tc>
          <w:tcPr>
            <w:tcW w:w="1918" w:type="dxa"/>
            <w:tcBorders>
              <w:top w:val="single" w:sz="4" w:space="0" w:color="auto"/>
            </w:tcBorders>
            <w:vAlign w:val="center"/>
          </w:tcPr>
          <w:p w14:paraId="527F36E0" w14:textId="77777777" w:rsidR="00F56C38" w:rsidRPr="004306A0" w:rsidRDefault="00163AF0">
            <w:pPr>
              <w:spacing w:after="0" w:line="240" w:lineRule="auto"/>
              <w:jc w:val="center"/>
              <w:rPr>
                <w:rFonts w:cs="Times New Roman"/>
              </w:rPr>
            </w:pPr>
            <w:r w:rsidRPr="004306A0">
              <w:rPr>
                <w:rFonts w:cs="Times New Roman"/>
                <w:sz w:val="22"/>
              </w:rPr>
              <w:t>0.20</w:t>
            </w:r>
          </w:p>
        </w:tc>
        <w:tc>
          <w:tcPr>
            <w:tcW w:w="1919" w:type="dxa"/>
            <w:tcBorders>
              <w:top w:val="single" w:sz="4" w:space="0" w:color="auto"/>
            </w:tcBorders>
            <w:vAlign w:val="center"/>
          </w:tcPr>
          <w:p w14:paraId="756913ED" w14:textId="77777777" w:rsidR="00F56C38" w:rsidRPr="004306A0" w:rsidRDefault="00163AF0">
            <w:pPr>
              <w:spacing w:after="0" w:line="240" w:lineRule="auto"/>
              <w:jc w:val="center"/>
              <w:rPr>
                <w:rFonts w:cs="Times New Roman"/>
              </w:rPr>
            </w:pPr>
            <w:r w:rsidRPr="004306A0">
              <w:rPr>
                <w:rFonts w:cs="Times New Roman"/>
                <w:sz w:val="22"/>
              </w:rPr>
              <w:t>1.00</w:t>
            </w:r>
          </w:p>
        </w:tc>
      </w:tr>
      <w:tr w:rsidR="00F56C38" w:rsidRPr="004306A0" w14:paraId="060DC2D5" w14:textId="77777777" w:rsidTr="00A73566">
        <w:trPr>
          <w:trHeight w:val="361"/>
          <w:jc w:val="center"/>
        </w:trPr>
        <w:tc>
          <w:tcPr>
            <w:tcW w:w="2411" w:type="dxa"/>
            <w:vAlign w:val="center"/>
          </w:tcPr>
          <w:p w14:paraId="1D788A80" w14:textId="77777777" w:rsidR="00F56C38" w:rsidRPr="004306A0" w:rsidRDefault="00163AF0">
            <w:pPr>
              <w:spacing w:after="0" w:line="240" w:lineRule="auto"/>
              <w:jc w:val="center"/>
              <w:rPr>
                <w:rFonts w:cs="Times New Roman"/>
              </w:rPr>
            </w:pPr>
            <w:r w:rsidRPr="004306A0">
              <w:rPr>
                <w:rFonts w:cs="Times New Roman"/>
                <w:sz w:val="22"/>
              </w:rPr>
              <w:t>Acenaphthylene</w:t>
            </w:r>
          </w:p>
        </w:tc>
        <w:tc>
          <w:tcPr>
            <w:tcW w:w="1735" w:type="dxa"/>
            <w:vAlign w:val="center"/>
          </w:tcPr>
          <w:p w14:paraId="34660E8B" w14:textId="77777777" w:rsidR="00F56C38" w:rsidRPr="004306A0" w:rsidRDefault="00163AF0">
            <w:pPr>
              <w:spacing w:after="0" w:line="240" w:lineRule="auto"/>
              <w:jc w:val="center"/>
              <w:rPr>
                <w:rFonts w:cs="Times New Roman"/>
              </w:rPr>
            </w:pPr>
            <w:r w:rsidRPr="004306A0">
              <w:rPr>
                <w:rFonts w:cs="Times New Roman"/>
                <w:sz w:val="22"/>
              </w:rPr>
              <w:t>1.20</w:t>
            </w:r>
          </w:p>
        </w:tc>
        <w:tc>
          <w:tcPr>
            <w:tcW w:w="1918" w:type="dxa"/>
            <w:vAlign w:val="center"/>
          </w:tcPr>
          <w:p w14:paraId="4A48AD42" w14:textId="77777777" w:rsidR="00F56C38" w:rsidRPr="004306A0" w:rsidRDefault="00163AF0">
            <w:pPr>
              <w:spacing w:after="0" w:line="240" w:lineRule="auto"/>
              <w:jc w:val="center"/>
              <w:rPr>
                <w:rFonts w:cs="Times New Roman"/>
              </w:rPr>
            </w:pPr>
            <w:r w:rsidRPr="004306A0">
              <w:rPr>
                <w:rFonts w:cs="Times New Roman"/>
                <w:sz w:val="22"/>
              </w:rPr>
              <w:t>1.25</w:t>
            </w:r>
          </w:p>
        </w:tc>
        <w:tc>
          <w:tcPr>
            <w:tcW w:w="1918" w:type="dxa"/>
            <w:vAlign w:val="center"/>
          </w:tcPr>
          <w:p w14:paraId="612B90BF" w14:textId="77777777" w:rsidR="00F56C38" w:rsidRPr="004306A0" w:rsidRDefault="00163AF0">
            <w:pPr>
              <w:spacing w:after="0" w:line="240" w:lineRule="auto"/>
              <w:jc w:val="center"/>
              <w:rPr>
                <w:rFonts w:cs="Times New Roman"/>
              </w:rPr>
            </w:pPr>
            <w:r w:rsidRPr="004306A0">
              <w:rPr>
                <w:rFonts w:cs="Times New Roman"/>
                <w:sz w:val="22"/>
              </w:rPr>
              <w:t>0.80</w:t>
            </w:r>
          </w:p>
        </w:tc>
        <w:tc>
          <w:tcPr>
            <w:tcW w:w="1919" w:type="dxa"/>
            <w:vAlign w:val="center"/>
          </w:tcPr>
          <w:p w14:paraId="5F5CCC12" w14:textId="77777777" w:rsidR="00F56C38" w:rsidRPr="004306A0" w:rsidRDefault="00163AF0">
            <w:pPr>
              <w:spacing w:after="0" w:line="240" w:lineRule="auto"/>
              <w:jc w:val="center"/>
              <w:rPr>
                <w:rFonts w:cs="Times New Roman"/>
              </w:rPr>
            </w:pPr>
            <w:r w:rsidRPr="004306A0">
              <w:rPr>
                <w:rFonts w:cs="Times New Roman"/>
                <w:sz w:val="22"/>
              </w:rPr>
              <w:t>0.60</w:t>
            </w:r>
          </w:p>
        </w:tc>
      </w:tr>
      <w:tr w:rsidR="00F56C38" w:rsidRPr="004306A0" w14:paraId="59F94E9E" w14:textId="77777777" w:rsidTr="00A73566">
        <w:trPr>
          <w:trHeight w:val="361"/>
          <w:jc w:val="center"/>
        </w:trPr>
        <w:tc>
          <w:tcPr>
            <w:tcW w:w="2411" w:type="dxa"/>
            <w:vAlign w:val="center"/>
          </w:tcPr>
          <w:p w14:paraId="58F81542" w14:textId="77777777" w:rsidR="00F56C38" w:rsidRPr="004306A0" w:rsidRDefault="00163AF0">
            <w:pPr>
              <w:spacing w:after="0" w:line="240" w:lineRule="auto"/>
              <w:jc w:val="center"/>
              <w:rPr>
                <w:rFonts w:cs="Times New Roman"/>
              </w:rPr>
            </w:pPr>
            <w:r w:rsidRPr="004306A0">
              <w:rPr>
                <w:rFonts w:cs="Times New Roman"/>
                <w:sz w:val="22"/>
              </w:rPr>
              <w:t>Acenaphthene</w:t>
            </w:r>
          </w:p>
        </w:tc>
        <w:tc>
          <w:tcPr>
            <w:tcW w:w="1735" w:type="dxa"/>
            <w:vAlign w:val="center"/>
          </w:tcPr>
          <w:p w14:paraId="40546170" w14:textId="77777777" w:rsidR="00F56C38" w:rsidRPr="004306A0" w:rsidRDefault="00163AF0">
            <w:pPr>
              <w:spacing w:after="0" w:line="240" w:lineRule="auto"/>
              <w:jc w:val="center"/>
              <w:rPr>
                <w:rFonts w:cs="Times New Roman"/>
              </w:rPr>
            </w:pPr>
            <w:r w:rsidRPr="004306A0">
              <w:rPr>
                <w:rFonts w:cs="Times New Roman"/>
                <w:sz w:val="22"/>
              </w:rPr>
              <w:t>0.40</w:t>
            </w:r>
          </w:p>
        </w:tc>
        <w:tc>
          <w:tcPr>
            <w:tcW w:w="1918" w:type="dxa"/>
            <w:vAlign w:val="center"/>
          </w:tcPr>
          <w:p w14:paraId="002AE513" w14:textId="77777777" w:rsidR="00F56C38" w:rsidRPr="004306A0" w:rsidRDefault="00163AF0">
            <w:pPr>
              <w:spacing w:after="0" w:line="240" w:lineRule="auto"/>
              <w:jc w:val="center"/>
              <w:rPr>
                <w:rFonts w:cs="Times New Roman"/>
              </w:rPr>
            </w:pPr>
            <w:r w:rsidRPr="004306A0">
              <w:rPr>
                <w:rFonts w:cs="Times New Roman"/>
                <w:sz w:val="22"/>
              </w:rPr>
              <w:t>0.25</w:t>
            </w:r>
          </w:p>
        </w:tc>
        <w:tc>
          <w:tcPr>
            <w:tcW w:w="1918" w:type="dxa"/>
            <w:vAlign w:val="center"/>
          </w:tcPr>
          <w:p w14:paraId="08A2C626" w14:textId="77777777" w:rsidR="00F56C38" w:rsidRPr="004306A0" w:rsidRDefault="00163AF0">
            <w:pPr>
              <w:spacing w:after="0" w:line="240" w:lineRule="auto"/>
              <w:jc w:val="center"/>
              <w:rPr>
                <w:rFonts w:cs="Times New Roman"/>
              </w:rPr>
            </w:pPr>
            <w:r w:rsidRPr="004306A0">
              <w:rPr>
                <w:rFonts w:cs="Times New Roman"/>
                <w:sz w:val="22"/>
              </w:rPr>
              <w:t>0.15</w:t>
            </w:r>
          </w:p>
        </w:tc>
        <w:tc>
          <w:tcPr>
            <w:tcW w:w="1919" w:type="dxa"/>
            <w:vAlign w:val="center"/>
          </w:tcPr>
          <w:p w14:paraId="679854C7" w14:textId="77777777" w:rsidR="00F56C38" w:rsidRPr="004306A0" w:rsidRDefault="00163AF0">
            <w:pPr>
              <w:spacing w:after="0" w:line="240" w:lineRule="auto"/>
              <w:jc w:val="center"/>
              <w:rPr>
                <w:rFonts w:cs="Times New Roman"/>
              </w:rPr>
            </w:pPr>
            <w:r w:rsidRPr="004306A0">
              <w:rPr>
                <w:rFonts w:cs="Times New Roman"/>
                <w:sz w:val="22"/>
              </w:rPr>
              <w:t>0.10</w:t>
            </w:r>
          </w:p>
        </w:tc>
      </w:tr>
      <w:tr w:rsidR="00F56C38" w:rsidRPr="004306A0" w14:paraId="6962E952" w14:textId="77777777" w:rsidTr="00A73566">
        <w:trPr>
          <w:trHeight w:val="375"/>
          <w:jc w:val="center"/>
        </w:trPr>
        <w:tc>
          <w:tcPr>
            <w:tcW w:w="2411" w:type="dxa"/>
            <w:vAlign w:val="center"/>
          </w:tcPr>
          <w:p w14:paraId="4C49E960" w14:textId="77777777" w:rsidR="00F56C38" w:rsidRPr="004306A0" w:rsidRDefault="00163AF0">
            <w:pPr>
              <w:spacing w:after="0" w:line="240" w:lineRule="auto"/>
              <w:jc w:val="center"/>
              <w:rPr>
                <w:rFonts w:cs="Times New Roman"/>
              </w:rPr>
            </w:pPr>
            <w:r w:rsidRPr="004306A0">
              <w:rPr>
                <w:rFonts w:cs="Times New Roman"/>
                <w:sz w:val="22"/>
              </w:rPr>
              <w:t>Fluorene</w:t>
            </w:r>
          </w:p>
        </w:tc>
        <w:tc>
          <w:tcPr>
            <w:tcW w:w="1735" w:type="dxa"/>
            <w:vAlign w:val="center"/>
          </w:tcPr>
          <w:p w14:paraId="4A8AE9E2" w14:textId="77777777" w:rsidR="00F56C38" w:rsidRPr="004306A0" w:rsidRDefault="00163AF0">
            <w:pPr>
              <w:spacing w:after="0" w:line="240" w:lineRule="auto"/>
              <w:jc w:val="center"/>
              <w:rPr>
                <w:rFonts w:cs="Times New Roman"/>
              </w:rPr>
            </w:pPr>
            <w:r w:rsidRPr="004306A0">
              <w:rPr>
                <w:rFonts w:cs="Times New Roman"/>
                <w:sz w:val="22"/>
              </w:rPr>
              <w:t>0.40</w:t>
            </w:r>
          </w:p>
        </w:tc>
        <w:tc>
          <w:tcPr>
            <w:tcW w:w="1918" w:type="dxa"/>
            <w:vAlign w:val="center"/>
          </w:tcPr>
          <w:p w14:paraId="4E3B4D0E" w14:textId="77777777" w:rsidR="00F56C38" w:rsidRPr="004306A0" w:rsidRDefault="00163AF0">
            <w:pPr>
              <w:spacing w:after="0" w:line="240" w:lineRule="auto"/>
              <w:jc w:val="center"/>
              <w:rPr>
                <w:rFonts w:cs="Times New Roman"/>
              </w:rPr>
            </w:pPr>
            <w:r w:rsidRPr="004306A0">
              <w:rPr>
                <w:rFonts w:cs="Times New Roman"/>
                <w:sz w:val="22"/>
              </w:rPr>
              <w:t>1.40</w:t>
            </w:r>
          </w:p>
        </w:tc>
        <w:tc>
          <w:tcPr>
            <w:tcW w:w="1918" w:type="dxa"/>
            <w:vAlign w:val="center"/>
          </w:tcPr>
          <w:p w14:paraId="5407F6A4" w14:textId="77777777" w:rsidR="00F56C38" w:rsidRPr="004306A0" w:rsidRDefault="00163AF0">
            <w:pPr>
              <w:spacing w:after="0" w:line="240" w:lineRule="auto"/>
              <w:jc w:val="center"/>
              <w:rPr>
                <w:rFonts w:cs="Times New Roman"/>
              </w:rPr>
            </w:pPr>
            <w:r w:rsidRPr="004306A0">
              <w:rPr>
                <w:rFonts w:cs="Times New Roman"/>
                <w:sz w:val="22"/>
              </w:rPr>
              <w:t>0.20</w:t>
            </w:r>
          </w:p>
        </w:tc>
        <w:tc>
          <w:tcPr>
            <w:tcW w:w="1919" w:type="dxa"/>
            <w:vAlign w:val="center"/>
          </w:tcPr>
          <w:p w14:paraId="508DC246" w14:textId="77777777" w:rsidR="00F56C38" w:rsidRPr="004306A0" w:rsidRDefault="00163AF0">
            <w:pPr>
              <w:spacing w:after="0" w:line="240" w:lineRule="auto"/>
              <w:jc w:val="center"/>
              <w:rPr>
                <w:rFonts w:cs="Times New Roman"/>
              </w:rPr>
            </w:pPr>
            <w:r w:rsidRPr="004306A0">
              <w:rPr>
                <w:rFonts w:cs="Times New Roman"/>
                <w:sz w:val="22"/>
              </w:rPr>
              <w:t>0.50</w:t>
            </w:r>
          </w:p>
        </w:tc>
      </w:tr>
      <w:tr w:rsidR="00F56C38" w:rsidRPr="004306A0" w14:paraId="4A5F79A4" w14:textId="77777777" w:rsidTr="00A73566">
        <w:trPr>
          <w:trHeight w:val="361"/>
          <w:jc w:val="center"/>
        </w:trPr>
        <w:tc>
          <w:tcPr>
            <w:tcW w:w="2411" w:type="dxa"/>
            <w:vAlign w:val="center"/>
          </w:tcPr>
          <w:p w14:paraId="129DCC3A" w14:textId="77777777" w:rsidR="00F56C38" w:rsidRPr="004306A0" w:rsidRDefault="00163AF0">
            <w:pPr>
              <w:spacing w:after="0" w:line="240" w:lineRule="auto"/>
              <w:jc w:val="center"/>
              <w:rPr>
                <w:rFonts w:cs="Times New Roman"/>
              </w:rPr>
            </w:pPr>
            <w:r w:rsidRPr="004306A0">
              <w:rPr>
                <w:rFonts w:cs="Times New Roman"/>
                <w:sz w:val="22"/>
              </w:rPr>
              <w:t>Phenanthrene</w:t>
            </w:r>
          </w:p>
        </w:tc>
        <w:tc>
          <w:tcPr>
            <w:tcW w:w="1735" w:type="dxa"/>
            <w:vAlign w:val="center"/>
          </w:tcPr>
          <w:p w14:paraId="4AB093F4" w14:textId="77777777" w:rsidR="00F56C38" w:rsidRPr="004306A0" w:rsidRDefault="00163AF0">
            <w:pPr>
              <w:spacing w:after="0" w:line="240" w:lineRule="auto"/>
              <w:jc w:val="center"/>
              <w:rPr>
                <w:rFonts w:cs="Times New Roman"/>
              </w:rPr>
            </w:pPr>
            <w:r w:rsidRPr="004306A0">
              <w:rPr>
                <w:rFonts w:cs="Times New Roman"/>
                <w:sz w:val="22"/>
              </w:rPr>
              <w:t>1.50</w:t>
            </w:r>
          </w:p>
        </w:tc>
        <w:tc>
          <w:tcPr>
            <w:tcW w:w="1918" w:type="dxa"/>
            <w:vAlign w:val="center"/>
          </w:tcPr>
          <w:p w14:paraId="7328CB08" w14:textId="77777777" w:rsidR="00F56C38" w:rsidRPr="004306A0" w:rsidRDefault="00163AF0">
            <w:pPr>
              <w:spacing w:after="0" w:line="240" w:lineRule="auto"/>
              <w:jc w:val="center"/>
              <w:rPr>
                <w:rFonts w:cs="Times New Roman"/>
              </w:rPr>
            </w:pPr>
            <w:r w:rsidRPr="004306A0">
              <w:rPr>
                <w:rFonts w:cs="Times New Roman"/>
                <w:sz w:val="22"/>
              </w:rPr>
              <w:t>0.05</w:t>
            </w:r>
          </w:p>
        </w:tc>
        <w:tc>
          <w:tcPr>
            <w:tcW w:w="1918" w:type="dxa"/>
            <w:vAlign w:val="center"/>
          </w:tcPr>
          <w:p w14:paraId="7F01F879" w14:textId="77777777" w:rsidR="00F56C38" w:rsidRPr="004306A0" w:rsidRDefault="00163AF0">
            <w:pPr>
              <w:spacing w:after="0" w:line="240" w:lineRule="auto"/>
              <w:jc w:val="center"/>
              <w:rPr>
                <w:rFonts w:cs="Times New Roman"/>
              </w:rPr>
            </w:pPr>
            <w:r w:rsidRPr="004306A0">
              <w:rPr>
                <w:rFonts w:cs="Times New Roman"/>
                <w:sz w:val="22"/>
              </w:rPr>
              <w:t>0.85</w:t>
            </w:r>
          </w:p>
        </w:tc>
        <w:tc>
          <w:tcPr>
            <w:tcW w:w="1919" w:type="dxa"/>
            <w:vAlign w:val="center"/>
          </w:tcPr>
          <w:p w14:paraId="09A642DB" w14:textId="77777777" w:rsidR="00F56C38" w:rsidRPr="004306A0" w:rsidRDefault="00163AF0">
            <w:pPr>
              <w:spacing w:after="0" w:line="240" w:lineRule="auto"/>
              <w:jc w:val="center"/>
              <w:rPr>
                <w:rFonts w:cs="Times New Roman"/>
              </w:rPr>
            </w:pPr>
            <w:r w:rsidRPr="004306A0">
              <w:rPr>
                <w:rFonts w:cs="Times New Roman"/>
                <w:sz w:val="22"/>
              </w:rPr>
              <w:t>0.10</w:t>
            </w:r>
          </w:p>
        </w:tc>
      </w:tr>
      <w:tr w:rsidR="00F56C38" w:rsidRPr="004306A0" w14:paraId="1434B502" w14:textId="77777777" w:rsidTr="00A73566">
        <w:trPr>
          <w:trHeight w:val="361"/>
          <w:jc w:val="center"/>
        </w:trPr>
        <w:tc>
          <w:tcPr>
            <w:tcW w:w="2411" w:type="dxa"/>
            <w:vAlign w:val="center"/>
          </w:tcPr>
          <w:p w14:paraId="4BCA5741" w14:textId="77777777" w:rsidR="00F56C38" w:rsidRPr="004306A0" w:rsidRDefault="00163AF0">
            <w:pPr>
              <w:spacing w:after="0" w:line="240" w:lineRule="auto"/>
              <w:jc w:val="center"/>
              <w:rPr>
                <w:rFonts w:cs="Times New Roman"/>
              </w:rPr>
            </w:pPr>
            <w:r w:rsidRPr="004306A0">
              <w:rPr>
                <w:rFonts w:cs="Times New Roman"/>
                <w:sz w:val="22"/>
              </w:rPr>
              <w:t>Anthracene</w:t>
            </w:r>
          </w:p>
        </w:tc>
        <w:tc>
          <w:tcPr>
            <w:tcW w:w="1735" w:type="dxa"/>
            <w:vAlign w:val="center"/>
          </w:tcPr>
          <w:p w14:paraId="2C8227D0" w14:textId="77777777" w:rsidR="00F56C38" w:rsidRPr="004306A0" w:rsidRDefault="00163AF0">
            <w:pPr>
              <w:spacing w:after="0" w:line="240" w:lineRule="auto"/>
              <w:jc w:val="center"/>
              <w:rPr>
                <w:rFonts w:cs="Times New Roman"/>
              </w:rPr>
            </w:pPr>
            <w:r w:rsidRPr="004306A0">
              <w:rPr>
                <w:rFonts w:cs="Times New Roman"/>
                <w:sz w:val="22"/>
              </w:rPr>
              <w:t>2.25</w:t>
            </w:r>
          </w:p>
        </w:tc>
        <w:tc>
          <w:tcPr>
            <w:tcW w:w="1918" w:type="dxa"/>
            <w:vAlign w:val="center"/>
          </w:tcPr>
          <w:p w14:paraId="183E302E" w14:textId="77777777" w:rsidR="00F56C38" w:rsidRPr="004306A0" w:rsidRDefault="00163AF0">
            <w:pPr>
              <w:spacing w:after="0" w:line="240" w:lineRule="auto"/>
              <w:jc w:val="center"/>
              <w:rPr>
                <w:rFonts w:cs="Times New Roman"/>
              </w:rPr>
            </w:pPr>
            <w:r w:rsidRPr="004306A0">
              <w:rPr>
                <w:rFonts w:cs="Times New Roman"/>
                <w:sz w:val="22"/>
              </w:rPr>
              <w:t>3.15</w:t>
            </w:r>
          </w:p>
        </w:tc>
        <w:tc>
          <w:tcPr>
            <w:tcW w:w="1918" w:type="dxa"/>
            <w:vAlign w:val="center"/>
          </w:tcPr>
          <w:p w14:paraId="24CB117B" w14:textId="77777777" w:rsidR="00F56C38" w:rsidRPr="004306A0" w:rsidRDefault="00163AF0">
            <w:pPr>
              <w:spacing w:after="0" w:line="240" w:lineRule="auto"/>
              <w:jc w:val="center"/>
              <w:rPr>
                <w:rFonts w:cs="Times New Roman"/>
              </w:rPr>
            </w:pPr>
            <w:r w:rsidRPr="004306A0">
              <w:rPr>
                <w:rFonts w:cs="Times New Roman"/>
                <w:sz w:val="22"/>
              </w:rPr>
              <w:t>1.70</w:t>
            </w:r>
          </w:p>
        </w:tc>
        <w:tc>
          <w:tcPr>
            <w:tcW w:w="1919" w:type="dxa"/>
            <w:vAlign w:val="center"/>
          </w:tcPr>
          <w:p w14:paraId="1D6A5B13" w14:textId="77777777" w:rsidR="00F56C38" w:rsidRPr="004306A0" w:rsidRDefault="00163AF0">
            <w:pPr>
              <w:spacing w:after="0" w:line="240" w:lineRule="auto"/>
              <w:jc w:val="center"/>
              <w:rPr>
                <w:rFonts w:cs="Times New Roman"/>
              </w:rPr>
            </w:pPr>
            <w:r w:rsidRPr="004306A0">
              <w:rPr>
                <w:rFonts w:cs="Times New Roman"/>
                <w:sz w:val="22"/>
              </w:rPr>
              <w:t>2.20</w:t>
            </w:r>
          </w:p>
        </w:tc>
      </w:tr>
      <w:tr w:rsidR="00F56C38" w:rsidRPr="004306A0" w14:paraId="5652B98B" w14:textId="77777777" w:rsidTr="00A73566">
        <w:trPr>
          <w:trHeight w:val="375"/>
          <w:jc w:val="center"/>
        </w:trPr>
        <w:tc>
          <w:tcPr>
            <w:tcW w:w="2411" w:type="dxa"/>
            <w:vAlign w:val="center"/>
          </w:tcPr>
          <w:p w14:paraId="4510BDAE" w14:textId="77777777" w:rsidR="00F56C38" w:rsidRPr="004306A0" w:rsidRDefault="00163AF0">
            <w:pPr>
              <w:spacing w:after="0" w:line="240" w:lineRule="auto"/>
              <w:jc w:val="center"/>
              <w:rPr>
                <w:rFonts w:cs="Times New Roman"/>
              </w:rPr>
            </w:pPr>
            <w:r w:rsidRPr="004306A0">
              <w:rPr>
                <w:rFonts w:cs="Times New Roman"/>
                <w:sz w:val="22"/>
              </w:rPr>
              <w:t>Fluoranthene</w:t>
            </w:r>
          </w:p>
        </w:tc>
        <w:tc>
          <w:tcPr>
            <w:tcW w:w="1735" w:type="dxa"/>
            <w:vAlign w:val="center"/>
          </w:tcPr>
          <w:p w14:paraId="2E499FA4" w14:textId="77777777" w:rsidR="00F56C38" w:rsidRPr="004306A0" w:rsidRDefault="00163AF0">
            <w:pPr>
              <w:spacing w:after="0" w:line="240" w:lineRule="auto"/>
              <w:jc w:val="center"/>
              <w:rPr>
                <w:rFonts w:cs="Times New Roman"/>
              </w:rPr>
            </w:pPr>
            <w:r w:rsidRPr="004306A0">
              <w:rPr>
                <w:rFonts w:cs="Times New Roman"/>
                <w:sz w:val="22"/>
              </w:rPr>
              <w:t>1.00</w:t>
            </w:r>
          </w:p>
        </w:tc>
        <w:tc>
          <w:tcPr>
            <w:tcW w:w="1918" w:type="dxa"/>
            <w:vAlign w:val="center"/>
          </w:tcPr>
          <w:p w14:paraId="597E31D7" w14:textId="77777777" w:rsidR="00F56C38" w:rsidRPr="004306A0" w:rsidRDefault="00163AF0">
            <w:pPr>
              <w:spacing w:after="0" w:line="240" w:lineRule="auto"/>
              <w:jc w:val="center"/>
              <w:rPr>
                <w:rFonts w:cs="Times New Roman"/>
              </w:rPr>
            </w:pPr>
            <w:r w:rsidRPr="004306A0">
              <w:rPr>
                <w:rFonts w:cs="Times New Roman"/>
                <w:sz w:val="22"/>
              </w:rPr>
              <w:t>0.90</w:t>
            </w:r>
          </w:p>
        </w:tc>
        <w:tc>
          <w:tcPr>
            <w:tcW w:w="1918" w:type="dxa"/>
            <w:vAlign w:val="center"/>
          </w:tcPr>
          <w:p w14:paraId="594AE816" w14:textId="77777777" w:rsidR="00F56C38" w:rsidRPr="004306A0" w:rsidRDefault="00163AF0">
            <w:pPr>
              <w:spacing w:after="0" w:line="240" w:lineRule="auto"/>
              <w:jc w:val="center"/>
              <w:rPr>
                <w:rFonts w:cs="Times New Roman"/>
              </w:rPr>
            </w:pPr>
            <w:r w:rsidRPr="004306A0">
              <w:rPr>
                <w:rFonts w:cs="Times New Roman"/>
                <w:sz w:val="22"/>
              </w:rPr>
              <w:t>0.55</w:t>
            </w:r>
          </w:p>
        </w:tc>
        <w:tc>
          <w:tcPr>
            <w:tcW w:w="1919" w:type="dxa"/>
            <w:vAlign w:val="center"/>
          </w:tcPr>
          <w:p w14:paraId="29B66BCF" w14:textId="77777777" w:rsidR="00F56C38" w:rsidRPr="004306A0" w:rsidRDefault="00163AF0">
            <w:pPr>
              <w:spacing w:after="0" w:line="240" w:lineRule="auto"/>
              <w:jc w:val="center"/>
              <w:rPr>
                <w:rFonts w:cs="Times New Roman"/>
              </w:rPr>
            </w:pPr>
            <w:r w:rsidRPr="004306A0">
              <w:rPr>
                <w:rFonts w:cs="Times New Roman"/>
                <w:sz w:val="22"/>
              </w:rPr>
              <w:t>0.75</w:t>
            </w:r>
          </w:p>
        </w:tc>
      </w:tr>
      <w:tr w:rsidR="00F56C38" w:rsidRPr="004306A0" w14:paraId="2EA78DD4" w14:textId="77777777" w:rsidTr="00A73566">
        <w:trPr>
          <w:trHeight w:val="361"/>
          <w:jc w:val="center"/>
        </w:trPr>
        <w:tc>
          <w:tcPr>
            <w:tcW w:w="2411" w:type="dxa"/>
            <w:vAlign w:val="center"/>
          </w:tcPr>
          <w:p w14:paraId="3EA4DF11" w14:textId="77777777" w:rsidR="00F56C38" w:rsidRPr="004306A0" w:rsidRDefault="00163AF0">
            <w:pPr>
              <w:spacing w:after="0" w:line="240" w:lineRule="auto"/>
              <w:jc w:val="center"/>
              <w:rPr>
                <w:rFonts w:cs="Times New Roman"/>
              </w:rPr>
            </w:pPr>
            <w:r w:rsidRPr="004306A0">
              <w:rPr>
                <w:rFonts w:cs="Times New Roman"/>
                <w:sz w:val="22"/>
              </w:rPr>
              <w:t>Pyrene</w:t>
            </w:r>
          </w:p>
        </w:tc>
        <w:tc>
          <w:tcPr>
            <w:tcW w:w="1735" w:type="dxa"/>
            <w:vAlign w:val="center"/>
          </w:tcPr>
          <w:p w14:paraId="560E5349" w14:textId="77777777" w:rsidR="00F56C38" w:rsidRPr="004306A0" w:rsidRDefault="00163AF0">
            <w:pPr>
              <w:spacing w:after="0" w:line="240" w:lineRule="auto"/>
              <w:jc w:val="center"/>
              <w:rPr>
                <w:rFonts w:cs="Times New Roman"/>
              </w:rPr>
            </w:pPr>
            <w:r w:rsidRPr="004306A0">
              <w:rPr>
                <w:rFonts w:cs="Times New Roman"/>
                <w:sz w:val="22"/>
              </w:rPr>
              <w:t>5.45</w:t>
            </w:r>
          </w:p>
        </w:tc>
        <w:tc>
          <w:tcPr>
            <w:tcW w:w="1918" w:type="dxa"/>
            <w:vAlign w:val="center"/>
          </w:tcPr>
          <w:p w14:paraId="7E9DF5A0" w14:textId="77777777" w:rsidR="00F56C38" w:rsidRPr="004306A0" w:rsidRDefault="00163AF0">
            <w:pPr>
              <w:spacing w:after="0" w:line="240" w:lineRule="auto"/>
              <w:jc w:val="center"/>
              <w:rPr>
                <w:rFonts w:cs="Times New Roman"/>
              </w:rPr>
            </w:pPr>
            <w:r w:rsidRPr="004306A0">
              <w:rPr>
                <w:rFonts w:cs="Times New Roman"/>
                <w:sz w:val="22"/>
              </w:rPr>
              <w:t>2.35</w:t>
            </w:r>
          </w:p>
        </w:tc>
        <w:tc>
          <w:tcPr>
            <w:tcW w:w="1918" w:type="dxa"/>
            <w:vAlign w:val="center"/>
          </w:tcPr>
          <w:p w14:paraId="0CE500BA" w14:textId="77777777" w:rsidR="00F56C38" w:rsidRPr="004306A0" w:rsidRDefault="00163AF0">
            <w:pPr>
              <w:spacing w:after="0" w:line="240" w:lineRule="auto"/>
              <w:jc w:val="center"/>
              <w:rPr>
                <w:rFonts w:cs="Times New Roman"/>
              </w:rPr>
            </w:pPr>
            <w:r w:rsidRPr="004306A0">
              <w:rPr>
                <w:rFonts w:cs="Times New Roman"/>
                <w:sz w:val="22"/>
              </w:rPr>
              <w:t>3.05</w:t>
            </w:r>
          </w:p>
        </w:tc>
        <w:tc>
          <w:tcPr>
            <w:tcW w:w="1919" w:type="dxa"/>
            <w:vAlign w:val="center"/>
          </w:tcPr>
          <w:p w14:paraId="48598DF3" w14:textId="77777777" w:rsidR="00F56C38" w:rsidRPr="004306A0" w:rsidRDefault="00163AF0">
            <w:pPr>
              <w:spacing w:after="0" w:line="240" w:lineRule="auto"/>
              <w:jc w:val="center"/>
              <w:rPr>
                <w:rFonts w:cs="Times New Roman"/>
              </w:rPr>
            </w:pPr>
            <w:r w:rsidRPr="004306A0">
              <w:rPr>
                <w:rFonts w:cs="Times New Roman"/>
                <w:sz w:val="22"/>
              </w:rPr>
              <w:t>1.30</w:t>
            </w:r>
          </w:p>
        </w:tc>
      </w:tr>
      <w:tr w:rsidR="00F56C38" w:rsidRPr="004306A0" w14:paraId="6F801101" w14:textId="77777777" w:rsidTr="00A73566">
        <w:trPr>
          <w:trHeight w:val="736"/>
          <w:jc w:val="center"/>
        </w:trPr>
        <w:tc>
          <w:tcPr>
            <w:tcW w:w="2411" w:type="dxa"/>
            <w:vAlign w:val="center"/>
          </w:tcPr>
          <w:p w14:paraId="6CF8BCBA" w14:textId="77777777" w:rsidR="00F56C38" w:rsidRPr="004306A0" w:rsidRDefault="00163AF0">
            <w:pPr>
              <w:spacing w:after="0" w:line="240" w:lineRule="auto"/>
              <w:jc w:val="center"/>
              <w:rPr>
                <w:rFonts w:cs="Times New Roman"/>
              </w:rPr>
            </w:pPr>
            <w:r w:rsidRPr="004306A0">
              <w:rPr>
                <w:rFonts w:cs="Times New Roman"/>
                <w:sz w:val="22"/>
              </w:rPr>
              <w:t>Benzo(a)anthracene</w:t>
            </w:r>
          </w:p>
        </w:tc>
        <w:tc>
          <w:tcPr>
            <w:tcW w:w="1735" w:type="dxa"/>
            <w:vAlign w:val="center"/>
          </w:tcPr>
          <w:p w14:paraId="1D6D2D0D" w14:textId="77777777" w:rsidR="00F56C38" w:rsidRPr="004306A0" w:rsidRDefault="00163AF0">
            <w:pPr>
              <w:spacing w:after="0" w:line="240" w:lineRule="auto"/>
              <w:jc w:val="center"/>
              <w:rPr>
                <w:rFonts w:cs="Times New Roman"/>
              </w:rPr>
            </w:pPr>
            <w:r w:rsidRPr="004306A0">
              <w:rPr>
                <w:rFonts w:cs="Times New Roman"/>
                <w:sz w:val="22"/>
              </w:rPr>
              <w:t>0.05</w:t>
            </w:r>
          </w:p>
        </w:tc>
        <w:tc>
          <w:tcPr>
            <w:tcW w:w="1918" w:type="dxa"/>
            <w:vAlign w:val="center"/>
          </w:tcPr>
          <w:p w14:paraId="0065FA68" w14:textId="77777777" w:rsidR="00F56C38" w:rsidRPr="004306A0" w:rsidRDefault="00163AF0">
            <w:pPr>
              <w:spacing w:after="0" w:line="240" w:lineRule="auto"/>
              <w:jc w:val="center"/>
              <w:rPr>
                <w:rFonts w:cs="Times New Roman"/>
              </w:rPr>
            </w:pPr>
            <w:r w:rsidRPr="004306A0">
              <w:rPr>
                <w:rFonts w:cs="Times New Roman"/>
                <w:sz w:val="22"/>
              </w:rPr>
              <w:t>0.05</w:t>
            </w:r>
          </w:p>
        </w:tc>
        <w:tc>
          <w:tcPr>
            <w:tcW w:w="1918" w:type="dxa"/>
            <w:vAlign w:val="center"/>
          </w:tcPr>
          <w:p w14:paraId="63442179"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9" w:type="dxa"/>
            <w:vAlign w:val="center"/>
          </w:tcPr>
          <w:p w14:paraId="47C519EA" w14:textId="77777777" w:rsidR="00F56C38" w:rsidRPr="004306A0" w:rsidRDefault="00163AF0">
            <w:pPr>
              <w:spacing w:after="0" w:line="240" w:lineRule="auto"/>
              <w:jc w:val="center"/>
              <w:rPr>
                <w:rFonts w:cs="Times New Roman"/>
              </w:rPr>
            </w:pPr>
            <w:r w:rsidRPr="004306A0">
              <w:rPr>
                <w:rFonts w:cs="Times New Roman"/>
                <w:sz w:val="22"/>
              </w:rPr>
              <w:t>0.10</w:t>
            </w:r>
          </w:p>
        </w:tc>
      </w:tr>
      <w:tr w:rsidR="00F56C38" w:rsidRPr="004306A0" w14:paraId="0721262F" w14:textId="77777777" w:rsidTr="00A73566">
        <w:trPr>
          <w:trHeight w:val="361"/>
          <w:jc w:val="center"/>
        </w:trPr>
        <w:tc>
          <w:tcPr>
            <w:tcW w:w="2411" w:type="dxa"/>
            <w:vAlign w:val="center"/>
          </w:tcPr>
          <w:p w14:paraId="1F193BE4" w14:textId="77777777" w:rsidR="00F56C38" w:rsidRPr="004306A0" w:rsidRDefault="00163AF0">
            <w:pPr>
              <w:spacing w:after="0" w:line="240" w:lineRule="auto"/>
              <w:jc w:val="center"/>
              <w:rPr>
                <w:rFonts w:cs="Times New Roman"/>
              </w:rPr>
            </w:pPr>
            <w:r w:rsidRPr="004306A0">
              <w:rPr>
                <w:rFonts w:cs="Times New Roman"/>
                <w:sz w:val="22"/>
              </w:rPr>
              <w:t>Chrysene</w:t>
            </w:r>
          </w:p>
        </w:tc>
        <w:tc>
          <w:tcPr>
            <w:tcW w:w="1735" w:type="dxa"/>
            <w:vAlign w:val="center"/>
          </w:tcPr>
          <w:p w14:paraId="261B5C4B" w14:textId="77777777" w:rsidR="00F56C38" w:rsidRPr="004306A0" w:rsidRDefault="00163AF0">
            <w:pPr>
              <w:spacing w:after="0" w:line="240" w:lineRule="auto"/>
              <w:jc w:val="center"/>
              <w:rPr>
                <w:rFonts w:cs="Times New Roman"/>
              </w:rPr>
            </w:pPr>
            <w:r w:rsidRPr="004306A0">
              <w:rPr>
                <w:rFonts w:cs="Times New Roman"/>
                <w:sz w:val="22"/>
              </w:rPr>
              <w:t>0.05</w:t>
            </w:r>
          </w:p>
        </w:tc>
        <w:tc>
          <w:tcPr>
            <w:tcW w:w="1918" w:type="dxa"/>
            <w:vAlign w:val="center"/>
          </w:tcPr>
          <w:p w14:paraId="02B06126" w14:textId="77777777" w:rsidR="00F56C38" w:rsidRPr="004306A0" w:rsidRDefault="00163AF0">
            <w:pPr>
              <w:spacing w:after="0" w:line="240" w:lineRule="auto"/>
              <w:jc w:val="center"/>
              <w:rPr>
                <w:rFonts w:cs="Times New Roman"/>
              </w:rPr>
            </w:pPr>
            <w:r w:rsidRPr="004306A0">
              <w:rPr>
                <w:rFonts w:cs="Times New Roman"/>
                <w:sz w:val="22"/>
              </w:rPr>
              <w:t>0.05</w:t>
            </w:r>
          </w:p>
        </w:tc>
        <w:tc>
          <w:tcPr>
            <w:tcW w:w="1918" w:type="dxa"/>
            <w:vAlign w:val="center"/>
          </w:tcPr>
          <w:p w14:paraId="438B8F40"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9" w:type="dxa"/>
            <w:vAlign w:val="center"/>
          </w:tcPr>
          <w:p w14:paraId="5C0356AE" w14:textId="77777777" w:rsidR="00F56C38" w:rsidRPr="004306A0" w:rsidRDefault="00163AF0">
            <w:pPr>
              <w:spacing w:after="0" w:line="240" w:lineRule="auto"/>
              <w:jc w:val="center"/>
              <w:rPr>
                <w:rFonts w:cs="Times New Roman"/>
              </w:rPr>
            </w:pPr>
            <w:r w:rsidRPr="004306A0">
              <w:rPr>
                <w:rFonts w:cs="Times New Roman"/>
                <w:sz w:val="22"/>
              </w:rPr>
              <w:t>0.10</w:t>
            </w:r>
          </w:p>
        </w:tc>
      </w:tr>
      <w:tr w:rsidR="00F56C38" w:rsidRPr="004306A0" w14:paraId="4A87027A" w14:textId="77777777" w:rsidTr="00A73566">
        <w:trPr>
          <w:trHeight w:val="722"/>
          <w:jc w:val="center"/>
        </w:trPr>
        <w:tc>
          <w:tcPr>
            <w:tcW w:w="2411" w:type="dxa"/>
            <w:vAlign w:val="center"/>
          </w:tcPr>
          <w:p w14:paraId="1DC28BCE" w14:textId="77777777" w:rsidR="00F56C38" w:rsidRPr="004306A0" w:rsidRDefault="00163AF0">
            <w:pPr>
              <w:spacing w:after="0" w:line="240" w:lineRule="auto"/>
              <w:jc w:val="center"/>
              <w:rPr>
                <w:rFonts w:cs="Times New Roman"/>
              </w:rPr>
            </w:pPr>
            <w:r w:rsidRPr="004306A0">
              <w:rPr>
                <w:rFonts w:cs="Times New Roman"/>
                <w:sz w:val="22"/>
              </w:rPr>
              <w:t>Benzo(b)fluoranthene</w:t>
            </w:r>
          </w:p>
        </w:tc>
        <w:tc>
          <w:tcPr>
            <w:tcW w:w="1735" w:type="dxa"/>
            <w:vAlign w:val="center"/>
          </w:tcPr>
          <w:p w14:paraId="4B7A1030" w14:textId="77777777" w:rsidR="00F56C38" w:rsidRPr="004306A0" w:rsidRDefault="00163AF0">
            <w:pPr>
              <w:spacing w:after="0" w:line="240" w:lineRule="auto"/>
              <w:jc w:val="center"/>
              <w:rPr>
                <w:rFonts w:cs="Times New Roman"/>
              </w:rPr>
            </w:pPr>
            <w:r w:rsidRPr="004306A0">
              <w:rPr>
                <w:rFonts w:cs="Times New Roman"/>
                <w:sz w:val="22"/>
              </w:rPr>
              <w:t>0.05</w:t>
            </w:r>
          </w:p>
        </w:tc>
        <w:tc>
          <w:tcPr>
            <w:tcW w:w="1918" w:type="dxa"/>
            <w:vAlign w:val="center"/>
          </w:tcPr>
          <w:p w14:paraId="24CBDDAD" w14:textId="77777777" w:rsidR="00F56C38" w:rsidRPr="004306A0" w:rsidRDefault="00163AF0">
            <w:pPr>
              <w:spacing w:after="0" w:line="240" w:lineRule="auto"/>
              <w:jc w:val="center"/>
              <w:rPr>
                <w:rFonts w:cs="Times New Roman"/>
              </w:rPr>
            </w:pPr>
            <w:r w:rsidRPr="004306A0">
              <w:rPr>
                <w:rFonts w:cs="Times New Roman"/>
                <w:sz w:val="22"/>
              </w:rPr>
              <w:t>0.05</w:t>
            </w:r>
          </w:p>
        </w:tc>
        <w:tc>
          <w:tcPr>
            <w:tcW w:w="1918" w:type="dxa"/>
            <w:vAlign w:val="center"/>
          </w:tcPr>
          <w:p w14:paraId="3C040054"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9" w:type="dxa"/>
            <w:vAlign w:val="center"/>
          </w:tcPr>
          <w:p w14:paraId="008D5F20" w14:textId="77777777" w:rsidR="00F56C38" w:rsidRPr="004306A0" w:rsidRDefault="00163AF0">
            <w:pPr>
              <w:spacing w:after="0" w:line="240" w:lineRule="auto"/>
              <w:jc w:val="center"/>
              <w:rPr>
                <w:rFonts w:cs="Times New Roman"/>
              </w:rPr>
            </w:pPr>
            <w:r w:rsidRPr="004306A0">
              <w:rPr>
                <w:rFonts w:cs="Times New Roman"/>
                <w:sz w:val="22"/>
              </w:rPr>
              <w:t>0.10</w:t>
            </w:r>
          </w:p>
        </w:tc>
      </w:tr>
      <w:tr w:rsidR="00F56C38" w:rsidRPr="004306A0" w14:paraId="51C1D503" w14:textId="77777777" w:rsidTr="00A73566">
        <w:trPr>
          <w:trHeight w:val="736"/>
          <w:jc w:val="center"/>
        </w:trPr>
        <w:tc>
          <w:tcPr>
            <w:tcW w:w="2411" w:type="dxa"/>
            <w:vAlign w:val="center"/>
          </w:tcPr>
          <w:p w14:paraId="3876D079" w14:textId="77777777" w:rsidR="00F56C38" w:rsidRPr="004306A0" w:rsidRDefault="00163AF0">
            <w:pPr>
              <w:spacing w:after="0" w:line="240" w:lineRule="auto"/>
              <w:jc w:val="center"/>
              <w:rPr>
                <w:rFonts w:cs="Times New Roman"/>
              </w:rPr>
            </w:pPr>
            <w:r w:rsidRPr="004306A0">
              <w:rPr>
                <w:rFonts w:cs="Times New Roman"/>
                <w:sz w:val="22"/>
              </w:rPr>
              <w:t>Benzo(k)fluoranthene</w:t>
            </w:r>
          </w:p>
        </w:tc>
        <w:tc>
          <w:tcPr>
            <w:tcW w:w="1735" w:type="dxa"/>
            <w:vAlign w:val="center"/>
          </w:tcPr>
          <w:p w14:paraId="41288235" w14:textId="77777777" w:rsidR="00F56C38" w:rsidRPr="004306A0" w:rsidRDefault="00163AF0">
            <w:pPr>
              <w:spacing w:after="0" w:line="240" w:lineRule="auto"/>
              <w:jc w:val="center"/>
              <w:rPr>
                <w:rFonts w:cs="Times New Roman"/>
              </w:rPr>
            </w:pPr>
            <w:r w:rsidRPr="004306A0">
              <w:rPr>
                <w:rFonts w:cs="Times New Roman"/>
                <w:sz w:val="22"/>
              </w:rPr>
              <w:t>3.85</w:t>
            </w:r>
          </w:p>
        </w:tc>
        <w:tc>
          <w:tcPr>
            <w:tcW w:w="1918" w:type="dxa"/>
            <w:vAlign w:val="center"/>
          </w:tcPr>
          <w:p w14:paraId="4A17F356" w14:textId="77777777" w:rsidR="00F56C38" w:rsidRPr="004306A0" w:rsidRDefault="00163AF0">
            <w:pPr>
              <w:spacing w:after="0" w:line="240" w:lineRule="auto"/>
              <w:jc w:val="center"/>
              <w:rPr>
                <w:rFonts w:cs="Times New Roman"/>
              </w:rPr>
            </w:pPr>
            <w:r w:rsidRPr="004306A0">
              <w:rPr>
                <w:rFonts w:cs="Times New Roman"/>
                <w:sz w:val="22"/>
              </w:rPr>
              <w:t>1.85</w:t>
            </w:r>
          </w:p>
        </w:tc>
        <w:tc>
          <w:tcPr>
            <w:tcW w:w="1918" w:type="dxa"/>
            <w:vAlign w:val="center"/>
          </w:tcPr>
          <w:p w14:paraId="13DEFA0B" w14:textId="77777777" w:rsidR="00F56C38" w:rsidRPr="004306A0" w:rsidRDefault="00163AF0">
            <w:pPr>
              <w:spacing w:after="0" w:line="240" w:lineRule="auto"/>
              <w:jc w:val="center"/>
              <w:rPr>
                <w:rFonts w:cs="Times New Roman"/>
              </w:rPr>
            </w:pPr>
            <w:r w:rsidRPr="004306A0">
              <w:rPr>
                <w:rFonts w:cs="Times New Roman"/>
                <w:sz w:val="22"/>
              </w:rPr>
              <w:t>1.75</w:t>
            </w:r>
          </w:p>
        </w:tc>
        <w:tc>
          <w:tcPr>
            <w:tcW w:w="1919" w:type="dxa"/>
            <w:vAlign w:val="center"/>
          </w:tcPr>
          <w:p w14:paraId="6C2B3CA1" w14:textId="77777777" w:rsidR="00F56C38" w:rsidRPr="004306A0" w:rsidRDefault="00163AF0">
            <w:pPr>
              <w:spacing w:after="0" w:line="240" w:lineRule="auto"/>
              <w:jc w:val="center"/>
              <w:rPr>
                <w:rFonts w:cs="Times New Roman"/>
              </w:rPr>
            </w:pPr>
            <w:r w:rsidRPr="004306A0">
              <w:rPr>
                <w:rFonts w:cs="Times New Roman"/>
                <w:sz w:val="22"/>
              </w:rPr>
              <w:t>0.85</w:t>
            </w:r>
          </w:p>
        </w:tc>
      </w:tr>
      <w:tr w:rsidR="00F56C38" w:rsidRPr="004306A0" w14:paraId="16D107A2" w14:textId="77777777" w:rsidTr="00A73566">
        <w:trPr>
          <w:trHeight w:val="361"/>
          <w:jc w:val="center"/>
        </w:trPr>
        <w:tc>
          <w:tcPr>
            <w:tcW w:w="2411" w:type="dxa"/>
            <w:vAlign w:val="center"/>
          </w:tcPr>
          <w:p w14:paraId="1415BCEB" w14:textId="77777777" w:rsidR="00F56C38" w:rsidRPr="004306A0" w:rsidRDefault="00163AF0">
            <w:pPr>
              <w:spacing w:after="0" w:line="240" w:lineRule="auto"/>
              <w:jc w:val="center"/>
              <w:rPr>
                <w:rFonts w:cs="Times New Roman"/>
              </w:rPr>
            </w:pPr>
            <w:r w:rsidRPr="004306A0">
              <w:rPr>
                <w:rFonts w:cs="Times New Roman"/>
                <w:sz w:val="22"/>
              </w:rPr>
              <w:t>Benzo(a)pyrene</w:t>
            </w:r>
          </w:p>
        </w:tc>
        <w:tc>
          <w:tcPr>
            <w:tcW w:w="1735" w:type="dxa"/>
            <w:vAlign w:val="center"/>
          </w:tcPr>
          <w:p w14:paraId="20FD3B45"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8" w:type="dxa"/>
            <w:vAlign w:val="center"/>
          </w:tcPr>
          <w:p w14:paraId="2DD78CE0"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8" w:type="dxa"/>
            <w:vAlign w:val="center"/>
          </w:tcPr>
          <w:p w14:paraId="414439CD"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9" w:type="dxa"/>
            <w:vAlign w:val="center"/>
          </w:tcPr>
          <w:p w14:paraId="716A51CD" w14:textId="77777777" w:rsidR="00F56C38" w:rsidRPr="004306A0" w:rsidRDefault="00163AF0">
            <w:pPr>
              <w:spacing w:after="0" w:line="240" w:lineRule="auto"/>
              <w:jc w:val="center"/>
              <w:rPr>
                <w:rFonts w:cs="Times New Roman"/>
              </w:rPr>
            </w:pPr>
            <w:r w:rsidRPr="004306A0">
              <w:rPr>
                <w:rFonts w:cs="Times New Roman"/>
                <w:sz w:val="22"/>
              </w:rPr>
              <w:t>&lt; LOD</w:t>
            </w:r>
          </w:p>
        </w:tc>
      </w:tr>
      <w:tr w:rsidR="00F56C38" w:rsidRPr="004306A0" w14:paraId="0FA16E6D" w14:textId="77777777" w:rsidTr="00A73566">
        <w:trPr>
          <w:trHeight w:val="736"/>
          <w:jc w:val="center"/>
        </w:trPr>
        <w:tc>
          <w:tcPr>
            <w:tcW w:w="2411" w:type="dxa"/>
            <w:vAlign w:val="center"/>
          </w:tcPr>
          <w:p w14:paraId="6C1E8387" w14:textId="77777777" w:rsidR="00F56C38" w:rsidRPr="004306A0" w:rsidRDefault="00163AF0">
            <w:pPr>
              <w:spacing w:after="0" w:line="240" w:lineRule="auto"/>
              <w:jc w:val="center"/>
              <w:rPr>
                <w:rFonts w:cs="Times New Roman"/>
              </w:rPr>
            </w:pPr>
            <w:r w:rsidRPr="004306A0">
              <w:rPr>
                <w:rFonts w:cs="Times New Roman"/>
                <w:sz w:val="22"/>
              </w:rPr>
              <w:t>Indeno(1,2,3-</w:t>
            </w:r>
            <w:proofErr w:type="gramStart"/>
            <w:r w:rsidRPr="004306A0">
              <w:rPr>
                <w:rFonts w:cs="Times New Roman"/>
                <w:sz w:val="22"/>
              </w:rPr>
              <w:t>c,d</w:t>
            </w:r>
            <w:proofErr w:type="gramEnd"/>
            <w:r w:rsidRPr="004306A0">
              <w:rPr>
                <w:rFonts w:cs="Times New Roman"/>
                <w:sz w:val="22"/>
              </w:rPr>
              <w:t>)pyrene</w:t>
            </w:r>
          </w:p>
        </w:tc>
        <w:tc>
          <w:tcPr>
            <w:tcW w:w="1735" w:type="dxa"/>
            <w:vAlign w:val="center"/>
          </w:tcPr>
          <w:p w14:paraId="69A8BC4A"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8" w:type="dxa"/>
            <w:vAlign w:val="center"/>
          </w:tcPr>
          <w:p w14:paraId="094C529B"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8" w:type="dxa"/>
            <w:vAlign w:val="center"/>
          </w:tcPr>
          <w:p w14:paraId="5009B11D"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9" w:type="dxa"/>
            <w:vAlign w:val="center"/>
          </w:tcPr>
          <w:p w14:paraId="1EDC9734" w14:textId="77777777" w:rsidR="00F56C38" w:rsidRPr="004306A0" w:rsidRDefault="00163AF0">
            <w:pPr>
              <w:spacing w:after="0" w:line="240" w:lineRule="auto"/>
              <w:jc w:val="center"/>
              <w:rPr>
                <w:rFonts w:cs="Times New Roman"/>
              </w:rPr>
            </w:pPr>
            <w:r w:rsidRPr="004306A0">
              <w:rPr>
                <w:rFonts w:cs="Times New Roman"/>
                <w:sz w:val="22"/>
              </w:rPr>
              <w:t>&lt; LOD</w:t>
            </w:r>
          </w:p>
        </w:tc>
      </w:tr>
      <w:tr w:rsidR="00F56C38" w:rsidRPr="004306A0" w14:paraId="3ACE0DD4" w14:textId="77777777" w:rsidTr="00A73566">
        <w:trPr>
          <w:trHeight w:val="736"/>
          <w:jc w:val="center"/>
        </w:trPr>
        <w:tc>
          <w:tcPr>
            <w:tcW w:w="2411" w:type="dxa"/>
            <w:vAlign w:val="center"/>
          </w:tcPr>
          <w:p w14:paraId="3F15F87B" w14:textId="77777777" w:rsidR="00F56C38" w:rsidRPr="004306A0" w:rsidRDefault="00163AF0">
            <w:pPr>
              <w:spacing w:after="0" w:line="240" w:lineRule="auto"/>
              <w:jc w:val="center"/>
              <w:rPr>
                <w:rFonts w:cs="Times New Roman"/>
              </w:rPr>
            </w:pPr>
            <w:r w:rsidRPr="004306A0">
              <w:rPr>
                <w:rFonts w:cs="Times New Roman"/>
                <w:sz w:val="22"/>
              </w:rPr>
              <w:t>Dibenz(</w:t>
            </w:r>
            <w:proofErr w:type="spellStart"/>
            <w:proofErr w:type="gramStart"/>
            <w:r w:rsidRPr="004306A0">
              <w:rPr>
                <w:rFonts w:cs="Times New Roman"/>
                <w:sz w:val="22"/>
              </w:rPr>
              <w:t>a,h</w:t>
            </w:r>
            <w:proofErr w:type="spellEnd"/>
            <w:proofErr w:type="gramEnd"/>
            <w:r w:rsidRPr="004306A0">
              <w:rPr>
                <w:rFonts w:cs="Times New Roman"/>
                <w:sz w:val="22"/>
              </w:rPr>
              <w:t>)anthracene</w:t>
            </w:r>
          </w:p>
        </w:tc>
        <w:tc>
          <w:tcPr>
            <w:tcW w:w="1735" w:type="dxa"/>
            <w:vAlign w:val="center"/>
          </w:tcPr>
          <w:p w14:paraId="48EA58F4"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8" w:type="dxa"/>
            <w:vAlign w:val="center"/>
          </w:tcPr>
          <w:p w14:paraId="61637369"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8" w:type="dxa"/>
            <w:vAlign w:val="center"/>
          </w:tcPr>
          <w:p w14:paraId="3F4F7D21"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9" w:type="dxa"/>
            <w:vAlign w:val="center"/>
          </w:tcPr>
          <w:p w14:paraId="678029BC" w14:textId="77777777" w:rsidR="00F56C38" w:rsidRPr="004306A0" w:rsidRDefault="00163AF0">
            <w:pPr>
              <w:spacing w:after="0" w:line="240" w:lineRule="auto"/>
              <w:jc w:val="center"/>
              <w:rPr>
                <w:rFonts w:cs="Times New Roman"/>
              </w:rPr>
            </w:pPr>
            <w:r w:rsidRPr="004306A0">
              <w:rPr>
                <w:rFonts w:cs="Times New Roman"/>
                <w:sz w:val="22"/>
              </w:rPr>
              <w:t>&lt; LOD</w:t>
            </w:r>
          </w:p>
        </w:tc>
      </w:tr>
      <w:tr w:rsidR="00F56C38" w:rsidRPr="004306A0" w14:paraId="60B1F62D" w14:textId="77777777" w:rsidTr="00A73566">
        <w:trPr>
          <w:trHeight w:val="722"/>
          <w:jc w:val="center"/>
        </w:trPr>
        <w:tc>
          <w:tcPr>
            <w:tcW w:w="2411" w:type="dxa"/>
            <w:vAlign w:val="center"/>
          </w:tcPr>
          <w:p w14:paraId="0DF55383" w14:textId="77777777" w:rsidR="00F56C38" w:rsidRPr="004306A0" w:rsidRDefault="00163AF0">
            <w:pPr>
              <w:spacing w:after="0" w:line="240" w:lineRule="auto"/>
              <w:jc w:val="center"/>
              <w:rPr>
                <w:rFonts w:cs="Times New Roman"/>
              </w:rPr>
            </w:pPr>
            <w:r w:rsidRPr="004306A0">
              <w:rPr>
                <w:rFonts w:cs="Times New Roman"/>
                <w:sz w:val="22"/>
              </w:rPr>
              <w:t>Benzo(</w:t>
            </w:r>
            <w:proofErr w:type="spellStart"/>
            <w:proofErr w:type="gramStart"/>
            <w:r w:rsidRPr="004306A0">
              <w:rPr>
                <w:rFonts w:cs="Times New Roman"/>
                <w:sz w:val="22"/>
              </w:rPr>
              <w:t>g,h</w:t>
            </w:r>
            <w:proofErr w:type="gramEnd"/>
            <w:r w:rsidRPr="004306A0">
              <w:rPr>
                <w:rFonts w:cs="Times New Roman"/>
                <w:sz w:val="22"/>
              </w:rPr>
              <w:t>,</w:t>
            </w:r>
            <w:proofErr w:type="gramStart"/>
            <w:r w:rsidRPr="004306A0">
              <w:rPr>
                <w:rFonts w:cs="Times New Roman"/>
                <w:sz w:val="22"/>
              </w:rPr>
              <w:t>i</w:t>
            </w:r>
            <w:proofErr w:type="spellEnd"/>
            <w:r w:rsidRPr="004306A0">
              <w:rPr>
                <w:rFonts w:cs="Times New Roman"/>
                <w:sz w:val="22"/>
              </w:rPr>
              <w:t>)perylene</w:t>
            </w:r>
            <w:proofErr w:type="gramEnd"/>
          </w:p>
        </w:tc>
        <w:tc>
          <w:tcPr>
            <w:tcW w:w="1735" w:type="dxa"/>
            <w:vAlign w:val="center"/>
          </w:tcPr>
          <w:p w14:paraId="179185BC"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8" w:type="dxa"/>
            <w:vAlign w:val="center"/>
          </w:tcPr>
          <w:p w14:paraId="44C4392A"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8" w:type="dxa"/>
            <w:vAlign w:val="center"/>
          </w:tcPr>
          <w:p w14:paraId="36D1DF1E"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1919" w:type="dxa"/>
            <w:vAlign w:val="center"/>
          </w:tcPr>
          <w:p w14:paraId="2C695A17" w14:textId="77777777" w:rsidR="00F56C38" w:rsidRPr="004306A0" w:rsidRDefault="00163AF0">
            <w:pPr>
              <w:spacing w:after="0" w:line="240" w:lineRule="auto"/>
              <w:jc w:val="center"/>
              <w:rPr>
                <w:rFonts w:cs="Times New Roman"/>
              </w:rPr>
            </w:pPr>
            <w:r w:rsidRPr="004306A0">
              <w:rPr>
                <w:rFonts w:cs="Times New Roman"/>
                <w:sz w:val="22"/>
              </w:rPr>
              <w:t>&lt; LOD</w:t>
            </w:r>
          </w:p>
        </w:tc>
      </w:tr>
      <w:tr w:rsidR="00F56C38" w:rsidRPr="004306A0" w14:paraId="320B2AAD" w14:textId="77777777" w:rsidTr="00A73566">
        <w:trPr>
          <w:trHeight w:val="361"/>
          <w:jc w:val="center"/>
        </w:trPr>
        <w:tc>
          <w:tcPr>
            <w:tcW w:w="2411" w:type="dxa"/>
            <w:vAlign w:val="center"/>
          </w:tcPr>
          <w:p w14:paraId="263E03AD" w14:textId="77777777" w:rsidR="00F56C38" w:rsidRPr="004306A0" w:rsidRDefault="00163AF0">
            <w:pPr>
              <w:spacing w:after="0" w:line="240" w:lineRule="auto"/>
              <w:jc w:val="center"/>
              <w:rPr>
                <w:rFonts w:cs="Times New Roman"/>
              </w:rPr>
            </w:pPr>
            <w:r w:rsidRPr="004306A0">
              <w:rPr>
                <w:rFonts w:cs="Times New Roman"/>
                <w:sz w:val="22"/>
              </w:rPr>
              <w:t>Total PAHs</w:t>
            </w:r>
          </w:p>
        </w:tc>
        <w:tc>
          <w:tcPr>
            <w:tcW w:w="1735" w:type="dxa"/>
            <w:vAlign w:val="center"/>
          </w:tcPr>
          <w:p w14:paraId="341FC9D5" w14:textId="77777777" w:rsidR="00F56C38" w:rsidRPr="004306A0" w:rsidRDefault="00163AF0">
            <w:pPr>
              <w:spacing w:after="0" w:line="240" w:lineRule="auto"/>
              <w:jc w:val="center"/>
              <w:rPr>
                <w:rFonts w:cs="Times New Roman"/>
              </w:rPr>
            </w:pPr>
            <w:r w:rsidRPr="004306A0">
              <w:rPr>
                <w:rFonts w:cs="Times New Roman"/>
                <w:sz w:val="22"/>
              </w:rPr>
              <w:t>16.65</w:t>
            </w:r>
          </w:p>
        </w:tc>
        <w:tc>
          <w:tcPr>
            <w:tcW w:w="1918" w:type="dxa"/>
            <w:vAlign w:val="center"/>
          </w:tcPr>
          <w:p w14:paraId="428EBCE2" w14:textId="77777777" w:rsidR="00F56C38" w:rsidRPr="004306A0" w:rsidRDefault="00163AF0">
            <w:pPr>
              <w:spacing w:after="0" w:line="240" w:lineRule="auto"/>
              <w:jc w:val="center"/>
              <w:rPr>
                <w:rFonts w:cs="Times New Roman"/>
              </w:rPr>
            </w:pPr>
            <w:r w:rsidRPr="004306A0">
              <w:rPr>
                <w:rFonts w:cs="Times New Roman"/>
                <w:sz w:val="22"/>
              </w:rPr>
              <w:t>13.60</w:t>
            </w:r>
          </w:p>
        </w:tc>
        <w:tc>
          <w:tcPr>
            <w:tcW w:w="1918" w:type="dxa"/>
            <w:vAlign w:val="center"/>
          </w:tcPr>
          <w:p w14:paraId="78F0EF08" w14:textId="77777777" w:rsidR="00F56C38" w:rsidRPr="004306A0" w:rsidRDefault="00163AF0">
            <w:pPr>
              <w:spacing w:after="0" w:line="240" w:lineRule="auto"/>
              <w:jc w:val="center"/>
              <w:rPr>
                <w:rFonts w:cs="Times New Roman"/>
              </w:rPr>
            </w:pPr>
            <w:r w:rsidRPr="004306A0">
              <w:rPr>
                <w:rFonts w:cs="Times New Roman"/>
                <w:sz w:val="22"/>
              </w:rPr>
              <w:t>9.25</w:t>
            </w:r>
          </w:p>
        </w:tc>
        <w:tc>
          <w:tcPr>
            <w:tcW w:w="1919" w:type="dxa"/>
            <w:vAlign w:val="center"/>
          </w:tcPr>
          <w:p w14:paraId="4E0F0A4E" w14:textId="77777777" w:rsidR="00F56C38" w:rsidRPr="004306A0" w:rsidRDefault="00163AF0">
            <w:pPr>
              <w:spacing w:after="0" w:line="240" w:lineRule="auto"/>
              <w:jc w:val="center"/>
              <w:rPr>
                <w:rFonts w:cs="Times New Roman"/>
              </w:rPr>
            </w:pPr>
            <w:r w:rsidRPr="004306A0">
              <w:rPr>
                <w:rFonts w:cs="Times New Roman"/>
                <w:sz w:val="22"/>
              </w:rPr>
              <w:t>7.70</w:t>
            </w:r>
          </w:p>
        </w:tc>
      </w:tr>
    </w:tbl>
    <w:p w14:paraId="71710E9A" w14:textId="77777777" w:rsidR="00F56C38" w:rsidRPr="004306A0" w:rsidRDefault="00163AF0">
      <w:pPr>
        <w:jc w:val="both"/>
        <w:rPr>
          <w:rFonts w:cs="Times New Roman"/>
          <w:sz w:val="20"/>
          <w:szCs w:val="20"/>
        </w:rPr>
      </w:pPr>
      <w:r w:rsidRPr="004306A0">
        <w:rPr>
          <w:rFonts w:cs="Times New Roman"/>
          <w:sz w:val="20"/>
          <w:szCs w:val="20"/>
        </w:rPr>
        <w:t>Note: &lt; LOD indicates concentration below the method detection limit. Total PAHs reproduce the summed values reported for each condition.</w:t>
      </w:r>
    </w:p>
    <w:p w14:paraId="194A2F65" w14:textId="77777777" w:rsidR="00A73566" w:rsidRPr="004306A0" w:rsidRDefault="00A73566">
      <w:pPr>
        <w:jc w:val="both"/>
        <w:rPr>
          <w:rFonts w:cs="Times New Roman"/>
          <w:sz w:val="20"/>
          <w:szCs w:val="20"/>
        </w:rPr>
      </w:pPr>
    </w:p>
    <w:p w14:paraId="4E08FC80" w14:textId="77777777" w:rsidR="00A73566" w:rsidRPr="004306A0" w:rsidRDefault="00A73566">
      <w:pPr>
        <w:jc w:val="both"/>
        <w:rPr>
          <w:rFonts w:cs="Times New Roman"/>
          <w:sz w:val="20"/>
          <w:szCs w:val="20"/>
        </w:rPr>
      </w:pPr>
    </w:p>
    <w:p w14:paraId="49CB86ED" w14:textId="77777777" w:rsidR="00A73566" w:rsidRPr="004306A0" w:rsidRDefault="00A73566">
      <w:pPr>
        <w:jc w:val="both"/>
        <w:rPr>
          <w:rFonts w:cs="Times New Roman"/>
          <w:sz w:val="20"/>
          <w:szCs w:val="20"/>
        </w:rPr>
      </w:pPr>
    </w:p>
    <w:p w14:paraId="2004166E" w14:textId="77777777" w:rsidR="00A73566" w:rsidRPr="004306A0" w:rsidRDefault="00A73566">
      <w:pPr>
        <w:jc w:val="both"/>
        <w:rPr>
          <w:rFonts w:cs="Times New Roman"/>
          <w:sz w:val="20"/>
          <w:szCs w:val="20"/>
        </w:rPr>
      </w:pPr>
    </w:p>
    <w:p w14:paraId="57DD35C1" w14:textId="77777777" w:rsidR="00A73566" w:rsidRPr="004306A0" w:rsidRDefault="00A73566">
      <w:pPr>
        <w:jc w:val="both"/>
        <w:rPr>
          <w:rFonts w:cs="Times New Roman"/>
          <w:sz w:val="20"/>
          <w:szCs w:val="20"/>
        </w:rPr>
      </w:pPr>
    </w:p>
    <w:p w14:paraId="5C640501" w14:textId="77777777" w:rsidR="00A73566" w:rsidRPr="004306A0" w:rsidRDefault="00A73566">
      <w:pPr>
        <w:jc w:val="both"/>
        <w:rPr>
          <w:rFonts w:cs="Times New Roman"/>
          <w:sz w:val="20"/>
          <w:szCs w:val="20"/>
        </w:rPr>
      </w:pPr>
    </w:p>
    <w:p w14:paraId="0420D3AE" w14:textId="77777777" w:rsidR="00A73566" w:rsidRPr="004306A0" w:rsidRDefault="00A73566">
      <w:pPr>
        <w:pStyle w:val="Caption"/>
        <w:rPr>
          <w:rFonts w:cs="Times New Roman"/>
          <w:i w:val="0"/>
          <w:iCs/>
          <w:color w:val="auto"/>
          <w:sz w:val="24"/>
          <w:szCs w:val="24"/>
        </w:rPr>
      </w:pPr>
    </w:p>
    <w:p w14:paraId="7A65654B" w14:textId="77777777" w:rsidR="00F56C38" w:rsidRPr="004306A0" w:rsidRDefault="00163AF0">
      <w:pPr>
        <w:pStyle w:val="Caption"/>
        <w:rPr>
          <w:rFonts w:cs="Times New Roman"/>
          <w:i w:val="0"/>
          <w:iCs/>
          <w:color w:val="auto"/>
          <w:sz w:val="24"/>
          <w:szCs w:val="24"/>
        </w:rPr>
      </w:pPr>
      <w:r w:rsidRPr="004306A0">
        <w:rPr>
          <w:rFonts w:cs="Times New Roman"/>
          <w:i w:val="0"/>
          <w:iCs/>
          <w:color w:val="auto"/>
          <w:sz w:val="24"/>
          <w:szCs w:val="24"/>
        </w:rPr>
        <w:lastRenderedPageBreak/>
        <w:t>Table 6. PAH concentrations in Alesa indoor and outdoor air (µg/m³)</w:t>
      </w:r>
    </w:p>
    <w:tbl>
      <w:tblPr>
        <w:tblW w:w="10305" w:type="dxa"/>
        <w:jc w:val="center"/>
        <w:tblBorders>
          <w:top w:val="single" w:sz="4" w:space="0" w:color="auto"/>
          <w:bottom w:val="single" w:sz="4" w:space="0" w:color="auto"/>
        </w:tblBorders>
        <w:tblLayout w:type="fixed"/>
        <w:tblLook w:val="04A0" w:firstRow="1" w:lastRow="0" w:firstColumn="1" w:lastColumn="0" w:noHBand="0" w:noVBand="1"/>
      </w:tblPr>
      <w:tblGrid>
        <w:gridCol w:w="2410"/>
        <w:gridCol w:w="1825"/>
        <w:gridCol w:w="2023"/>
        <w:gridCol w:w="2023"/>
        <w:gridCol w:w="2024"/>
      </w:tblGrid>
      <w:tr w:rsidR="00F56C38" w:rsidRPr="004306A0" w14:paraId="79775BDE" w14:textId="77777777" w:rsidTr="00A73566">
        <w:trPr>
          <w:trHeight w:val="731"/>
          <w:tblHeader/>
          <w:jc w:val="center"/>
        </w:trPr>
        <w:tc>
          <w:tcPr>
            <w:tcW w:w="2410" w:type="dxa"/>
            <w:tcBorders>
              <w:top w:val="single" w:sz="4" w:space="0" w:color="auto"/>
              <w:bottom w:val="single" w:sz="4" w:space="0" w:color="auto"/>
            </w:tcBorders>
            <w:vAlign w:val="center"/>
          </w:tcPr>
          <w:p w14:paraId="1EEBD919" w14:textId="77777777" w:rsidR="00F56C38" w:rsidRPr="004306A0" w:rsidRDefault="00163AF0">
            <w:pPr>
              <w:spacing w:after="0" w:line="240" w:lineRule="auto"/>
              <w:jc w:val="center"/>
              <w:rPr>
                <w:rFonts w:cs="Times New Roman"/>
                <w:b/>
              </w:rPr>
            </w:pPr>
            <w:r w:rsidRPr="004306A0">
              <w:rPr>
                <w:rFonts w:cs="Times New Roman"/>
                <w:b/>
                <w:sz w:val="22"/>
              </w:rPr>
              <w:t>PAH component</w:t>
            </w:r>
          </w:p>
        </w:tc>
        <w:tc>
          <w:tcPr>
            <w:tcW w:w="1825" w:type="dxa"/>
            <w:tcBorders>
              <w:top w:val="single" w:sz="4" w:space="0" w:color="auto"/>
              <w:bottom w:val="single" w:sz="4" w:space="0" w:color="auto"/>
            </w:tcBorders>
            <w:vAlign w:val="center"/>
          </w:tcPr>
          <w:p w14:paraId="58F44875" w14:textId="77777777" w:rsidR="00F56C38" w:rsidRPr="004306A0" w:rsidRDefault="00163AF0">
            <w:pPr>
              <w:spacing w:after="0" w:line="240" w:lineRule="auto"/>
              <w:jc w:val="center"/>
              <w:rPr>
                <w:rFonts w:cs="Times New Roman"/>
                <w:b/>
              </w:rPr>
            </w:pPr>
            <w:r w:rsidRPr="004306A0">
              <w:rPr>
                <w:rFonts w:cs="Times New Roman"/>
                <w:b/>
                <w:sz w:val="22"/>
              </w:rPr>
              <w:t>Alesa Dry Indoor</w:t>
            </w:r>
          </w:p>
        </w:tc>
        <w:tc>
          <w:tcPr>
            <w:tcW w:w="2023" w:type="dxa"/>
            <w:tcBorders>
              <w:top w:val="single" w:sz="4" w:space="0" w:color="auto"/>
              <w:bottom w:val="single" w:sz="4" w:space="0" w:color="auto"/>
            </w:tcBorders>
            <w:vAlign w:val="center"/>
          </w:tcPr>
          <w:p w14:paraId="2E8C8912" w14:textId="77777777" w:rsidR="00F56C38" w:rsidRPr="004306A0" w:rsidRDefault="00163AF0">
            <w:pPr>
              <w:spacing w:after="0" w:line="240" w:lineRule="auto"/>
              <w:jc w:val="center"/>
              <w:rPr>
                <w:rFonts w:cs="Times New Roman"/>
                <w:b/>
              </w:rPr>
            </w:pPr>
            <w:r w:rsidRPr="004306A0">
              <w:rPr>
                <w:rFonts w:cs="Times New Roman"/>
                <w:b/>
                <w:sz w:val="22"/>
              </w:rPr>
              <w:t>Alesa Dry Outdoor</w:t>
            </w:r>
          </w:p>
        </w:tc>
        <w:tc>
          <w:tcPr>
            <w:tcW w:w="2023" w:type="dxa"/>
            <w:tcBorders>
              <w:top w:val="single" w:sz="4" w:space="0" w:color="auto"/>
              <w:bottom w:val="single" w:sz="4" w:space="0" w:color="auto"/>
            </w:tcBorders>
            <w:vAlign w:val="center"/>
          </w:tcPr>
          <w:p w14:paraId="607345D6" w14:textId="77777777" w:rsidR="00F56C38" w:rsidRPr="004306A0" w:rsidRDefault="00163AF0">
            <w:pPr>
              <w:spacing w:after="0" w:line="240" w:lineRule="auto"/>
              <w:jc w:val="center"/>
              <w:rPr>
                <w:rFonts w:cs="Times New Roman"/>
                <w:b/>
              </w:rPr>
            </w:pPr>
            <w:r w:rsidRPr="004306A0">
              <w:rPr>
                <w:rFonts w:cs="Times New Roman"/>
                <w:b/>
                <w:sz w:val="22"/>
              </w:rPr>
              <w:t>Alesa Wet Indoor</w:t>
            </w:r>
          </w:p>
        </w:tc>
        <w:tc>
          <w:tcPr>
            <w:tcW w:w="2024" w:type="dxa"/>
            <w:tcBorders>
              <w:top w:val="single" w:sz="4" w:space="0" w:color="auto"/>
              <w:bottom w:val="single" w:sz="4" w:space="0" w:color="auto"/>
            </w:tcBorders>
            <w:vAlign w:val="center"/>
          </w:tcPr>
          <w:p w14:paraId="414B1BD4" w14:textId="77777777" w:rsidR="00F56C38" w:rsidRPr="004306A0" w:rsidRDefault="00163AF0">
            <w:pPr>
              <w:spacing w:after="0" w:line="240" w:lineRule="auto"/>
              <w:jc w:val="center"/>
              <w:rPr>
                <w:rFonts w:cs="Times New Roman"/>
                <w:b/>
              </w:rPr>
            </w:pPr>
            <w:r w:rsidRPr="004306A0">
              <w:rPr>
                <w:rFonts w:cs="Times New Roman"/>
                <w:b/>
                <w:sz w:val="22"/>
              </w:rPr>
              <w:t>Alesa Wet Outdoor</w:t>
            </w:r>
          </w:p>
        </w:tc>
      </w:tr>
      <w:tr w:rsidR="00F56C38" w:rsidRPr="004306A0" w14:paraId="559F8C81" w14:textId="77777777" w:rsidTr="00A73566">
        <w:trPr>
          <w:trHeight w:val="358"/>
          <w:jc w:val="center"/>
        </w:trPr>
        <w:tc>
          <w:tcPr>
            <w:tcW w:w="2410" w:type="dxa"/>
            <w:tcBorders>
              <w:top w:val="single" w:sz="4" w:space="0" w:color="auto"/>
            </w:tcBorders>
            <w:vAlign w:val="center"/>
          </w:tcPr>
          <w:p w14:paraId="730C5B44" w14:textId="77777777" w:rsidR="00F56C38" w:rsidRPr="004306A0" w:rsidRDefault="00163AF0">
            <w:pPr>
              <w:spacing w:after="0" w:line="240" w:lineRule="auto"/>
              <w:jc w:val="center"/>
              <w:rPr>
                <w:rFonts w:cs="Times New Roman"/>
              </w:rPr>
            </w:pPr>
            <w:r w:rsidRPr="004306A0">
              <w:rPr>
                <w:rFonts w:cs="Times New Roman"/>
                <w:sz w:val="22"/>
              </w:rPr>
              <w:t>Naphthalene</w:t>
            </w:r>
          </w:p>
        </w:tc>
        <w:tc>
          <w:tcPr>
            <w:tcW w:w="1825" w:type="dxa"/>
            <w:tcBorders>
              <w:top w:val="single" w:sz="4" w:space="0" w:color="auto"/>
            </w:tcBorders>
            <w:vAlign w:val="center"/>
          </w:tcPr>
          <w:p w14:paraId="3C163737" w14:textId="77777777" w:rsidR="00F56C38" w:rsidRPr="004306A0" w:rsidRDefault="00163AF0">
            <w:pPr>
              <w:spacing w:after="0" w:line="240" w:lineRule="auto"/>
              <w:jc w:val="center"/>
              <w:rPr>
                <w:rFonts w:cs="Times New Roman"/>
              </w:rPr>
            </w:pPr>
            <w:r w:rsidRPr="004306A0">
              <w:rPr>
                <w:rFonts w:cs="Times New Roman"/>
                <w:sz w:val="22"/>
              </w:rPr>
              <w:t>0.15</w:t>
            </w:r>
          </w:p>
        </w:tc>
        <w:tc>
          <w:tcPr>
            <w:tcW w:w="2023" w:type="dxa"/>
            <w:tcBorders>
              <w:top w:val="single" w:sz="4" w:space="0" w:color="auto"/>
            </w:tcBorders>
            <w:vAlign w:val="center"/>
          </w:tcPr>
          <w:p w14:paraId="3B510808" w14:textId="77777777" w:rsidR="00F56C38" w:rsidRPr="004306A0" w:rsidRDefault="00163AF0">
            <w:pPr>
              <w:spacing w:after="0" w:line="240" w:lineRule="auto"/>
              <w:jc w:val="center"/>
              <w:rPr>
                <w:rFonts w:cs="Times New Roman"/>
              </w:rPr>
            </w:pPr>
            <w:r w:rsidRPr="004306A0">
              <w:rPr>
                <w:rFonts w:cs="Times New Roman"/>
                <w:sz w:val="22"/>
              </w:rPr>
              <w:t>0.30</w:t>
            </w:r>
          </w:p>
        </w:tc>
        <w:tc>
          <w:tcPr>
            <w:tcW w:w="2023" w:type="dxa"/>
            <w:tcBorders>
              <w:top w:val="single" w:sz="4" w:space="0" w:color="auto"/>
            </w:tcBorders>
            <w:vAlign w:val="center"/>
          </w:tcPr>
          <w:p w14:paraId="2EADE696" w14:textId="77777777" w:rsidR="00F56C38" w:rsidRPr="004306A0" w:rsidRDefault="00163AF0">
            <w:pPr>
              <w:spacing w:after="0" w:line="240" w:lineRule="auto"/>
              <w:jc w:val="center"/>
              <w:rPr>
                <w:rFonts w:cs="Times New Roman"/>
              </w:rPr>
            </w:pPr>
            <w:r w:rsidRPr="004306A0">
              <w:rPr>
                <w:rFonts w:cs="Times New Roman"/>
                <w:sz w:val="22"/>
              </w:rPr>
              <w:t>0.15</w:t>
            </w:r>
          </w:p>
        </w:tc>
        <w:tc>
          <w:tcPr>
            <w:tcW w:w="2024" w:type="dxa"/>
            <w:tcBorders>
              <w:top w:val="single" w:sz="4" w:space="0" w:color="auto"/>
            </w:tcBorders>
            <w:vAlign w:val="center"/>
          </w:tcPr>
          <w:p w14:paraId="6073CD80" w14:textId="77777777" w:rsidR="00F56C38" w:rsidRPr="004306A0" w:rsidRDefault="00163AF0">
            <w:pPr>
              <w:spacing w:after="0" w:line="240" w:lineRule="auto"/>
              <w:jc w:val="center"/>
              <w:rPr>
                <w:rFonts w:cs="Times New Roman"/>
              </w:rPr>
            </w:pPr>
            <w:r w:rsidRPr="004306A0">
              <w:rPr>
                <w:rFonts w:cs="Times New Roman"/>
                <w:sz w:val="22"/>
              </w:rPr>
              <w:t>0.20</w:t>
            </w:r>
          </w:p>
        </w:tc>
      </w:tr>
      <w:tr w:rsidR="00F56C38" w:rsidRPr="004306A0" w14:paraId="4AC430C1" w14:textId="77777777" w:rsidTr="00A73566">
        <w:trPr>
          <w:trHeight w:val="358"/>
          <w:jc w:val="center"/>
        </w:trPr>
        <w:tc>
          <w:tcPr>
            <w:tcW w:w="2410" w:type="dxa"/>
            <w:vAlign w:val="center"/>
          </w:tcPr>
          <w:p w14:paraId="64DE0501" w14:textId="77777777" w:rsidR="00F56C38" w:rsidRPr="004306A0" w:rsidRDefault="00163AF0">
            <w:pPr>
              <w:spacing w:after="0" w:line="240" w:lineRule="auto"/>
              <w:jc w:val="center"/>
              <w:rPr>
                <w:rFonts w:cs="Times New Roman"/>
              </w:rPr>
            </w:pPr>
            <w:r w:rsidRPr="004306A0">
              <w:rPr>
                <w:rFonts w:cs="Times New Roman"/>
                <w:sz w:val="22"/>
              </w:rPr>
              <w:t>Acenaphthylene</w:t>
            </w:r>
          </w:p>
        </w:tc>
        <w:tc>
          <w:tcPr>
            <w:tcW w:w="1825" w:type="dxa"/>
            <w:vAlign w:val="center"/>
          </w:tcPr>
          <w:p w14:paraId="3472F6E4" w14:textId="77777777" w:rsidR="00F56C38" w:rsidRPr="004306A0" w:rsidRDefault="00163AF0">
            <w:pPr>
              <w:spacing w:after="0" w:line="240" w:lineRule="auto"/>
              <w:jc w:val="center"/>
              <w:rPr>
                <w:rFonts w:cs="Times New Roman"/>
              </w:rPr>
            </w:pPr>
            <w:r w:rsidRPr="004306A0">
              <w:rPr>
                <w:rFonts w:cs="Times New Roman"/>
                <w:sz w:val="22"/>
              </w:rPr>
              <w:t>0.45</w:t>
            </w:r>
          </w:p>
        </w:tc>
        <w:tc>
          <w:tcPr>
            <w:tcW w:w="2023" w:type="dxa"/>
            <w:vAlign w:val="center"/>
          </w:tcPr>
          <w:p w14:paraId="39766883" w14:textId="77777777" w:rsidR="00F56C38" w:rsidRPr="004306A0" w:rsidRDefault="00163AF0">
            <w:pPr>
              <w:spacing w:after="0" w:line="240" w:lineRule="auto"/>
              <w:jc w:val="center"/>
              <w:rPr>
                <w:rFonts w:cs="Times New Roman"/>
              </w:rPr>
            </w:pPr>
            <w:r w:rsidRPr="004306A0">
              <w:rPr>
                <w:rFonts w:cs="Times New Roman"/>
                <w:sz w:val="22"/>
              </w:rPr>
              <w:t>1.20</w:t>
            </w:r>
          </w:p>
        </w:tc>
        <w:tc>
          <w:tcPr>
            <w:tcW w:w="2023" w:type="dxa"/>
            <w:vAlign w:val="center"/>
          </w:tcPr>
          <w:p w14:paraId="0E9441B5" w14:textId="77777777" w:rsidR="00F56C38" w:rsidRPr="004306A0" w:rsidRDefault="00163AF0">
            <w:pPr>
              <w:spacing w:after="0" w:line="240" w:lineRule="auto"/>
              <w:jc w:val="center"/>
              <w:rPr>
                <w:rFonts w:cs="Times New Roman"/>
              </w:rPr>
            </w:pPr>
            <w:r w:rsidRPr="004306A0">
              <w:rPr>
                <w:rFonts w:cs="Times New Roman"/>
                <w:sz w:val="22"/>
              </w:rPr>
              <w:t>0.35</w:t>
            </w:r>
          </w:p>
        </w:tc>
        <w:tc>
          <w:tcPr>
            <w:tcW w:w="2024" w:type="dxa"/>
            <w:vAlign w:val="center"/>
          </w:tcPr>
          <w:p w14:paraId="68A9879B" w14:textId="77777777" w:rsidR="00F56C38" w:rsidRPr="004306A0" w:rsidRDefault="00163AF0">
            <w:pPr>
              <w:spacing w:after="0" w:line="240" w:lineRule="auto"/>
              <w:jc w:val="center"/>
              <w:rPr>
                <w:rFonts w:cs="Times New Roman"/>
              </w:rPr>
            </w:pPr>
            <w:r w:rsidRPr="004306A0">
              <w:rPr>
                <w:rFonts w:cs="Times New Roman"/>
                <w:sz w:val="22"/>
              </w:rPr>
              <w:t>0.95</w:t>
            </w:r>
          </w:p>
        </w:tc>
      </w:tr>
      <w:tr w:rsidR="00F56C38" w:rsidRPr="004306A0" w14:paraId="451916FF" w14:textId="77777777" w:rsidTr="00A73566">
        <w:trPr>
          <w:trHeight w:val="358"/>
          <w:jc w:val="center"/>
        </w:trPr>
        <w:tc>
          <w:tcPr>
            <w:tcW w:w="2410" w:type="dxa"/>
            <w:vAlign w:val="center"/>
          </w:tcPr>
          <w:p w14:paraId="638F4815" w14:textId="77777777" w:rsidR="00F56C38" w:rsidRPr="004306A0" w:rsidRDefault="00163AF0">
            <w:pPr>
              <w:spacing w:after="0" w:line="240" w:lineRule="auto"/>
              <w:jc w:val="center"/>
              <w:rPr>
                <w:rFonts w:cs="Times New Roman"/>
              </w:rPr>
            </w:pPr>
            <w:r w:rsidRPr="004306A0">
              <w:rPr>
                <w:rFonts w:cs="Times New Roman"/>
                <w:sz w:val="22"/>
              </w:rPr>
              <w:t>Acenaphthene</w:t>
            </w:r>
          </w:p>
        </w:tc>
        <w:tc>
          <w:tcPr>
            <w:tcW w:w="1825" w:type="dxa"/>
            <w:vAlign w:val="center"/>
          </w:tcPr>
          <w:p w14:paraId="0ACD4405" w14:textId="77777777" w:rsidR="00F56C38" w:rsidRPr="004306A0" w:rsidRDefault="00163AF0">
            <w:pPr>
              <w:spacing w:after="0" w:line="240" w:lineRule="auto"/>
              <w:jc w:val="center"/>
              <w:rPr>
                <w:rFonts w:cs="Times New Roman"/>
              </w:rPr>
            </w:pPr>
            <w:r w:rsidRPr="004306A0">
              <w:rPr>
                <w:rFonts w:cs="Times New Roman"/>
                <w:sz w:val="22"/>
              </w:rPr>
              <w:t>0.20</w:t>
            </w:r>
          </w:p>
        </w:tc>
        <w:tc>
          <w:tcPr>
            <w:tcW w:w="2023" w:type="dxa"/>
            <w:vAlign w:val="center"/>
          </w:tcPr>
          <w:p w14:paraId="7FB726FD" w14:textId="77777777" w:rsidR="00F56C38" w:rsidRPr="004306A0" w:rsidRDefault="00163AF0">
            <w:pPr>
              <w:spacing w:after="0" w:line="240" w:lineRule="auto"/>
              <w:jc w:val="center"/>
              <w:rPr>
                <w:rFonts w:cs="Times New Roman"/>
              </w:rPr>
            </w:pPr>
            <w:r w:rsidRPr="004306A0">
              <w:rPr>
                <w:rFonts w:cs="Times New Roman"/>
                <w:sz w:val="22"/>
              </w:rPr>
              <w:t>0.45</w:t>
            </w:r>
          </w:p>
        </w:tc>
        <w:tc>
          <w:tcPr>
            <w:tcW w:w="2023" w:type="dxa"/>
            <w:vAlign w:val="center"/>
          </w:tcPr>
          <w:p w14:paraId="305FBA70" w14:textId="77777777" w:rsidR="00F56C38" w:rsidRPr="004306A0" w:rsidRDefault="00163AF0">
            <w:pPr>
              <w:spacing w:after="0" w:line="240" w:lineRule="auto"/>
              <w:jc w:val="center"/>
              <w:rPr>
                <w:rFonts w:cs="Times New Roman"/>
              </w:rPr>
            </w:pPr>
            <w:r w:rsidRPr="004306A0">
              <w:rPr>
                <w:rFonts w:cs="Times New Roman"/>
                <w:sz w:val="22"/>
              </w:rPr>
              <w:t>0.10</w:t>
            </w:r>
          </w:p>
        </w:tc>
        <w:tc>
          <w:tcPr>
            <w:tcW w:w="2024" w:type="dxa"/>
            <w:vAlign w:val="center"/>
          </w:tcPr>
          <w:p w14:paraId="63801E59" w14:textId="77777777" w:rsidR="00F56C38" w:rsidRPr="004306A0" w:rsidRDefault="00163AF0">
            <w:pPr>
              <w:spacing w:after="0" w:line="240" w:lineRule="auto"/>
              <w:jc w:val="center"/>
              <w:rPr>
                <w:rFonts w:cs="Times New Roman"/>
              </w:rPr>
            </w:pPr>
            <w:r w:rsidRPr="004306A0">
              <w:rPr>
                <w:rFonts w:cs="Times New Roman"/>
                <w:sz w:val="22"/>
              </w:rPr>
              <w:t>0.20</w:t>
            </w:r>
          </w:p>
        </w:tc>
      </w:tr>
      <w:tr w:rsidR="00F56C38" w:rsidRPr="004306A0" w14:paraId="2C0A343E" w14:textId="77777777" w:rsidTr="00A73566">
        <w:trPr>
          <w:trHeight w:val="372"/>
          <w:jc w:val="center"/>
        </w:trPr>
        <w:tc>
          <w:tcPr>
            <w:tcW w:w="2410" w:type="dxa"/>
            <w:vAlign w:val="center"/>
          </w:tcPr>
          <w:p w14:paraId="6E94063B" w14:textId="77777777" w:rsidR="00F56C38" w:rsidRPr="004306A0" w:rsidRDefault="00163AF0">
            <w:pPr>
              <w:spacing w:after="0" w:line="240" w:lineRule="auto"/>
              <w:jc w:val="center"/>
              <w:rPr>
                <w:rFonts w:cs="Times New Roman"/>
              </w:rPr>
            </w:pPr>
            <w:r w:rsidRPr="004306A0">
              <w:rPr>
                <w:rFonts w:cs="Times New Roman"/>
                <w:sz w:val="22"/>
              </w:rPr>
              <w:t>Fluorene</w:t>
            </w:r>
          </w:p>
        </w:tc>
        <w:tc>
          <w:tcPr>
            <w:tcW w:w="1825" w:type="dxa"/>
            <w:vAlign w:val="center"/>
          </w:tcPr>
          <w:p w14:paraId="3FBFFE38" w14:textId="77777777" w:rsidR="00F56C38" w:rsidRPr="004306A0" w:rsidRDefault="00163AF0">
            <w:pPr>
              <w:spacing w:after="0" w:line="240" w:lineRule="auto"/>
              <w:jc w:val="center"/>
              <w:rPr>
                <w:rFonts w:cs="Times New Roman"/>
              </w:rPr>
            </w:pPr>
            <w:r w:rsidRPr="004306A0">
              <w:rPr>
                <w:rFonts w:cs="Times New Roman"/>
                <w:sz w:val="22"/>
              </w:rPr>
              <w:t>0.65</w:t>
            </w:r>
          </w:p>
        </w:tc>
        <w:tc>
          <w:tcPr>
            <w:tcW w:w="2023" w:type="dxa"/>
            <w:vAlign w:val="center"/>
          </w:tcPr>
          <w:p w14:paraId="43887CB1" w14:textId="77777777" w:rsidR="00F56C38" w:rsidRPr="004306A0" w:rsidRDefault="00163AF0">
            <w:pPr>
              <w:spacing w:after="0" w:line="240" w:lineRule="auto"/>
              <w:jc w:val="center"/>
              <w:rPr>
                <w:rFonts w:cs="Times New Roman"/>
              </w:rPr>
            </w:pPr>
            <w:r w:rsidRPr="004306A0">
              <w:rPr>
                <w:rFonts w:cs="Times New Roman"/>
                <w:sz w:val="22"/>
              </w:rPr>
              <w:t>0.85</w:t>
            </w:r>
          </w:p>
        </w:tc>
        <w:tc>
          <w:tcPr>
            <w:tcW w:w="2023" w:type="dxa"/>
            <w:vAlign w:val="center"/>
          </w:tcPr>
          <w:p w14:paraId="66245DAD" w14:textId="77777777" w:rsidR="00F56C38" w:rsidRPr="004306A0" w:rsidRDefault="00163AF0">
            <w:pPr>
              <w:spacing w:after="0" w:line="240" w:lineRule="auto"/>
              <w:jc w:val="center"/>
              <w:rPr>
                <w:rFonts w:cs="Times New Roman"/>
              </w:rPr>
            </w:pPr>
            <w:r w:rsidRPr="004306A0">
              <w:rPr>
                <w:rFonts w:cs="Times New Roman"/>
                <w:sz w:val="22"/>
              </w:rPr>
              <w:t>0.50</w:t>
            </w:r>
          </w:p>
        </w:tc>
        <w:tc>
          <w:tcPr>
            <w:tcW w:w="2024" w:type="dxa"/>
            <w:vAlign w:val="center"/>
          </w:tcPr>
          <w:p w14:paraId="1C2AABB6" w14:textId="77777777" w:rsidR="00F56C38" w:rsidRPr="004306A0" w:rsidRDefault="00163AF0">
            <w:pPr>
              <w:spacing w:after="0" w:line="240" w:lineRule="auto"/>
              <w:jc w:val="center"/>
              <w:rPr>
                <w:rFonts w:cs="Times New Roman"/>
              </w:rPr>
            </w:pPr>
            <w:r w:rsidRPr="004306A0">
              <w:rPr>
                <w:rFonts w:cs="Times New Roman"/>
                <w:sz w:val="22"/>
              </w:rPr>
              <w:t>0.35</w:t>
            </w:r>
          </w:p>
        </w:tc>
      </w:tr>
      <w:tr w:rsidR="00F56C38" w:rsidRPr="004306A0" w14:paraId="7CABE815" w14:textId="77777777" w:rsidTr="00A73566">
        <w:trPr>
          <w:trHeight w:val="358"/>
          <w:jc w:val="center"/>
        </w:trPr>
        <w:tc>
          <w:tcPr>
            <w:tcW w:w="2410" w:type="dxa"/>
            <w:vAlign w:val="center"/>
          </w:tcPr>
          <w:p w14:paraId="1E83012C" w14:textId="77777777" w:rsidR="00F56C38" w:rsidRPr="004306A0" w:rsidRDefault="00163AF0">
            <w:pPr>
              <w:spacing w:after="0" w:line="240" w:lineRule="auto"/>
              <w:jc w:val="center"/>
              <w:rPr>
                <w:rFonts w:cs="Times New Roman"/>
              </w:rPr>
            </w:pPr>
            <w:r w:rsidRPr="004306A0">
              <w:rPr>
                <w:rFonts w:cs="Times New Roman"/>
                <w:sz w:val="22"/>
              </w:rPr>
              <w:t>Phenanthrene</w:t>
            </w:r>
          </w:p>
        </w:tc>
        <w:tc>
          <w:tcPr>
            <w:tcW w:w="1825" w:type="dxa"/>
            <w:vAlign w:val="center"/>
          </w:tcPr>
          <w:p w14:paraId="22D0B5E0" w14:textId="77777777" w:rsidR="00F56C38" w:rsidRPr="004306A0" w:rsidRDefault="00163AF0">
            <w:pPr>
              <w:spacing w:after="0" w:line="240" w:lineRule="auto"/>
              <w:jc w:val="center"/>
              <w:rPr>
                <w:rFonts w:cs="Times New Roman"/>
              </w:rPr>
            </w:pPr>
            <w:r w:rsidRPr="004306A0">
              <w:rPr>
                <w:rFonts w:cs="Times New Roman"/>
                <w:sz w:val="22"/>
              </w:rPr>
              <w:t>0.10</w:t>
            </w:r>
          </w:p>
        </w:tc>
        <w:tc>
          <w:tcPr>
            <w:tcW w:w="2023" w:type="dxa"/>
            <w:vAlign w:val="center"/>
          </w:tcPr>
          <w:p w14:paraId="3BDE1164" w14:textId="77777777" w:rsidR="00F56C38" w:rsidRPr="004306A0" w:rsidRDefault="00163AF0">
            <w:pPr>
              <w:spacing w:after="0" w:line="240" w:lineRule="auto"/>
              <w:jc w:val="center"/>
              <w:rPr>
                <w:rFonts w:cs="Times New Roman"/>
              </w:rPr>
            </w:pPr>
            <w:r w:rsidRPr="004306A0">
              <w:rPr>
                <w:rFonts w:cs="Times New Roman"/>
                <w:sz w:val="22"/>
              </w:rPr>
              <w:t>0.10</w:t>
            </w:r>
          </w:p>
        </w:tc>
        <w:tc>
          <w:tcPr>
            <w:tcW w:w="2023" w:type="dxa"/>
            <w:vAlign w:val="center"/>
          </w:tcPr>
          <w:p w14:paraId="514DF9F3" w14:textId="77777777" w:rsidR="00F56C38" w:rsidRPr="004306A0" w:rsidRDefault="00163AF0">
            <w:pPr>
              <w:spacing w:after="0" w:line="240" w:lineRule="auto"/>
              <w:jc w:val="center"/>
              <w:rPr>
                <w:rFonts w:cs="Times New Roman"/>
              </w:rPr>
            </w:pPr>
            <w:r w:rsidRPr="004306A0">
              <w:rPr>
                <w:rFonts w:cs="Times New Roman"/>
                <w:sz w:val="22"/>
              </w:rPr>
              <w:t>0.05</w:t>
            </w:r>
          </w:p>
        </w:tc>
        <w:tc>
          <w:tcPr>
            <w:tcW w:w="2024" w:type="dxa"/>
            <w:vAlign w:val="center"/>
          </w:tcPr>
          <w:p w14:paraId="377ACA33" w14:textId="77777777" w:rsidR="00F56C38" w:rsidRPr="004306A0" w:rsidRDefault="00163AF0">
            <w:pPr>
              <w:spacing w:after="0" w:line="240" w:lineRule="auto"/>
              <w:jc w:val="center"/>
              <w:rPr>
                <w:rFonts w:cs="Times New Roman"/>
              </w:rPr>
            </w:pPr>
            <w:r w:rsidRPr="004306A0">
              <w:rPr>
                <w:rFonts w:cs="Times New Roman"/>
                <w:sz w:val="22"/>
              </w:rPr>
              <w:t>0.10</w:t>
            </w:r>
          </w:p>
        </w:tc>
      </w:tr>
      <w:tr w:rsidR="00F56C38" w:rsidRPr="004306A0" w14:paraId="03B878B5" w14:textId="77777777" w:rsidTr="00A73566">
        <w:trPr>
          <w:trHeight w:val="358"/>
          <w:jc w:val="center"/>
        </w:trPr>
        <w:tc>
          <w:tcPr>
            <w:tcW w:w="2410" w:type="dxa"/>
            <w:vAlign w:val="center"/>
          </w:tcPr>
          <w:p w14:paraId="69F35A7F" w14:textId="77777777" w:rsidR="00F56C38" w:rsidRPr="004306A0" w:rsidRDefault="00163AF0">
            <w:pPr>
              <w:spacing w:after="0" w:line="240" w:lineRule="auto"/>
              <w:jc w:val="center"/>
              <w:rPr>
                <w:rFonts w:cs="Times New Roman"/>
              </w:rPr>
            </w:pPr>
            <w:r w:rsidRPr="004306A0">
              <w:rPr>
                <w:rFonts w:cs="Times New Roman"/>
                <w:sz w:val="22"/>
              </w:rPr>
              <w:t>Anthracene</w:t>
            </w:r>
          </w:p>
        </w:tc>
        <w:tc>
          <w:tcPr>
            <w:tcW w:w="1825" w:type="dxa"/>
            <w:vAlign w:val="center"/>
          </w:tcPr>
          <w:p w14:paraId="37E3B77E" w14:textId="77777777" w:rsidR="00F56C38" w:rsidRPr="004306A0" w:rsidRDefault="00163AF0">
            <w:pPr>
              <w:spacing w:after="0" w:line="240" w:lineRule="auto"/>
              <w:jc w:val="center"/>
              <w:rPr>
                <w:rFonts w:cs="Times New Roman"/>
              </w:rPr>
            </w:pPr>
            <w:r w:rsidRPr="004306A0">
              <w:rPr>
                <w:rFonts w:cs="Times New Roman"/>
                <w:sz w:val="22"/>
              </w:rPr>
              <w:t>2.75</w:t>
            </w:r>
          </w:p>
        </w:tc>
        <w:tc>
          <w:tcPr>
            <w:tcW w:w="2023" w:type="dxa"/>
            <w:vAlign w:val="center"/>
          </w:tcPr>
          <w:p w14:paraId="36033231" w14:textId="77777777" w:rsidR="00F56C38" w:rsidRPr="004306A0" w:rsidRDefault="00163AF0">
            <w:pPr>
              <w:spacing w:after="0" w:line="240" w:lineRule="auto"/>
              <w:jc w:val="center"/>
              <w:rPr>
                <w:rFonts w:cs="Times New Roman"/>
              </w:rPr>
            </w:pPr>
            <w:r w:rsidRPr="004306A0">
              <w:rPr>
                <w:rFonts w:cs="Times New Roman"/>
                <w:sz w:val="22"/>
              </w:rPr>
              <w:t>2.15</w:t>
            </w:r>
          </w:p>
        </w:tc>
        <w:tc>
          <w:tcPr>
            <w:tcW w:w="2023" w:type="dxa"/>
            <w:vAlign w:val="center"/>
          </w:tcPr>
          <w:p w14:paraId="33A95E57" w14:textId="77777777" w:rsidR="00F56C38" w:rsidRPr="004306A0" w:rsidRDefault="00163AF0">
            <w:pPr>
              <w:spacing w:after="0" w:line="240" w:lineRule="auto"/>
              <w:jc w:val="center"/>
              <w:rPr>
                <w:rFonts w:cs="Times New Roman"/>
              </w:rPr>
            </w:pPr>
            <w:r w:rsidRPr="004306A0">
              <w:rPr>
                <w:rFonts w:cs="Times New Roman"/>
                <w:sz w:val="22"/>
              </w:rPr>
              <w:t>2.15</w:t>
            </w:r>
          </w:p>
        </w:tc>
        <w:tc>
          <w:tcPr>
            <w:tcW w:w="2024" w:type="dxa"/>
            <w:vAlign w:val="center"/>
          </w:tcPr>
          <w:p w14:paraId="0394EF99" w14:textId="77777777" w:rsidR="00F56C38" w:rsidRPr="004306A0" w:rsidRDefault="00163AF0">
            <w:pPr>
              <w:spacing w:after="0" w:line="240" w:lineRule="auto"/>
              <w:jc w:val="center"/>
              <w:rPr>
                <w:rFonts w:cs="Times New Roman"/>
              </w:rPr>
            </w:pPr>
            <w:r w:rsidRPr="004306A0">
              <w:rPr>
                <w:rFonts w:cs="Times New Roman"/>
                <w:sz w:val="22"/>
              </w:rPr>
              <w:t>1.80</w:t>
            </w:r>
          </w:p>
        </w:tc>
      </w:tr>
      <w:tr w:rsidR="00F56C38" w:rsidRPr="004306A0" w14:paraId="75F41749" w14:textId="77777777" w:rsidTr="00A73566">
        <w:trPr>
          <w:trHeight w:val="372"/>
          <w:jc w:val="center"/>
        </w:trPr>
        <w:tc>
          <w:tcPr>
            <w:tcW w:w="2410" w:type="dxa"/>
            <w:vAlign w:val="center"/>
          </w:tcPr>
          <w:p w14:paraId="56FB6D1A" w14:textId="77777777" w:rsidR="00F56C38" w:rsidRPr="004306A0" w:rsidRDefault="00163AF0">
            <w:pPr>
              <w:spacing w:after="0" w:line="240" w:lineRule="auto"/>
              <w:jc w:val="center"/>
              <w:rPr>
                <w:rFonts w:cs="Times New Roman"/>
              </w:rPr>
            </w:pPr>
            <w:r w:rsidRPr="004306A0">
              <w:rPr>
                <w:rFonts w:cs="Times New Roman"/>
                <w:sz w:val="22"/>
              </w:rPr>
              <w:t>Fluoranthene</w:t>
            </w:r>
          </w:p>
        </w:tc>
        <w:tc>
          <w:tcPr>
            <w:tcW w:w="1825" w:type="dxa"/>
            <w:vAlign w:val="center"/>
          </w:tcPr>
          <w:p w14:paraId="069564E0" w14:textId="77777777" w:rsidR="00F56C38" w:rsidRPr="004306A0" w:rsidRDefault="00163AF0">
            <w:pPr>
              <w:spacing w:after="0" w:line="240" w:lineRule="auto"/>
              <w:jc w:val="center"/>
              <w:rPr>
                <w:rFonts w:cs="Times New Roman"/>
              </w:rPr>
            </w:pPr>
            <w:r w:rsidRPr="004306A0">
              <w:rPr>
                <w:rFonts w:cs="Times New Roman"/>
                <w:sz w:val="22"/>
              </w:rPr>
              <w:t>0.10</w:t>
            </w:r>
          </w:p>
        </w:tc>
        <w:tc>
          <w:tcPr>
            <w:tcW w:w="2023" w:type="dxa"/>
            <w:vAlign w:val="center"/>
          </w:tcPr>
          <w:p w14:paraId="2C4BA477" w14:textId="77777777" w:rsidR="00F56C38" w:rsidRPr="004306A0" w:rsidRDefault="00163AF0">
            <w:pPr>
              <w:spacing w:after="0" w:line="240" w:lineRule="auto"/>
              <w:jc w:val="center"/>
              <w:rPr>
                <w:rFonts w:cs="Times New Roman"/>
              </w:rPr>
            </w:pPr>
            <w:r w:rsidRPr="004306A0">
              <w:rPr>
                <w:rFonts w:cs="Times New Roman"/>
                <w:sz w:val="22"/>
              </w:rPr>
              <w:t>0.05</w:t>
            </w:r>
          </w:p>
        </w:tc>
        <w:tc>
          <w:tcPr>
            <w:tcW w:w="2023" w:type="dxa"/>
            <w:vAlign w:val="center"/>
          </w:tcPr>
          <w:p w14:paraId="6CF140D2"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2024" w:type="dxa"/>
            <w:vAlign w:val="center"/>
          </w:tcPr>
          <w:p w14:paraId="7E509F16" w14:textId="77777777" w:rsidR="00F56C38" w:rsidRPr="004306A0" w:rsidRDefault="00163AF0">
            <w:pPr>
              <w:spacing w:after="0" w:line="240" w:lineRule="auto"/>
              <w:jc w:val="center"/>
              <w:rPr>
                <w:rFonts w:cs="Times New Roman"/>
              </w:rPr>
            </w:pPr>
            <w:r w:rsidRPr="004306A0">
              <w:rPr>
                <w:rFonts w:cs="Times New Roman"/>
                <w:sz w:val="22"/>
              </w:rPr>
              <w:t>&lt; LOD</w:t>
            </w:r>
          </w:p>
        </w:tc>
      </w:tr>
      <w:tr w:rsidR="00F56C38" w:rsidRPr="004306A0" w14:paraId="52502E5E" w14:textId="77777777" w:rsidTr="00A73566">
        <w:trPr>
          <w:trHeight w:val="358"/>
          <w:jc w:val="center"/>
        </w:trPr>
        <w:tc>
          <w:tcPr>
            <w:tcW w:w="2410" w:type="dxa"/>
            <w:vAlign w:val="center"/>
          </w:tcPr>
          <w:p w14:paraId="302E34F2" w14:textId="77777777" w:rsidR="00F56C38" w:rsidRPr="004306A0" w:rsidRDefault="00163AF0">
            <w:pPr>
              <w:spacing w:after="0" w:line="240" w:lineRule="auto"/>
              <w:jc w:val="center"/>
              <w:rPr>
                <w:rFonts w:cs="Times New Roman"/>
              </w:rPr>
            </w:pPr>
            <w:r w:rsidRPr="004306A0">
              <w:rPr>
                <w:rFonts w:cs="Times New Roman"/>
                <w:sz w:val="22"/>
              </w:rPr>
              <w:t>Pyrene</w:t>
            </w:r>
          </w:p>
        </w:tc>
        <w:tc>
          <w:tcPr>
            <w:tcW w:w="1825" w:type="dxa"/>
            <w:vAlign w:val="center"/>
          </w:tcPr>
          <w:p w14:paraId="77B1F144" w14:textId="77777777" w:rsidR="00F56C38" w:rsidRPr="004306A0" w:rsidRDefault="00163AF0">
            <w:pPr>
              <w:spacing w:after="0" w:line="240" w:lineRule="auto"/>
              <w:jc w:val="center"/>
              <w:rPr>
                <w:rFonts w:cs="Times New Roman"/>
              </w:rPr>
            </w:pPr>
            <w:r w:rsidRPr="004306A0">
              <w:rPr>
                <w:rFonts w:cs="Times New Roman"/>
                <w:sz w:val="22"/>
              </w:rPr>
              <w:t>4.15</w:t>
            </w:r>
          </w:p>
        </w:tc>
        <w:tc>
          <w:tcPr>
            <w:tcW w:w="2023" w:type="dxa"/>
            <w:vAlign w:val="center"/>
          </w:tcPr>
          <w:p w14:paraId="0081B73E" w14:textId="77777777" w:rsidR="00F56C38" w:rsidRPr="004306A0" w:rsidRDefault="00163AF0">
            <w:pPr>
              <w:spacing w:after="0" w:line="240" w:lineRule="auto"/>
              <w:jc w:val="center"/>
              <w:rPr>
                <w:rFonts w:cs="Times New Roman"/>
              </w:rPr>
            </w:pPr>
            <w:r w:rsidRPr="004306A0">
              <w:rPr>
                <w:rFonts w:cs="Times New Roman"/>
                <w:sz w:val="22"/>
              </w:rPr>
              <w:t>4.45</w:t>
            </w:r>
          </w:p>
        </w:tc>
        <w:tc>
          <w:tcPr>
            <w:tcW w:w="2023" w:type="dxa"/>
            <w:vAlign w:val="center"/>
          </w:tcPr>
          <w:p w14:paraId="0B5F6A9E" w14:textId="77777777" w:rsidR="00F56C38" w:rsidRPr="004306A0" w:rsidRDefault="00163AF0">
            <w:pPr>
              <w:spacing w:after="0" w:line="240" w:lineRule="auto"/>
              <w:jc w:val="center"/>
              <w:rPr>
                <w:rFonts w:cs="Times New Roman"/>
              </w:rPr>
            </w:pPr>
            <w:r w:rsidRPr="004306A0">
              <w:rPr>
                <w:rFonts w:cs="Times New Roman"/>
                <w:sz w:val="22"/>
              </w:rPr>
              <w:t>2.35</w:t>
            </w:r>
          </w:p>
        </w:tc>
        <w:tc>
          <w:tcPr>
            <w:tcW w:w="2024" w:type="dxa"/>
            <w:vAlign w:val="center"/>
          </w:tcPr>
          <w:p w14:paraId="6689DF80" w14:textId="77777777" w:rsidR="00F56C38" w:rsidRPr="004306A0" w:rsidRDefault="00163AF0">
            <w:pPr>
              <w:spacing w:after="0" w:line="240" w:lineRule="auto"/>
              <w:jc w:val="center"/>
              <w:rPr>
                <w:rFonts w:cs="Times New Roman"/>
              </w:rPr>
            </w:pPr>
            <w:r w:rsidRPr="004306A0">
              <w:rPr>
                <w:rFonts w:cs="Times New Roman"/>
                <w:sz w:val="22"/>
              </w:rPr>
              <w:t>2.95</w:t>
            </w:r>
          </w:p>
        </w:tc>
      </w:tr>
      <w:tr w:rsidR="00F56C38" w:rsidRPr="004306A0" w14:paraId="5FA5DD67" w14:textId="77777777" w:rsidTr="00A73566">
        <w:trPr>
          <w:trHeight w:val="731"/>
          <w:jc w:val="center"/>
        </w:trPr>
        <w:tc>
          <w:tcPr>
            <w:tcW w:w="2410" w:type="dxa"/>
            <w:vAlign w:val="center"/>
          </w:tcPr>
          <w:p w14:paraId="690FADDA" w14:textId="77777777" w:rsidR="00F56C38" w:rsidRPr="004306A0" w:rsidRDefault="00163AF0">
            <w:pPr>
              <w:spacing w:after="0" w:line="240" w:lineRule="auto"/>
              <w:jc w:val="center"/>
              <w:rPr>
                <w:rFonts w:cs="Times New Roman"/>
              </w:rPr>
            </w:pPr>
            <w:r w:rsidRPr="004306A0">
              <w:rPr>
                <w:rFonts w:cs="Times New Roman"/>
                <w:sz w:val="22"/>
              </w:rPr>
              <w:t>Benzo(a)anthracene</w:t>
            </w:r>
          </w:p>
        </w:tc>
        <w:tc>
          <w:tcPr>
            <w:tcW w:w="1825" w:type="dxa"/>
            <w:vAlign w:val="center"/>
          </w:tcPr>
          <w:p w14:paraId="198D7F01" w14:textId="77777777" w:rsidR="00F56C38" w:rsidRPr="004306A0" w:rsidRDefault="00163AF0">
            <w:pPr>
              <w:spacing w:after="0" w:line="240" w:lineRule="auto"/>
              <w:jc w:val="center"/>
              <w:rPr>
                <w:rFonts w:cs="Times New Roman"/>
              </w:rPr>
            </w:pPr>
            <w:r w:rsidRPr="004306A0">
              <w:rPr>
                <w:rFonts w:cs="Times New Roman"/>
                <w:sz w:val="22"/>
              </w:rPr>
              <w:t>0.40</w:t>
            </w:r>
          </w:p>
        </w:tc>
        <w:tc>
          <w:tcPr>
            <w:tcW w:w="2023" w:type="dxa"/>
            <w:vAlign w:val="center"/>
          </w:tcPr>
          <w:p w14:paraId="644E1809" w14:textId="77777777" w:rsidR="00F56C38" w:rsidRPr="004306A0" w:rsidRDefault="00163AF0">
            <w:pPr>
              <w:spacing w:after="0" w:line="240" w:lineRule="auto"/>
              <w:jc w:val="center"/>
              <w:rPr>
                <w:rFonts w:cs="Times New Roman"/>
              </w:rPr>
            </w:pPr>
            <w:r w:rsidRPr="004306A0">
              <w:rPr>
                <w:rFonts w:cs="Times New Roman"/>
                <w:sz w:val="22"/>
              </w:rPr>
              <w:t>0.50</w:t>
            </w:r>
          </w:p>
        </w:tc>
        <w:tc>
          <w:tcPr>
            <w:tcW w:w="2023" w:type="dxa"/>
            <w:vAlign w:val="center"/>
          </w:tcPr>
          <w:p w14:paraId="22FD06D6" w14:textId="77777777" w:rsidR="00F56C38" w:rsidRPr="004306A0" w:rsidRDefault="00163AF0">
            <w:pPr>
              <w:spacing w:after="0" w:line="240" w:lineRule="auto"/>
              <w:jc w:val="center"/>
              <w:rPr>
                <w:rFonts w:cs="Times New Roman"/>
              </w:rPr>
            </w:pPr>
            <w:r w:rsidRPr="004306A0">
              <w:rPr>
                <w:rFonts w:cs="Times New Roman"/>
                <w:sz w:val="22"/>
              </w:rPr>
              <w:t>0.15</w:t>
            </w:r>
          </w:p>
        </w:tc>
        <w:tc>
          <w:tcPr>
            <w:tcW w:w="2024" w:type="dxa"/>
            <w:vAlign w:val="center"/>
          </w:tcPr>
          <w:p w14:paraId="5FFBF2FE" w14:textId="77777777" w:rsidR="00F56C38" w:rsidRPr="004306A0" w:rsidRDefault="00163AF0">
            <w:pPr>
              <w:spacing w:after="0" w:line="240" w:lineRule="auto"/>
              <w:jc w:val="center"/>
              <w:rPr>
                <w:rFonts w:cs="Times New Roman"/>
              </w:rPr>
            </w:pPr>
            <w:r w:rsidRPr="004306A0">
              <w:rPr>
                <w:rFonts w:cs="Times New Roman"/>
                <w:sz w:val="22"/>
              </w:rPr>
              <w:t>0.15</w:t>
            </w:r>
          </w:p>
        </w:tc>
      </w:tr>
      <w:tr w:rsidR="00F56C38" w:rsidRPr="004306A0" w14:paraId="2FC6B282" w14:textId="77777777" w:rsidTr="00A73566">
        <w:trPr>
          <w:trHeight w:val="358"/>
          <w:jc w:val="center"/>
        </w:trPr>
        <w:tc>
          <w:tcPr>
            <w:tcW w:w="2410" w:type="dxa"/>
            <w:vAlign w:val="center"/>
          </w:tcPr>
          <w:p w14:paraId="792B9E2B" w14:textId="77777777" w:rsidR="00F56C38" w:rsidRPr="004306A0" w:rsidRDefault="00163AF0">
            <w:pPr>
              <w:spacing w:after="0" w:line="240" w:lineRule="auto"/>
              <w:jc w:val="center"/>
              <w:rPr>
                <w:rFonts w:cs="Times New Roman"/>
              </w:rPr>
            </w:pPr>
            <w:r w:rsidRPr="004306A0">
              <w:rPr>
                <w:rFonts w:cs="Times New Roman"/>
                <w:sz w:val="22"/>
              </w:rPr>
              <w:t>Chrysene</w:t>
            </w:r>
          </w:p>
        </w:tc>
        <w:tc>
          <w:tcPr>
            <w:tcW w:w="1825" w:type="dxa"/>
            <w:vAlign w:val="center"/>
          </w:tcPr>
          <w:p w14:paraId="195FCB17" w14:textId="77777777" w:rsidR="00F56C38" w:rsidRPr="004306A0" w:rsidRDefault="00163AF0">
            <w:pPr>
              <w:spacing w:after="0" w:line="240" w:lineRule="auto"/>
              <w:jc w:val="center"/>
              <w:rPr>
                <w:rFonts w:cs="Times New Roman"/>
              </w:rPr>
            </w:pPr>
            <w:r w:rsidRPr="004306A0">
              <w:rPr>
                <w:rFonts w:cs="Times New Roman"/>
                <w:sz w:val="22"/>
              </w:rPr>
              <w:t>0.55</w:t>
            </w:r>
          </w:p>
        </w:tc>
        <w:tc>
          <w:tcPr>
            <w:tcW w:w="2023" w:type="dxa"/>
            <w:vAlign w:val="center"/>
          </w:tcPr>
          <w:p w14:paraId="0AFEE163" w14:textId="77777777" w:rsidR="00F56C38" w:rsidRPr="004306A0" w:rsidRDefault="00163AF0">
            <w:pPr>
              <w:spacing w:after="0" w:line="240" w:lineRule="auto"/>
              <w:jc w:val="center"/>
              <w:rPr>
                <w:rFonts w:cs="Times New Roman"/>
              </w:rPr>
            </w:pPr>
            <w:r w:rsidRPr="004306A0">
              <w:rPr>
                <w:rFonts w:cs="Times New Roman"/>
                <w:sz w:val="22"/>
              </w:rPr>
              <w:t>0.55</w:t>
            </w:r>
          </w:p>
        </w:tc>
        <w:tc>
          <w:tcPr>
            <w:tcW w:w="2023" w:type="dxa"/>
            <w:vAlign w:val="center"/>
          </w:tcPr>
          <w:p w14:paraId="6F1956FF" w14:textId="77777777" w:rsidR="00F56C38" w:rsidRPr="004306A0" w:rsidRDefault="00163AF0">
            <w:pPr>
              <w:spacing w:after="0" w:line="240" w:lineRule="auto"/>
              <w:jc w:val="center"/>
              <w:rPr>
                <w:rFonts w:cs="Times New Roman"/>
              </w:rPr>
            </w:pPr>
            <w:r w:rsidRPr="004306A0">
              <w:rPr>
                <w:rFonts w:cs="Times New Roman"/>
                <w:sz w:val="22"/>
              </w:rPr>
              <w:t>0.20</w:t>
            </w:r>
          </w:p>
        </w:tc>
        <w:tc>
          <w:tcPr>
            <w:tcW w:w="2024" w:type="dxa"/>
            <w:vAlign w:val="center"/>
          </w:tcPr>
          <w:p w14:paraId="3A2B7224" w14:textId="77777777" w:rsidR="00F56C38" w:rsidRPr="004306A0" w:rsidRDefault="00163AF0">
            <w:pPr>
              <w:spacing w:after="0" w:line="240" w:lineRule="auto"/>
              <w:jc w:val="center"/>
              <w:rPr>
                <w:rFonts w:cs="Times New Roman"/>
              </w:rPr>
            </w:pPr>
            <w:r w:rsidRPr="004306A0">
              <w:rPr>
                <w:rFonts w:cs="Times New Roman"/>
                <w:sz w:val="22"/>
              </w:rPr>
              <w:t>0.25</w:t>
            </w:r>
          </w:p>
        </w:tc>
      </w:tr>
      <w:tr w:rsidR="00F56C38" w:rsidRPr="004306A0" w14:paraId="533BDB3E" w14:textId="77777777" w:rsidTr="00A73566">
        <w:trPr>
          <w:trHeight w:val="716"/>
          <w:jc w:val="center"/>
        </w:trPr>
        <w:tc>
          <w:tcPr>
            <w:tcW w:w="2410" w:type="dxa"/>
            <w:vAlign w:val="center"/>
          </w:tcPr>
          <w:p w14:paraId="74BB007D" w14:textId="77777777" w:rsidR="00F56C38" w:rsidRPr="004306A0" w:rsidRDefault="00163AF0">
            <w:pPr>
              <w:spacing w:after="0" w:line="240" w:lineRule="auto"/>
              <w:jc w:val="center"/>
              <w:rPr>
                <w:rFonts w:cs="Times New Roman"/>
              </w:rPr>
            </w:pPr>
            <w:r w:rsidRPr="004306A0">
              <w:rPr>
                <w:rFonts w:cs="Times New Roman"/>
                <w:sz w:val="22"/>
              </w:rPr>
              <w:t>Benzo(b)fluoranthene</w:t>
            </w:r>
          </w:p>
        </w:tc>
        <w:tc>
          <w:tcPr>
            <w:tcW w:w="1825" w:type="dxa"/>
            <w:vAlign w:val="center"/>
          </w:tcPr>
          <w:p w14:paraId="450E9E64" w14:textId="77777777" w:rsidR="00F56C38" w:rsidRPr="004306A0" w:rsidRDefault="00163AF0">
            <w:pPr>
              <w:spacing w:after="0" w:line="240" w:lineRule="auto"/>
              <w:jc w:val="center"/>
              <w:rPr>
                <w:rFonts w:cs="Times New Roman"/>
              </w:rPr>
            </w:pPr>
            <w:r w:rsidRPr="004306A0">
              <w:rPr>
                <w:rFonts w:cs="Times New Roman"/>
                <w:sz w:val="22"/>
              </w:rPr>
              <w:t>0.70</w:t>
            </w:r>
          </w:p>
        </w:tc>
        <w:tc>
          <w:tcPr>
            <w:tcW w:w="2023" w:type="dxa"/>
            <w:vAlign w:val="center"/>
          </w:tcPr>
          <w:p w14:paraId="5CDF3A38" w14:textId="77777777" w:rsidR="00F56C38" w:rsidRPr="004306A0" w:rsidRDefault="00163AF0">
            <w:pPr>
              <w:spacing w:after="0" w:line="240" w:lineRule="auto"/>
              <w:jc w:val="center"/>
              <w:rPr>
                <w:rFonts w:cs="Times New Roman"/>
              </w:rPr>
            </w:pPr>
            <w:r w:rsidRPr="004306A0">
              <w:rPr>
                <w:rFonts w:cs="Times New Roman"/>
                <w:sz w:val="22"/>
              </w:rPr>
              <w:t>0.75</w:t>
            </w:r>
          </w:p>
        </w:tc>
        <w:tc>
          <w:tcPr>
            <w:tcW w:w="2023" w:type="dxa"/>
            <w:vAlign w:val="center"/>
          </w:tcPr>
          <w:p w14:paraId="7AC952A7" w14:textId="77777777" w:rsidR="00F56C38" w:rsidRPr="004306A0" w:rsidRDefault="00163AF0">
            <w:pPr>
              <w:spacing w:after="0" w:line="240" w:lineRule="auto"/>
              <w:jc w:val="center"/>
              <w:rPr>
                <w:rFonts w:cs="Times New Roman"/>
              </w:rPr>
            </w:pPr>
            <w:r w:rsidRPr="004306A0">
              <w:rPr>
                <w:rFonts w:cs="Times New Roman"/>
                <w:sz w:val="22"/>
              </w:rPr>
              <w:t>0.15</w:t>
            </w:r>
          </w:p>
        </w:tc>
        <w:tc>
          <w:tcPr>
            <w:tcW w:w="2024" w:type="dxa"/>
            <w:vAlign w:val="center"/>
          </w:tcPr>
          <w:p w14:paraId="1874C87B" w14:textId="77777777" w:rsidR="00F56C38" w:rsidRPr="004306A0" w:rsidRDefault="00163AF0">
            <w:pPr>
              <w:spacing w:after="0" w:line="240" w:lineRule="auto"/>
              <w:jc w:val="center"/>
              <w:rPr>
                <w:rFonts w:cs="Times New Roman"/>
              </w:rPr>
            </w:pPr>
            <w:r w:rsidRPr="004306A0">
              <w:rPr>
                <w:rFonts w:cs="Times New Roman"/>
                <w:sz w:val="22"/>
              </w:rPr>
              <w:t>0.30</w:t>
            </w:r>
          </w:p>
        </w:tc>
      </w:tr>
      <w:tr w:rsidR="00F56C38" w:rsidRPr="004306A0" w14:paraId="32B33978" w14:textId="77777777" w:rsidTr="00A73566">
        <w:trPr>
          <w:trHeight w:val="731"/>
          <w:jc w:val="center"/>
        </w:trPr>
        <w:tc>
          <w:tcPr>
            <w:tcW w:w="2410" w:type="dxa"/>
            <w:vAlign w:val="center"/>
          </w:tcPr>
          <w:p w14:paraId="3A56BB15" w14:textId="77777777" w:rsidR="00F56C38" w:rsidRPr="004306A0" w:rsidRDefault="00163AF0">
            <w:pPr>
              <w:spacing w:after="0" w:line="240" w:lineRule="auto"/>
              <w:jc w:val="center"/>
              <w:rPr>
                <w:rFonts w:cs="Times New Roman"/>
              </w:rPr>
            </w:pPr>
            <w:r w:rsidRPr="004306A0">
              <w:rPr>
                <w:rFonts w:cs="Times New Roman"/>
                <w:sz w:val="22"/>
              </w:rPr>
              <w:t>Benzo(k)fluoranthene</w:t>
            </w:r>
          </w:p>
        </w:tc>
        <w:tc>
          <w:tcPr>
            <w:tcW w:w="1825" w:type="dxa"/>
            <w:vAlign w:val="center"/>
          </w:tcPr>
          <w:p w14:paraId="2C53DB23" w14:textId="77777777" w:rsidR="00F56C38" w:rsidRPr="004306A0" w:rsidRDefault="00163AF0">
            <w:pPr>
              <w:spacing w:after="0" w:line="240" w:lineRule="auto"/>
              <w:jc w:val="center"/>
              <w:rPr>
                <w:rFonts w:cs="Times New Roman"/>
              </w:rPr>
            </w:pPr>
            <w:r w:rsidRPr="004306A0">
              <w:rPr>
                <w:rFonts w:cs="Times New Roman"/>
                <w:sz w:val="22"/>
              </w:rPr>
              <w:t>2.00</w:t>
            </w:r>
          </w:p>
        </w:tc>
        <w:tc>
          <w:tcPr>
            <w:tcW w:w="2023" w:type="dxa"/>
            <w:vAlign w:val="center"/>
          </w:tcPr>
          <w:p w14:paraId="280AA4A2" w14:textId="77777777" w:rsidR="00F56C38" w:rsidRPr="004306A0" w:rsidRDefault="00163AF0">
            <w:pPr>
              <w:spacing w:after="0" w:line="240" w:lineRule="auto"/>
              <w:jc w:val="center"/>
              <w:rPr>
                <w:rFonts w:cs="Times New Roman"/>
              </w:rPr>
            </w:pPr>
            <w:r w:rsidRPr="004306A0">
              <w:rPr>
                <w:rFonts w:cs="Times New Roman"/>
                <w:sz w:val="22"/>
              </w:rPr>
              <w:t>2.55</w:t>
            </w:r>
          </w:p>
        </w:tc>
        <w:tc>
          <w:tcPr>
            <w:tcW w:w="2023" w:type="dxa"/>
            <w:vAlign w:val="center"/>
          </w:tcPr>
          <w:p w14:paraId="3B5AA94D" w14:textId="77777777" w:rsidR="00F56C38" w:rsidRPr="004306A0" w:rsidRDefault="00163AF0">
            <w:pPr>
              <w:spacing w:after="0" w:line="240" w:lineRule="auto"/>
              <w:jc w:val="center"/>
              <w:rPr>
                <w:rFonts w:cs="Times New Roman"/>
              </w:rPr>
            </w:pPr>
            <w:r w:rsidRPr="004306A0">
              <w:rPr>
                <w:rFonts w:cs="Times New Roman"/>
                <w:sz w:val="22"/>
              </w:rPr>
              <w:t>1.25</w:t>
            </w:r>
          </w:p>
        </w:tc>
        <w:tc>
          <w:tcPr>
            <w:tcW w:w="2024" w:type="dxa"/>
            <w:vAlign w:val="center"/>
          </w:tcPr>
          <w:p w14:paraId="201DCFA2" w14:textId="77777777" w:rsidR="00F56C38" w:rsidRPr="004306A0" w:rsidRDefault="00163AF0">
            <w:pPr>
              <w:spacing w:after="0" w:line="240" w:lineRule="auto"/>
              <w:jc w:val="center"/>
              <w:rPr>
                <w:rFonts w:cs="Times New Roman"/>
              </w:rPr>
            </w:pPr>
            <w:r w:rsidRPr="004306A0">
              <w:rPr>
                <w:rFonts w:cs="Times New Roman"/>
                <w:sz w:val="22"/>
              </w:rPr>
              <w:t>0.80</w:t>
            </w:r>
          </w:p>
        </w:tc>
      </w:tr>
      <w:tr w:rsidR="00F56C38" w:rsidRPr="004306A0" w14:paraId="13EC4E7A" w14:textId="77777777" w:rsidTr="00A73566">
        <w:trPr>
          <w:trHeight w:val="358"/>
          <w:jc w:val="center"/>
        </w:trPr>
        <w:tc>
          <w:tcPr>
            <w:tcW w:w="2410" w:type="dxa"/>
            <w:vAlign w:val="center"/>
          </w:tcPr>
          <w:p w14:paraId="20B06C3D" w14:textId="77777777" w:rsidR="00F56C38" w:rsidRPr="004306A0" w:rsidRDefault="00163AF0">
            <w:pPr>
              <w:spacing w:after="0" w:line="240" w:lineRule="auto"/>
              <w:jc w:val="center"/>
              <w:rPr>
                <w:rFonts w:cs="Times New Roman"/>
              </w:rPr>
            </w:pPr>
            <w:r w:rsidRPr="004306A0">
              <w:rPr>
                <w:rFonts w:cs="Times New Roman"/>
                <w:sz w:val="22"/>
              </w:rPr>
              <w:t>Benzo(a)pyrene</w:t>
            </w:r>
          </w:p>
        </w:tc>
        <w:tc>
          <w:tcPr>
            <w:tcW w:w="1825" w:type="dxa"/>
            <w:vAlign w:val="center"/>
          </w:tcPr>
          <w:p w14:paraId="2B352A1E"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2023" w:type="dxa"/>
            <w:vAlign w:val="center"/>
          </w:tcPr>
          <w:p w14:paraId="319D7F17"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2023" w:type="dxa"/>
            <w:vAlign w:val="center"/>
          </w:tcPr>
          <w:p w14:paraId="0221660F"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2024" w:type="dxa"/>
            <w:vAlign w:val="center"/>
          </w:tcPr>
          <w:p w14:paraId="5654F29D" w14:textId="77777777" w:rsidR="00F56C38" w:rsidRPr="004306A0" w:rsidRDefault="00163AF0">
            <w:pPr>
              <w:spacing w:after="0" w:line="240" w:lineRule="auto"/>
              <w:jc w:val="center"/>
              <w:rPr>
                <w:rFonts w:cs="Times New Roman"/>
              </w:rPr>
            </w:pPr>
            <w:r w:rsidRPr="004306A0">
              <w:rPr>
                <w:rFonts w:cs="Times New Roman"/>
                <w:sz w:val="22"/>
              </w:rPr>
              <w:t>&lt; LOD</w:t>
            </w:r>
          </w:p>
        </w:tc>
      </w:tr>
      <w:tr w:rsidR="00F56C38" w:rsidRPr="004306A0" w14:paraId="67A29BE2" w14:textId="77777777" w:rsidTr="00A73566">
        <w:trPr>
          <w:trHeight w:val="731"/>
          <w:jc w:val="center"/>
        </w:trPr>
        <w:tc>
          <w:tcPr>
            <w:tcW w:w="2410" w:type="dxa"/>
            <w:vAlign w:val="center"/>
          </w:tcPr>
          <w:p w14:paraId="6B8B55D7" w14:textId="77777777" w:rsidR="00F56C38" w:rsidRPr="004306A0" w:rsidRDefault="00163AF0">
            <w:pPr>
              <w:spacing w:after="0" w:line="240" w:lineRule="auto"/>
              <w:jc w:val="center"/>
              <w:rPr>
                <w:rFonts w:cs="Times New Roman"/>
              </w:rPr>
            </w:pPr>
            <w:r w:rsidRPr="004306A0">
              <w:rPr>
                <w:rFonts w:cs="Times New Roman"/>
                <w:sz w:val="22"/>
              </w:rPr>
              <w:t>Indeno(1,2,3-</w:t>
            </w:r>
            <w:proofErr w:type="gramStart"/>
            <w:r w:rsidRPr="004306A0">
              <w:rPr>
                <w:rFonts w:cs="Times New Roman"/>
                <w:sz w:val="22"/>
              </w:rPr>
              <w:t>c,d</w:t>
            </w:r>
            <w:proofErr w:type="gramEnd"/>
            <w:r w:rsidRPr="004306A0">
              <w:rPr>
                <w:rFonts w:cs="Times New Roman"/>
                <w:sz w:val="22"/>
              </w:rPr>
              <w:t>)pyrene</w:t>
            </w:r>
          </w:p>
        </w:tc>
        <w:tc>
          <w:tcPr>
            <w:tcW w:w="1825" w:type="dxa"/>
            <w:vAlign w:val="center"/>
          </w:tcPr>
          <w:p w14:paraId="5B6909CC"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2023" w:type="dxa"/>
            <w:vAlign w:val="center"/>
          </w:tcPr>
          <w:p w14:paraId="67A9B824"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2023" w:type="dxa"/>
            <w:vAlign w:val="center"/>
          </w:tcPr>
          <w:p w14:paraId="750A1F88"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2024" w:type="dxa"/>
            <w:vAlign w:val="center"/>
          </w:tcPr>
          <w:p w14:paraId="2068982C" w14:textId="77777777" w:rsidR="00F56C38" w:rsidRPr="004306A0" w:rsidRDefault="00163AF0">
            <w:pPr>
              <w:spacing w:after="0" w:line="240" w:lineRule="auto"/>
              <w:jc w:val="center"/>
              <w:rPr>
                <w:rFonts w:cs="Times New Roman"/>
              </w:rPr>
            </w:pPr>
            <w:r w:rsidRPr="004306A0">
              <w:rPr>
                <w:rFonts w:cs="Times New Roman"/>
                <w:sz w:val="22"/>
              </w:rPr>
              <w:t>&lt; LOD</w:t>
            </w:r>
          </w:p>
        </w:tc>
      </w:tr>
      <w:tr w:rsidR="00F56C38" w:rsidRPr="004306A0" w14:paraId="6864584A" w14:textId="77777777" w:rsidTr="00A73566">
        <w:trPr>
          <w:trHeight w:val="731"/>
          <w:jc w:val="center"/>
        </w:trPr>
        <w:tc>
          <w:tcPr>
            <w:tcW w:w="2410" w:type="dxa"/>
            <w:vAlign w:val="center"/>
          </w:tcPr>
          <w:p w14:paraId="64432D60" w14:textId="77777777" w:rsidR="00F56C38" w:rsidRPr="004306A0" w:rsidRDefault="00163AF0">
            <w:pPr>
              <w:spacing w:after="0" w:line="240" w:lineRule="auto"/>
              <w:jc w:val="center"/>
              <w:rPr>
                <w:rFonts w:cs="Times New Roman"/>
              </w:rPr>
            </w:pPr>
            <w:r w:rsidRPr="004306A0">
              <w:rPr>
                <w:rFonts w:cs="Times New Roman"/>
                <w:sz w:val="22"/>
              </w:rPr>
              <w:t>Dibenz(</w:t>
            </w:r>
            <w:proofErr w:type="spellStart"/>
            <w:proofErr w:type="gramStart"/>
            <w:r w:rsidRPr="004306A0">
              <w:rPr>
                <w:rFonts w:cs="Times New Roman"/>
                <w:sz w:val="22"/>
              </w:rPr>
              <w:t>a,h</w:t>
            </w:r>
            <w:proofErr w:type="spellEnd"/>
            <w:proofErr w:type="gramEnd"/>
            <w:r w:rsidRPr="004306A0">
              <w:rPr>
                <w:rFonts w:cs="Times New Roman"/>
                <w:sz w:val="22"/>
              </w:rPr>
              <w:t>)anthracene</w:t>
            </w:r>
          </w:p>
        </w:tc>
        <w:tc>
          <w:tcPr>
            <w:tcW w:w="1825" w:type="dxa"/>
            <w:vAlign w:val="center"/>
          </w:tcPr>
          <w:p w14:paraId="0030BAE2"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2023" w:type="dxa"/>
            <w:vAlign w:val="center"/>
          </w:tcPr>
          <w:p w14:paraId="687E1F01"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2023" w:type="dxa"/>
            <w:vAlign w:val="center"/>
          </w:tcPr>
          <w:p w14:paraId="49785E54"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2024" w:type="dxa"/>
            <w:vAlign w:val="center"/>
          </w:tcPr>
          <w:p w14:paraId="29C79322" w14:textId="77777777" w:rsidR="00F56C38" w:rsidRPr="004306A0" w:rsidRDefault="00163AF0">
            <w:pPr>
              <w:spacing w:after="0" w:line="240" w:lineRule="auto"/>
              <w:jc w:val="center"/>
              <w:rPr>
                <w:rFonts w:cs="Times New Roman"/>
              </w:rPr>
            </w:pPr>
            <w:r w:rsidRPr="004306A0">
              <w:rPr>
                <w:rFonts w:cs="Times New Roman"/>
                <w:sz w:val="22"/>
              </w:rPr>
              <w:t>&lt; LOD</w:t>
            </w:r>
          </w:p>
        </w:tc>
      </w:tr>
      <w:tr w:rsidR="00F56C38" w:rsidRPr="004306A0" w14:paraId="06DFDC62" w14:textId="77777777" w:rsidTr="00A73566">
        <w:trPr>
          <w:trHeight w:val="716"/>
          <w:jc w:val="center"/>
        </w:trPr>
        <w:tc>
          <w:tcPr>
            <w:tcW w:w="2410" w:type="dxa"/>
            <w:vAlign w:val="center"/>
          </w:tcPr>
          <w:p w14:paraId="6C9C0006" w14:textId="77777777" w:rsidR="00F56C38" w:rsidRPr="004306A0" w:rsidRDefault="00163AF0">
            <w:pPr>
              <w:spacing w:after="0" w:line="240" w:lineRule="auto"/>
              <w:jc w:val="center"/>
              <w:rPr>
                <w:rFonts w:cs="Times New Roman"/>
              </w:rPr>
            </w:pPr>
            <w:r w:rsidRPr="004306A0">
              <w:rPr>
                <w:rFonts w:cs="Times New Roman"/>
                <w:sz w:val="22"/>
              </w:rPr>
              <w:t>Benzo(</w:t>
            </w:r>
            <w:proofErr w:type="spellStart"/>
            <w:proofErr w:type="gramStart"/>
            <w:r w:rsidRPr="004306A0">
              <w:rPr>
                <w:rFonts w:cs="Times New Roman"/>
                <w:sz w:val="22"/>
              </w:rPr>
              <w:t>g,h</w:t>
            </w:r>
            <w:proofErr w:type="gramEnd"/>
            <w:r w:rsidRPr="004306A0">
              <w:rPr>
                <w:rFonts w:cs="Times New Roman"/>
                <w:sz w:val="22"/>
              </w:rPr>
              <w:t>,</w:t>
            </w:r>
            <w:proofErr w:type="gramStart"/>
            <w:r w:rsidRPr="004306A0">
              <w:rPr>
                <w:rFonts w:cs="Times New Roman"/>
                <w:sz w:val="22"/>
              </w:rPr>
              <w:t>i</w:t>
            </w:r>
            <w:proofErr w:type="spellEnd"/>
            <w:r w:rsidRPr="004306A0">
              <w:rPr>
                <w:rFonts w:cs="Times New Roman"/>
                <w:sz w:val="22"/>
              </w:rPr>
              <w:t>)perylene</w:t>
            </w:r>
            <w:proofErr w:type="gramEnd"/>
          </w:p>
        </w:tc>
        <w:tc>
          <w:tcPr>
            <w:tcW w:w="1825" w:type="dxa"/>
            <w:vAlign w:val="center"/>
          </w:tcPr>
          <w:p w14:paraId="37B9CAA9"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2023" w:type="dxa"/>
            <w:vAlign w:val="center"/>
          </w:tcPr>
          <w:p w14:paraId="6DA07F32"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2023" w:type="dxa"/>
            <w:vAlign w:val="center"/>
          </w:tcPr>
          <w:p w14:paraId="413C9E25" w14:textId="77777777" w:rsidR="00F56C38" w:rsidRPr="004306A0" w:rsidRDefault="00163AF0">
            <w:pPr>
              <w:spacing w:after="0" w:line="240" w:lineRule="auto"/>
              <w:jc w:val="center"/>
              <w:rPr>
                <w:rFonts w:cs="Times New Roman"/>
              </w:rPr>
            </w:pPr>
            <w:r w:rsidRPr="004306A0">
              <w:rPr>
                <w:rFonts w:cs="Times New Roman"/>
                <w:sz w:val="22"/>
              </w:rPr>
              <w:t>&lt; LOD</w:t>
            </w:r>
          </w:p>
        </w:tc>
        <w:tc>
          <w:tcPr>
            <w:tcW w:w="2024" w:type="dxa"/>
            <w:vAlign w:val="center"/>
          </w:tcPr>
          <w:p w14:paraId="4D8BCA61" w14:textId="77777777" w:rsidR="00F56C38" w:rsidRPr="004306A0" w:rsidRDefault="00163AF0">
            <w:pPr>
              <w:spacing w:after="0" w:line="240" w:lineRule="auto"/>
              <w:jc w:val="center"/>
              <w:rPr>
                <w:rFonts w:cs="Times New Roman"/>
              </w:rPr>
            </w:pPr>
            <w:r w:rsidRPr="004306A0">
              <w:rPr>
                <w:rFonts w:cs="Times New Roman"/>
                <w:sz w:val="22"/>
              </w:rPr>
              <w:t>&lt; LOD</w:t>
            </w:r>
          </w:p>
        </w:tc>
      </w:tr>
      <w:tr w:rsidR="00F56C38" w:rsidRPr="004306A0" w14:paraId="0166F73D" w14:textId="77777777" w:rsidTr="00A73566">
        <w:trPr>
          <w:trHeight w:val="358"/>
          <w:jc w:val="center"/>
        </w:trPr>
        <w:tc>
          <w:tcPr>
            <w:tcW w:w="2410" w:type="dxa"/>
            <w:vAlign w:val="center"/>
          </w:tcPr>
          <w:p w14:paraId="551659B7" w14:textId="77777777" w:rsidR="00F56C38" w:rsidRPr="004306A0" w:rsidRDefault="00163AF0">
            <w:pPr>
              <w:spacing w:after="0" w:line="240" w:lineRule="auto"/>
              <w:jc w:val="center"/>
              <w:rPr>
                <w:rFonts w:cs="Times New Roman"/>
              </w:rPr>
            </w:pPr>
            <w:r w:rsidRPr="004306A0">
              <w:rPr>
                <w:rFonts w:cs="Times New Roman"/>
                <w:sz w:val="22"/>
              </w:rPr>
              <w:t>Total PAHs</w:t>
            </w:r>
          </w:p>
        </w:tc>
        <w:tc>
          <w:tcPr>
            <w:tcW w:w="1825" w:type="dxa"/>
            <w:vAlign w:val="center"/>
          </w:tcPr>
          <w:p w14:paraId="557CB192" w14:textId="77777777" w:rsidR="00F56C38" w:rsidRPr="004306A0" w:rsidRDefault="00163AF0">
            <w:pPr>
              <w:spacing w:after="0" w:line="240" w:lineRule="auto"/>
              <w:jc w:val="center"/>
              <w:rPr>
                <w:rFonts w:cs="Times New Roman"/>
              </w:rPr>
            </w:pPr>
            <w:r w:rsidRPr="004306A0">
              <w:rPr>
                <w:rFonts w:cs="Times New Roman"/>
                <w:sz w:val="22"/>
              </w:rPr>
              <w:t>12.20</w:t>
            </w:r>
          </w:p>
        </w:tc>
        <w:tc>
          <w:tcPr>
            <w:tcW w:w="2023" w:type="dxa"/>
            <w:vAlign w:val="center"/>
          </w:tcPr>
          <w:p w14:paraId="2BB5240D" w14:textId="77777777" w:rsidR="00F56C38" w:rsidRPr="004306A0" w:rsidRDefault="00163AF0">
            <w:pPr>
              <w:spacing w:after="0" w:line="240" w:lineRule="auto"/>
              <w:jc w:val="center"/>
              <w:rPr>
                <w:rFonts w:cs="Times New Roman"/>
              </w:rPr>
            </w:pPr>
            <w:r w:rsidRPr="004306A0">
              <w:rPr>
                <w:rFonts w:cs="Times New Roman"/>
                <w:sz w:val="22"/>
              </w:rPr>
              <w:t>13.90</w:t>
            </w:r>
          </w:p>
        </w:tc>
        <w:tc>
          <w:tcPr>
            <w:tcW w:w="2023" w:type="dxa"/>
            <w:vAlign w:val="center"/>
          </w:tcPr>
          <w:p w14:paraId="5F34E3C8" w14:textId="77777777" w:rsidR="00F56C38" w:rsidRPr="004306A0" w:rsidRDefault="00163AF0">
            <w:pPr>
              <w:spacing w:after="0" w:line="240" w:lineRule="auto"/>
              <w:jc w:val="center"/>
              <w:rPr>
                <w:rFonts w:cs="Times New Roman"/>
              </w:rPr>
            </w:pPr>
            <w:r w:rsidRPr="004306A0">
              <w:rPr>
                <w:rFonts w:cs="Times New Roman"/>
                <w:sz w:val="22"/>
              </w:rPr>
              <w:t>7.40</w:t>
            </w:r>
          </w:p>
        </w:tc>
        <w:tc>
          <w:tcPr>
            <w:tcW w:w="2024" w:type="dxa"/>
            <w:vAlign w:val="center"/>
          </w:tcPr>
          <w:p w14:paraId="0B13606D" w14:textId="77777777" w:rsidR="00F56C38" w:rsidRPr="004306A0" w:rsidRDefault="00163AF0">
            <w:pPr>
              <w:spacing w:after="0" w:line="240" w:lineRule="auto"/>
              <w:jc w:val="center"/>
              <w:rPr>
                <w:rFonts w:cs="Times New Roman"/>
              </w:rPr>
            </w:pPr>
            <w:r w:rsidRPr="004306A0">
              <w:rPr>
                <w:rFonts w:cs="Times New Roman"/>
                <w:sz w:val="22"/>
              </w:rPr>
              <w:t>8.05</w:t>
            </w:r>
          </w:p>
        </w:tc>
      </w:tr>
    </w:tbl>
    <w:p w14:paraId="66279721" w14:textId="77777777" w:rsidR="00F56C38" w:rsidRPr="004306A0" w:rsidRDefault="00163AF0">
      <w:pPr>
        <w:jc w:val="both"/>
        <w:rPr>
          <w:rFonts w:cs="Times New Roman"/>
          <w:sz w:val="20"/>
          <w:szCs w:val="20"/>
        </w:rPr>
      </w:pPr>
      <w:r w:rsidRPr="004306A0">
        <w:rPr>
          <w:rFonts w:cs="Times New Roman"/>
          <w:sz w:val="20"/>
          <w:szCs w:val="20"/>
        </w:rPr>
        <w:t>Note: &lt; LOD indicates concentration below the method detection limit. Total PAHs reproduce the summed values reported for each condition.</w:t>
      </w:r>
    </w:p>
    <w:p w14:paraId="17DDC122" w14:textId="77777777" w:rsidR="00A73566" w:rsidRPr="004306A0" w:rsidRDefault="00A73566">
      <w:pPr>
        <w:jc w:val="both"/>
        <w:rPr>
          <w:rFonts w:cs="Times New Roman"/>
          <w:sz w:val="20"/>
          <w:szCs w:val="20"/>
        </w:rPr>
      </w:pPr>
    </w:p>
    <w:p w14:paraId="3146E2C2" w14:textId="77777777" w:rsidR="00A73566" w:rsidRPr="004306A0" w:rsidRDefault="00A73566">
      <w:pPr>
        <w:jc w:val="both"/>
        <w:rPr>
          <w:rFonts w:cs="Times New Roman"/>
          <w:sz w:val="20"/>
          <w:szCs w:val="20"/>
        </w:rPr>
      </w:pPr>
    </w:p>
    <w:p w14:paraId="0776092B" w14:textId="77777777" w:rsidR="00A73566" w:rsidRPr="004306A0" w:rsidRDefault="00A73566">
      <w:pPr>
        <w:jc w:val="both"/>
        <w:rPr>
          <w:rFonts w:cs="Times New Roman"/>
          <w:sz w:val="20"/>
          <w:szCs w:val="20"/>
        </w:rPr>
      </w:pPr>
    </w:p>
    <w:p w14:paraId="564A5E2F" w14:textId="77777777" w:rsidR="00A73566" w:rsidRPr="004306A0" w:rsidRDefault="00A73566">
      <w:pPr>
        <w:jc w:val="both"/>
        <w:rPr>
          <w:rFonts w:cs="Times New Roman"/>
          <w:sz w:val="20"/>
          <w:szCs w:val="20"/>
        </w:rPr>
      </w:pPr>
    </w:p>
    <w:p w14:paraId="7E0C0750" w14:textId="77777777" w:rsidR="00A73566" w:rsidRPr="004306A0" w:rsidRDefault="00A73566">
      <w:pPr>
        <w:jc w:val="both"/>
        <w:rPr>
          <w:rFonts w:cs="Times New Roman"/>
          <w:sz w:val="20"/>
          <w:szCs w:val="20"/>
        </w:rPr>
      </w:pPr>
    </w:p>
    <w:p w14:paraId="2E818AE4" w14:textId="77777777" w:rsidR="00A73566" w:rsidRPr="004306A0" w:rsidRDefault="00A73566">
      <w:pPr>
        <w:jc w:val="both"/>
        <w:rPr>
          <w:rFonts w:cs="Times New Roman"/>
          <w:sz w:val="20"/>
          <w:szCs w:val="20"/>
        </w:rPr>
      </w:pPr>
    </w:p>
    <w:p w14:paraId="3ABA0600" w14:textId="77777777" w:rsidR="00A73566" w:rsidRPr="004306A0" w:rsidRDefault="00A73566">
      <w:pPr>
        <w:jc w:val="both"/>
        <w:rPr>
          <w:rFonts w:cs="Times New Roman"/>
          <w:sz w:val="20"/>
          <w:szCs w:val="20"/>
        </w:rPr>
      </w:pPr>
    </w:p>
    <w:p w14:paraId="0D84F82F" w14:textId="77777777" w:rsidR="00F56C38" w:rsidRPr="004306A0" w:rsidRDefault="00163AF0">
      <w:pPr>
        <w:pStyle w:val="Caption"/>
        <w:rPr>
          <w:rFonts w:cs="Times New Roman"/>
          <w:i w:val="0"/>
          <w:iCs/>
          <w:color w:val="auto"/>
          <w:sz w:val="24"/>
          <w:szCs w:val="24"/>
        </w:rPr>
      </w:pPr>
      <w:r w:rsidRPr="004306A0">
        <w:rPr>
          <w:rFonts w:cs="Times New Roman"/>
          <w:i w:val="0"/>
          <w:iCs/>
          <w:color w:val="auto"/>
          <w:sz w:val="24"/>
          <w:szCs w:val="24"/>
        </w:rPr>
        <w:lastRenderedPageBreak/>
        <w:t>Table 7. PAH concentrations in Aleto indoor and outdoor air (µg/m³)</w:t>
      </w:r>
    </w:p>
    <w:tbl>
      <w:tblPr>
        <w:tblW w:w="10230" w:type="dxa"/>
        <w:jc w:val="center"/>
        <w:tblBorders>
          <w:top w:val="single" w:sz="4" w:space="0" w:color="auto"/>
          <w:bottom w:val="single" w:sz="4" w:space="0" w:color="auto"/>
        </w:tblBorders>
        <w:tblLayout w:type="fixed"/>
        <w:tblLook w:val="04A0" w:firstRow="1" w:lastRow="0" w:firstColumn="1" w:lastColumn="0" w:noHBand="0" w:noVBand="1"/>
      </w:tblPr>
      <w:tblGrid>
        <w:gridCol w:w="2410"/>
        <w:gridCol w:w="1840"/>
        <w:gridCol w:w="1993"/>
        <w:gridCol w:w="1993"/>
        <w:gridCol w:w="1994"/>
      </w:tblGrid>
      <w:tr w:rsidR="00F56C38" w:rsidRPr="004306A0" w14:paraId="7EF19BF5" w14:textId="77777777" w:rsidTr="00DB3D53">
        <w:trPr>
          <w:trHeight w:val="694"/>
          <w:tblHeader/>
          <w:jc w:val="center"/>
        </w:trPr>
        <w:tc>
          <w:tcPr>
            <w:tcW w:w="2410" w:type="dxa"/>
            <w:tcBorders>
              <w:top w:val="single" w:sz="4" w:space="0" w:color="auto"/>
              <w:bottom w:val="single" w:sz="4" w:space="0" w:color="auto"/>
            </w:tcBorders>
            <w:vAlign w:val="center"/>
          </w:tcPr>
          <w:p w14:paraId="4131CFCF" w14:textId="77777777" w:rsidR="00F56C38" w:rsidRPr="004306A0" w:rsidRDefault="00163AF0">
            <w:pPr>
              <w:spacing w:after="0" w:line="240" w:lineRule="auto"/>
              <w:jc w:val="center"/>
              <w:rPr>
                <w:rFonts w:cs="Times New Roman"/>
                <w:b/>
                <w:szCs w:val="24"/>
              </w:rPr>
            </w:pPr>
            <w:r w:rsidRPr="004306A0">
              <w:rPr>
                <w:rFonts w:cs="Times New Roman"/>
                <w:b/>
                <w:szCs w:val="24"/>
              </w:rPr>
              <w:t>PAH component</w:t>
            </w:r>
          </w:p>
        </w:tc>
        <w:tc>
          <w:tcPr>
            <w:tcW w:w="1840" w:type="dxa"/>
            <w:tcBorders>
              <w:top w:val="single" w:sz="4" w:space="0" w:color="auto"/>
              <w:bottom w:val="single" w:sz="4" w:space="0" w:color="auto"/>
            </w:tcBorders>
            <w:vAlign w:val="center"/>
          </w:tcPr>
          <w:p w14:paraId="2EFDFC89" w14:textId="77777777" w:rsidR="00F56C38" w:rsidRPr="004306A0" w:rsidRDefault="00163AF0">
            <w:pPr>
              <w:spacing w:after="0" w:line="240" w:lineRule="auto"/>
              <w:jc w:val="center"/>
              <w:rPr>
                <w:rFonts w:cs="Times New Roman"/>
                <w:b/>
                <w:szCs w:val="24"/>
              </w:rPr>
            </w:pPr>
            <w:r w:rsidRPr="004306A0">
              <w:rPr>
                <w:rFonts w:cs="Times New Roman"/>
                <w:b/>
                <w:szCs w:val="24"/>
              </w:rPr>
              <w:t>Aleto Dry Indoor</w:t>
            </w:r>
          </w:p>
        </w:tc>
        <w:tc>
          <w:tcPr>
            <w:tcW w:w="1993" w:type="dxa"/>
            <w:tcBorders>
              <w:top w:val="single" w:sz="4" w:space="0" w:color="auto"/>
              <w:bottom w:val="single" w:sz="4" w:space="0" w:color="auto"/>
            </w:tcBorders>
            <w:vAlign w:val="center"/>
          </w:tcPr>
          <w:p w14:paraId="60CDE06B" w14:textId="77777777" w:rsidR="00F56C38" w:rsidRPr="004306A0" w:rsidRDefault="00163AF0">
            <w:pPr>
              <w:spacing w:after="0" w:line="240" w:lineRule="auto"/>
              <w:jc w:val="center"/>
              <w:rPr>
                <w:rFonts w:cs="Times New Roman"/>
                <w:b/>
                <w:szCs w:val="24"/>
              </w:rPr>
            </w:pPr>
            <w:r w:rsidRPr="004306A0">
              <w:rPr>
                <w:rFonts w:cs="Times New Roman"/>
                <w:b/>
                <w:szCs w:val="24"/>
              </w:rPr>
              <w:t>Aleto Dry Outdoor</w:t>
            </w:r>
          </w:p>
        </w:tc>
        <w:tc>
          <w:tcPr>
            <w:tcW w:w="1993" w:type="dxa"/>
            <w:tcBorders>
              <w:top w:val="single" w:sz="4" w:space="0" w:color="auto"/>
              <w:bottom w:val="single" w:sz="4" w:space="0" w:color="auto"/>
            </w:tcBorders>
            <w:vAlign w:val="center"/>
          </w:tcPr>
          <w:p w14:paraId="5527621B" w14:textId="77777777" w:rsidR="00F56C38" w:rsidRPr="004306A0" w:rsidRDefault="00163AF0">
            <w:pPr>
              <w:spacing w:after="0" w:line="240" w:lineRule="auto"/>
              <w:jc w:val="center"/>
              <w:rPr>
                <w:rFonts w:cs="Times New Roman"/>
                <w:b/>
                <w:szCs w:val="24"/>
              </w:rPr>
            </w:pPr>
            <w:r w:rsidRPr="004306A0">
              <w:rPr>
                <w:rFonts w:cs="Times New Roman"/>
                <w:b/>
                <w:szCs w:val="24"/>
              </w:rPr>
              <w:t>Aleto Wet Indoor</w:t>
            </w:r>
          </w:p>
        </w:tc>
        <w:tc>
          <w:tcPr>
            <w:tcW w:w="1994" w:type="dxa"/>
            <w:tcBorders>
              <w:top w:val="single" w:sz="4" w:space="0" w:color="auto"/>
              <w:bottom w:val="single" w:sz="4" w:space="0" w:color="auto"/>
            </w:tcBorders>
            <w:vAlign w:val="center"/>
          </w:tcPr>
          <w:p w14:paraId="62EB7B9A" w14:textId="77777777" w:rsidR="00F56C38" w:rsidRPr="004306A0" w:rsidRDefault="00163AF0">
            <w:pPr>
              <w:spacing w:after="0" w:line="240" w:lineRule="auto"/>
              <w:jc w:val="center"/>
              <w:rPr>
                <w:rFonts w:cs="Times New Roman"/>
                <w:b/>
                <w:szCs w:val="24"/>
              </w:rPr>
            </w:pPr>
            <w:r w:rsidRPr="004306A0">
              <w:rPr>
                <w:rFonts w:cs="Times New Roman"/>
                <w:b/>
                <w:szCs w:val="24"/>
              </w:rPr>
              <w:t>Aleto Wet Outdoor</w:t>
            </w:r>
          </w:p>
        </w:tc>
      </w:tr>
      <w:tr w:rsidR="00F56C38" w:rsidRPr="004306A0" w14:paraId="3DF83D8B" w14:textId="77777777" w:rsidTr="00DB3D53">
        <w:trPr>
          <w:trHeight w:val="353"/>
          <w:jc w:val="center"/>
        </w:trPr>
        <w:tc>
          <w:tcPr>
            <w:tcW w:w="2410" w:type="dxa"/>
            <w:tcBorders>
              <w:top w:val="single" w:sz="4" w:space="0" w:color="auto"/>
            </w:tcBorders>
            <w:vAlign w:val="center"/>
          </w:tcPr>
          <w:p w14:paraId="15F8FE1E" w14:textId="77777777" w:rsidR="00F56C38" w:rsidRPr="004306A0" w:rsidRDefault="00163AF0">
            <w:pPr>
              <w:spacing w:after="0" w:line="240" w:lineRule="auto"/>
              <w:jc w:val="center"/>
              <w:rPr>
                <w:rFonts w:cs="Times New Roman"/>
                <w:szCs w:val="24"/>
              </w:rPr>
            </w:pPr>
            <w:r w:rsidRPr="004306A0">
              <w:rPr>
                <w:rFonts w:cs="Times New Roman"/>
                <w:szCs w:val="24"/>
              </w:rPr>
              <w:t>Naphthalene</w:t>
            </w:r>
          </w:p>
        </w:tc>
        <w:tc>
          <w:tcPr>
            <w:tcW w:w="1840" w:type="dxa"/>
            <w:tcBorders>
              <w:top w:val="single" w:sz="4" w:space="0" w:color="auto"/>
            </w:tcBorders>
            <w:vAlign w:val="center"/>
          </w:tcPr>
          <w:p w14:paraId="0C397EF9" w14:textId="77777777" w:rsidR="00F56C38" w:rsidRPr="004306A0" w:rsidRDefault="00163AF0">
            <w:pPr>
              <w:spacing w:after="0" w:line="240" w:lineRule="auto"/>
              <w:jc w:val="center"/>
              <w:rPr>
                <w:rFonts w:cs="Times New Roman"/>
                <w:szCs w:val="24"/>
              </w:rPr>
            </w:pPr>
            <w:r w:rsidRPr="004306A0">
              <w:rPr>
                <w:rFonts w:cs="Times New Roman"/>
                <w:szCs w:val="24"/>
              </w:rPr>
              <w:t>5.65</w:t>
            </w:r>
          </w:p>
        </w:tc>
        <w:tc>
          <w:tcPr>
            <w:tcW w:w="1993" w:type="dxa"/>
            <w:tcBorders>
              <w:top w:val="single" w:sz="4" w:space="0" w:color="auto"/>
            </w:tcBorders>
            <w:vAlign w:val="center"/>
          </w:tcPr>
          <w:p w14:paraId="14C8C12B" w14:textId="77777777" w:rsidR="00F56C38" w:rsidRPr="004306A0" w:rsidRDefault="00163AF0">
            <w:pPr>
              <w:spacing w:after="0" w:line="240" w:lineRule="auto"/>
              <w:jc w:val="center"/>
              <w:rPr>
                <w:rFonts w:cs="Times New Roman"/>
                <w:szCs w:val="24"/>
              </w:rPr>
            </w:pPr>
            <w:r w:rsidRPr="004306A0">
              <w:rPr>
                <w:rFonts w:cs="Times New Roman"/>
                <w:szCs w:val="24"/>
              </w:rPr>
              <w:t>4.95</w:t>
            </w:r>
          </w:p>
        </w:tc>
        <w:tc>
          <w:tcPr>
            <w:tcW w:w="1993" w:type="dxa"/>
            <w:tcBorders>
              <w:top w:val="single" w:sz="4" w:space="0" w:color="auto"/>
            </w:tcBorders>
            <w:vAlign w:val="center"/>
          </w:tcPr>
          <w:p w14:paraId="74A756A0" w14:textId="77777777" w:rsidR="00F56C38" w:rsidRPr="004306A0" w:rsidRDefault="00163AF0">
            <w:pPr>
              <w:spacing w:after="0" w:line="240" w:lineRule="auto"/>
              <w:jc w:val="center"/>
              <w:rPr>
                <w:rFonts w:cs="Times New Roman"/>
                <w:szCs w:val="24"/>
              </w:rPr>
            </w:pPr>
            <w:r w:rsidRPr="004306A0">
              <w:rPr>
                <w:rFonts w:cs="Times New Roman"/>
                <w:szCs w:val="24"/>
              </w:rPr>
              <w:t>1.45</w:t>
            </w:r>
          </w:p>
        </w:tc>
        <w:tc>
          <w:tcPr>
            <w:tcW w:w="1994" w:type="dxa"/>
            <w:tcBorders>
              <w:top w:val="single" w:sz="4" w:space="0" w:color="auto"/>
            </w:tcBorders>
            <w:vAlign w:val="center"/>
          </w:tcPr>
          <w:p w14:paraId="52B32751" w14:textId="77777777" w:rsidR="00F56C38" w:rsidRPr="004306A0" w:rsidRDefault="00163AF0">
            <w:pPr>
              <w:spacing w:after="0" w:line="240" w:lineRule="auto"/>
              <w:jc w:val="center"/>
              <w:rPr>
                <w:rFonts w:cs="Times New Roman"/>
                <w:szCs w:val="24"/>
              </w:rPr>
            </w:pPr>
            <w:r w:rsidRPr="004306A0">
              <w:rPr>
                <w:rFonts w:cs="Times New Roman"/>
                <w:szCs w:val="24"/>
              </w:rPr>
              <w:t>3.25</w:t>
            </w:r>
          </w:p>
        </w:tc>
      </w:tr>
      <w:tr w:rsidR="00F56C38" w:rsidRPr="004306A0" w14:paraId="036BB309" w14:textId="77777777" w:rsidTr="00DB3D53">
        <w:trPr>
          <w:trHeight w:val="341"/>
          <w:jc w:val="center"/>
        </w:trPr>
        <w:tc>
          <w:tcPr>
            <w:tcW w:w="2410" w:type="dxa"/>
            <w:vAlign w:val="center"/>
          </w:tcPr>
          <w:p w14:paraId="775DE5A5" w14:textId="77777777" w:rsidR="00F56C38" w:rsidRPr="004306A0" w:rsidRDefault="00163AF0">
            <w:pPr>
              <w:spacing w:after="0" w:line="240" w:lineRule="auto"/>
              <w:jc w:val="center"/>
              <w:rPr>
                <w:rFonts w:cs="Times New Roman"/>
                <w:szCs w:val="24"/>
              </w:rPr>
            </w:pPr>
            <w:r w:rsidRPr="004306A0">
              <w:rPr>
                <w:rFonts w:cs="Times New Roman"/>
                <w:szCs w:val="24"/>
              </w:rPr>
              <w:t>Acenaphthylene</w:t>
            </w:r>
          </w:p>
        </w:tc>
        <w:tc>
          <w:tcPr>
            <w:tcW w:w="1840" w:type="dxa"/>
            <w:vAlign w:val="center"/>
          </w:tcPr>
          <w:p w14:paraId="683FD736" w14:textId="77777777" w:rsidR="00F56C38" w:rsidRPr="004306A0" w:rsidRDefault="00163AF0">
            <w:pPr>
              <w:spacing w:after="0" w:line="240" w:lineRule="auto"/>
              <w:jc w:val="center"/>
              <w:rPr>
                <w:rFonts w:cs="Times New Roman"/>
                <w:szCs w:val="24"/>
              </w:rPr>
            </w:pPr>
            <w:r w:rsidRPr="004306A0">
              <w:rPr>
                <w:rFonts w:cs="Times New Roman"/>
                <w:szCs w:val="24"/>
              </w:rPr>
              <w:t>1.95</w:t>
            </w:r>
          </w:p>
        </w:tc>
        <w:tc>
          <w:tcPr>
            <w:tcW w:w="1993" w:type="dxa"/>
            <w:vAlign w:val="center"/>
          </w:tcPr>
          <w:p w14:paraId="74301E96" w14:textId="77777777" w:rsidR="00F56C38" w:rsidRPr="004306A0" w:rsidRDefault="00163AF0">
            <w:pPr>
              <w:spacing w:after="0" w:line="240" w:lineRule="auto"/>
              <w:jc w:val="center"/>
              <w:rPr>
                <w:rFonts w:cs="Times New Roman"/>
                <w:szCs w:val="24"/>
              </w:rPr>
            </w:pPr>
            <w:r w:rsidRPr="004306A0">
              <w:rPr>
                <w:rFonts w:cs="Times New Roman"/>
                <w:szCs w:val="24"/>
              </w:rPr>
              <w:t>2.30</w:t>
            </w:r>
          </w:p>
        </w:tc>
        <w:tc>
          <w:tcPr>
            <w:tcW w:w="1993" w:type="dxa"/>
            <w:vAlign w:val="center"/>
          </w:tcPr>
          <w:p w14:paraId="751256E0" w14:textId="77777777" w:rsidR="00F56C38" w:rsidRPr="004306A0" w:rsidRDefault="00163AF0">
            <w:pPr>
              <w:spacing w:after="0" w:line="240" w:lineRule="auto"/>
              <w:jc w:val="center"/>
              <w:rPr>
                <w:rFonts w:cs="Times New Roman"/>
                <w:szCs w:val="24"/>
              </w:rPr>
            </w:pPr>
            <w:r w:rsidRPr="004306A0">
              <w:rPr>
                <w:rFonts w:cs="Times New Roman"/>
                <w:szCs w:val="24"/>
              </w:rPr>
              <w:t>1.40</w:t>
            </w:r>
          </w:p>
        </w:tc>
        <w:tc>
          <w:tcPr>
            <w:tcW w:w="1994" w:type="dxa"/>
            <w:vAlign w:val="center"/>
          </w:tcPr>
          <w:p w14:paraId="5B9BCF47" w14:textId="77777777" w:rsidR="00F56C38" w:rsidRPr="004306A0" w:rsidRDefault="00163AF0">
            <w:pPr>
              <w:spacing w:after="0" w:line="240" w:lineRule="auto"/>
              <w:jc w:val="center"/>
              <w:rPr>
                <w:rFonts w:cs="Times New Roman"/>
                <w:szCs w:val="24"/>
              </w:rPr>
            </w:pPr>
            <w:r w:rsidRPr="004306A0">
              <w:rPr>
                <w:rFonts w:cs="Times New Roman"/>
                <w:szCs w:val="24"/>
              </w:rPr>
              <w:t>1.45</w:t>
            </w:r>
          </w:p>
        </w:tc>
      </w:tr>
      <w:tr w:rsidR="00F56C38" w:rsidRPr="004306A0" w14:paraId="3F9CED02" w14:textId="77777777" w:rsidTr="00DB3D53">
        <w:trPr>
          <w:trHeight w:val="353"/>
          <w:jc w:val="center"/>
        </w:trPr>
        <w:tc>
          <w:tcPr>
            <w:tcW w:w="2410" w:type="dxa"/>
            <w:vAlign w:val="center"/>
          </w:tcPr>
          <w:p w14:paraId="55C00462" w14:textId="77777777" w:rsidR="00F56C38" w:rsidRPr="004306A0" w:rsidRDefault="00163AF0">
            <w:pPr>
              <w:spacing w:after="0" w:line="240" w:lineRule="auto"/>
              <w:jc w:val="center"/>
              <w:rPr>
                <w:rFonts w:cs="Times New Roman"/>
                <w:szCs w:val="24"/>
              </w:rPr>
            </w:pPr>
            <w:r w:rsidRPr="004306A0">
              <w:rPr>
                <w:rFonts w:cs="Times New Roman"/>
                <w:szCs w:val="24"/>
              </w:rPr>
              <w:t>Acenaphthene</w:t>
            </w:r>
          </w:p>
        </w:tc>
        <w:tc>
          <w:tcPr>
            <w:tcW w:w="1840" w:type="dxa"/>
            <w:vAlign w:val="center"/>
          </w:tcPr>
          <w:p w14:paraId="42751292" w14:textId="77777777" w:rsidR="00F56C38" w:rsidRPr="004306A0" w:rsidRDefault="00163AF0">
            <w:pPr>
              <w:spacing w:after="0" w:line="240" w:lineRule="auto"/>
              <w:jc w:val="center"/>
              <w:rPr>
                <w:rFonts w:cs="Times New Roman"/>
                <w:szCs w:val="24"/>
              </w:rPr>
            </w:pPr>
            <w:r w:rsidRPr="004306A0">
              <w:rPr>
                <w:rFonts w:cs="Times New Roman"/>
                <w:szCs w:val="24"/>
              </w:rPr>
              <w:t>0.35</w:t>
            </w:r>
          </w:p>
        </w:tc>
        <w:tc>
          <w:tcPr>
            <w:tcW w:w="1993" w:type="dxa"/>
            <w:vAlign w:val="center"/>
          </w:tcPr>
          <w:p w14:paraId="20564541" w14:textId="77777777" w:rsidR="00F56C38" w:rsidRPr="004306A0" w:rsidRDefault="00163AF0">
            <w:pPr>
              <w:spacing w:after="0" w:line="240" w:lineRule="auto"/>
              <w:jc w:val="center"/>
              <w:rPr>
                <w:rFonts w:cs="Times New Roman"/>
                <w:szCs w:val="24"/>
              </w:rPr>
            </w:pPr>
            <w:r w:rsidRPr="004306A0">
              <w:rPr>
                <w:rFonts w:cs="Times New Roman"/>
                <w:szCs w:val="24"/>
              </w:rPr>
              <w:t>0.85</w:t>
            </w:r>
          </w:p>
        </w:tc>
        <w:tc>
          <w:tcPr>
            <w:tcW w:w="1993" w:type="dxa"/>
            <w:vAlign w:val="center"/>
          </w:tcPr>
          <w:p w14:paraId="28AB9CC4" w14:textId="77777777" w:rsidR="00F56C38" w:rsidRPr="004306A0" w:rsidRDefault="00163AF0">
            <w:pPr>
              <w:spacing w:after="0" w:line="240" w:lineRule="auto"/>
              <w:jc w:val="center"/>
              <w:rPr>
                <w:rFonts w:cs="Times New Roman"/>
                <w:szCs w:val="24"/>
              </w:rPr>
            </w:pPr>
            <w:r w:rsidRPr="004306A0">
              <w:rPr>
                <w:rFonts w:cs="Times New Roman"/>
                <w:szCs w:val="24"/>
              </w:rPr>
              <w:t>0.10</w:t>
            </w:r>
          </w:p>
        </w:tc>
        <w:tc>
          <w:tcPr>
            <w:tcW w:w="1994" w:type="dxa"/>
            <w:vAlign w:val="center"/>
          </w:tcPr>
          <w:p w14:paraId="5AA9CFFC" w14:textId="77777777" w:rsidR="00F56C38" w:rsidRPr="004306A0" w:rsidRDefault="00163AF0">
            <w:pPr>
              <w:spacing w:after="0" w:line="240" w:lineRule="auto"/>
              <w:jc w:val="center"/>
              <w:rPr>
                <w:rFonts w:cs="Times New Roman"/>
                <w:szCs w:val="24"/>
              </w:rPr>
            </w:pPr>
            <w:r w:rsidRPr="004306A0">
              <w:rPr>
                <w:rFonts w:cs="Times New Roman"/>
                <w:szCs w:val="24"/>
              </w:rPr>
              <w:t>0.60</w:t>
            </w:r>
          </w:p>
        </w:tc>
      </w:tr>
      <w:tr w:rsidR="00F56C38" w:rsidRPr="004306A0" w14:paraId="4C80A829" w14:textId="77777777" w:rsidTr="00DB3D53">
        <w:trPr>
          <w:trHeight w:val="353"/>
          <w:jc w:val="center"/>
        </w:trPr>
        <w:tc>
          <w:tcPr>
            <w:tcW w:w="2410" w:type="dxa"/>
            <w:vAlign w:val="center"/>
          </w:tcPr>
          <w:p w14:paraId="023D463D" w14:textId="77777777" w:rsidR="00F56C38" w:rsidRPr="004306A0" w:rsidRDefault="00163AF0">
            <w:pPr>
              <w:spacing w:after="0" w:line="240" w:lineRule="auto"/>
              <w:jc w:val="center"/>
              <w:rPr>
                <w:rFonts w:cs="Times New Roman"/>
                <w:szCs w:val="24"/>
              </w:rPr>
            </w:pPr>
            <w:r w:rsidRPr="004306A0">
              <w:rPr>
                <w:rFonts w:cs="Times New Roman"/>
                <w:szCs w:val="24"/>
              </w:rPr>
              <w:t>Fluorene</w:t>
            </w:r>
          </w:p>
        </w:tc>
        <w:tc>
          <w:tcPr>
            <w:tcW w:w="1840" w:type="dxa"/>
            <w:vAlign w:val="center"/>
          </w:tcPr>
          <w:p w14:paraId="03BC43D7" w14:textId="77777777" w:rsidR="00F56C38" w:rsidRPr="004306A0" w:rsidRDefault="00163AF0">
            <w:pPr>
              <w:spacing w:after="0" w:line="240" w:lineRule="auto"/>
              <w:jc w:val="center"/>
              <w:rPr>
                <w:rFonts w:cs="Times New Roman"/>
                <w:szCs w:val="24"/>
              </w:rPr>
            </w:pPr>
            <w:r w:rsidRPr="004306A0">
              <w:rPr>
                <w:rFonts w:cs="Times New Roman"/>
                <w:szCs w:val="24"/>
              </w:rPr>
              <w:t>2.45</w:t>
            </w:r>
          </w:p>
        </w:tc>
        <w:tc>
          <w:tcPr>
            <w:tcW w:w="1993" w:type="dxa"/>
            <w:vAlign w:val="center"/>
          </w:tcPr>
          <w:p w14:paraId="688352FE" w14:textId="77777777" w:rsidR="00F56C38" w:rsidRPr="004306A0" w:rsidRDefault="00163AF0">
            <w:pPr>
              <w:spacing w:after="0" w:line="240" w:lineRule="auto"/>
              <w:jc w:val="center"/>
              <w:rPr>
                <w:rFonts w:cs="Times New Roman"/>
                <w:szCs w:val="24"/>
              </w:rPr>
            </w:pPr>
            <w:r w:rsidRPr="004306A0">
              <w:rPr>
                <w:rFonts w:cs="Times New Roman"/>
                <w:szCs w:val="24"/>
              </w:rPr>
              <w:t>4.05</w:t>
            </w:r>
          </w:p>
        </w:tc>
        <w:tc>
          <w:tcPr>
            <w:tcW w:w="1993" w:type="dxa"/>
            <w:vAlign w:val="center"/>
          </w:tcPr>
          <w:p w14:paraId="1113BA7A" w14:textId="77777777" w:rsidR="00F56C38" w:rsidRPr="004306A0" w:rsidRDefault="00163AF0">
            <w:pPr>
              <w:spacing w:after="0" w:line="240" w:lineRule="auto"/>
              <w:jc w:val="center"/>
              <w:rPr>
                <w:rFonts w:cs="Times New Roman"/>
                <w:szCs w:val="24"/>
              </w:rPr>
            </w:pPr>
            <w:r w:rsidRPr="004306A0">
              <w:rPr>
                <w:rFonts w:cs="Times New Roman"/>
                <w:szCs w:val="24"/>
              </w:rPr>
              <w:t>1.45</w:t>
            </w:r>
          </w:p>
        </w:tc>
        <w:tc>
          <w:tcPr>
            <w:tcW w:w="1994" w:type="dxa"/>
            <w:vAlign w:val="center"/>
          </w:tcPr>
          <w:p w14:paraId="3CE58734" w14:textId="77777777" w:rsidR="00F56C38" w:rsidRPr="004306A0" w:rsidRDefault="00163AF0">
            <w:pPr>
              <w:spacing w:after="0" w:line="240" w:lineRule="auto"/>
              <w:jc w:val="center"/>
              <w:rPr>
                <w:rFonts w:cs="Times New Roman"/>
                <w:szCs w:val="24"/>
              </w:rPr>
            </w:pPr>
            <w:r w:rsidRPr="004306A0">
              <w:rPr>
                <w:rFonts w:cs="Times New Roman"/>
                <w:szCs w:val="24"/>
              </w:rPr>
              <w:t>3.00</w:t>
            </w:r>
          </w:p>
        </w:tc>
      </w:tr>
      <w:tr w:rsidR="00F56C38" w:rsidRPr="004306A0" w14:paraId="742351E7" w14:textId="77777777" w:rsidTr="00DB3D53">
        <w:trPr>
          <w:trHeight w:val="341"/>
          <w:jc w:val="center"/>
        </w:trPr>
        <w:tc>
          <w:tcPr>
            <w:tcW w:w="2410" w:type="dxa"/>
            <w:vAlign w:val="center"/>
          </w:tcPr>
          <w:p w14:paraId="7EC017AA" w14:textId="77777777" w:rsidR="00F56C38" w:rsidRPr="004306A0" w:rsidRDefault="00163AF0">
            <w:pPr>
              <w:spacing w:after="0" w:line="240" w:lineRule="auto"/>
              <w:jc w:val="center"/>
              <w:rPr>
                <w:rFonts w:cs="Times New Roman"/>
                <w:szCs w:val="24"/>
              </w:rPr>
            </w:pPr>
            <w:r w:rsidRPr="004306A0">
              <w:rPr>
                <w:rFonts w:cs="Times New Roman"/>
                <w:szCs w:val="24"/>
              </w:rPr>
              <w:t>Phenanthrene</w:t>
            </w:r>
          </w:p>
        </w:tc>
        <w:tc>
          <w:tcPr>
            <w:tcW w:w="1840" w:type="dxa"/>
            <w:vAlign w:val="center"/>
          </w:tcPr>
          <w:p w14:paraId="2A58CEBE" w14:textId="77777777" w:rsidR="00F56C38" w:rsidRPr="004306A0" w:rsidRDefault="00163AF0">
            <w:pPr>
              <w:spacing w:after="0" w:line="240" w:lineRule="auto"/>
              <w:jc w:val="center"/>
              <w:rPr>
                <w:rFonts w:cs="Times New Roman"/>
                <w:szCs w:val="24"/>
              </w:rPr>
            </w:pPr>
            <w:r w:rsidRPr="004306A0">
              <w:rPr>
                <w:rFonts w:cs="Times New Roman"/>
                <w:szCs w:val="24"/>
              </w:rPr>
              <w:t>3.45</w:t>
            </w:r>
          </w:p>
        </w:tc>
        <w:tc>
          <w:tcPr>
            <w:tcW w:w="1993" w:type="dxa"/>
            <w:vAlign w:val="center"/>
          </w:tcPr>
          <w:p w14:paraId="2C001DC6" w14:textId="77777777" w:rsidR="00F56C38" w:rsidRPr="004306A0" w:rsidRDefault="00163AF0">
            <w:pPr>
              <w:spacing w:after="0" w:line="240" w:lineRule="auto"/>
              <w:jc w:val="center"/>
              <w:rPr>
                <w:rFonts w:cs="Times New Roman"/>
                <w:szCs w:val="24"/>
              </w:rPr>
            </w:pPr>
            <w:r w:rsidRPr="004306A0">
              <w:rPr>
                <w:rFonts w:cs="Times New Roman"/>
                <w:szCs w:val="24"/>
              </w:rPr>
              <w:t>4.10</w:t>
            </w:r>
          </w:p>
        </w:tc>
        <w:tc>
          <w:tcPr>
            <w:tcW w:w="1993" w:type="dxa"/>
            <w:vAlign w:val="center"/>
          </w:tcPr>
          <w:p w14:paraId="1B830B1A" w14:textId="77777777" w:rsidR="00F56C38" w:rsidRPr="004306A0" w:rsidRDefault="00163AF0">
            <w:pPr>
              <w:spacing w:after="0" w:line="240" w:lineRule="auto"/>
              <w:jc w:val="center"/>
              <w:rPr>
                <w:rFonts w:cs="Times New Roman"/>
                <w:szCs w:val="24"/>
              </w:rPr>
            </w:pPr>
            <w:r w:rsidRPr="004306A0">
              <w:rPr>
                <w:rFonts w:cs="Times New Roman"/>
                <w:szCs w:val="24"/>
              </w:rPr>
              <w:t>1.45</w:t>
            </w:r>
          </w:p>
        </w:tc>
        <w:tc>
          <w:tcPr>
            <w:tcW w:w="1994" w:type="dxa"/>
            <w:vAlign w:val="center"/>
          </w:tcPr>
          <w:p w14:paraId="0D4D9394" w14:textId="77777777" w:rsidR="00F56C38" w:rsidRPr="004306A0" w:rsidRDefault="00163AF0">
            <w:pPr>
              <w:spacing w:after="0" w:line="240" w:lineRule="auto"/>
              <w:jc w:val="center"/>
              <w:rPr>
                <w:rFonts w:cs="Times New Roman"/>
                <w:szCs w:val="24"/>
              </w:rPr>
            </w:pPr>
            <w:r w:rsidRPr="004306A0">
              <w:rPr>
                <w:rFonts w:cs="Times New Roman"/>
                <w:szCs w:val="24"/>
              </w:rPr>
              <w:t>2.55</w:t>
            </w:r>
          </w:p>
        </w:tc>
      </w:tr>
      <w:tr w:rsidR="00F56C38" w:rsidRPr="004306A0" w14:paraId="2A432199" w14:textId="77777777" w:rsidTr="00DB3D53">
        <w:trPr>
          <w:trHeight w:val="353"/>
          <w:jc w:val="center"/>
        </w:trPr>
        <w:tc>
          <w:tcPr>
            <w:tcW w:w="2410" w:type="dxa"/>
            <w:vAlign w:val="center"/>
          </w:tcPr>
          <w:p w14:paraId="0A0A1384" w14:textId="77777777" w:rsidR="00F56C38" w:rsidRPr="004306A0" w:rsidRDefault="00163AF0">
            <w:pPr>
              <w:spacing w:after="0" w:line="240" w:lineRule="auto"/>
              <w:jc w:val="center"/>
              <w:rPr>
                <w:rFonts w:cs="Times New Roman"/>
                <w:szCs w:val="24"/>
              </w:rPr>
            </w:pPr>
            <w:r w:rsidRPr="004306A0">
              <w:rPr>
                <w:rFonts w:cs="Times New Roman"/>
                <w:szCs w:val="24"/>
              </w:rPr>
              <w:t>Anthracene</w:t>
            </w:r>
          </w:p>
        </w:tc>
        <w:tc>
          <w:tcPr>
            <w:tcW w:w="1840" w:type="dxa"/>
            <w:vAlign w:val="center"/>
          </w:tcPr>
          <w:p w14:paraId="3F9B6786" w14:textId="77777777" w:rsidR="00F56C38" w:rsidRPr="004306A0" w:rsidRDefault="00163AF0">
            <w:pPr>
              <w:spacing w:after="0" w:line="240" w:lineRule="auto"/>
              <w:jc w:val="center"/>
              <w:rPr>
                <w:rFonts w:cs="Times New Roman"/>
                <w:szCs w:val="24"/>
              </w:rPr>
            </w:pPr>
            <w:r w:rsidRPr="004306A0">
              <w:rPr>
                <w:rFonts w:cs="Times New Roman"/>
                <w:szCs w:val="24"/>
              </w:rPr>
              <w:t>2.75</w:t>
            </w:r>
          </w:p>
        </w:tc>
        <w:tc>
          <w:tcPr>
            <w:tcW w:w="1993" w:type="dxa"/>
            <w:vAlign w:val="center"/>
          </w:tcPr>
          <w:p w14:paraId="47DF5ED7" w14:textId="77777777" w:rsidR="00F56C38" w:rsidRPr="004306A0" w:rsidRDefault="00163AF0">
            <w:pPr>
              <w:spacing w:after="0" w:line="240" w:lineRule="auto"/>
              <w:jc w:val="center"/>
              <w:rPr>
                <w:rFonts w:cs="Times New Roman"/>
                <w:szCs w:val="24"/>
              </w:rPr>
            </w:pPr>
            <w:r w:rsidRPr="004306A0">
              <w:rPr>
                <w:rFonts w:cs="Times New Roman"/>
                <w:szCs w:val="24"/>
              </w:rPr>
              <w:t>7.65</w:t>
            </w:r>
          </w:p>
        </w:tc>
        <w:tc>
          <w:tcPr>
            <w:tcW w:w="1993" w:type="dxa"/>
            <w:vAlign w:val="center"/>
          </w:tcPr>
          <w:p w14:paraId="5F462BCE" w14:textId="77777777" w:rsidR="00F56C38" w:rsidRPr="004306A0" w:rsidRDefault="00163AF0">
            <w:pPr>
              <w:spacing w:after="0" w:line="240" w:lineRule="auto"/>
              <w:jc w:val="center"/>
              <w:rPr>
                <w:rFonts w:cs="Times New Roman"/>
                <w:szCs w:val="24"/>
              </w:rPr>
            </w:pPr>
            <w:r w:rsidRPr="004306A0">
              <w:rPr>
                <w:rFonts w:cs="Times New Roman"/>
                <w:szCs w:val="24"/>
              </w:rPr>
              <w:t>2.20</w:t>
            </w:r>
          </w:p>
        </w:tc>
        <w:tc>
          <w:tcPr>
            <w:tcW w:w="1994" w:type="dxa"/>
            <w:vAlign w:val="center"/>
          </w:tcPr>
          <w:p w14:paraId="220B658A" w14:textId="77777777" w:rsidR="00F56C38" w:rsidRPr="004306A0" w:rsidRDefault="00163AF0">
            <w:pPr>
              <w:spacing w:after="0" w:line="240" w:lineRule="auto"/>
              <w:jc w:val="center"/>
              <w:rPr>
                <w:rFonts w:cs="Times New Roman"/>
                <w:szCs w:val="24"/>
              </w:rPr>
            </w:pPr>
            <w:r w:rsidRPr="004306A0">
              <w:rPr>
                <w:rFonts w:cs="Times New Roman"/>
                <w:szCs w:val="24"/>
              </w:rPr>
              <w:t>5.40</w:t>
            </w:r>
          </w:p>
        </w:tc>
      </w:tr>
      <w:tr w:rsidR="00F56C38" w:rsidRPr="004306A0" w14:paraId="720D0892" w14:textId="77777777" w:rsidTr="00DB3D53">
        <w:trPr>
          <w:trHeight w:val="341"/>
          <w:jc w:val="center"/>
        </w:trPr>
        <w:tc>
          <w:tcPr>
            <w:tcW w:w="2410" w:type="dxa"/>
            <w:vAlign w:val="center"/>
          </w:tcPr>
          <w:p w14:paraId="6C6CA27A" w14:textId="77777777" w:rsidR="00F56C38" w:rsidRPr="004306A0" w:rsidRDefault="00163AF0">
            <w:pPr>
              <w:spacing w:after="0" w:line="240" w:lineRule="auto"/>
              <w:jc w:val="center"/>
              <w:rPr>
                <w:rFonts w:cs="Times New Roman"/>
                <w:szCs w:val="24"/>
              </w:rPr>
            </w:pPr>
            <w:r w:rsidRPr="004306A0">
              <w:rPr>
                <w:rFonts w:cs="Times New Roman"/>
                <w:szCs w:val="24"/>
              </w:rPr>
              <w:t>Fluoranthene</w:t>
            </w:r>
          </w:p>
        </w:tc>
        <w:tc>
          <w:tcPr>
            <w:tcW w:w="1840" w:type="dxa"/>
            <w:vAlign w:val="center"/>
          </w:tcPr>
          <w:p w14:paraId="1EA20F7E" w14:textId="77777777" w:rsidR="00F56C38" w:rsidRPr="004306A0" w:rsidRDefault="00163AF0">
            <w:pPr>
              <w:spacing w:after="0" w:line="240" w:lineRule="auto"/>
              <w:jc w:val="center"/>
              <w:rPr>
                <w:rFonts w:cs="Times New Roman"/>
                <w:szCs w:val="24"/>
              </w:rPr>
            </w:pPr>
            <w:r w:rsidRPr="004306A0">
              <w:rPr>
                <w:rFonts w:cs="Times New Roman"/>
                <w:szCs w:val="24"/>
              </w:rPr>
              <w:t>1.25</w:t>
            </w:r>
          </w:p>
        </w:tc>
        <w:tc>
          <w:tcPr>
            <w:tcW w:w="1993" w:type="dxa"/>
            <w:vAlign w:val="center"/>
          </w:tcPr>
          <w:p w14:paraId="4A392146" w14:textId="77777777" w:rsidR="00F56C38" w:rsidRPr="004306A0" w:rsidRDefault="00163AF0">
            <w:pPr>
              <w:spacing w:after="0" w:line="240" w:lineRule="auto"/>
              <w:jc w:val="center"/>
              <w:rPr>
                <w:rFonts w:cs="Times New Roman"/>
                <w:szCs w:val="24"/>
              </w:rPr>
            </w:pPr>
            <w:r w:rsidRPr="004306A0">
              <w:rPr>
                <w:rFonts w:cs="Times New Roman"/>
                <w:szCs w:val="24"/>
              </w:rPr>
              <w:t>2.40</w:t>
            </w:r>
          </w:p>
        </w:tc>
        <w:tc>
          <w:tcPr>
            <w:tcW w:w="1993" w:type="dxa"/>
            <w:vAlign w:val="center"/>
          </w:tcPr>
          <w:p w14:paraId="0CBE65BB" w14:textId="77777777" w:rsidR="00F56C38" w:rsidRPr="004306A0" w:rsidRDefault="00163AF0">
            <w:pPr>
              <w:spacing w:after="0" w:line="240" w:lineRule="auto"/>
              <w:jc w:val="center"/>
              <w:rPr>
                <w:rFonts w:cs="Times New Roman"/>
                <w:szCs w:val="24"/>
              </w:rPr>
            </w:pPr>
            <w:r w:rsidRPr="004306A0">
              <w:rPr>
                <w:rFonts w:cs="Times New Roman"/>
                <w:szCs w:val="24"/>
              </w:rPr>
              <w:t>1.00</w:t>
            </w:r>
          </w:p>
        </w:tc>
        <w:tc>
          <w:tcPr>
            <w:tcW w:w="1994" w:type="dxa"/>
            <w:vAlign w:val="center"/>
          </w:tcPr>
          <w:p w14:paraId="7F516E9A" w14:textId="77777777" w:rsidR="00F56C38" w:rsidRPr="004306A0" w:rsidRDefault="00163AF0">
            <w:pPr>
              <w:spacing w:after="0" w:line="240" w:lineRule="auto"/>
              <w:jc w:val="center"/>
              <w:rPr>
                <w:rFonts w:cs="Times New Roman"/>
                <w:szCs w:val="24"/>
              </w:rPr>
            </w:pPr>
            <w:r w:rsidRPr="004306A0">
              <w:rPr>
                <w:rFonts w:cs="Times New Roman"/>
                <w:szCs w:val="24"/>
              </w:rPr>
              <w:t>1.50</w:t>
            </w:r>
          </w:p>
        </w:tc>
      </w:tr>
      <w:tr w:rsidR="00F56C38" w:rsidRPr="004306A0" w14:paraId="77218FD6" w14:textId="77777777" w:rsidTr="00DB3D53">
        <w:trPr>
          <w:trHeight w:val="353"/>
          <w:jc w:val="center"/>
        </w:trPr>
        <w:tc>
          <w:tcPr>
            <w:tcW w:w="2410" w:type="dxa"/>
            <w:vAlign w:val="center"/>
          </w:tcPr>
          <w:p w14:paraId="790EC857" w14:textId="77777777" w:rsidR="00F56C38" w:rsidRPr="004306A0" w:rsidRDefault="00163AF0">
            <w:pPr>
              <w:spacing w:after="0" w:line="240" w:lineRule="auto"/>
              <w:jc w:val="center"/>
              <w:rPr>
                <w:rFonts w:cs="Times New Roman"/>
                <w:szCs w:val="24"/>
              </w:rPr>
            </w:pPr>
            <w:r w:rsidRPr="004306A0">
              <w:rPr>
                <w:rFonts w:cs="Times New Roman"/>
                <w:szCs w:val="24"/>
              </w:rPr>
              <w:t>Pyrene</w:t>
            </w:r>
          </w:p>
        </w:tc>
        <w:tc>
          <w:tcPr>
            <w:tcW w:w="1840" w:type="dxa"/>
            <w:vAlign w:val="center"/>
          </w:tcPr>
          <w:p w14:paraId="4728A2D2" w14:textId="77777777" w:rsidR="00F56C38" w:rsidRPr="004306A0" w:rsidRDefault="00163AF0">
            <w:pPr>
              <w:spacing w:after="0" w:line="240" w:lineRule="auto"/>
              <w:jc w:val="center"/>
              <w:rPr>
                <w:rFonts w:cs="Times New Roman"/>
                <w:szCs w:val="24"/>
              </w:rPr>
            </w:pPr>
            <w:r w:rsidRPr="004306A0">
              <w:rPr>
                <w:rFonts w:cs="Times New Roman"/>
                <w:szCs w:val="24"/>
              </w:rPr>
              <w:t>2.25</w:t>
            </w:r>
          </w:p>
        </w:tc>
        <w:tc>
          <w:tcPr>
            <w:tcW w:w="1993" w:type="dxa"/>
            <w:vAlign w:val="center"/>
          </w:tcPr>
          <w:p w14:paraId="7CFB3DCF" w14:textId="77777777" w:rsidR="00F56C38" w:rsidRPr="004306A0" w:rsidRDefault="00163AF0">
            <w:pPr>
              <w:spacing w:after="0" w:line="240" w:lineRule="auto"/>
              <w:jc w:val="center"/>
              <w:rPr>
                <w:rFonts w:cs="Times New Roman"/>
                <w:szCs w:val="24"/>
              </w:rPr>
            </w:pPr>
            <w:r w:rsidRPr="004306A0">
              <w:rPr>
                <w:rFonts w:cs="Times New Roman"/>
                <w:szCs w:val="24"/>
              </w:rPr>
              <w:t>1.90</w:t>
            </w:r>
          </w:p>
        </w:tc>
        <w:tc>
          <w:tcPr>
            <w:tcW w:w="1993" w:type="dxa"/>
            <w:vAlign w:val="center"/>
          </w:tcPr>
          <w:p w14:paraId="4D7F2124" w14:textId="77777777" w:rsidR="00F56C38" w:rsidRPr="004306A0" w:rsidRDefault="00163AF0">
            <w:pPr>
              <w:spacing w:after="0" w:line="240" w:lineRule="auto"/>
              <w:jc w:val="center"/>
              <w:rPr>
                <w:rFonts w:cs="Times New Roman"/>
                <w:szCs w:val="24"/>
              </w:rPr>
            </w:pPr>
            <w:r w:rsidRPr="004306A0">
              <w:rPr>
                <w:rFonts w:cs="Times New Roman"/>
                <w:szCs w:val="24"/>
              </w:rPr>
              <w:t>1.85</w:t>
            </w:r>
          </w:p>
        </w:tc>
        <w:tc>
          <w:tcPr>
            <w:tcW w:w="1994" w:type="dxa"/>
            <w:vAlign w:val="center"/>
          </w:tcPr>
          <w:p w14:paraId="21272E22" w14:textId="77777777" w:rsidR="00F56C38" w:rsidRPr="004306A0" w:rsidRDefault="00163AF0">
            <w:pPr>
              <w:spacing w:after="0" w:line="240" w:lineRule="auto"/>
              <w:jc w:val="center"/>
              <w:rPr>
                <w:rFonts w:cs="Times New Roman"/>
                <w:szCs w:val="24"/>
              </w:rPr>
            </w:pPr>
            <w:r w:rsidRPr="004306A0">
              <w:rPr>
                <w:rFonts w:cs="Times New Roman"/>
                <w:szCs w:val="24"/>
              </w:rPr>
              <w:t>1.45</w:t>
            </w:r>
          </w:p>
        </w:tc>
      </w:tr>
      <w:tr w:rsidR="00F56C38" w:rsidRPr="004306A0" w14:paraId="59822A33" w14:textId="77777777" w:rsidTr="00DB3D53">
        <w:trPr>
          <w:trHeight w:val="694"/>
          <w:jc w:val="center"/>
        </w:trPr>
        <w:tc>
          <w:tcPr>
            <w:tcW w:w="2410" w:type="dxa"/>
            <w:vAlign w:val="center"/>
          </w:tcPr>
          <w:p w14:paraId="5D97FB81" w14:textId="77777777" w:rsidR="00F56C38" w:rsidRPr="004306A0" w:rsidRDefault="00163AF0">
            <w:pPr>
              <w:spacing w:after="0" w:line="240" w:lineRule="auto"/>
              <w:jc w:val="center"/>
              <w:rPr>
                <w:rFonts w:cs="Times New Roman"/>
                <w:szCs w:val="24"/>
              </w:rPr>
            </w:pPr>
            <w:r w:rsidRPr="004306A0">
              <w:rPr>
                <w:rFonts w:cs="Times New Roman"/>
                <w:szCs w:val="24"/>
              </w:rPr>
              <w:t>Benzo(a)anthracene</w:t>
            </w:r>
          </w:p>
        </w:tc>
        <w:tc>
          <w:tcPr>
            <w:tcW w:w="1840" w:type="dxa"/>
            <w:vAlign w:val="center"/>
          </w:tcPr>
          <w:p w14:paraId="2A9859F5" w14:textId="77777777" w:rsidR="00F56C38" w:rsidRPr="004306A0" w:rsidRDefault="00163AF0">
            <w:pPr>
              <w:spacing w:after="0" w:line="240" w:lineRule="auto"/>
              <w:jc w:val="center"/>
              <w:rPr>
                <w:rFonts w:cs="Times New Roman"/>
                <w:szCs w:val="24"/>
              </w:rPr>
            </w:pPr>
            <w:r w:rsidRPr="004306A0">
              <w:rPr>
                <w:rFonts w:cs="Times New Roman"/>
                <w:szCs w:val="24"/>
              </w:rPr>
              <w:t>0.10</w:t>
            </w:r>
          </w:p>
        </w:tc>
        <w:tc>
          <w:tcPr>
            <w:tcW w:w="1993" w:type="dxa"/>
            <w:vAlign w:val="center"/>
          </w:tcPr>
          <w:p w14:paraId="31BFDA88" w14:textId="77777777" w:rsidR="00F56C38" w:rsidRPr="004306A0" w:rsidRDefault="00163AF0">
            <w:pPr>
              <w:spacing w:after="0" w:line="240" w:lineRule="auto"/>
              <w:jc w:val="center"/>
              <w:rPr>
                <w:rFonts w:cs="Times New Roman"/>
                <w:szCs w:val="24"/>
              </w:rPr>
            </w:pPr>
            <w:r w:rsidRPr="004306A0">
              <w:rPr>
                <w:rFonts w:cs="Times New Roman"/>
                <w:szCs w:val="24"/>
              </w:rPr>
              <w:t>0.90</w:t>
            </w:r>
          </w:p>
        </w:tc>
        <w:tc>
          <w:tcPr>
            <w:tcW w:w="1993" w:type="dxa"/>
            <w:vAlign w:val="center"/>
          </w:tcPr>
          <w:p w14:paraId="282F54AC"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4" w:type="dxa"/>
            <w:vAlign w:val="center"/>
          </w:tcPr>
          <w:p w14:paraId="3AD005FA" w14:textId="77777777" w:rsidR="00F56C38" w:rsidRPr="004306A0" w:rsidRDefault="00163AF0">
            <w:pPr>
              <w:spacing w:after="0" w:line="240" w:lineRule="auto"/>
              <w:jc w:val="center"/>
              <w:rPr>
                <w:rFonts w:cs="Times New Roman"/>
                <w:szCs w:val="24"/>
              </w:rPr>
            </w:pPr>
            <w:r w:rsidRPr="004306A0">
              <w:rPr>
                <w:rFonts w:cs="Times New Roman"/>
                <w:szCs w:val="24"/>
              </w:rPr>
              <w:t>0.65</w:t>
            </w:r>
          </w:p>
        </w:tc>
      </w:tr>
      <w:tr w:rsidR="00F56C38" w:rsidRPr="004306A0" w14:paraId="20388390" w14:textId="77777777" w:rsidTr="00DB3D53">
        <w:trPr>
          <w:trHeight w:val="353"/>
          <w:jc w:val="center"/>
        </w:trPr>
        <w:tc>
          <w:tcPr>
            <w:tcW w:w="2410" w:type="dxa"/>
            <w:vAlign w:val="center"/>
          </w:tcPr>
          <w:p w14:paraId="7199D352" w14:textId="77777777" w:rsidR="00F56C38" w:rsidRPr="004306A0" w:rsidRDefault="00163AF0">
            <w:pPr>
              <w:spacing w:after="0" w:line="240" w:lineRule="auto"/>
              <w:jc w:val="center"/>
              <w:rPr>
                <w:rFonts w:cs="Times New Roman"/>
                <w:szCs w:val="24"/>
              </w:rPr>
            </w:pPr>
            <w:r w:rsidRPr="004306A0">
              <w:rPr>
                <w:rFonts w:cs="Times New Roman"/>
                <w:szCs w:val="24"/>
              </w:rPr>
              <w:t>Chrysene</w:t>
            </w:r>
          </w:p>
        </w:tc>
        <w:tc>
          <w:tcPr>
            <w:tcW w:w="1840" w:type="dxa"/>
            <w:vAlign w:val="center"/>
          </w:tcPr>
          <w:p w14:paraId="354CE71A" w14:textId="77777777" w:rsidR="00F56C38" w:rsidRPr="004306A0" w:rsidRDefault="00163AF0">
            <w:pPr>
              <w:spacing w:after="0" w:line="240" w:lineRule="auto"/>
              <w:jc w:val="center"/>
              <w:rPr>
                <w:rFonts w:cs="Times New Roman"/>
                <w:szCs w:val="24"/>
              </w:rPr>
            </w:pPr>
            <w:r w:rsidRPr="004306A0">
              <w:rPr>
                <w:rFonts w:cs="Times New Roman"/>
                <w:szCs w:val="24"/>
              </w:rPr>
              <w:t>0.05</w:t>
            </w:r>
          </w:p>
        </w:tc>
        <w:tc>
          <w:tcPr>
            <w:tcW w:w="1993" w:type="dxa"/>
            <w:vAlign w:val="center"/>
          </w:tcPr>
          <w:p w14:paraId="624AA317" w14:textId="77777777" w:rsidR="00F56C38" w:rsidRPr="004306A0" w:rsidRDefault="00163AF0">
            <w:pPr>
              <w:spacing w:after="0" w:line="240" w:lineRule="auto"/>
              <w:jc w:val="center"/>
              <w:rPr>
                <w:rFonts w:cs="Times New Roman"/>
                <w:szCs w:val="24"/>
              </w:rPr>
            </w:pPr>
            <w:r w:rsidRPr="004306A0">
              <w:rPr>
                <w:rFonts w:cs="Times New Roman"/>
                <w:szCs w:val="24"/>
              </w:rPr>
              <w:t>0.15</w:t>
            </w:r>
          </w:p>
        </w:tc>
        <w:tc>
          <w:tcPr>
            <w:tcW w:w="1993" w:type="dxa"/>
            <w:vAlign w:val="center"/>
          </w:tcPr>
          <w:p w14:paraId="645F909B"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4" w:type="dxa"/>
            <w:vAlign w:val="center"/>
          </w:tcPr>
          <w:p w14:paraId="413B6FB0" w14:textId="77777777" w:rsidR="00F56C38" w:rsidRPr="004306A0" w:rsidRDefault="00163AF0">
            <w:pPr>
              <w:spacing w:after="0" w:line="240" w:lineRule="auto"/>
              <w:jc w:val="center"/>
              <w:rPr>
                <w:rFonts w:cs="Times New Roman"/>
                <w:szCs w:val="24"/>
              </w:rPr>
            </w:pPr>
            <w:r w:rsidRPr="004306A0">
              <w:rPr>
                <w:rFonts w:cs="Times New Roman"/>
                <w:szCs w:val="24"/>
              </w:rPr>
              <w:t>0.10</w:t>
            </w:r>
          </w:p>
        </w:tc>
      </w:tr>
      <w:tr w:rsidR="00F56C38" w:rsidRPr="004306A0" w14:paraId="582524AE" w14:textId="77777777" w:rsidTr="00DB3D53">
        <w:trPr>
          <w:trHeight w:val="694"/>
          <w:jc w:val="center"/>
        </w:trPr>
        <w:tc>
          <w:tcPr>
            <w:tcW w:w="2410" w:type="dxa"/>
            <w:vAlign w:val="center"/>
          </w:tcPr>
          <w:p w14:paraId="331BEFDF" w14:textId="77777777" w:rsidR="00F56C38" w:rsidRPr="004306A0" w:rsidRDefault="00163AF0">
            <w:pPr>
              <w:spacing w:after="0" w:line="240" w:lineRule="auto"/>
              <w:jc w:val="center"/>
              <w:rPr>
                <w:rFonts w:cs="Times New Roman"/>
                <w:szCs w:val="24"/>
              </w:rPr>
            </w:pPr>
            <w:r w:rsidRPr="004306A0">
              <w:rPr>
                <w:rFonts w:cs="Times New Roman"/>
                <w:szCs w:val="24"/>
              </w:rPr>
              <w:t>Benzo(b)fluoranthene</w:t>
            </w:r>
          </w:p>
        </w:tc>
        <w:tc>
          <w:tcPr>
            <w:tcW w:w="1840" w:type="dxa"/>
            <w:vAlign w:val="center"/>
          </w:tcPr>
          <w:p w14:paraId="51CE1F91" w14:textId="77777777" w:rsidR="00F56C38" w:rsidRPr="004306A0" w:rsidRDefault="00163AF0">
            <w:pPr>
              <w:spacing w:after="0" w:line="240" w:lineRule="auto"/>
              <w:jc w:val="center"/>
              <w:rPr>
                <w:rFonts w:cs="Times New Roman"/>
                <w:szCs w:val="24"/>
              </w:rPr>
            </w:pPr>
            <w:r w:rsidRPr="004306A0">
              <w:rPr>
                <w:rFonts w:cs="Times New Roman"/>
                <w:szCs w:val="24"/>
              </w:rPr>
              <w:t>0.05</w:t>
            </w:r>
          </w:p>
        </w:tc>
        <w:tc>
          <w:tcPr>
            <w:tcW w:w="1993" w:type="dxa"/>
            <w:vAlign w:val="center"/>
          </w:tcPr>
          <w:p w14:paraId="6B9DEA8B" w14:textId="77777777" w:rsidR="00F56C38" w:rsidRPr="004306A0" w:rsidRDefault="00163AF0">
            <w:pPr>
              <w:spacing w:after="0" w:line="240" w:lineRule="auto"/>
              <w:jc w:val="center"/>
              <w:rPr>
                <w:rFonts w:cs="Times New Roman"/>
                <w:szCs w:val="24"/>
              </w:rPr>
            </w:pPr>
            <w:r w:rsidRPr="004306A0">
              <w:rPr>
                <w:rFonts w:cs="Times New Roman"/>
                <w:szCs w:val="24"/>
              </w:rPr>
              <w:t>0.10</w:t>
            </w:r>
          </w:p>
        </w:tc>
        <w:tc>
          <w:tcPr>
            <w:tcW w:w="1993" w:type="dxa"/>
            <w:vAlign w:val="center"/>
          </w:tcPr>
          <w:p w14:paraId="243BD3C7"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4" w:type="dxa"/>
            <w:vAlign w:val="center"/>
          </w:tcPr>
          <w:p w14:paraId="263847BF"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r>
      <w:tr w:rsidR="00F56C38" w:rsidRPr="004306A0" w14:paraId="4FE7D0E2" w14:textId="77777777" w:rsidTr="00DB3D53">
        <w:trPr>
          <w:trHeight w:val="694"/>
          <w:jc w:val="center"/>
        </w:trPr>
        <w:tc>
          <w:tcPr>
            <w:tcW w:w="2410" w:type="dxa"/>
            <w:vAlign w:val="center"/>
          </w:tcPr>
          <w:p w14:paraId="23FD0D31" w14:textId="77777777" w:rsidR="00F56C38" w:rsidRPr="004306A0" w:rsidRDefault="00163AF0">
            <w:pPr>
              <w:spacing w:after="0" w:line="240" w:lineRule="auto"/>
              <w:jc w:val="center"/>
              <w:rPr>
                <w:rFonts w:cs="Times New Roman"/>
                <w:szCs w:val="24"/>
              </w:rPr>
            </w:pPr>
            <w:r w:rsidRPr="004306A0">
              <w:rPr>
                <w:rFonts w:cs="Times New Roman"/>
                <w:szCs w:val="24"/>
              </w:rPr>
              <w:t>Benzo(k)fluoranthene</w:t>
            </w:r>
          </w:p>
        </w:tc>
        <w:tc>
          <w:tcPr>
            <w:tcW w:w="1840" w:type="dxa"/>
            <w:vAlign w:val="center"/>
          </w:tcPr>
          <w:p w14:paraId="3DEFCC72" w14:textId="77777777" w:rsidR="00F56C38" w:rsidRPr="004306A0" w:rsidRDefault="00163AF0">
            <w:pPr>
              <w:spacing w:after="0" w:line="240" w:lineRule="auto"/>
              <w:jc w:val="center"/>
              <w:rPr>
                <w:rFonts w:cs="Times New Roman"/>
                <w:szCs w:val="24"/>
              </w:rPr>
            </w:pPr>
            <w:r w:rsidRPr="004306A0">
              <w:rPr>
                <w:rFonts w:cs="Times New Roman"/>
                <w:szCs w:val="24"/>
              </w:rPr>
              <w:t>1.90</w:t>
            </w:r>
          </w:p>
        </w:tc>
        <w:tc>
          <w:tcPr>
            <w:tcW w:w="1993" w:type="dxa"/>
            <w:vAlign w:val="center"/>
          </w:tcPr>
          <w:p w14:paraId="3382FB5F" w14:textId="77777777" w:rsidR="00F56C38" w:rsidRPr="004306A0" w:rsidRDefault="00163AF0">
            <w:pPr>
              <w:spacing w:after="0" w:line="240" w:lineRule="auto"/>
              <w:jc w:val="center"/>
              <w:rPr>
                <w:rFonts w:cs="Times New Roman"/>
                <w:szCs w:val="24"/>
              </w:rPr>
            </w:pPr>
            <w:r w:rsidRPr="004306A0">
              <w:rPr>
                <w:rFonts w:cs="Times New Roman"/>
                <w:szCs w:val="24"/>
              </w:rPr>
              <w:t>1.20</w:t>
            </w:r>
          </w:p>
        </w:tc>
        <w:tc>
          <w:tcPr>
            <w:tcW w:w="1993" w:type="dxa"/>
            <w:vAlign w:val="center"/>
          </w:tcPr>
          <w:p w14:paraId="42F229B4" w14:textId="77777777" w:rsidR="00F56C38" w:rsidRPr="004306A0" w:rsidRDefault="00163AF0">
            <w:pPr>
              <w:spacing w:after="0" w:line="240" w:lineRule="auto"/>
              <w:jc w:val="center"/>
              <w:rPr>
                <w:rFonts w:cs="Times New Roman"/>
                <w:szCs w:val="24"/>
              </w:rPr>
            </w:pPr>
            <w:r w:rsidRPr="004306A0">
              <w:rPr>
                <w:rFonts w:cs="Times New Roman"/>
                <w:szCs w:val="24"/>
              </w:rPr>
              <w:t>1.30</w:t>
            </w:r>
          </w:p>
        </w:tc>
        <w:tc>
          <w:tcPr>
            <w:tcW w:w="1994" w:type="dxa"/>
            <w:vAlign w:val="center"/>
          </w:tcPr>
          <w:p w14:paraId="5F36AF16" w14:textId="77777777" w:rsidR="00F56C38" w:rsidRPr="004306A0" w:rsidRDefault="00163AF0">
            <w:pPr>
              <w:spacing w:after="0" w:line="240" w:lineRule="auto"/>
              <w:jc w:val="center"/>
              <w:rPr>
                <w:rFonts w:cs="Times New Roman"/>
                <w:szCs w:val="24"/>
              </w:rPr>
            </w:pPr>
            <w:r w:rsidRPr="004306A0">
              <w:rPr>
                <w:rFonts w:cs="Times New Roman"/>
                <w:szCs w:val="24"/>
              </w:rPr>
              <w:t>0.75</w:t>
            </w:r>
          </w:p>
        </w:tc>
      </w:tr>
      <w:tr w:rsidR="00F56C38" w:rsidRPr="004306A0" w14:paraId="45958085" w14:textId="77777777" w:rsidTr="00DB3D53">
        <w:trPr>
          <w:trHeight w:val="353"/>
          <w:jc w:val="center"/>
        </w:trPr>
        <w:tc>
          <w:tcPr>
            <w:tcW w:w="2410" w:type="dxa"/>
            <w:vAlign w:val="center"/>
          </w:tcPr>
          <w:p w14:paraId="0B454B8A" w14:textId="77777777" w:rsidR="00F56C38" w:rsidRPr="004306A0" w:rsidRDefault="00163AF0">
            <w:pPr>
              <w:spacing w:after="0" w:line="240" w:lineRule="auto"/>
              <w:jc w:val="center"/>
              <w:rPr>
                <w:rFonts w:cs="Times New Roman"/>
                <w:szCs w:val="24"/>
              </w:rPr>
            </w:pPr>
            <w:r w:rsidRPr="004306A0">
              <w:rPr>
                <w:rFonts w:cs="Times New Roman"/>
                <w:szCs w:val="24"/>
              </w:rPr>
              <w:t>Benzo(a)pyrene</w:t>
            </w:r>
          </w:p>
        </w:tc>
        <w:tc>
          <w:tcPr>
            <w:tcW w:w="1840" w:type="dxa"/>
            <w:vAlign w:val="center"/>
          </w:tcPr>
          <w:p w14:paraId="7C6FB403"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3" w:type="dxa"/>
            <w:vAlign w:val="center"/>
          </w:tcPr>
          <w:p w14:paraId="6459D0D9"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3" w:type="dxa"/>
            <w:vAlign w:val="center"/>
          </w:tcPr>
          <w:p w14:paraId="64ADF51D"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4" w:type="dxa"/>
            <w:vAlign w:val="center"/>
          </w:tcPr>
          <w:p w14:paraId="00A1430A"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r>
      <w:tr w:rsidR="00F56C38" w:rsidRPr="004306A0" w14:paraId="73F0E8AA" w14:textId="77777777" w:rsidTr="00DB3D53">
        <w:trPr>
          <w:trHeight w:val="694"/>
          <w:jc w:val="center"/>
        </w:trPr>
        <w:tc>
          <w:tcPr>
            <w:tcW w:w="2410" w:type="dxa"/>
            <w:vAlign w:val="center"/>
          </w:tcPr>
          <w:p w14:paraId="13703667" w14:textId="77777777" w:rsidR="00F56C38" w:rsidRPr="004306A0" w:rsidRDefault="00163AF0">
            <w:pPr>
              <w:spacing w:after="0" w:line="240" w:lineRule="auto"/>
              <w:jc w:val="center"/>
              <w:rPr>
                <w:rFonts w:cs="Times New Roman"/>
                <w:szCs w:val="24"/>
              </w:rPr>
            </w:pPr>
            <w:r w:rsidRPr="004306A0">
              <w:rPr>
                <w:rFonts w:cs="Times New Roman"/>
                <w:szCs w:val="24"/>
              </w:rPr>
              <w:t>Indeno(1,2,3-</w:t>
            </w:r>
            <w:proofErr w:type="gramStart"/>
            <w:r w:rsidRPr="004306A0">
              <w:rPr>
                <w:rFonts w:cs="Times New Roman"/>
                <w:szCs w:val="24"/>
              </w:rPr>
              <w:t>c,d</w:t>
            </w:r>
            <w:proofErr w:type="gramEnd"/>
            <w:r w:rsidRPr="004306A0">
              <w:rPr>
                <w:rFonts w:cs="Times New Roman"/>
                <w:szCs w:val="24"/>
              </w:rPr>
              <w:t>)pyrene</w:t>
            </w:r>
          </w:p>
        </w:tc>
        <w:tc>
          <w:tcPr>
            <w:tcW w:w="1840" w:type="dxa"/>
            <w:vAlign w:val="center"/>
          </w:tcPr>
          <w:p w14:paraId="52E3C251"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3" w:type="dxa"/>
            <w:vAlign w:val="center"/>
          </w:tcPr>
          <w:p w14:paraId="06A28069"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3" w:type="dxa"/>
            <w:vAlign w:val="center"/>
          </w:tcPr>
          <w:p w14:paraId="2324ED99"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4" w:type="dxa"/>
            <w:vAlign w:val="center"/>
          </w:tcPr>
          <w:p w14:paraId="5ABBDBED"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r>
      <w:tr w:rsidR="00F56C38" w:rsidRPr="004306A0" w14:paraId="39DB8A74" w14:textId="77777777" w:rsidTr="00DB3D53">
        <w:trPr>
          <w:trHeight w:val="694"/>
          <w:jc w:val="center"/>
        </w:trPr>
        <w:tc>
          <w:tcPr>
            <w:tcW w:w="2410" w:type="dxa"/>
            <w:vAlign w:val="center"/>
          </w:tcPr>
          <w:p w14:paraId="7C1AAC3A" w14:textId="77777777" w:rsidR="00F56C38" w:rsidRPr="004306A0" w:rsidRDefault="00163AF0">
            <w:pPr>
              <w:spacing w:after="0" w:line="240" w:lineRule="auto"/>
              <w:jc w:val="center"/>
              <w:rPr>
                <w:rFonts w:cs="Times New Roman"/>
                <w:szCs w:val="24"/>
              </w:rPr>
            </w:pPr>
            <w:r w:rsidRPr="004306A0">
              <w:rPr>
                <w:rFonts w:cs="Times New Roman"/>
                <w:szCs w:val="24"/>
              </w:rPr>
              <w:t>Dibenz(</w:t>
            </w:r>
            <w:proofErr w:type="spellStart"/>
            <w:proofErr w:type="gramStart"/>
            <w:r w:rsidRPr="004306A0">
              <w:rPr>
                <w:rFonts w:cs="Times New Roman"/>
                <w:szCs w:val="24"/>
              </w:rPr>
              <w:t>a,h</w:t>
            </w:r>
            <w:proofErr w:type="spellEnd"/>
            <w:proofErr w:type="gramEnd"/>
            <w:r w:rsidRPr="004306A0">
              <w:rPr>
                <w:rFonts w:cs="Times New Roman"/>
                <w:szCs w:val="24"/>
              </w:rPr>
              <w:t>)anthracene</w:t>
            </w:r>
          </w:p>
        </w:tc>
        <w:tc>
          <w:tcPr>
            <w:tcW w:w="1840" w:type="dxa"/>
            <w:vAlign w:val="center"/>
          </w:tcPr>
          <w:p w14:paraId="264E319F"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3" w:type="dxa"/>
            <w:vAlign w:val="center"/>
          </w:tcPr>
          <w:p w14:paraId="20D260AE"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3" w:type="dxa"/>
            <w:vAlign w:val="center"/>
          </w:tcPr>
          <w:p w14:paraId="41D3A45D"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4" w:type="dxa"/>
            <w:vAlign w:val="center"/>
          </w:tcPr>
          <w:p w14:paraId="6F55639E"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r>
      <w:tr w:rsidR="00F56C38" w:rsidRPr="004306A0" w14:paraId="4987CB31" w14:textId="77777777" w:rsidTr="00DB3D53">
        <w:trPr>
          <w:trHeight w:val="694"/>
          <w:jc w:val="center"/>
        </w:trPr>
        <w:tc>
          <w:tcPr>
            <w:tcW w:w="2410" w:type="dxa"/>
            <w:vAlign w:val="center"/>
          </w:tcPr>
          <w:p w14:paraId="365B46E7" w14:textId="77777777" w:rsidR="00F56C38" w:rsidRPr="004306A0" w:rsidRDefault="00163AF0">
            <w:pPr>
              <w:spacing w:after="0" w:line="240" w:lineRule="auto"/>
              <w:jc w:val="center"/>
              <w:rPr>
                <w:rFonts w:cs="Times New Roman"/>
                <w:szCs w:val="24"/>
              </w:rPr>
            </w:pPr>
            <w:r w:rsidRPr="004306A0">
              <w:rPr>
                <w:rFonts w:cs="Times New Roman"/>
                <w:szCs w:val="24"/>
              </w:rPr>
              <w:t>Benzo(</w:t>
            </w:r>
            <w:proofErr w:type="spellStart"/>
            <w:proofErr w:type="gramStart"/>
            <w:r w:rsidRPr="004306A0">
              <w:rPr>
                <w:rFonts w:cs="Times New Roman"/>
                <w:szCs w:val="24"/>
              </w:rPr>
              <w:t>g,h</w:t>
            </w:r>
            <w:proofErr w:type="gramEnd"/>
            <w:r w:rsidRPr="004306A0">
              <w:rPr>
                <w:rFonts w:cs="Times New Roman"/>
                <w:szCs w:val="24"/>
              </w:rPr>
              <w:t>,</w:t>
            </w:r>
            <w:proofErr w:type="gramStart"/>
            <w:r w:rsidRPr="004306A0">
              <w:rPr>
                <w:rFonts w:cs="Times New Roman"/>
                <w:szCs w:val="24"/>
              </w:rPr>
              <w:t>i</w:t>
            </w:r>
            <w:proofErr w:type="spellEnd"/>
            <w:r w:rsidRPr="004306A0">
              <w:rPr>
                <w:rFonts w:cs="Times New Roman"/>
                <w:szCs w:val="24"/>
              </w:rPr>
              <w:t>)perylene</w:t>
            </w:r>
            <w:proofErr w:type="gramEnd"/>
          </w:p>
        </w:tc>
        <w:tc>
          <w:tcPr>
            <w:tcW w:w="1840" w:type="dxa"/>
            <w:vAlign w:val="center"/>
          </w:tcPr>
          <w:p w14:paraId="66BBDFB0"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3" w:type="dxa"/>
            <w:vAlign w:val="center"/>
          </w:tcPr>
          <w:p w14:paraId="50813FA0"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3" w:type="dxa"/>
            <w:vAlign w:val="center"/>
          </w:tcPr>
          <w:p w14:paraId="0972AB0E"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c>
          <w:tcPr>
            <w:tcW w:w="1994" w:type="dxa"/>
            <w:vAlign w:val="center"/>
          </w:tcPr>
          <w:p w14:paraId="0F18E7F8" w14:textId="77777777" w:rsidR="00F56C38" w:rsidRPr="004306A0" w:rsidRDefault="00163AF0">
            <w:pPr>
              <w:spacing w:after="0" w:line="240" w:lineRule="auto"/>
              <w:jc w:val="center"/>
              <w:rPr>
                <w:rFonts w:cs="Times New Roman"/>
                <w:szCs w:val="24"/>
              </w:rPr>
            </w:pPr>
            <w:r w:rsidRPr="004306A0">
              <w:rPr>
                <w:rFonts w:cs="Times New Roman"/>
                <w:szCs w:val="24"/>
              </w:rPr>
              <w:t>&lt; LOD</w:t>
            </w:r>
          </w:p>
        </w:tc>
      </w:tr>
      <w:tr w:rsidR="00F56C38" w:rsidRPr="004306A0" w14:paraId="0CC243A7" w14:textId="77777777" w:rsidTr="00DB3D53">
        <w:trPr>
          <w:trHeight w:val="353"/>
          <w:jc w:val="center"/>
        </w:trPr>
        <w:tc>
          <w:tcPr>
            <w:tcW w:w="2410" w:type="dxa"/>
            <w:vAlign w:val="center"/>
          </w:tcPr>
          <w:p w14:paraId="798AF62E" w14:textId="77777777" w:rsidR="00F56C38" w:rsidRPr="004306A0" w:rsidRDefault="00163AF0">
            <w:pPr>
              <w:spacing w:after="0" w:line="240" w:lineRule="auto"/>
              <w:jc w:val="center"/>
              <w:rPr>
                <w:rFonts w:cs="Times New Roman"/>
                <w:szCs w:val="24"/>
              </w:rPr>
            </w:pPr>
            <w:r w:rsidRPr="004306A0">
              <w:rPr>
                <w:rFonts w:cs="Times New Roman"/>
                <w:szCs w:val="24"/>
              </w:rPr>
              <w:t>Total PAHs</w:t>
            </w:r>
          </w:p>
        </w:tc>
        <w:tc>
          <w:tcPr>
            <w:tcW w:w="1840" w:type="dxa"/>
            <w:vAlign w:val="center"/>
          </w:tcPr>
          <w:p w14:paraId="63134BAE" w14:textId="77777777" w:rsidR="00F56C38" w:rsidRPr="004306A0" w:rsidRDefault="00163AF0">
            <w:pPr>
              <w:spacing w:after="0" w:line="240" w:lineRule="auto"/>
              <w:jc w:val="center"/>
              <w:rPr>
                <w:rFonts w:cs="Times New Roman"/>
                <w:szCs w:val="24"/>
              </w:rPr>
            </w:pPr>
            <w:r w:rsidRPr="004306A0">
              <w:rPr>
                <w:rFonts w:cs="Times New Roman"/>
                <w:szCs w:val="24"/>
              </w:rPr>
              <w:t>22.20</w:t>
            </w:r>
          </w:p>
        </w:tc>
        <w:tc>
          <w:tcPr>
            <w:tcW w:w="1993" w:type="dxa"/>
            <w:vAlign w:val="center"/>
          </w:tcPr>
          <w:p w14:paraId="764B2D8C" w14:textId="77777777" w:rsidR="00F56C38" w:rsidRPr="004306A0" w:rsidRDefault="00163AF0">
            <w:pPr>
              <w:spacing w:after="0" w:line="240" w:lineRule="auto"/>
              <w:jc w:val="center"/>
              <w:rPr>
                <w:rFonts w:cs="Times New Roman"/>
                <w:szCs w:val="24"/>
              </w:rPr>
            </w:pPr>
            <w:r w:rsidRPr="004306A0">
              <w:rPr>
                <w:rFonts w:cs="Times New Roman"/>
                <w:szCs w:val="24"/>
              </w:rPr>
              <w:t>30.55</w:t>
            </w:r>
          </w:p>
        </w:tc>
        <w:tc>
          <w:tcPr>
            <w:tcW w:w="1993" w:type="dxa"/>
            <w:vAlign w:val="center"/>
          </w:tcPr>
          <w:p w14:paraId="3D1F3DCF" w14:textId="77777777" w:rsidR="00F56C38" w:rsidRPr="004306A0" w:rsidRDefault="00163AF0">
            <w:pPr>
              <w:spacing w:after="0" w:line="240" w:lineRule="auto"/>
              <w:jc w:val="center"/>
              <w:rPr>
                <w:rFonts w:cs="Times New Roman"/>
                <w:szCs w:val="24"/>
              </w:rPr>
            </w:pPr>
            <w:r w:rsidRPr="004306A0">
              <w:rPr>
                <w:rFonts w:cs="Times New Roman"/>
                <w:szCs w:val="24"/>
              </w:rPr>
              <w:t>12.20</w:t>
            </w:r>
          </w:p>
        </w:tc>
        <w:tc>
          <w:tcPr>
            <w:tcW w:w="1994" w:type="dxa"/>
            <w:vAlign w:val="center"/>
          </w:tcPr>
          <w:p w14:paraId="7293020B" w14:textId="77777777" w:rsidR="00F56C38" w:rsidRPr="004306A0" w:rsidRDefault="00163AF0">
            <w:pPr>
              <w:spacing w:after="0" w:line="240" w:lineRule="auto"/>
              <w:jc w:val="center"/>
              <w:rPr>
                <w:rFonts w:cs="Times New Roman"/>
                <w:szCs w:val="24"/>
              </w:rPr>
            </w:pPr>
            <w:r w:rsidRPr="004306A0">
              <w:rPr>
                <w:rFonts w:cs="Times New Roman"/>
                <w:szCs w:val="24"/>
              </w:rPr>
              <w:t>20.70</w:t>
            </w:r>
          </w:p>
        </w:tc>
      </w:tr>
    </w:tbl>
    <w:p w14:paraId="13AA27A0" w14:textId="77777777" w:rsidR="00F56C38" w:rsidRPr="004306A0" w:rsidRDefault="00163AF0">
      <w:pPr>
        <w:jc w:val="both"/>
        <w:rPr>
          <w:rFonts w:cs="Times New Roman"/>
          <w:sz w:val="20"/>
          <w:szCs w:val="20"/>
        </w:rPr>
      </w:pPr>
      <w:r w:rsidRPr="004306A0">
        <w:rPr>
          <w:rFonts w:cs="Times New Roman"/>
          <w:sz w:val="20"/>
          <w:szCs w:val="20"/>
        </w:rPr>
        <w:t>Note: &lt; LOD indicates concentration below the method detection limit. Total PAHs reproduce the summed values reported for each condition.</w:t>
      </w:r>
    </w:p>
    <w:p w14:paraId="01BEE352" w14:textId="77777777" w:rsidR="00A73566" w:rsidRPr="004306A0" w:rsidRDefault="00A73566">
      <w:pPr>
        <w:jc w:val="both"/>
        <w:rPr>
          <w:rFonts w:cs="Times New Roman"/>
          <w:sz w:val="20"/>
          <w:szCs w:val="20"/>
        </w:rPr>
      </w:pPr>
    </w:p>
    <w:p w14:paraId="13236B20" w14:textId="77777777" w:rsidR="00A73566" w:rsidRPr="004306A0" w:rsidRDefault="00A73566">
      <w:pPr>
        <w:jc w:val="both"/>
        <w:rPr>
          <w:rFonts w:cs="Times New Roman"/>
          <w:sz w:val="20"/>
          <w:szCs w:val="20"/>
        </w:rPr>
      </w:pPr>
    </w:p>
    <w:p w14:paraId="50D17628" w14:textId="77777777" w:rsidR="00F56C38" w:rsidRPr="004306A0" w:rsidRDefault="00163AF0">
      <w:pPr>
        <w:jc w:val="center"/>
        <w:rPr>
          <w:rFonts w:cs="Times New Roman"/>
          <w:szCs w:val="24"/>
        </w:rPr>
      </w:pPr>
      <w:r w:rsidRPr="004306A0">
        <w:rPr>
          <w:rFonts w:cs="Times New Roman"/>
          <w:noProof/>
          <w:szCs w:val="24"/>
        </w:rPr>
        <w:lastRenderedPageBreak/>
        <w:drawing>
          <wp:inline distT="0" distB="0" distL="0" distR="0" wp14:anchorId="49073DDA" wp14:editId="494824DB">
            <wp:extent cx="5852160" cy="264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stretch>
                      <a:fillRect/>
                    </a:stretch>
                  </pic:blipFill>
                  <pic:spPr bwMode="auto">
                    <a:xfrm>
                      <a:off x="0" y="0"/>
                      <a:ext cx="5852160" cy="2641600"/>
                    </a:xfrm>
                    <a:prstGeom prst="rect">
                      <a:avLst/>
                    </a:prstGeom>
                    <a:noFill/>
                  </pic:spPr>
                </pic:pic>
              </a:graphicData>
            </a:graphic>
          </wp:inline>
        </w:drawing>
      </w:r>
    </w:p>
    <w:p w14:paraId="0EAEAA9C" w14:textId="77777777" w:rsidR="00F56C38" w:rsidRPr="004306A0" w:rsidRDefault="00163AF0" w:rsidP="00DB3D53">
      <w:pPr>
        <w:pStyle w:val="Caption"/>
        <w:ind w:firstLine="720"/>
        <w:rPr>
          <w:rFonts w:cs="Times New Roman"/>
          <w:i w:val="0"/>
          <w:iCs/>
          <w:color w:val="auto"/>
          <w:sz w:val="22"/>
          <w:szCs w:val="22"/>
        </w:rPr>
      </w:pPr>
      <w:r w:rsidRPr="004306A0">
        <w:rPr>
          <w:rFonts w:cs="Times New Roman"/>
          <w:i w:val="0"/>
          <w:iCs/>
          <w:color w:val="auto"/>
          <w:sz w:val="22"/>
          <w:szCs w:val="22"/>
        </w:rPr>
        <w:t>Figure 2. Total PAHs in indoor and outdoor air across Akpajo, Alesa and Aleto</w:t>
      </w:r>
    </w:p>
    <w:p w14:paraId="5DD3E07C" w14:textId="77777777" w:rsidR="00DB3D53" w:rsidRPr="004306A0" w:rsidRDefault="00DB3D53" w:rsidP="00DB3D53"/>
    <w:p w14:paraId="2457EFA2" w14:textId="77777777" w:rsidR="00DB3D53" w:rsidRPr="004306A0" w:rsidRDefault="00DB3D53" w:rsidP="00DB3D53"/>
    <w:p w14:paraId="5C90D39F" w14:textId="77777777" w:rsidR="00F56C38" w:rsidRPr="004306A0" w:rsidRDefault="00163AF0">
      <w:pPr>
        <w:pStyle w:val="Caption"/>
        <w:rPr>
          <w:rFonts w:cs="Times New Roman"/>
          <w:i w:val="0"/>
          <w:iCs/>
          <w:color w:val="auto"/>
          <w:sz w:val="24"/>
          <w:szCs w:val="24"/>
        </w:rPr>
      </w:pPr>
      <w:r w:rsidRPr="004306A0">
        <w:rPr>
          <w:rFonts w:cs="Times New Roman"/>
          <w:i w:val="0"/>
          <w:iCs/>
          <w:color w:val="auto"/>
          <w:sz w:val="24"/>
          <w:szCs w:val="24"/>
        </w:rPr>
        <w:t>Table 8. Summary of total PAH concentration metrics across the 12 conditions</w:t>
      </w:r>
    </w:p>
    <w:tbl>
      <w:tblPr>
        <w:tblW w:w="9966" w:type="dxa"/>
        <w:jc w:val="center"/>
        <w:tblBorders>
          <w:top w:val="single" w:sz="4" w:space="0" w:color="auto"/>
          <w:bottom w:val="single" w:sz="4" w:space="0" w:color="auto"/>
        </w:tblBorders>
        <w:tblLayout w:type="fixed"/>
        <w:tblLook w:val="04A0" w:firstRow="1" w:lastRow="0" w:firstColumn="1" w:lastColumn="0" w:noHBand="0" w:noVBand="1"/>
      </w:tblPr>
      <w:tblGrid>
        <w:gridCol w:w="4983"/>
        <w:gridCol w:w="4983"/>
      </w:tblGrid>
      <w:tr w:rsidR="00F56C38" w:rsidRPr="004306A0" w14:paraId="06B12F47" w14:textId="77777777" w:rsidTr="00DB3D53">
        <w:trPr>
          <w:trHeight w:val="366"/>
          <w:tblHeader/>
          <w:jc w:val="center"/>
        </w:trPr>
        <w:tc>
          <w:tcPr>
            <w:tcW w:w="4983" w:type="dxa"/>
            <w:tcBorders>
              <w:top w:val="single" w:sz="4" w:space="0" w:color="auto"/>
              <w:bottom w:val="single" w:sz="4" w:space="0" w:color="auto"/>
            </w:tcBorders>
            <w:vAlign w:val="center"/>
          </w:tcPr>
          <w:p w14:paraId="3B135653" w14:textId="77777777" w:rsidR="00F56C38" w:rsidRPr="004306A0" w:rsidRDefault="00163AF0">
            <w:pPr>
              <w:spacing w:after="0" w:line="240" w:lineRule="auto"/>
              <w:jc w:val="center"/>
              <w:rPr>
                <w:rFonts w:cs="Times New Roman"/>
                <w:b/>
                <w:szCs w:val="24"/>
              </w:rPr>
            </w:pPr>
            <w:r w:rsidRPr="004306A0">
              <w:rPr>
                <w:rFonts w:cs="Times New Roman"/>
                <w:b/>
                <w:szCs w:val="24"/>
              </w:rPr>
              <w:t>Summary metric</w:t>
            </w:r>
          </w:p>
        </w:tc>
        <w:tc>
          <w:tcPr>
            <w:tcW w:w="4983" w:type="dxa"/>
            <w:tcBorders>
              <w:top w:val="single" w:sz="4" w:space="0" w:color="auto"/>
              <w:bottom w:val="single" w:sz="4" w:space="0" w:color="auto"/>
            </w:tcBorders>
            <w:vAlign w:val="center"/>
          </w:tcPr>
          <w:p w14:paraId="6FE386A4" w14:textId="77777777" w:rsidR="00F56C38" w:rsidRPr="004306A0" w:rsidRDefault="00163AF0">
            <w:pPr>
              <w:spacing w:after="0" w:line="240" w:lineRule="auto"/>
              <w:jc w:val="center"/>
              <w:rPr>
                <w:rFonts w:cs="Times New Roman"/>
                <w:b/>
                <w:szCs w:val="24"/>
              </w:rPr>
            </w:pPr>
            <w:r w:rsidRPr="004306A0">
              <w:rPr>
                <w:rFonts w:cs="Times New Roman"/>
                <w:b/>
                <w:szCs w:val="24"/>
              </w:rPr>
              <w:t>Value (µg/m3)</w:t>
            </w:r>
          </w:p>
        </w:tc>
      </w:tr>
      <w:tr w:rsidR="00F56C38" w:rsidRPr="004306A0" w14:paraId="5C3E626C" w14:textId="77777777" w:rsidTr="00DB3D53">
        <w:trPr>
          <w:trHeight w:val="353"/>
          <w:jc w:val="center"/>
        </w:trPr>
        <w:tc>
          <w:tcPr>
            <w:tcW w:w="4983" w:type="dxa"/>
            <w:tcBorders>
              <w:top w:val="single" w:sz="4" w:space="0" w:color="auto"/>
            </w:tcBorders>
            <w:vAlign w:val="center"/>
          </w:tcPr>
          <w:p w14:paraId="566F6745" w14:textId="77777777" w:rsidR="00F56C38" w:rsidRPr="004306A0" w:rsidRDefault="00163AF0">
            <w:pPr>
              <w:spacing w:after="0" w:line="240" w:lineRule="auto"/>
              <w:jc w:val="center"/>
              <w:rPr>
                <w:rFonts w:cs="Times New Roman"/>
                <w:szCs w:val="24"/>
              </w:rPr>
            </w:pPr>
            <w:r w:rsidRPr="004306A0">
              <w:rPr>
                <w:rFonts w:cs="Times New Roman"/>
                <w:szCs w:val="24"/>
              </w:rPr>
              <w:t>Minimum total PAHs</w:t>
            </w:r>
          </w:p>
        </w:tc>
        <w:tc>
          <w:tcPr>
            <w:tcW w:w="4983" w:type="dxa"/>
            <w:tcBorders>
              <w:top w:val="single" w:sz="4" w:space="0" w:color="auto"/>
            </w:tcBorders>
            <w:vAlign w:val="center"/>
          </w:tcPr>
          <w:p w14:paraId="0AD9AFEA" w14:textId="77777777" w:rsidR="00F56C38" w:rsidRPr="004306A0" w:rsidRDefault="00163AF0">
            <w:pPr>
              <w:spacing w:after="0" w:line="240" w:lineRule="auto"/>
              <w:jc w:val="center"/>
              <w:rPr>
                <w:rFonts w:cs="Times New Roman"/>
                <w:szCs w:val="24"/>
              </w:rPr>
            </w:pPr>
            <w:r w:rsidRPr="004306A0">
              <w:rPr>
                <w:rFonts w:cs="Times New Roman"/>
                <w:szCs w:val="24"/>
              </w:rPr>
              <w:t>7.40</w:t>
            </w:r>
          </w:p>
        </w:tc>
      </w:tr>
      <w:tr w:rsidR="00F56C38" w:rsidRPr="004306A0" w14:paraId="24778EA1" w14:textId="77777777" w:rsidTr="00DB3D53">
        <w:trPr>
          <w:trHeight w:val="366"/>
          <w:jc w:val="center"/>
        </w:trPr>
        <w:tc>
          <w:tcPr>
            <w:tcW w:w="4983" w:type="dxa"/>
            <w:vAlign w:val="center"/>
          </w:tcPr>
          <w:p w14:paraId="6052AED6" w14:textId="77777777" w:rsidR="00F56C38" w:rsidRPr="004306A0" w:rsidRDefault="00163AF0">
            <w:pPr>
              <w:spacing w:after="0" w:line="240" w:lineRule="auto"/>
              <w:jc w:val="center"/>
              <w:rPr>
                <w:rFonts w:cs="Times New Roman"/>
                <w:szCs w:val="24"/>
              </w:rPr>
            </w:pPr>
            <w:r w:rsidRPr="004306A0">
              <w:rPr>
                <w:rFonts w:cs="Times New Roman"/>
                <w:szCs w:val="24"/>
              </w:rPr>
              <w:t>Maximum total PAHs</w:t>
            </w:r>
          </w:p>
        </w:tc>
        <w:tc>
          <w:tcPr>
            <w:tcW w:w="4983" w:type="dxa"/>
            <w:vAlign w:val="center"/>
          </w:tcPr>
          <w:p w14:paraId="5F0A2D45" w14:textId="77777777" w:rsidR="00F56C38" w:rsidRPr="004306A0" w:rsidRDefault="00163AF0">
            <w:pPr>
              <w:spacing w:after="0" w:line="240" w:lineRule="auto"/>
              <w:jc w:val="center"/>
              <w:rPr>
                <w:rFonts w:cs="Times New Roman"/>
                <w:szCs w:val="24"/>
              </w:rPr>
            </w:pPr>
            <w:r w:rsidRPr="004306A0">
              <w:rPr>
                <w:rFonts w:cs="Times New Roman"/>
                <w:szCs w:val="24"/>
              </w:rPr>
              <w:t>30.55</w:t>
            </w:r>
          </w:p>
        </w:tc>
      </w:tr>
      <w:tr w:rsidR="00F56C38" w:rsidRPr="004306A0" w14:paraId="4A3FE9E8" w14:textId="77777777" w:rsidTr="00DB3D53">
        <w:trPr>
          <w:trHeight w:val="353"/>
          <w:jc w:val="center"/>
        </w:trPr>
        <w:tc>
          <w:tcPr>
            <w:tcW w:w="4983" w:type="dxa"/>
            <w:vAlign w:val="center"/>
          </w:tcPr>
          <w:p w14:paraId="19A772CF" w14:textId="77777777" w:rsidR="00F56C38" w:rsidRPr="004306A0" w:rsidRDefault="00163AF0">
            <w:pPr>
              <w:spacing w:after="0" w:line="240" w:lineRule="auto"/>
              <w:jc w:val="center"/>
              <w:rPr>
                <w:rFonts w:cs="Times New Roman"/>
                <w:szCs w:val="24"/>
              </w:rPr>
            </w:pPr>
            <w:r w:rsidRPr="004306A0">
              <w:rPr>
                <w:rFonts w:cs="Times New Roman"/>
                <w:szCs w:val="24"/>
              </w:rPr>
              <w:t>Overall mean total PAHs</w:t>
            </w:r>
          </w:p>
        </w:tc>
        <w:tc>
          <w:tcPr>
            <w:tcW w:w="4983" w:type="dxa"/>
            <w:vAlign w:val="center"/>
          </w:tcPr>
          <w:p w14:paraId="47EC2B24" w14:textId="77777777" w:rsidR="00F56C38" w:rsidRPr="004306A0" w:rsidRDefault="00163AF0">
            <w:pPr>
              <w:spacing w:after="0" w:line="240" w:lineRule="auto"/>
              <w:jc w:val="center"/>
              <w:rPr>
                <w:rFonts w:cs="Times New Roman"/>
                <w:szCs w:val="24"/>
              </w:rPr>
            </w:pPr>
            <w:r w:rsidRPr="004306A0">
              <w:rPr>
                <w:rFonts w:cs="Times New Roman"/>
                <w:szCs w:val="24"/>
              </w:rPr>
              <w:t>14.53</w:t>
            </w:r>
          </w:p>
        </w:tc>
      </w:tr>
      <w:tr w:rsidR="00F56C38" w:rsidRPr="004306A0" w14:paraId="2B2F49A2" w14:textId="77777777" w:rsidTr="00DB3D53">
        <w:trPr>
          <w:trHeight w:val="366"/>
          <w:jc w:val="center"/>
        </w:trPr>
        <w:tc>
          <w:tcPr>
            <w:tcW w:w="4983" w:type="dxa"/>
            <w:vAlign w:val="center"/>
          </w:tcPr>
          <w:p w14:paraId="10FD3D5B" w14:textId="77777777" w:rsidR="00F56C38" w:rsidRPr="004306A0" w:rsidRDefault="00163AF0">
            <w:pPr>
              <w:spacing w:after="0" w:line="240" w:lineRule="auto"/>
              <w:jc w:val="center"/>
              <w:rPr>
                <w:rFonts w:cs="Times New Roman"/>
                <w:szCs w:val="24"/>
              </w:rPr>
            </w:pPr>
            <w:r w:rsidRPr="004306A0">
              <w:rPr>
                <w:rFonts w:cs="Times New Roman"/>
                <w:szCs w:val="24"/>
              </w:rPr>
              <w:t>Mean: dry season</w:t>
            </w:r>
          </w:p>
        </w:tc>
        <w:tc>
          <w:tcPr>
            <w:tcW w:w="4983" w:type="dxa"/>
            <w:vAlign w:val="center"/>
          </w:tcPr>
          <w:p w14:paraId="5E2777E4" w14:textId="77777777" w:rsidR="00F56C38" w:rsidRPr="004306A0" w:rsidRDefault="00163AF0">
            <w:pPr>
              <w:spacing w:after="0" w:line="240" w:lineRule="auto"/>
              <w:jc w:val="center"/>
              <w:rPr>
                <w:rFonts w:cs="Times New Roman"/>
                <w:szCs w:val="24"/>
              </w:rPr>
            </w:pPr>
            <w:r w:rsidRPr="004306A0">
              <w:rPr>
                <w:rFonts w:cs="Times New Roman"/>
                <w:szCs w:val="24"/>
              </w:rPr>
              <w:t>18.18</w:t>
            </w:r>
          </w:p>
        </w:tc>
      </w:tr>
      <w:tr w:rsidR="00F56C38" w:rsidRPr="004306A0" w14:paraId="4C6DBCE8" w14:textId="77777777" w:rsidTr="00DB3D53">
        <w:trPr>
          <w:trHeight w:val="366"/>
          <w:jc w:val="center"/>
        </w:trPr>
        <w:tc>
          <w:tcPr>
            <w:tcW w:w="4983" w:type="dxa"/>
            <w:vAlign w:val="center"/>
          </w:tcPr>
          <w:p w14:paraId="5028A398" w14:textId="77777777" w:rsidR="00F56C38" w:rsidRPr="004306A0" w:rsidRDefault="00163AF0">
            <w:pPr>
              <w:spacing w:after="0" w:line="240" w:lineRule="auto"/>
              <w:jc w:val="center"/>
              <w:rPr>
                <w:rFonts w:cs="Times New Roman"/>
                <w:szCs w:val="24"/>
              </w:rPr>
            </w:pPr>
            <w:r w:rsidRPr="004306A0">
              <w:rPr>
                <w:rFonts w:cs="Times New Roman"/>
                <w:szCs w:val="24"/>
              </w:rPr>
              <w:t>Mean: wet season</w:t>
            </w:r>
          </w:p>
        </w:tc>
        <w:tc>
          <w:tcPr>
            <w:tcW w:w="4983" w:type="dxa"/>
            <w:vAlign w:val="center"/>
          </w:tcPr>
          <w:p w14:paraId="4218CC98" w14:textId="77777777" w:rsidR="00F56C38" w:rsidRPr="004306A0" w:rsidRDefault="00163AF0">
            <w:pPr>
              <w:spacing w:after="0" w:line="240" w:lineRule="auto"/>
              <w:jc w:val="center"/>
              <w:rPr>
                <w:rFonts w:cs="Times New Roman"/>
                <w:szCs w:val="24"/>
              </w:rPr>
            </w:pPr>
            <w:r w:rsidRPr="004306A0">
              <w:rPr>
                <w:rFonts w:cs="Times New Roman"/>
                <w:szCs w:val="24"/>
              </w:rPr>
              <w:t>10.88</w:t>
            </w:r>
          </w:p>
        </w:tc>
      </w:tr>
      <w:tr w:rsidR="00F56C38" w:rsidRPr="004306A0" w14:paraId="10CA047E" w14:textId="77777777" w:rsidTr="00DB3D53">
        <w:trPr>
          <w:trHeight w:val="353"/>
          <w:jc w:val="center"/>
        </w:trPr>
        <w:tc>
          <w:tcPr>
            <w:tcW w:w="4983" w:type="dxa"/>
            <w:vAlign w:val="center"/>
          </w:tcPr>
          <w:p w14:paraId="28F4FA62" w14:textId="77777777" w:rsidR="00F56C38" w:rsidRPr="004306A0" w:rsidRDefault="00163AF0">
            <w:pPr>
              <w:spacing w:after="0" w:line="240" w:lineRule="auto"/>
              <w:jc w:val="center"/>
              <w:rPr>
                <w:rFonts w:cs="Times New Roman"/>
                <w:szCs w:val="24"/>
              </w:rPr>
            </w:pPr>
            <w:r w:rsidRPr="004306A0">
              <w:rPr>
                <w:rFonts w:cs="Times New Roman"/>
                <w:szCs w:val="24"/>
              </w:rPr>
              <w:t>Mean: indoor</w:t>
            </w:r>
          </w:p>
        </w:tc>
        <w:tc>
          <w:tcPr>
            <w:tcW w:w="4983" w:type="dxa"/>
            <w:vAlign w:val="center"/>
          </w:tcPr>
          <w:p w14:paraId="59363CDE" w14:textId="77777777" w:rsidR="00F56C38" w:rsidRPr="004306A0" w:rsidRDefault="00163AF0">
            <w:pPr>
              <w:spacing w:after="0" w:line="240" w:lineRule="auto"/>
              <w:jc w:val="center"/>
              <w:rPr>
                <w:rFonts w:cs="Times New Roman"/>
                <w:szCs w:val="24"/>
              </w:rPr>
            </w:pPr>
            <w:r w:rsidRPr="004306A0">
              <w:rPr>
                <w:rFonts w:cs="Times New Roman"/>
                <w:szCs w:val="24"/>
              </w:rPr>
              <w:t>13.32</w:t>
            </w:r>
          </w:p>
        </w:tc>
      </w:tr>
      <w:tr w:rsidR="00F56C38" w:rsidRPr="004306A0" w14:paraId="02C82E68" w14:textId="77777777" w:rsidTr="00DB3D53">
        <w:trPr>
          <w:trHeight w:val="366"/>
          <w:jc w:val="center"/>
        </w:trPr>
        <w:tc>
          <w:tcPr>
            <w:tcW w:w="4983" w:type="dxa"/>
            <w:vAlign w:val="center"/>
          </w:tcPr>
          <w:p w14:paraId="311B0235" w14:textId="77777777" w:rsidR="00F56C38" w:rsidRPr="004306A0" w:rsidRDefault="00163AF0">
            <w:pPr>
              <w:spacing w:after="0" w:line="240" w:lineRule="auto"/>
              <w:jc w:val="center"/>
              <w:rPr>
                <w:rFonts w:cs="Times New Roman"/>
                <w:szCs w:val="24"/>
              </w:rPr>
            </w:pPr>
            <w:r w:rsidRPr="004306A0">
              <w:rPr>
                <w:rFonts w:cs="Times New Roman"/>
                <w:szCs w:val="24"/>
              </w:rPr>
              <w:t>Mean: outdoor</w:t>
            </w:r>
          </w:p>
        </w:tc>
        <w:tc>
          <w:tcPr>
            <w:tcW w:w="4983" w:type="dxa"/>
            <w:vAlign w:val="center"/>
          </w:tcPr>
          <w:p w14:paraId="74307A13" w14:textId="77777777" w:rsidR="00F56C38" w:rsidRPr="004306A0" w:rsidRDefault="00163AF0">
            <w:pPr>
              <w:spacing w:after="0" w:line="240" w:lineRule="auto"/>
              <w:jc w:val="center"/>
              <w:rPr>
                <w:rFonts w:cs="Times New Roman"/>
                <w:szCs w:val="24"/>
              </w:rPr>
            </w:pPr>
            <w:r w:rsidRPr="004306A0">
              <w:rPr>
                <w:rFonts w:cs="Times New Roman"/>
                <w:szCs w:val="24"/>
              </w:rPr>
              <w:t>15.75</w:t>
            </w:r>
          </w:p>
        </w:tc>
      </w:tr>
    </w:tbl>
    <w:p w14:paraId="54A8F6DD" w14:textId="77777777" w:rsidR="00DB3D53" w:rsidRPr="004306A0" w:rsidRDefault="00DB3D53">
      <w:pPr>
        <w:jc w:val="both"/>
        <w:rPr>
          <w:rFonts w:cs="Times New Roman"/>
          <w:szCs w:val="24"/>
        </w:rPr>
      </w:pPr>
    </w:p>
    <w:p w14:paraId="71136722" w14:textId="77777777" w:rsidR="00DB3D53" w:rsidRPr="004306A0" w:rsidRDefault="00DB3D53">
      <w:pPr>
        <w:jc w:val="both"/>
        <w:rPr>
          <w:rFonts w:cs="Times New Roman"/>
          <w:b/>
          <w:bCs/>
          <w:szCs w:val="24"/>
        </w:rPr>
      </w:pPr>
      <w:r w:rsidRPr="004306A0">
        <w:rPr>
          <w:rFonts w:cs="Times New Roman"/>
          <w:b/>
          <w:bCs/>
          <w:szCs w:val="24"/>
        </w:rPr>
        <w:t>Congener profile and relative contribution</w:t>
      </w:r>
    </w:p>
    <w:p w14:paraId="106874F2" w14:textId="77777777" w:rsidR="00F56C38" w:rsidRPr="004306A0" w:rsidRDefault="00163AF0" w:rsidP="00DB3D53">
      <w:pPr>
        <w:spacing w:line="480" w:lineRule="auto"/>
        <w:contextualSpacing/>
        <w:jc w:val="both"/>
        <w:rPr>
          <w:rFonts w:cs="Times New Roman"/>
          <w:szCs w:val="24"/>
        </w:rPr>
      </w:pPr>
      <w:r w:rsidRPr="004306A0">
        <w:t>The pooled congener pattern is summarised in Table 9. Anthracene had the largest pooled concentration (36.15 µg/m³), followed by pyrene (33.50 µg/m³), benzo(k)fluoranthene (20.05 µg/m³), naphthalene (20.00 µg/m³), fluorene (15.80 µg/m³) and phenanthrene (14.40 µg/m³). These compounds accounted for a major share of the total PAH burden and therefore deserve priority attention in routine monitoring.</w:t>
      </w:r>
    </w:p>
    <w:p w14:paraId="125B297B" w14:textId="77777777" w:rsidR="00F56C38" w:rsidRPr="004306A0" w:rsidRDefault="00163AF0" w:rsidP="00DB3D53">
      <w:pPr>
        <w:spacing w:line="480" w:lineRule="auto"/>
        <w:contextualSpacing/>
        <w:jc w:val="both"/>
        <w:rPr>
          <w:rFonts w:cs="Times New Roman"/>
          <w:szCs w:val="24"/>
        </w:rPr>
      </w:pPr>
      <w:r w:rsidRPr="004306A0">
        <w:lastRenderedPageBreak/>
        <w:t>The dominance of anthracene and pyrene indicates that mid-molecular-weight PAHs were important in the dataset. Naphthalene and fluorene also contributed substantially, reflecting the presence of lower-molecular-weight PAHs that are relatively more volatile. Benzo(k)fluoranthene contributed strongly even though it is a higher-molecular-weight congener, and this is important because carcinogenic-risk estimates are influenced not only by concentration but also by toxicological potency.</w:t>
      </w:r>
    </w:p>
    <w:p w14:paraId="4E5304B0" w14:textId="77777777" w:rsidR="00F56C38" w:rsidRPr="004306A0" w:rsidRDefault="00163AF0" w:rsidP="00DB3D53">
      <w:pPr>
        <w:spacing w:line="480" w:lineRule="auto"/>
        <w:contextualSpacing/>
        <w:jc w:val="both"/>
        <w:rPr>
          <w:rFonts w:cs="Times New Roman"/>
          <w:szCs w:val="24"/>
        </w:rPr>
      </w:pPr>
      <w:r w:rsidRPr="004306A0">
        <w:t>Benzo(a)pyrene, indeno(1,2,3-</w:t>
      </w:r>
      <w:proofErr w:type="gramStart"/>
      <w:r w:rsidRPr="004306A0">
        <w:t>cd)pyrene</w:t>
      </w:r>
      <w:proofErr w:type="gramEnd"/>
      <w:r w:rsidRPr="004306A0">
        <w:t>, dibenz(</w:t>
      </w:r>
      <w:proofErr w:type="gramStart"/>
      <w:r w:rsidRPr="004306A0">
        <w:t>a,h</w:t>
      </w:r>
      <w:proofErr w:type="gramEnd"/>
      <w:r w:rsidRPr="004306A0">
        <w:t>)anthracene and benzo(</w:t>
      </w:r>
      <w:proofErr w:type="gramStart"/>
      <w:r w:rsidRPr="004306A0">
        <w:t>g,h</w:t>
      </w:r>
      <w:proofErr w:type="gramEnd"/>
      <w:r w:rsidRPr="004306A0">
        <w:t>,</w:t>
      </w:r>
      <w:proofErr w:type="gramStart"/>
      <w:r w:rsidRPr="004306A0">
        <w:t>i)perylene</w:t>
      </w:r>
      <w:proofErr w:type="gramEnd"/>
      <w:r w:rsidRPr="004306A0">
        <w:t xml:space="preserve"> were below the detection limit in the concentration summary table for the three-community manuscript subset. Reporting these values as &lt; LOD is more scientifically appropriate than reporting them as zeros, because a non-detect does not necessarily mean complete absence. It may indicate that concentrations were below the analytical detection capability under the sampling and extraction conditions used. Where such compounds are important for carcinogenic-risk interpretation, future work may benefit from wider sampling coverage and strengthened analytical sensitivity (USEPA, 2018).</w:t>
      </w:r>
    </w:p>
    <w:p w14:paraId="61E7A5D5" w14:textId="77777777" w:rsidR="00F56C38" w:rsidRPr="004306A0" w:rsidRDefault="00163AF0" w:rsidP="00DB3D53">
      <w:pPr>
        <w:spacing w:line="480" w:lineRule="auto"/>
        <w:contextualSpacing/>
        <w:jc w:val="both"/>
        <w:rPr>
          <w:rFonts w:cs="Times New Roman"/>
          <w:szCs w:val="24"/>
        </w:rPr>
      </w:pPr>
      <w:r w:rsidRPr="004306A0">
        <w:rPr>
          <w:rFonts w:cs="Times New Roman"/>
          <w:szCs w:val="24"/>
        </w:rPr>
        <w:t>The congener distribution should therefore be interpreted as compositional evidence of PAH occurrence rather than as a quantitative allocation of contributions from individual activities. The measured pattern is useful for identifying dominant congeners and priority conditions, while broader environmental information is required for more detailed emission-control planning.</w:t>
      </w:r>
    </w:p>
    <w:p w14:paraId="0ED1CAAD" w14:textId="77777777" w:rsidR="00DB3D53" w:rsidRPr="004306A0" w:rsidRDefault="00DB3D53">
      <w:pPr>
        <w:pStyle w:val="Caption"/>
        <w:rPr>
          <w:rFonts w:cs="Times New Roman"/>
          <w:sz w:val="24"/>
          <w:szCs w:val="24"/>
        </w:rPr>
      </w:pPr>
    </w:p>
    <w:p w14:paraId="215910B6" w14:textId="77777777" w:rsidR="00DB3D53" w:rsidRPr="004306A0" w:rsidRDefault="00DB3D53">
      <w:pPr>
        <w:pStyle w:val="Caption"/>
        <w:rPr>
          <w:rFonts w:cs="Times New Roman"/>
          <w:sz w:val="24"/>
          <w:szCs w:val="24"/>
        </w:rPr>
      </w:pPr>
    </w:p>
    <w:p w14:paraId="70E2E2FE" w14:textId="77777777" w:rsidR="00DB3D53" w:rsidRPr="004306A0" w:rsidRDefault="00DB3D53">
      <w:pPr>
        <w:pStyle w:val="Caption"/>
        <w:rPr>
          <w:rFonts w:cs="Times New Roman"/>
          <w:sz w:val="24"/>
          <w:szCs w:val="24"/>
        </w:rPr>
      </w:pPr>
    </w:p>
    <w:p w14:paraId="4B2B120C" w14:textId="77777777" w:rsidR="00DB3D53" w:rsidRPr="004306A0" w:rsidRDefault="00DB3D53">
      <w:pPr>
        <w:pStyle w:val="Caption"/>
        <w:rPr>
          <w:rFonts w:cs="Times New Roman"/>
          <w:sz w:val="24"/>
          <w:szCs w:val="24"/>
        </w:rPr>
      </w:pPr>
    </w:p>
    <w:p w14:paraId="4E60463A" w14:textId="77777777" w:rsidR="00DB3D53" w:rsidRPr="004306A0" w:rsidRDefault="00DB3D53">
      <w:pPr>
        <w:pStyle w:val="Caption"/>
        <w:rPr>
          <w:rFonts w:cs="Times New Roman"/>
          <w:sz w:val="24"/>
          <w:szCs w:val="24"/>
        </w:rPr>
      </w:pPr>
    </w:p>
    <w:p w14:paraId="5E73002D" w14:textId="77777777" w:rsidR="00DB3D53" w:rsidRPr="004306A0" w:rsidRDefault="00DB3D53">
      <w:pPr>
        <w:pStyle w:val="Caption"/>
        <w:rPr>
          <w:rFonts w:cs="Times New Roman"/>
          <w:sz w:val="24"/>
          <w:szCs w:val="24"/>
        </w:rPr>
      </w:pPr>
    </w:p>
    <w:p w14:paraId="7CDAA7C5" w14:textId="77777777" w:rsidR="00DB3D53" w:rsidRPr="004306A0" w:rsidRDefault="00DB3D53">
      <w:pPr>
        <w:pStyle w:val="Caption"/>
        <w:rPr>
          <w:rFonts w:cs="Times New Roman"/>
          <w:sz w:val="24"/>
          <w:szCs w:val="24"/>
        </w:rPr>
      </w:pPr>
    </w:p>
    <w:p w14:paraId="6B632035" w14:textId="77777777" w:rsidR="00F56C38" w:rsidRPr="004306A0" w:rsidRDefault="00163AF0">
      <w:pPr>
        <w:pStyle w:val="Caption"/>
        <w:rPr>
          <w:rFonts w:cs="Times New Roman"/>
          <w:i w:val="0"/>
          <w:iCs/>
          <w:color w:val="auto"/>
          <w:sz w:val="24"/>
          <w:szCs w:val="24"/>
        </w:rPr>
      </w:pPr>
      <w:r w:rsidRPr="004306A0">
        <w:rPr>
          <w:rFonts w:cs="Times New Roman"/>
          <w:i w:val="0"/>
          <w:iCs/>
          <w:color w:val="auto"/>
          <w:sz w:val="24"/>
          <w:szCs w:val="24"/>
        </w:rPr>
        <w:lastRenderedPageBreak/>
        <w:t>Table 9. Ten highest pooled PAH congeners across the 12 air conditions (µg/m³)</w:t>
      </w:r>
    </w:p>
    <w:tbl>
      <w:tblPr>
        <w:tblW w:w="9946" w:type="dxa"/>
        <w:jc w:val="center"/>
        <w:tblBorders>
          <w:top w:val="single" w:sz="4" w:space="0" w:color="auto"/>
          <w:bottom w:val="single" w:sz="4" w:space="0" w:color="auto"/>
        </w:tblBorders>
        <w:tblLayout w:type="fixed"/>
        <w:tblLook w:val="04A0" w:firstRow="1" w:lastRow="0" w:firstColumn="1" w:lastColumn="0" w:noHBand="0" w:noVBand="1"/>
      </w:tblPr>
      <w:tblGrid>
        <w:gridCol w:w="4973"/>
        <w:gridCol w:w="4973"/>
      </w:tblGrid>
      <w:tr w:rsidR="00F56C38" w:rsidRPr="004306A0" w14:paraId="5F448E49" w14:textId="77777777" w:rsidTr="00DB3D53">
        <w:trPr>
          <w:trHeight w:val="319"/>
          <w:tblHeader/>
          <w:jc w:val="center"/>
        </w:trPr>
        <w:tc>
          <w:tcPr>
            <w:tcW w:w="4973" w:type="dxa"/>
            <w:tcBorders>
              <w:top w:val="single" w:sz="4" w:space="0" w:color="auto"/>
              <w:bottom w:val="single" w:sz="4" w:space="0" w:color="auto"/>
            </w:tcBorders>
            <w:vAlign w:val="center"/>
          </w:tcPr>
          <w:p w14:paraId="54D783F8" w14:textId="77777777" w:rsidR="00F56C38" w:rsidRPr="004306A0" w:rsidRDefault="00163AF0">
            <w:pPr>
              <w:spacing w:after="0" w:line="240" w:lineRule="auto"/>
              <w:jc w:val="center"/>
              <w:rPr>
                <w:rFonts w:cs="Times New Roman"/>
                <w:b/>
                <w:szCs w:val="24"/>
              </w:rPr>
            </w:pPr>
            <w:r w:rsidRPr="004306A0">
              <w:rPr>
                <w:rFonts w:cs="Times New Roman"/>
                <w:b/>
                <w:szCs w:val="24"/>
              </w:rPr>
              <w:t>PAH Component</w:t>
            </w:r>
          </w:p>
        </w:tc>
        <w:tc>
          <w:tcPr>
            <w:tcW w:w="4973" w:type="dxa"/>
            <w:tcBorders>
              <w:top w:val="single" w:sz="4" w:space="0" w:color="auto"/>
              <w:bottom w:val="single" w:sz="4" w:space="0" w:color="auto"/>
            </w:tcBorders>
            <w:vAlign w:val="center"/>
          </w:tcPr>
          <w:p w14:paraId="6AEE9E87" w14:textId="77777777" w:rsidR="00F56C38" w:rsidRPr="004306A0" w:rsidRDefault="00163AF0">
            <w:pPr>
              <w:spacing w:after="0" w:line="240" w:lineRule="auto"/>
              <w:jc w:val="center"/>
              <w:rPr>
                <w:rFonts w:cs="Times New Roman"/>
                <w:b/>
                <w:szCs w:val="24"/>
              </w:rPr>
            </w:pPr>
            <w:r w:rsidRPr="004306A0">
              <w:rPr>
                <w:rFonts w:cs="Times New Roman"/>
                <w:b/>
                <w:szCs w:val="24"/>
              </w:rPr>
              <w:t>Pooled concentration</w:t>
            </w:r>
          </w:p>
        </w:tc>
      </w:tr>
      <w:tr w:rsidR="00F56C38" w:rsidRPr="004306A0" w14:paraId="458C2A50" w14:textId="77777777" w:rsidTr="00DB3D53">
        <w:trPr>
          <w:trHeight w:val="307"/>
          <w:jc w:val="center"/>
        </w:trPr>
        <w:tc>
          <w:tcPr>
            <w:tcW w:w="4973" w:type="dxa"/>
            <w:tcBorders>
              <w:top w:val="single" w:sz="4" w:space="0" w:color="auto"/>
            </w:tcBorders>
            <w:vAlign w:val="center"/>
          </w:tcPr>
          <w:p w14:paraId="6413806D" w14:textId="77777777" w:rsidR="00F56C38" w:rsidRPr="004306A0" w:rsidRDefault="00163AF0">
            <w:pPr>
              <w:spacing w:after="0" w:line="240" w:lineRule="auto"/>
              <w:jc w:val="center"/>
              <w:rPr>
                <w:rFonts w:cs="Times New Roman"/>
                <w:szCs w:val="24"/>
              </w:rPr>
            </w:pPr>
            <w:r w:rsidRPr="004306A0">
              <w:rPr>
                <w:rFonts w:cs="Times New Roman"/>
                <w:szCs w:val="24"/>
              </w:rPr>
              <w:t>Anthracene</w:t>
            </w:r>
          </w:p>
        </w:tc>
        <w:tc>
          <w:tcPr>
            <w:tcW w:w="4973" w:type="dxa"/>
            <w:tcBorders>
              <w:top w:val="single" w:sz="4" w:space="0" w:color="auto"/>
            </w:tcBorders>
            <w:vAlign w:val="center"/>
          </w:tcPr>
          <w:p w14:paraId="5B32C3BE" w14:textId="77777777" w:rsidR="00F56C38" w:rsidRPr="004306A0" w:rsidRDefault="00163AF0">
            <w:pPr>
              <w:spacing w:after="0" w:line="240" w:lineRule="auto"/>
              <w:jc w:val="center"/>
              <w:rPr>
                <w:rFonts w:cs="Times New Roman"/>
                <w:szCs w:val="24"/>
              </w:rPr>
            </w:pPr>
            <w:r w:rsidRPr="004306A0">
              <w:rPr>
                <w:rFonts w:cs="Times New Roman"/>
                <w:szCs w:val="24"/>
              </w:rPr>
              <w:t>36.15</w:t>
            </w:r>
          </w:p>
        </w:tc>
      </w:tr>
      <w:tr w:rsidR="00F56C38" w:rsidRPr="004306A0" w14:paraId="238F9623" w14:textId="77777777" w:rsidTr="00DB3D53">
        <w:trPr>
          <w:trHeight w:val="319"/>
          <w:jc w:val="center"/>
        </w:trPr>
        <w:tc>
          <w:tcPr>
            <w:tcW w:w="4973" w:type="dxa"/>
            <w:vAlign w:val="center"/>
          </w:tcPr>
          <w:p w14:paraId="2D40142F" w14:textId="77777777" w:rsidR="00F56C38" w:rsidRPr="004306A0" w:rsidRDefault="00163AF0">
            <w:pPr>
              <w:spacing w:after="0" w:line="240" w:lineRule="auto"/>
              <w:jc w:val="center"/>
              <w:rPr>
                <w:rFonts w:cs="Times New Roman"/>
                <w:szCs w:val="24"/>
              </w:rPr>
            </w:pPr>
            <w:r w:rsidRPr="004306A0">
              <w:rPr>
                <w:rFonts w:cs="Times New Roman"/>
                <w:szCs w:val="24"/>
              </w:rPr>
              <w:t>Pyrene</w:t>
            </w:r>
          </w:p>
        </w:tc>
        <w:tc>
          <w:tcPr>
            <w:tcW w:w="4973" w:type="dxa"/>
            <w:vAlign w:val="center"/>
          </w:tcPr>
          <w:p w14:paraId="0E530FBE" w14:textId="77777777" w:rsidR="00F56C38" w:rsidRPr="004306A0" w:rsidRDefault="00163AF0">
            <w:pPr>
              <w:spacing w:after="0" w:line="240" w:lineRule="auto"/>
              <w:jc w:val="center"/>
              <w:rPr>
                <w:rFonts w:cs="Times New Roman"/>
                <w:szCs w:val="24"/>
              </w:rPr>
            </w:pPr>
            <w:r w:rsidRPr="004306A0">
              <w:rPr>
                <w:rFonts w:cs="Times New Roman"/>
                <w:szCs w:val="24"/>
              </w:rPr>
              <w:t>33.50</w:t>
            </w:r>
          </w:p>
        </w:tc>
      </w:tr>
      <w:tr w:rsidR="00F56C38" w:rsidRPr="004306A0" w14:paraId="16D42FC2" w14:textId="77777777" w:rsidTr="00DB3D53">
        <w:trPr>
          <w:trHeight w:val="307"/>
          <w:jc w:val="center"/>
        </w:trPr>
        <w:tc>
          <w:tcPr>
            <w:tcW w:w="4973" w:type="dxa"/>
            <w:vAlign w:val="center"/>
          </w:tcPr>
          <w:p w14:paraId="567F7356" w14:textId="77777777" w:rsidR="00F56C38" w:rsidRPr="004306A0" w:rsidRDefault="00163AF0">
            <w:pPr>
              <w:spacing w:after="0" w:line="240" w:lineRule="auto"/>
              <w:jc w:val="center"/>
              <w:rPr>
                <w:rFonts w:cs="Times New Roman"/>
                <w:szCs w:val="24"/>
              </w:rPr>
            </w:pPr>
            <w:r w:rsidRPr="004306A0">
              <w:rPr>
                <w:rFonts w:cs="Times New Roman"/>
                <w:szCs w:val="24"/>
              </w:rPr>
              <w:t>Benzo(k)fluoranthene</w:t>
            </w:r>
          </w:p>
        </w:tc>
        <w:tc>
          <w:tcPr>
            <w:tcW w:w="4973" w:type="dxa"/>
            <w:vAlign w:val="center"/>
          </w:tcPr>
          <w:p w14:paraId="7278940A" w14:textId="77777777" w:rsidR="00F56C38" w:rsidRPr="004306A0" w:rsidRDefault="00163AF0">
            <w:pPr>
              <w:spacing w:after="0" w:line="240" w:lineRule="auto"/>
              <w:jc w:val="center"/>
              <w:rPr>
                <w:rFonts w:cs="Times New Roman"/>
                <w:szCs w:val="24"/>
              </w:rPr>
            </w:pPr>
            <w:r w:rsidRPr="004306A0">
              <w:rPr>
                <w:rFonts w:cs="Times New Roman"/>
                <w:szCs w:val="24"/>
              </w:rPr>
              <w:t>20.05</w:t>
            </w:r>
          </w:p>
        </w:tc>
      </w:tr>
      <w:tr w:rsidR="00F56C38" w:rsidRPr="004306A0" w14:paraId="09163255" w14:textId="77777777" w:rsidTr="00DB3D53">
        <w:trPr>
          <w:trHeight w:val="319"/>
          <w:jc w:val="center"/>
        </w:trPr>
        <w:tc>
          <w:tcPr>
            <w:tcW w:w="4973" w:type="dxa"/>
            <w:vAlign w:val="center"/>
          </w:tcPr>
          <w:p w14:paraId="6538DD25" w14:textId="77777777" w:rsidR="00F56C38" w:rsidRPr="004306A0" w:rsidRDefault="00163AF0">
            <w:pPr>
              <w:spacing w:after="0" w:line="240" w:lineRule="auto"/>
              <w:jc w:val="center"/>
              <w:rPr>
                <w:rFonts w:cs="Times New Roman"/>
                <w:szCs w:val="24"/>
              </w:rPr>
            </w:pPr>
            <w:r w:rsidRPr="004306A0">
              <w:rPr>
                <w:rFonts w:cs="Times New Roman"/>
                <w:szCs w:val="24"/>
              </w:rPr>
              <w:t>Naphthalene</w:t>
            </w:r>
          </w:p>
        </w:tc>
        <w:tc>
          <w:tcPr>
            <w:tcW w:w="4973" w:type="dxa"/>
            <w:vAlign w:val="center"/>
          </w:tcPr>
          <w:p w14:paraId="5188D312" w14:textId="77777777" w:rsidR="00F56C38" w:rsidRPr="004306A0" w:rsidRDefault="00163AF0">
            <w:pPr>
              <w:spacing w:after="0" w:line="240" w:lineRule="auto"/>
              <w:jc w:val="center"/>
              <w:rPr>
                <w:rFonts w:cs="Times New Roman"/>
                <w:szCs w:val="24"/>
              </w:rPr>
            </w:pPr>
            <w:r w:rsidRPr="004306A0">
              <w:rPr>
                <w:rFonts w:cs="Times New Roman"/>
                <w:szCs w:val="24"/>
              </w:rPr>
              <w:t>20.00</w:t>
            </w:r>
          </w:p>
        </w:tc>
      </w:tr>
      <w:tr w:rsidR="00F56C38" w:rsidRPr="004306A0" w14:paraId="1286A1A9" w14:textId="77777777" w:rsidTr="00DB3D53">
        <w:trPr>
          <w:trHeight w:val="319"/>
          <w:jc w:val="center"/>
        </w:trPr>
        <w:tc>
          <w:tcPr>
            <w:tcW w:w="4973" w:type="dxa"/>
            <w:vAlign w:val="center"/>
          </w:tcPr>
          <w:p w14:paraId="3395A3B9" w14:textId="77777777" w:rsidR="00F56C38" w:rsidRPr="004306A0" w:rsidRDefault="00163AF0">
            <w:pPr>
              <w:spacing w:after="0" w:line="240" w:lineRule="auto"/>
              <w:jc w:val="center"/>
              <w:rPr>
                <w:rFonts w:cs="Times New Roman"/>
                <w:szCs w:val="24"/>
              </w:rPr>
            </w:pPr>
            <w:r w:rsidRPr="004306A0">
              <w:rPr>
                <w:rFonts w:cs="Times New Roman"/>
                <w:szCs w:val="24"/>
              </w:rPr>
              <w:t>Fluorene</w:t>
            </w:r>
          </w:p>
        </w:tc>
        <w:tc>
          <w:tcPr>
            <w:tcW w:w="4973" w:type="dxa"/>
            <w:vAlign w:val="center"/>
          </w:tcPr>
          <w:p w14:paraId="0EB6B691" w14:textId="77777777" w:rsidR="00F56C38" w:rsidRPr="004306A0" w:rsidRDefault="00163AF0">
            <w:pPr>
              <w:spacing w:after="0" w:line="240" w:lineRule="auto"/>
              <w:jc w:val="center"/>
              <w:rPr>
                <w:rFonts w:cs="Times New Roman"/>
                <w:szCs w:val="24"/>
              </w:rPr>
            </w:pPr>
            <w:r w:rsidRPr="004306A0">
              <w:rPr>
                <w:rFonts w:cs="Times New Roman"/>
                <w:szCs w:val="24"/>
              </w:rPr>
              <w:t>15.80</w:t>
            </w:r>
          </w:p>
        </w:tc>
      </w:tr>
      <w:tr w:rsidR="00F56C38" w:rsidRPr="004306A0" w14:paraId="5AFF5A8E" w14:textId="77777777" w:rsidTr="00DB3D53">
        <w:trPr>
          <w:trHeight w:val="307"/>
          <w:jc w:val="center"/>
        </w:trPr>
        <w:tc>
          <w:tcPr>
            <w:tcW w:w="4973" w:type="dxa"/>
            <w:vAlign w:val="center"/>
          </w:tcPr>
          <w:p w14:paraId="51F480B9" w14:textId="77777777" w:rsidR="00F56C38" w:rsidRPr="004306A0" w:rsidRDefault="00163AF0">
            <w:pPr>
              <w:spacing w:after="0" w:line="240" w:lineRule="auto"/>
              <w:jc w:val="center"/>
              <w:rPr>
                <w:rFonts w:cs="Times New Roman"/>
                <w:szCs w:val="24"/>
              </w:rPr>
            </w:pPr>
            <w:r w:rsidRPr="004306A0">
              <w:rPr>
                <w:rFonts w:cs="Times New Roman"/>
                <w:szCs w:val="24"/>
              </w:rPr>
              <w:t>Phenanthrene</w:t>
            </w:r>
          </w:p>
        </w:tc>
        <w:tc>
          <w:tcPr>
            <w:tcW w:w="4973" w:type="dxa"/>
            <w:vAlign w:val="center"/>
          </w:tcPr>
          <w:p w14:paraId="2BFB191E" w14:textId="77777777" w:rsidR="00F56C38" w:rsidRPr="004306A0" w:rsidRDefault="00163AF0">
            <w:pPr>
              <w:spacing w:after="0" w:line="240" w:lineRule="auto"/>
              <w:jc w:val="center"/>
              <w:rPr>
                <w:rFonts w:cs="Times New Roman"/>
                <w:szCs w:val="24"/>
              </w:rPr>
            </w:pPr>
            <w:r w:rsidRPr="004306A0">
              <w:rPr>
                <w:rFonts w:cs="Times New Roman"/>
                <w:szCs w:val="24"/>
              </w:rPr>
              <w:t>14.40</w:t>
            </w:r>
          </w:p>
        </w:tc>
      </w:tr>
      <w:tr w:rsidR="00F56C38" w:rsidRPr="004306A0" w14:paraId="2D5CD463" w14:textId="77777777" w:rsidTr="00DB3D53">
        <w:trPr>
          <w:trHeight w:val="319"/>
          <w:jc w:val="center"/>
        </w:trPr>
        <w:tc>
          <w:tcPr>
            <w:tcW w:w="4973" w:type="dxa"/>
            <w:vAlign w:val="center"/>
          </w:tcPr>
          <w:p w14:paraId="1141DE71" w14:textId="77777777" w:rsidR="00F56C38" w:rsidRPr="004306A0" w:rsidRDefault="00163AF0">
            <w:pPr>
              <w:spacing w:after="0" w:line="240" w:lineRule="auto"/>
              <w:jc w:val="center"/>
              <w:rPr>
                <w:rFonts w:cs="Times New Roman"/>
                <w:szCs w:val="24"/>
              </w:rPr>
            </w:pPr>
            <w:r w:rsidRPr="004306A0">
              <w:rPr>
                <w:rFonts w:cs="Times New Roman"/>
                <w:szCs w:val="24"/>
              </w:rPr>
              <w:t>Acenaphthylene</w:t>
            </w:r>
          </w:p>
        </w:tc>
        <w:tc>
          <w:tcPr>
            <w:tcW w:w="4973" w:type="dxa"/>
            <w:vAlign w:val="center"/>
          </w:tcPr>
          <w:p w14:paraId="26FF5B43" w14:textId="77777777" w:rsidR="00F56C38" w:rsidRPr="004306A0" w:rsidRDefault="00163AF0">
            <w:pPr>
              <w:spacing w:after="0" w:line="240" w:lineRule="auto"/>
              <w:jc w:val="center"/>
              <w:rPr>
                <w:rFonts w:cs="Times New Roman"/>
                <w:szCs w:val="24"/>
              </w:rPr>
            </w:pPr>
            <w:r w:rsidRPr="004306A0">
              <w:rPr>
                <w:rFonts w:cs="Times New Roman"/>
                <w:szCs w:val="24"/>
              </w:rPr>
              <w:t>13.90</w:t>
            </w:r>
          </w:p>
        </w:tc>
      </w:tr>
      <w:tr w:rsidR="00F56C38" w:rsidRPr="004306A0" w14:paraId="225F282A" w14:textId="77777777" w:rsidTr="00DB3D53">
        <w:trPr>
          <w:trHeight w:val="307"/>
          <w:jc w:val="center"/>
        </w:trPr>
        <w:tc>
          <w:tcPr>
            <w:tcW w:w="4973" w:type="dxa"/>
            <w:vAlign w:val="center"/>
          </w:tcPr>
          <w:p w14:paraId="5D4C9289" w14:textId="77777777" w:rsidR="00F56C38" w:rsidRPr="004306A0" w:rsidRDefault="00163AF0">
            <w:pPr>
              <w:spacing w:after="0" w:line="240" w:lineRule="auto"/>
              <w:jc w:val="center"/>
              <w:rPr>
                <w:rFonts w:cs="Times New Roman"/>
                <w:szCs w:val="24"/>
              </w:rPr>
            </w:pPr>
            <w:r w:rsidRPr="004306A0">
              <w:rPr>
                <w:rFonts w:cs="Times New Roman"/>
                <w:szCs w:val="24"/>
              </w:rPr>
              <w:t>Fluoranthene</w:t>
            </w:r>
          </w:p>
        </w:tc>
        <w:tc>
          <w:tcPr>
            <w:tcW w:w="4973" w:type="dxa"/>
            <w:vAlign w:val="center"/>
          </w:tcPr>
          <w:p w14:paraId="5D9E70ED" w14:textId="77777777" w:rsidR="00F56C38" w:rsidRPr="004306A0" w:rsidRDefault="00163AF0">
            <w:pPr>
              <w:spacing w:after="0" w:line="240" w:lineRule="auto"/>
              <w:jc w:val="center"/>
              <w:rPr>
                <w:rFonts w:cs="Times New Roman"/>
                <w:szCs w:val="24"/>
              </w:rPr>
            </w:pPr>
            <w:r w:rsidRPr="004306A0">
              <w:rPr>
                <w:rFonts w:cs="Times New Roman"/>
                <w:szCs w:val="24"/>
              </w:rPr>
              <w:t>9.50</w:t>
            </w:r>
          </w:p>
        </w:tc>
      </w:tr>
      <w:tr w:rsidR="00F56C38" w:rsidRPr="004306A0" w14:paraId="0411A843" w14:textId="77777777" w:rsidTr="00DB3D53">
        <w:trPr>
          <w:trHeight w:val="319"/>
          <w:jc w:val="center"/>
        </w:trPr>
        <w:tc>
          <w:tcPr>
            <w:tcW w:w="4973" w:type="dxa"/>
            <w:vAlign w:val="center"/>
          </w:tcPr>
          <w:p w14:paraId="37949499" w14:textId="77777777" w:rsidR="00F56C38" w:rsidRPr="004306A0" w:rsidRDefault="00163AF0">
            <w:pPr>
              <w:spacing w:after="0" w:line="240" w:lineRule="auto"/>
              <w:jc w:val="center"/>
              <w:rPr>
                <w:rFonts w:cs="Times New Roman"/>
                <w:szCs w:val="24"/>
              </w:rPr>
            </w:pPr>
            <w:r w:rsidRPr="004306A0">
              <w:rPr>
                <w:rFonts w:cs="Times New Roman"/>
                <w:szCs w:val="24"/>
              </w:rPr>
              <w:t>Acenaphthene</w:t>
            </w:r>
          </w:p>
        </w:tc>
        <w:tc>
          <w:tcPr>
            <w:tcW w:w="4973" w:type="dxa"/>
            <w:vAlign w:val="center"/>
          </w:tcPr>
          <w:p w14:paraId="5A15740B" w14:textId="77777777" w:rsidR="00F56C38" w:rsidRPr="004306A0" w:rsidRDefault="00163AF0">
            <w:pPr>
              <w:spacing w:after="0" w:line="240" w:lineRule="auto"/>
              <w:jc w:val="center"/>
              <w:rPr>
                <w:rFonts w:cs="Times New Roman"/>
                <w:szCs w:val="24"/>
              </w:rPr>
            </w:pPr>
            <w:r w:rsidRPr="004306A0">
              <w:rPr>
                <w:rFonts w:cs="Times New Roman"/>
                <w:szCs w:val="24"/>
              </w:rPr>
              <w:t>3.75</w:t>
            </w:r>
          </w:p>
        </w:tc>
      </w:tr>
      <w:tr w:rsidR="00F56C38" w:rsidRPr="004306A0" w14:paraId="067D1ABF" w14:textId="77777777" w:rsidTr="00DB3D53">
        <w:trPr>
          <w:trHeight w:val="319"/>
          <w:jc w:val="center"/>
        </w:trPr>
        <w:tc>
          <w:tcPr>
            <w:tcW w:w="4973" w:type="dxa"/>
            <w:vAlign w:val="center"/>
          </w:tcPr>
          <w:p w14:paraId="3470B2C9" w14:textId="77777777" w:rsidR="00F56C38" w:rsidRPr="004306A0" w:rsidRDefault="00163AF0">
            <w:pPr>
              <w:spacing w:after="0" w:line="240" w:lineRule="auto"/>
              <w:jc w:val="center"/>
              <w:rPr>
                <w:rFonts w:cs="Times New Roman"/>
                <w:szCs w:val="24"/>
              </w:rPr>
            </w:pPr>
            <w:r w:rsidRPr="004306A0">
              <w:rPr>
                <w:rFonts w:cs="Times New Roman"/>
                <w:szCs w:val="24"/>
              </w:rPr>
              <w:t>Benzo(a)anthracene</w:t>
            </w:r>
          </w:p>
        </w:tc>
        <w:tc>
          <w:tcPr>
            <w:tcW w:w="4973" w:type="dxa"/>
            <w:vAlign w:val="center"/>
          </w:tcPr>
          <w:p w14:paraId="62879572" w14:textId="77777777" w:rsidR="00F56C38" w:rsidRPr="004306A0" w:rsidRDefault="00163AF0">
            <w:pPr>
              <w:spacing w:after="0" w:line="240" w:lineRule="auto"/>
              <w:jc w:val="center"/>
              <w:rPr>
                <w:rFonts w:cs="Times New Roman"/>
                <w:szCs w:val="24"/>
              </w:rPr>
            </w:pPr>
            <w:r w:rsidRPr="004306A0">
              <w:rPr>
                <w:rFonts w:cs="Times New Roman"/>
                <w:szCs w:val="24"/>
              </w:rPr>
              <w:t>3.05</w:t>
            </w:r>
          </w:p>
        </w:tc>
      </w:tr>
    </w:tbl>
    <w:p w14:paraId="0877CD2F" w14:textId="77777777" w:rsidR="00DE227F" w:rsidRPr="004306A0" w:rsidRDefault="00DE227F">
      <w:pPr>
        <w:jc w:val="both"/>
        <w:rPr>
          <w:rFonts w:cs="Times New Roman"/>
          <w:szCs w:val="24"/>
        </w:rPr>
      </w:pPr>
    </w:p>
    <w:p w14:paraId="77073599" w14:textId="77777777" w:rsidR="00DE227F" w:rsidRPr="004306A0" w:rsidRDefault="00DE227F">
      <w:pPr>
        <w:jc w:val="both"/>
        <w:rPr>
          <w:rFonts w:cs="Times New Roman"/>
          <w:b/>
          <w:bCs/>
          <w:szCs w:val="24"/>
        </w:rPr>
      </w:pPr>
      <w:r w:rsidRPr="004306A0">
        <w:rPr>
          <w:rFonts w:cs="Times New Roman"/>
          <w:b/>
          <w:bCs/>
          <w:szCs w:val="24"/>
        </w:rPr>
        <w:t>Community-specific interpretation</w:t>
      </w:r>
    </w:p>
    <w:p w14:paraId="6AA03141" w14:textId="77777777" w:rsidR="00F56C38" w:rsidRPr="004306A0" w:rsidRDefault="00163AF0" w:rsidP="00DE227F">
      <w:pPr>
        <w:spacing w:line="480" w:lineRule="auto"/>
        <w:contextualSpacing/>
        <w:jc w:val="both"/>
        <w:rPr>
          <w:rFonts w:cs="Times New Roman"/>
          <w:szCs w:val="24"/>
        </w:rPr>
      </w:pPr>
      <w:r w:rsidRPr="004306A0">
        <w:t>Akpajo showed total PAH values of 16.65 µg/m³ (dry indoor), 13.60 µg/m³ (dry outdoor), 9.25 µg/m³ (wet indoor) and 7.70 µg/m³ (wet outdoor). The dry-season values were higher than the wet-season values, indicating seasonal enrichment. The dry indoor value exceeded the dry outdoor value in Akpajo, which may indicate indoor retention of outdoor particles, the influence of indoor activities, reduced ventilation or temporal differences in sampling conditions. Pyrene, benzo(k)fluoranthene, anthracene and acenaphthylene were important contributors in Akpajo.</w:t>
      </w:r>
    </w:p>
    <w:p w14:paraId="1E8E826D" w14:textId="77777777" w:rsidR="00F56C38" w:rsidRPr="004306A0" w:rsidRDefault="00163AF0" w:rsidP="00DE227F">
      <w:pPr>
        <w:spacing w:line="480" w:lineRule="auto"/>
        <w:contextualSpacing/>
        <w:jc w:val="both"/>
        <w:rPr>
          <w:rFonts w:cs="Times New Roman"/>
          <w:szCs w:val="24"/>
        </w:rPr>
      </w:pPr>
      <w:r w:rsidRPr="004306A0">
        <w:t>Alesa recorded lower total PAH values than Aleto and slightly lower mean total PAHs than Akpajo. Total PAHs were 12.20 µg/m³ in dry indoor air, 13.90 µg/m³ in dry outdoor air, 7.40 µg/m³ in wet indoor air and 8.05 µg/m³ in wet outdoor air. In contrast to Akpajo, outdoor values were slightly higher than indoor values in both seasons. This pattern suggests a stronger outdoor contribution during the monitoring periods, although the difference should be interpreted cautiously because the design reports condition-specific values rather than dense time-series measurements.</w:t>
      </w:r>
    </w:p>
    <w:p w14:paraId="5C2E5415" w14:textId="77777777" w:rsidR="00DE227F" w:rsidRPr="004306A0" w:rsidRDefault="00163AF0" w:rsidP="00DE227F">
      <w:pPr>
        <w:spacing w:line="480" w:lineRule="auto"/>
        <w:contextualSpacing/>
        <w:jc w:val="both"/>
        <w:rPr>
          <w:rFonts w:cs="Times New Roman"/>
          <w:szCs w:val="24"/>
        </w:rPr>
      </w:pPr>
      <w:r w:rsidRPr="004306A0">
        <w:t xml:space="preserve">Aleto had the highest total PAH concentrations. Total PAHs were 22.20 µg/m³ in dry indoor air, 30.55 µg/m³ in dry outdoor air, 12.20 µg/m³ in wet indoor air and 20.70 µg/m³ in wet outdoor air. </w:t>
      </w:r>
      <w:r w:rsidRPr="004306A0">
        <w:lastRenderedPageBreak/>
        <w:t>The outdoor values were higher than the indoor values in both seasons, and the dry outdoor condition was the highest single value in the entire dataset. Naphthalene, fluorene, phenanthrene and anthracene were particularly elevated in Aleto relative to Akpajo and Alesa, while pyrene was less dominant than in Akpajo and Alesa. These differences indicate that congener-specific profiles may provide more useful information than total PAHs alone.</w:t>
      </w:r>
    </w:p>
    <w:p w14:paraId="785C8437" w14:textId="77777777" w:rsidR="00F56C38" w:rsidRPr="004306A0" w:rsidRDefault="00163AF0" w:rsidP="00DE227F">
      <w:pPr>
        <w:spacing w:line="480" w:lineRule="auto"/>
        <w:contextualSpacing/>
        <w:jc w:val="both"/>
        <w:rPr>
          <w:rFonts w:cs="Times New Roman"/>
          <w:b/>
          <w:bCs/>
          <w:szCs w:val="24"/>
        </w:rPr>
      </w:pPr>
      <w:r w:rsidRPr="004306A0">
        <w:rPr>
          <w:rFonts w:cs="Times New Roman"/>
          <w:b/>
          <w:bCs/>
          <w:szCs w:val="24"/>
        </w:rPr>
        <w:t>Inhalation health-risk estimates</w:t>
      </w:r>
    </w:p>
    <w:p w14:paraId="104922FA" w14:textId="77777777" w:rsidR="00F56C38" w:rsidRPr="004306A0" w:rsidRDefault="00163AF0" w:rsidP="00DE227F">
      <w:pPr>
        <w:spacing w:line="480" w:lineRule="auto"/>
        <w:contextualSpacing/>
        <w:jc w:val="both"/>
        <w:rPr>
          <w:rFonts w:cs="Times New Roman"/>
          <w:szCs w:val="24"/>
        </w:rPr>
      </w:pPr>
      <w:r w:rsidRPr="004306A0">
        <w:t>The screening-level inhalation risk estimates are summarised in Table 10. The risk pattern generally followed the concentration pattern, but it was also influenced by which PAH congeners had assigned slope factors. Children recorded higher total LADD and ILCR than adults in every condition. This is expected in screening models where dose per unit body weight is greater for children under the exposure assumptions used.</w:t>
      </w:r>
    </w:p>
    <w:p w14:paraId="60CF80FF" w14:textId="77777777" w:rsidR="00F56C38" w:rsidRPr="004306A0" w:rsidRDefault="00163AF0" w:rsidP="00DE227F">
      <w:pPr>
        <w:spacing w:line="480" w:lineRule="auto"/>
        <w:contextualSpacing/>
        <w:jc w:val="both"/>
        <w:rPr>
          <w:rFonts w:cs="Times New Roman"/>
          <w:szCs w:val="24"/>
        </w:rPr>
      </w:pPr>
      <w:r w:rsidRPr="004306A0">
        <w:t>The highest child ILCR occurred in Aleto dry-season outdoor air (4.12E-04), followed by Alesa dry-season outdoor air (3.07E-04), Aleto wet-season outdoor air (2.93E-04), Alesa dry-season indoor air (2.45E-04) and Akpajo dry-season indoor air (1.78E-04). These values exceed the 1.00E-04 risk-screening benchmark commonly used to indicate potential concern in environmental risk assessment (USEPA, 1989, 2001). Adult ILCR values were lower than child values, but adult ILCR exceeded 1.00E-04 in Alesa dry-season outdoor air, Aleto dry-season outdoor air and Aleto wet-season outdoor air.</w:t>
      </w:r>
    </w:p>
    <w:p w14:paraId="1394AEF9" w14:textId="77777777" w:rsidR="00F56C38" w:rsidRPr="004306A0" w:rsidRDefault="00163AF0" w:rsidP="00DE227F">
      <w:pPr>
        <w:spacing w:line="480" w:lineRule="auto"/>
        <w:contextualSpacing/>
        <w:jc w:val="both"/>
        <w:rPr>
          <w:rFonts w:cs="Times New Roman"/>
          <w:szCs w:val="24"/>
        </w:rPr>
      </w:pPr>
      <w:r w:rsidRPr="004306A0">
        <w:t>The risk results indicate that outdoor dry-season exposure may be particularly important, especially in Aleto. However, risk estimates should be interpreted as screening indicators. They depend on default exposure assumptions, selected slope factors, concentration units, non-detect treatment and the exposure duration used. They do not represent measured disease occurrence. The results are most useful for identifying priority conditions for monitoring and exposure reduction.</w:t>
      </w:r>
    </w:p>
    <w:p w14:paraId="4A09555B" w14:textId="77777777" w:rsidR="00F56C38" w:rsidRPr="004306A0" w:rsidRDefault="00163AF0">
      <w:pPr>
        <w:pStyle w:val="Caption"/>
        <w:rPr>
          <w:rFonts w:cs="Times New Roman"/>
          <w:i w:val="0"/>
          <w:iCs/>
          <w:color w:val="auto"/>
          <w:szCs w:val="20"/>
        </w:rPr>
      </w:pPr>
      <w:r w:rsidRPr="004306A0">
        <w:rPr>
          <w:rFonts w:cs="Times New Roman"/>
          <w:i w:val="0"/>
          <w:iCs/>
          <w:color w:val="auto"/>
          <w:szCs w:val="20"/>
        </w:rPr>
        <w:lastRenderedPageBreak/>
        <w:t>Table 10. Summary of total PAHs and screening inhalation health</w:t>
      </w:r>
      <w:r w:rsidR="00DE227F" w:rsidRPr="004306A0">
        <w:rPr>
          <w:rFonts w:cs="Times New Roman"/>
          <w:i w:val="0"/>
          <w:iCs/>
          <w:color w:val="auto"/>
          <w:szCs w:val="20"/>
        </w:rPr>
        <w:t xml:space="preserve"> </w:t>
      </w:r>
      <w:r w:rsidRPr="004306A0">
        <w:rPr>
          <w:rFonts w:cs="Times New Roman"/>
          <w:i w:val="0"/>
          <w:iCs/>
          <w:color w:val="auto"/>
          <w:szCs w:val="20"/>
        </w:rPr>
        <w:t>risk estimates for adults and children</w:t>
      </w:r>
    </w:p>
    <w:tbl>
      <w:tblPr>
        <w:tblW w:w="10231" w:type="dxa"/>
        <w:jc w:val="center"/>
        <w:tblBorders>
          <w:top w:val="single" w:sz="4" w:space="0" w:color="auto"/>
          <w:bottom w:val="single" w:sz="4" w:space="0" w:color="auto"/>
        </w:tblBorders>
        <w:tblLayout w:type="fixed"/>
        <w:tblLook w:val="04A0" w:firstRow="1" w:lastRow="0" w:firstColumn="1" w:lastColumn="0" w:noHBand="0" w:noVBand="1"/>
      </w:tblPr>
      <w:tblGrid>
        <w:gridCol w:w="1287"/>
        <w:gridCol w:w="1984"/>
        <w:gridCol w:w="1114"/>
        <w:gridCol w:w="1460"/>
        <w:gridCol w:w="1463"/>
        <w:gridCol w:w="1460"/>
        <w:gridCol w:w="1463"/>
      </w:tblGrid>
      <w:tr w:rsidR="00F56C38" w:rsidRPr="004306A0" w14:paraId="30A165BD" w14:textId="77777777" w:rsidTr="00DE227F">
        <w:trPr>
          <w:trHeight w:val="640"/>
          <w:tblHeader/>
          <w:jc w:val="center"/>
        </w:trPr>
        <w:tc>
          <w:tcPr>
            <w:tcW w:w="1287" w:type="dxa"/>
            <w:tcBorders>
              <w:top w:val="single" w:sz="4" w:space="0" w:color="auto"/>
              <w:bottom w:val="single" w:sz="4" w:space="0" w:color="auto"/>
            </w:tcBorders>
            <w:vAlign w:val="center"/>
          </w:tcPr>
          <w:p w14:paraId="631C6829" w14:textId="77777777" w:rsidR="00F56C38" w:rsidRPr="004306A0" w:rsidRDefault="00163AF0">
            <w:pPr>
              <w:spacing w:after="0" w:line="240" w:lineRule="auto"/>
              <w:jc w:val="center"/>
              <w:rPr>
                <w:rFonts w:cs="Times New Roman"/>
                <w:b/>
                <w:sz w:val="20"/>
                <w:szCs w:val="20"/>
              </w:rPr>
            </w:pPr>
            <w:r w:rsidRPr="004306A0">
              <w:rPr>
                <w:rFonts w:cs="Times New Roman"/>
                <w:b/>
                <w:sz w:val="20"/>
                <w:szCs w:val="20"/>
              </w:rPr>
              <w:t>Location</w:t>
            </w:r>
          </w:p>
        </w:tc>
        <w:tc>
          <w:tcPr>
            <w:tcW w:w="1984" w:type="dxa"/>
            <w:tcBorders>
              <w:top w:val="single" w:sz="4" w:space="0" w:color="auto"/>
              <w:bottom w:val="single" w:sz="4" w:space="0" w:color="auto"/>
            </w:tcBorders>
            <w:vAlign w:val="center"/>
          </w:tcPr>
          <w:p w14:paraId="53D4E082" w14:textId="77777777" w:rsidR="00F56C38" w:rsidRPr="004306A0" w:rsidRDefault="00163AF0">
            <w:pPr>
              <w:spacing w:after="0" w:line="240" w:lineRule="auto"/>
              <w:jc w:val="center"/>
              <w:rPr>
                <w:rFonts w:cs="Times New Roman"/>
                <w:b/>
                <w:sz w:val="20"/>
                <w:szCs w:val="20"/>
              </w:rPr>
            </w:pPr>
            <w:r w:rsidRPr="004306A0">
              <w:rPr>
                <w:rFonts w:cs="Times New Roman"/>
                <w:b/>
                <w:sz w:val="20"/>
                <w:szCs w:val="20"/>
              </w:rPr>
              <w:t>Season/environment</w:t>
            </w:r>
          </w:p>
        </w:tc>
        <w:tc>
          <w:tcPr>
            <w:tcW w:w="1114" w:type="dxa"/>
            <w:tcBorders>
              <w:top w:val="single" w:sz="4" w:space="0" w:color="auto"/>
              <w:bottom w:val="single" w:sz="4" w:space="0" w:color="auto"/>
            </w:tcBorders>
            <w:vAlign w:val="center"/>
          </w:tcPr>
          <w:p w14:paraId="28B5BF7B" w14:textId="77777777" w:rsidR="00F56C38" w:rsidRPr="004306A0" w:rsidRDefault="00163AF0">
            <w:pPr>
              <w:spacing w:after="0" w:line="240" w:lineRule="auto"/>
              <w:jc w:val="center"/>
              <w:rPr>
                <w:rFonts w:cs="Times New Roman"/>
                <w:b/>
                <w:sz w:val="20"/>
                <w:szCs w:val="20"/>
              </w:rPr>
            </w:pPr>
            <w:r w:rsidRPr="004306A0">
              <w:rPr>
                <w:rFonts w:cs="Times New Roman"/>
                <w:b/>
                <w:sz w:val="20"/>
                <w:szCs w:val="20"/>
              </w:rPr>
              <w:t>Total PAHs (µg/m³)</w:t>
            </w:r>
          </w:p>
        </w:tc>
        <w:tc>
          <w:tcPr>
            <w:tcW w:w="1460" w:type="dxa"/>
            <w:tcBorders>
              <w:top w:val="single" w:sz="4" w:space="0" w:color="auto"/>
              <w:bottom w:val="single" w:sz="4" w:space="0" w:color="auto"/>
            </w:tcBorders>
            <w:vAlign w:val="center"/>
          </w:tcPr>
          <w:p w14:paraId="5F7FACDF" w14:textId="77777777" w:rsidR="00F56C38" w:rsidRPr="004306A0" w:rsidRDefault="00163AF0">
            <w:pPr>
              <w:spacing w:after="0" w:line="240" w:lineRule="auto"/>
              <w:jc w:val="center"/>
              <w:rPr>
                <w:rFonts w:cs="Times New Roman"/>
                <w:b/>
                <w:sz w:val="20"/>
                <w:szCs w:val="20"/>
              </w:rPr>
            </w:pPr>
            <w:r w:rsidRPr="004306A0">
              <w:rPr>
                <w:rFonts w:cs="Times New Roman"/>
                <w:b/>
                <w:sz w:val="20"/>
                <w:szCs w:val="20"/>
              </w:rPr>
              <w:t>Adult LADD</w:t>
            </w:r>
          </w:p>
        </w:tc>
        <w:tc>
          <w:tcPr>
            <w:tcW w:w="1463" w:type="dxa"/>
            <w:tcBorders>
              <w:top w:val="single" w:sz="4" w:space="0" w:color="auto"/>
              <w:bottom w:val="single" w:sz="4" w:space="0" w:color="auto"/>
            </w:tcBorders>
            <w:vAlign w:val="center"/>
          </w:tcPr>
          <w:p w14:paraId="4017C306" w14:textId="77777777" w:rsidR="00F56C38" w:rsidRPr="004306A0" w:rsidRDefault="00163AF0">
            <w:pPr>
              <w:spacing w:after="0" w:line="240" w:lineRule="auto"/>
              <w:jc w:val="center"/>
              <w:rPr>
                <w:rFonts w:cs="Times New Roman"/>
                <w:b/>
                <w:sz w:val="20"/>
                <w:szCs w:val="20"/>
              </w:rPr>
            </w:pPr>
            <w:r w:rsidRPr="004306A0">
              <w:rPr>
                <w:rFonts w:cs="Times New Roman"/>
                <w:b/>
                <w:sz w:val="20"/>
                <w:szCs w:val="20"/>
              </w:rPr>
              <w:t>Child LADD</w:t>
            </w:r>
          </w:p>
        </w:tc>
        <w:tc>
          <w:tcPr>
            <w:tcW w:w="1460" w:type="dxa"/>
            <w:tcBorders>
              <w:top w:val="single" w:sz="4" w:space="0" w:color="auto"/>
              <w:bottom w:val="single" w:sz="4" w:space="0" w:color="auto"/>
            </w:tcBorders>
            <w:vAlign w:val="center"/>
          </w:tcPr>
          <w:p w14:paraId="6AA1991D" w14:textId="77777777" w:rsidR="00F56C38" w:rsidRPr="004306A0" w:rsidRDefault="00163AF0">
            <w:pPr>
              <w:spacing w:after="0" w:line="240" w:lineRule="auto"/>
              <w:jc w:val="center"/>
              <w:rPr>
                <w:rFonts w:cs="Times New Roman"/>
                <w:b/>
                <w:sz w:val="20"/>
                <w:szCs w:val="20"/>
              </w:rPr>
            </w:pPr>
            <w:r w:rsidRPr="004306A0">
              <w:rPr>
                <w:rFonts w:cs="Times New Roman"/>
                <w:b/>
                <w:sz w:val="20"/>
                <w:szCs w:val="20"/>
              </w:rPr>
              <w:t>Adult ILCR</w:t>
            </w:r>
          </w:p>
        </w:tc>
        <w:tc>
          <w:tcPr>
            <w:tcW w:w="1463" w:type="dxa"/>
            <w:tcBorders>
              <w:top w:val="single" w:sz="4" w:space="0" w:color="auto"/>
              <w:bottom w:val="single" w:sz="4" w:space="0" w:color="auto"/>
            </w:tcBorders>
            <w:vAlign w:val="center"/>
          </w:tcPr>
          <w:p w14:paraId="547BE8DE" w14:textId="77777777" w:rsidR="00F56C38" w:rsidRPr="004306A0" w:rsidRDefault="00163AF0">
            <w:pPr>
              <w:spacing w:after="0" w:line="240" w:lineRule="auto"/>
              <w:jc w:val="center"/>
              <w:rPr>
                <w:rFonts w:cs="Times New Roman"/>
                <w:b/>
                <w:sz w:val="20"/>
                <w:szCs w:val="20"/>
              </w:rPr>
            </w:pPr>
            <w:r w:rsidRPr="004306A0">
              <w:rPr>
                <w:rFonts w:cs="Times New Roman"/>
                <w:b/>
                <w:sz w:val="20"/>
                <w:szCs w:val="20"/>
              </w:rPr>
              <w:t>Child ILCR</w:t>
            </w:r>
          </w:p>
        </w:tc>
      </w:tr>
      <w:tr w:rsidR="00F56C38" w:rsidRPr="004306A0" w14:paraId="02DC96EF" w14:textId="77777777" w:rsidTr="00DE227F">
        <w:trPr>
          <w:trHeight w:val="568"/>
          <w:jc w:val="center"/>
        </w:trPr>
        <w:tc>
          <w:tcPr>
            <w:tcW w:w="1287" w:type="dxa"/>
            <w:tcBorders>
              <w:top w:val="single" w:sz="4" w:space="0" w:color="auto"/>
            </w:tcBorders>
            <w:vAlign w:val="center"/>
          </w:tcPr>
          <w:p w14:paraId="3AC8DC60"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Akpajo</w:t>
            </w:r>
          </w:p>
        </w:tc>
        <w:tc>
          <w:tcPr>
            <w:tcW w:w="1984" w:type="dxa"/>
            <w:tcBorders>
              <w:top w:val="single" w:sz="4" w:space="0" w:color="auto"/>
            </w:tcBorders>
            <w:vAlign w:val="center"/>
          </w:tcPr>
          <w:p w14:paraId="46BB2B1D"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Dry season indoor</w:t>
            </w:r>
          </w:p>
        </w:tc>
        <w:tc>
          <w:tcPr>
            <w:tcW w:w="1114" w:type="dxa"/>
            <w:tcBorders>
              <w:top w:val="single" w:sz="4" w:space="0" w:color="auto"/>
            </w:tcBorders>
            <w:vAlign w:val="center"/>
          </w:tcPr>
          <w:p w14:paraId="1571C204"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16.65</w:t>
            </w:r>
          </w:p>
        </w:tc>
        <w:tc>
          <w:tcPr>
            <w:tcW w:w="1460" w:type="dxa"/>
            <w:tcBorders>
              <w:top w:val="single" w:sz="4" w:space="0" w:color="auto"/>
            </w:tcBorders>
            <w:vAlign w:val="center"/>
          </w:tcPr>
          <w:p w14:paraId="482CDC0F"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3.97E-03</w:t>
            </w:r>
          </w:p>
        </w:tc>
        <w:tc>
          <w:tcPr>
            <w:tcW w:w="1463" w:type="dxa"/>
            <w:tcBorders>
              <w:top w:val="single" w:sz="4" w:space="0" w:color="auto"/>
            </w:tcBorders>
            <w:vAlign w:val="center"/>
          </w:tcPr>
          <w:p w14:paraId="7C0305A9"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1.12E-02</w:t>
            </w:r>
          </w:p>
        </w:tc>
        <w:tc>
          <w:tcPr>
            <w:tcW w:w="1460" w:type="dxa"/>
            <w:tcBorders>
              <w:top w:val="single" w:sz="4" w:space="0" w:color="auto"/>
            </w:tcBorders>
            <w:vAlign w:val="center"/>
          </w:tcPr>
          <w:p w14:paraId="1AFD18E9"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6.33E-05</w:t>
            </w:r>
          </w:p>
        </w:tc>
        <w:tc>
          <w:tcPr>
            <w:tcW w:w="1463" w:type="dxa"/>
            <w:tcBorders>
              <w:top w:val="single" w:sz="4" w:space="0" w:color="auto"/>
            </w:tcBorders>
            <w:vAlign w:val="center"/>
          </w:tcPr>
          <w:p w14:paraId="7AB16780"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1.78E-04</w:t>
            </w:r>
          </w:p>
        </w:tc>
      </w:tr>
      <w:tr w:rsidR="00F56C38" w:rsidRPr="004306A0" w14:paraId="7B5FAE3A" w14:textId="77777777" w:rsidTr="00DE227F">
        <w:trPr>
          <w:trHeight w:val="568"/>
          <w:jc w:val="center"/>
        </w:trPr>
        <w:tc>
          <w:tcPr>
            <w:tcW w:w="1287" w:type="dxa"/>
            <w:vAlign w:val="center"/>
          </w:tcPr>
          <w:p w14:paraId="639704FF"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Akpajo</w:t>
            </w:r>
          </w:p>
        </w:tc>
        <w:tc>
          <w:tcPr>
            <w:tcW w:w="1984" w:type="dxa"/>
            <w:vAlign w:val="center"/>
          </w:tcPr>
          <w:p w14:paraId="33A790FE"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Dry season outdoor</w:t>
            </w:r>
          </w:p>
        </w:tc>
        <w:tc>
          <w:tcPr>
            <w:tcW w:w="1114" w:type="dxa"/>
            <w:vAlign w:val="center"/>
          </w:tcPr>
          <w:p w14:paraId="3E722F66"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13.60</w:t>
            </w:r>
          </w:p>
        </w:tc>
        <w:tc>
          <w:tcPr>
            <w:tcW w:w="1460" w:type="dxa"/>
            <w:vAlign w:val="center"/>
          </w:tcPr>
          <w:p w14:paraId="3D912EB3"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3.25E-03</w:t>
            </w:r>
          </w:p>
        </w:tc>
        <w:tc>
          <w:tcPr>
            <w:tcW w:w="1463" w:type="dxa"/>
            <w:vAlign w:val="center"/>
          </w:tcPr>
          <w:p w14:paraId="05B97048"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9.13E-03</w:t>
            </w:r>
          </w:p>
        </w:tc>
        <w:tc>
          <w:tcPr>
            <w:tcW w:w="1460" w:type="dxa"/>
            <w:vAlign w:val="center"/>
          </w:tcPr>
          <w:p w14:paraId="3615392C"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3.41E-05</w:t>
            </w:r>
          </w:p>
        </w:tc>
        <w:tc>
          <w:tcPr>
            <w:tcW w:w="1463" w:type="dxa"/>
            <w:vAlign w:val="center"/>
          </w:tcPr>
          <w:p w14:paraId="673F1D9B"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9.60E-05</w:t>
            </w:r>
          </w:p>
        </w:tc>
      </w:tr>
      <w:tr w:rsidR="00F56C38" w:rsidRPr="004306A0" w14:paraId="24228247" w14:textId="77777777" w:rsidTr="00DE227F">
        <w:trPr>
          <w:trHeight w:val="568"/>
          <w:jc w:val="center"/>
        </w:trPr>
        <w:tc>
          <w:tcPr>
            <w:tcW w:w="1287" w:type="dxa"/>
            <w:vAlign w:val="center"/>
          </w:tcPr>
          <w:p w14:paraId="20ABEEFE"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Akpajo</w:t>
            </w:r>
          </w:p>
        </w:tc>
        <w:tc>
          <w:tcPr>
            <w:tcW w:w="1984" w:type="dxa"/>
            <w:vAlign w:val="center"/>
          </w:tcPr>
          <w:p w14:paraId="7EFC4CED"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Wet season indoor</w:t>
            </w:r>
          </w:p>
        </w:tc>
        <w:tc>
          <w:tcPr>
            <w:tcW w:w="1114" w:type="dxa"/>
            <w:vAlign w:val="center"/>
          </w:tcPr>
          <w:p w14:paraId="30202B51"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9.25</w:t>
            </w:r>
          </w:p>
        </w:tc>
        <w:tc>
          <w:tcPr>
            <w:tcW w:w="1460" w:type="dxa"/>
            <w:vAlign w:val="center"/>
          </w:tcPr>
          <w:p w14:paraId="5D2A88C8"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2.21E-03</w:t>
            </w:r>
          </w:p>
        </w:tc>
        <w:tc>
          <w:tcPr>
            <w:tcW w:w="1463" w:type="dxa"/>
            <w:vAlign w:val="center"/>
          </w:tcPr>
          <w:p w14:paraId="43CE5000"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6.21E-03</w:t>
            </w:r>
          </w:p>
        </w:tc>
        <w:tc>
          <w:tcPr>
            <w:tcW w:w="1460" w:type="dxa"/>
            <w:vAlign w:val="center"/>
          </w:tcPr>
          <w:p w14:paraId="5CDFE6B1"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2.55E-05</w:t>
            </w:r>
          </w:p>
        </w:tc>
        <w:tc>
          <w:tcPr>
            <w:tcW w:w="1463" w:type="dxa"/>
            <w:vAlign w:val="center"/>
          </w:tcPr>
          <w:p w14:paraId="14A1F436"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7.17E-05</w:t>
            </w:r>
          </w:p>
        </w:tc>
      </w:tr>
      <w:tr w:rsidR="00F56C38" w:rsidRPr="004306A0" w14:paraId="1CF8FEF8" w14:textId="77777777" w:rsidTr="00DE227F">
        <w:trPr>
          <w:trHeight w:val="578"/>
          <w:jc w:val="center"/>
        </w:trPr>
        <w:tc>
          <w:tcPr>
            <w:tcW w:w="1287" w:type="dxa"/>
            <w:vAlign w:val="center"/>
          </w:tcPr>
          <w:p w14:paraId="5AEC9C48"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Akpajo</w:t>
            </w:r>
          </w:p>
        </w:tc>
        <w:tc>
          <w:tcPr>
            <w:tcW w:w="1984" w:type="dxa"/>
            <w:vAlign w:val="center"/>
          </w:tcPr>
          <w:p w14:paraId="423462BA"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Wet season outdoor</w:t>
            </w:r>
          </w:p>
        </w:tc>
        <w:tc>
          <w:tcPr>
            <w:tcW w:w="1114" w:type="dxa"/>
            <w:vAlign w:val="center"/>
          </w:tcPr>
          <w:p w14:paraId="6EBC5AF9"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7.70</w:t>
            </w:r>
          </w:p>
        </w:tc>
        <w:tc>
          <w:tcPr>
            <w:tcW w:w="1460" w:type="dxa"/>
            <w:vAlign w:val="center"/>
          </w:tcPr>
          <w:p w14:paraId="4AFB07C1"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1.84E-03</w:t>
            </w:r>
          </w:p>
        </w:tc>
        <w:tc>
          <w:tcPr>
            <w:tcW w:w="1463" w:type="dxa"/>
            <w:vAlign w:val="center"/>
          </w:tcPr>
          <w:p w14:paraId="1B65565A"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5.17E-03</w:t>
            </w:r>
          </w:p>
        </w:tc>
        <w:tc>
          <w:tcPr>
            <w:tcW w:w="1460" w:type="dxa"/>
            <w:vAlign w:val="center"/>
          </w:tcPr>
          <w:p w14:paraId="19AE6901"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2.68E-05</w:t>
            </w:r>
          </w:p>
        </w:tc>
        <w:tc>
          <w:tcPr>
            <w:tcW w:w="1463" w:type="dxa"/>
            <w:vAlign w:val="center"/>
          </w:tcPr>
          <w:p w14:paraId="52FF0894"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7.55E-05</w:t>
            </w:r>
          </w:p>
        </w:tc>
      </w:tr>
      <w:tr w:rsidR="00F56C38" w:rsidRPr="004306A0" w14:paraId="4BAC18D4" w14:textId="77777777" w:rsidTr="00DE227F">
        <w:trPr>
          <w:trHeight w:val="568"/>
          <w:jc w:val="center"/>
        </w:trPr>
        <w:tc>
          <w:tcPr>
            <w:tcW w:w="1287" w:type="dxa"/>
            <w:vAlign w:val="center"/>
          </w:tcPr>
          <w:p w14:paraId="175A2479"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Alesa</w:t>
            </w:r>
          </w:p>
        </w:tc>
        <w:tc>
          <w:tcPr>
            <w:tcW w:w="1984" w:type="dxa"/>
            <w:vAlign w:val="center"/>
          </w:tcPr>
          <w:p w14:paraId="7835E828"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Dry season indoor</w:t>
            </w:r>
          </w:p>
        </w:tc>
        <w:tc>
          <w:tcPr>
            <w:tcW w:w="1114" w:type="dxa"/>
            <w:vAlign w:val="center"/>
          </w:tcPr>
          <w:p w14:paraId="47183B32"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12.20</w:t>
            </w:r>
          </w:p>
        </w:tc>
        <w:tc>
          <w:tcPr>
            <w:tcW w:w="1460" w:type="dxa"/>
            <w:vAlign w:val="center"/>
          </w:tcPr>
          <w:p w14:paraId="07A3BFF7"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2.91E-03</w:t>
            </w:r>
          </w:p>
        </w:tc>
        <w:tc>
          <w:tcPr>
            <w:tcW w:w="1463" w:type="dxa"/>
            <w:vAlign w:val="center"/>
          </w:tcPr>
          <w:p w14:paraId="30080F31"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8.19E-03</w:t>
            </w:r>
          </w:p>
        </w:tc>
        <w:tc>
          <w:tcPr>
            <w:tcW w:w="1460" w:type="dxa"/>
            <w:vAlign w:val="center"/>
          </w:tcPr>
          <w:p w14:paraId="403BA7F0"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8.72E-05</w:t>
            </w:r>
          </w:p>
        </w:tc>
        <w:tc>
          <w:tcPr>
            <w:tcW w:w="1463" w:type="dxa"/>
            <w:vAlign w:val="center"/>
          </w:tcPr>
          <w:p w14:paraId="4BA6738F"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2.45E-04</w:t>
            </w:r>
          </w:p>
        </w:tc>
      </w:tr>
      <w:tr w:rsidR="00F56C38" w:rsidRPr="004306A0" w14:paraId="19D6791D" w14:textId="77777777" w:rsidTr="00DE227F">
        <w:trPr>
          <w:trHeight w:val="568"/>
          <w:jc w:val="center"/>
        </w:trPr>
        <w:tc>
          <w:tcPr>
            <w:tcW w:w="1287" w:type="dxa"/>
            <w:vAlign w:val="center"/>
          </w:tcPr>
          <w:p w14:paraId="24415BBA"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Alesa</w:t>
            </w:r>
          </w:p>
        </w:tc>
        <w:tc>
          <w:tcPr>
            <w:tcW w:w="1984" w:type="dxa"/>
            <w:vAlign w:val="center"/>
          </w:tcPr>
          <w:p w14:paraId="7A68B8D2"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Dry season outdoor</w:t>
            </w:r>
          </w:p>
        </w:tc>
        <w:tc>
          <w:tcPr>
            <w:tcW w:w="1114" w:type="dxa"/>
            <w:vAlign w:val="center"/>
          </w:tcPr>
          <w:p w14:paraId="1E8750B8"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13.90</w:t>
            </w:r>
          </w:p>
        </w:tc>
        <w:tc>
          <w:tcPr>
            <w:tcW w:w="1460" w:type="dxa"/>
            <w:vAlign w:val="center"/>
          </w:tcPr>
          <w:p w14:paraId="48306335"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3.32E-03</w:t>
            </w:r>
          </w:p>
        </w:tc>
        <w:tc>
          <w:tcPr>
            <w:tcW w:w="1463" w:type="dxa"/>
            <w:vAlign w:val="center"/>
          </w:tcPr>
          <w:p w14:paraId="035AC339"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9.33E-03</w:t>
            </w:r>
          </w:p>
        </w:tc>
        <w:tc>
          <w:tcPr>
            <w:tcW w:w="1460" w:type="dxa"/>
            <w:vAlign w:val="center"/>
          </w:tcPr>
          <w:p w14:paraId="4C000273"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1.10E-04</w:t>
            </w:r>
          </w:p>
        </w:tc>
        <w:tc>
          <w:tcPr>
            <w:tcW w:w="1463" w:type="dxa"/>
            <w:vAlign w:val="center"/>
          </w:tcPr>
          <w:p w14:paraId="376ADE14"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3.07E-04</w:t>
            </w:r>
          </w:p>
        </w:tc>
      </w:tr>
      <w:tr w:rsidR="00F56C38" w:rsidRPr="004306A0" w14:paraId="5E1A603B" w14:textId="77777777" w:rsidTr="00DE227F">
        <w:trPr>
          <w:trHeight w:val="568"/>
          <w:jc w:val="center"/>
        </w:trPr>
        <w:tc>
          <w:tcPr>
            <w:tcW w:w="1287" w:type="dxa"/>
            <w:vAlign w:val="center"/>
          </w:tcPr>
          <w:p w14:paraId="53F10AD3"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Alesa</w:t>
            </w:r>
          </w:p>
        </w:tc>
        <w:tc>
          <w:tcPr>
            <w:tcW w:w="1984" w:type="dxa"/>
            <w:vAlign w:val="center"/>
          </w:tcPr>
          <w:p w14:paraId="613930D1"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Wet season indoor</w:t>
            </w:r>
          </w:p>
        </w:tc>
        <w:tc>
          <w:tcPr>
            <w:tcW w:w="1114" w:type="dxa"/>
            <w:vAlign w:val="center"/>
          </w:tcPr>
          <w:p w14:paraId="6A12BEE7"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7.40</w:t>
            </w:r>
          </w:p>
        </w:tc>
        <w:tc>
          <w:tcPr>
            <w:tcW w:w="1460" w:type="dxa"/>
            <w:vAlign w:val="center"/>
          </w:tcPr>
          <w:p w14:paraId="6C32A338"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1.77E-03</w:t>
            </w:r>
          </w:p>
        </w:tc>
        <w:tc>
          <w:tcPr>
            <w:tcW w:w="1463" w:type="dxa"/>
            <w:vAlign w:val="center"/>
          </w:tcPr>
          <w:p w14:paraId="6DAC8C7C"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4.97E-03</w:t>
            </w:r>
          </w:p>
        </w:tc>
        <w:tc>
          <w:tcPr>
            <w:tcW w:w="1460" w:type="dxa"/>
            <w:vAlign w:val="center"/>
          </w:tcPr>
          <w:p w14:paraId="0F9655AE"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4.00E-05</w:t>
            </w:r>
          </w:p>
        </w:tc>
        <w:tc>
          <w:tcPr>
            <w:tcW w:w="1463" w:type="dxa"/>
            <w:vAlign w:val="center"/>
          </w:tcPr>
          <w:p w14:paraId="1561A597"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1.12E-04</w:t>
            </w:r>
          </w:p>
        </w:tc>
      </w:tr>
      <w:tr w:rsidR="00F56C38" w:rsidRPr="004306A0" w14:paraId="5D7C0FB5" w14:textId="77777777" w:rsidTr="00DE227F">
        <w:trPr>
          <w:trHeight w:val="568"/>
          <w:jc w:val="center"/>
        </w:trPr>
        <w:tc>
          <w:tcPr>
            <w:tcW w:w="1287" w:type="dxa"/>
            <w:vAlign w:val="center"/>
          </w:tcPr>
          <w:p w14:paraId="34EA9120"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Alesa</w:t>
            </w:r>
          </w:p>
        </w:tc>
        <w:tc>
          <w:tcPr>
            <w:tcW w:w="1984" w:type="dxa"/>
            <w:vAlign w:val="center"/>
          </w:tcPr>
          <w:p w14:paraId="25CE3C5D"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Wet season outdoor</w:t>
            </w:r>
          </w:p>
        </w:tc>
        <w:tc>
          <w:tcPr>
            <w:tcW w:w="1114" w:type="dxa"/>
            <w:vAlign w:val="center"/>
          </w:tcPr>
          <w:p w14:paraId="73EE770D"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8.05</w:t>
            </w:r>
          </w:p>
        </w:tc>
        <w:tc>
          <w:tcPr>
            <w:tcW w:w="1460" w:type="dxa"/>
            <w:vAlign w:val="center"/>
          </w:tcPr>
          <w:p w14:paraId="1E5A2190"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1.92E-03</w:t>
            </w:r>
          </w:p>
        </w:tc>
        <w:tc>
          <w:tcPr>
            <w:tcW w:w="1463" w:type="dxa"/>
            <w:vAlign w:val="center"/>
          </w:tcPr>
          <w:p w14:paraId="02C66443"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5.41E-03</w:t>
            </w:r>
          </w:p>
        </w:tc>
        <w:tc>
          <w:tcPr>
            <w:tcW w:w="1460" w:type="dxa"/>
            <w:vAlign w:val="center"/>
          </w:tcPr>
          <w:p w14:paraId="100114BE"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3.36E-05</w:t>
            </w:r>
          </w:p>
        </w:tc>
        <w:tc>
          <w:tcPr>
            <w:tcW w:w="1463" w:type="dxa"/>
            <w:vAlign w:val="center"/>
          </w:tcPr>
          <w:p w14:paraId="14856B8F"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9.42E-05</w:t>
            </w:r>
          </w:p>
        </w:tc>
      </w:tr>
      <w:tr w:rsidR="00F56C38" w:rsidRPr="004306A0" w14:paraId="64B562A3" w14:textId="77777777" w:rsidTr="00DE227F">
        <w:trPr>
          <w:trHeight w:val="578"/>
          <w:jc w:val="center"/>
        </w:trPr>
        <w:tc>
          <w:tcPr>
            <w:tcW w:w="1287" w:type="dxa"/>
            <w:vAlign w:val="center"/>
          </w:tcPr>
          <w:p w14:paraId="7B738CE2"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Aleto</w:t>
            </w:r>
          </w:p>
        </w:tc>
        <w:tc>
          <w:tcPr>
            <w:tcW w:w="1984" w:type="dxa"/>
            <w:vAlign w:val="center"/>
          </w:tcPr>
          <w:p w14:paraId="1AF0BD27"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Dry season indoor</w:t>
            </w:r>
          </w:p>
        </w:tc>
        <w:tc>
          <w:tcPr>
            <w:tcW w:w="1114" w:type="dxa"/>
            <w:vAlign w:val="center"/>
          </w:tcPr>
          <w:p w14:paraId="20954F2C"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22.20</w:t>
            </w:r>
          </w:p>
        </w:tc>
        <w:tc>
          <w:tcPr>
            <w:tcW w:w="1460" w:type="dxa"/>
            <w:vAlign w:val="center"/>
          </w:tcPr>
          <w:p w14:paraId="1B0B01D6"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5.30E-03</w:t>
            </w:r>
          </w:p>
        </w:tc>
        <w:tc>
          <w:tcPr>
            <w:tcW w:w="1463" w:type="dxa"/>
            <w:vAlign w:val="center"/>
          </w:tcPr>
          <w:p w14:paraId="105220B9"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1.49E-02</w:t>
            </w:r>
          </w:p>
        </w:tc>
        <w:tc>
          <w:tcPr>
            <w:tcW w:w="1460" w:type="dxa"/>
            <w:vAlign w:val="center"/>
          </w:tcPr>
          <w:p w14:paraId="39BE129A"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4.21E-05</w:t>
            </w:r>
          </w:p>
        </w:tc>
        <w:tc>
          <w:tcPr>
            <w:tcW w:w="1463" w:type="dxa"/>
            <w:vAlign w:val="center"/>
          </w:tcPr>
          <w:p w14:paraId="4BDC7D07"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1.18E-04</w:t>
            </w:r>
          </w:p>
        </w:tc>
      </w:tr>
      <w:tr w:rsidR="00F56C38" w:rsidRPr="004306A0" w14:paraId="2B61131A" w14:textId="77777777" w:rsidTr="00DE227F">
        <w:trPr>
          <w:trHeight w:val="568"/>
          <w:jc w:val="center"/>
        </w:trPr>
        <w:tc>
          <w:tcPr>
            <w:tcW w:w="1287" w:type="dxa"/>
            <w:vAlign w:val="center"/>
          </w:tcPr>
          <w:p w14:paraId="1D95F30A"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Aleto</w:t>
            </w:r>
          </w:p>
        </w:tc>
        <w:tc>
          <w:tcPr>
            <w:tcW w:w="1984" w:type="dxa"/>
            <w:vAlign w:val="center"/>
          </w:tcPr>
          <w:p w14:paraId="1C9988B9"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Dry season outdoor</w:t>
            </w:r>
          </w:p>
        </w:tc>
        <w:tc>
          <w:tcPr>
            <w:tcW w:w="1114" w:type="dxa"/>
            <w:vAlign w:val="center"/>
          </w:tcPr>
          <w:p w14:paraId="491EDCA0"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30.55</w:t>
            </w:r>
          </w:p>
        </w:tc>
        <w:tc>
          <w:tcPr>
            <w:tcW w:w="1460" w:type="dxa"/>
            <w:vAlign w:val="center"/>
          </w:tcPr>
          <w:p w14:paraId="4002C18A"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7.30E-03</w:t>
            </w:r>
          </w:p>
        </w:tc>
        <w:tc>
          <w:tcPr>
            <w:tcW w:w="1463" w:type="dxa"/>
            <w:vAlign w:val="center"/>
          </w:tcPr>
          <w:p w14:paraId="44C795B0"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2.05E-02</w:t>
            </w:r>
          </w:p>
        </w:tc>
        <w:tc>
          <w:tcPr>
            <w:tcW w:w="1460" w:type="dxa"/>
            <w:vAlign w:val="center"/>
          </w:tcPr>
          <w:p w14:paraId="37C65083"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1.47E-04</w:t>
            </w:r>
          </w:p>
        </w:tc>
        <w:tc>
          <w:tcPr>
            <w:tcW w:w="1463" w:type="dxa"/>
            <w:vAlign w:val="center"/>
          </w:tcPr>
          <w:p w14:paraId="4E0B87AF"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4.12E-04</w:t>
            </w:r>
          </w:p>
        </w:tc>
      </w:tr>
      <w:tr w:rsidR="00F56C38" w:rsidRPr="004306A0" w14:paraId="31D6C9B1" w14:textId="77777777" w:rsidTr="00DE227F">
        <w:trPr>
          <w:trHeight w:val="568"/>
          <w:jc w:val="center"/>
        </w:trPr>
        <w:tc>
          <w:tcPr>
            <w:tcW w:w="1287" w:type="dxa"/>
            <w:vAlign w:val="center"/>
          </w:tcPr>
          <w:p w14:paraId="46268DB5"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Aleto</w:t>
            </w:r>
          </w:p>
        </w:tc>
        <w:tc>
          <w:tcPr>
            <w:tcW w:w="1984" w:type="dxa"/>
            <w:vAlign w:val="center"/>
          </w:tcPr>
          <w:p w14:paraId="50173A9C"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Wet season indoor</w:t>
            </w:r>
          </w:p>
        </w:tc>
        <w:tc>
          <w:tcPr>
            <w:tcW w:w="1114" w:type="dxa"/>
            <w:vAlign w:val="center"/>
          </w:tcPr>
          <w:p w14:paraId="2630550E"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12.20</w:t>
            </w:r>
          </w:p>
        </w:tc>
        <w:tc>
          <w:tcPr>
            <w:tcW w:w="1460" w:type="dxa"/>
            <w:vAlign w:val="center"/>
          </w:tcPr>
          <w:p w14:paraId="273BC085"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2.91E-03</w:t>
            </w:r>
          </w:p>
        </w:tc>
        <w:tc>
          <w:tcPr>
            <w:tcW w:w="1463" w:type="dxa"/>
            <w:vAlign w:val="center"/>
          </w:tcPr>
          <w:p w14:paraId="3A557E44"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8.19E-03</w:t>
            </w:r>
          </w:p>
        </w:tc>
        <w:tc>
          <w:tcPr>
            <w:tcW w:w="1460" w:type="dxa"/>
            <w:vAlign w:val="center"/>
          </w:tcPr>
          <w:p w14:paraId="7CD9C945"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1.89E-05</w:t>
            </w:r>
          </w:p>
        </w:tc>
        <w:tc>
          <w:tcPr>
            <w:tcW w:w="1463" w:type="dxa"/>
            <w:vAlign w:val="center"/>
          </w:tcPr>
          <w:p w14:paraId="4A0B62B6"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5.32E-05</w:t>
            </w:r>
          </w:p>
        </w:tc>
      </w:tr>
      <w:tr w:rsidR="00F56C38" w:rsidRPr="004306A0" w14:paraId="4D9F9FCA" w14:textId="77777777" w:rsidTr="00DE227F">
        <w:trPr>
          <w:trHeight w:val="568"/>
          <w:jc w:val="center"/>
        </w:trPr>
        <w:tc>
          <w:tcPr>
            <w:tcW w:w="1287" w:type="dxa"/>
            <w:vAlign w:val="center"/>
          </w:tcPr>
          <w:p w14:paraId="18046285"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Aleto</w:t>
            </w:r>
          </w:p>
        </w:tc>
        <w:tc>
          <w:tcPr>
            <w:tcW w:w="1984" w:type="dxa"/>
            <w:vAlign w:val="center"/>
          </w:tcPr>
          <w:p w14:paraId="7B444C46"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Wet season outdoor</w:t>
            </w:r>
          </w:p>
        </w:tc>
        <w:tc>
          <w:tcPr>
            <w:tcW w:w="1114" w:type="dxa"/>
            <w:vAlign w:val="center"/>
          </w:tcPr>
          <w:p w14:paraId="062F0FF8"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20.70</w:t>
            </w:r>
          </w:p>
        </w:tc>
        <w:tc>
          <w:tcPr>
            <w:tcW w:w="1460" w:type="dxa"/>
            <w:vAlign w:val="center"/>
          </w:tcPr>
          <w:p w14:paraId="56845E5B"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4.94E-03</w:t>
            </w:r>
          </w:p>
        </w:tc>
        <w:tc>
          <w:tcPr>
            <w:tcW w:w="1463" w:type="dxa"/>
            <w:vAlign w:val="center"/>
          </w:tcPr>
          <w:p w14:paraId="2F24AAEB"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1.39E-02</w:t>
            </w:r>
          </w:p>
        </w:tc>
        <w:tc>
          <w:tcPr>
            <w:tcW w:w="1460" w:type="dxa"/>
            <w:vAlign w:val="center"/>
          </w:tcPr>
          <w:p w14:paraId="2CBDB564"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1.04E-04</w:t>
            </w:r>
          </w:p>
        </w:tc>
        <w:tc>
          <w:tcPr>
            <w:tcW w:w="1463" w:type="dxa"/>
            <w:vAlign w:val="center"/>
          </w:tcPr>
          <w:p w14:paraId="04E483C4" w14:textId="77777777" w:rsidR="00F56C38" w:rsidRPr="004306A0" w:rsidRDefault="00163AF0">
            <w:pPr>
              <w:spacing w:after="0" w:line="240" w:lineRule="auto"/>
              <w:jc w:val="center"/>
              <w:rPr>
                <w:rFonts w:cs="Times New Roman"/>
                <w:sz w:val="20"/>
                <w:szCs w:val="20"/>
              </w:rPr>
            </w:pPr>
            <w:r w:rsidRPr="004306A0">
              <w:rPr>
                <w:rFonts w:cs="Times New Roman"/>
                <w:sz w:val="20"/>
                <w:szCs w:val="20"/>
              </w:rPr>
              <w:t>2.93E-04</w:t>
            </w:r>
          </w:p>
        </w:tc>
      </w:tr>
    </w:tbl>
    <w:p w14:paraId="7FC1DAF3" w14:textId="77777777" w:rsidR="0020343E" w:rsidRPr="004306A0" w:rsidRDefault="0020343E">
      <w:pPr>
        <w:rPr>
          <w:rFonts w:cs="Times New Roman"/>
          <w:szCs w:val="24"/>
        </w:rPr>
      </w:pPr>
    </w:p>
    <w:p w14:paraId="4AF9A2EC" w14:textId="77777777" w:rsidR="00F56C38" w:rsidRPr="004306A0" w:rsidRDefault="00163AF0" w:rsidP="00DE227F">
      <w:pPr>
        <w:spacing w:line="480" w:lineRule="auto"/>
        <w:contextualSpacing/>
        <w:jc w:val="both"/>
        <w:rPr>
          <w:rFonts w:cs="Times New Roman"/>
          <w:b/>
          <w:bCs/>
          <w:szCs w:val="24"/>
        </w:rPr>
      </w:pPr>
      <w:r w:rsidRPr="004306A0">
        <w:rPr>
          <w:rFonts w:cs="Times New Roman"/>
          <w:b/>
          <w:bCs/>
          <w:szCs w:val="24"/>
        </w:rPr>
        <w:t>Comparison with guideline context and previous studies</w:t>
      </w:r>
    </w:p>
    <w:p w14:paraId="65EC214E" w14:textId="77777777" w:rsidR="00F56C38" w:rsidRPr="004306A0" w:rsidRDefault="00163AF0" w:rsidP="00DE227F">
      <w:pPr>
        <w:spacing w:line="480" w:lineRule="auto"/>
        <w:contextualSpacing/>
        <w:jc w:val="both"/>
        <w:rPr>
          <w:rFonts w:cs="Times New Roman"/>
          <w:szCs w:val="24"/>
        </w:rPr>
      </w:pPr>
      <w:r w:rsidRPr="004306A0">
        <w:t xml:space="preserve">At present, widely used FAO/WHO ambient-air limit values are not available for total PAHs as a summed class. WHO guidance on PAHs in air commonly emphasises benzo(a)pyrene as an indicator compound and carcinogenic-risk marker, while FAO/WHO Codex discussions focus mainly on PAHs in food and dietary exposure rather than direct ambient-air compliance assessment (FAO/WHO, 2005; WHO Regional Office for Europe, 2010, 2021). In the present study, benzo(a)pyrene was reported as &lt; LOD in the concentration tables; therefore, direct comparison with benzo(a)pyrene-based air-quality guidance was not appropriate. The total PAH </w:t>
      </w:r>
      <w:r w:rsidRPr="004306A0">
        <w:lastRenderedPageBreak/>
        <w:t>values were consequently interpreted as indicators of PAH burden and exposure potential rather than as pass/fail compliance values against a total-PAH air standard.</w:t>
      </w:r>
    </w:p>
    <w:p w14:paraId="2EC6AAEB" w14:textId="77777777" w:rsidR="00F56C38" w:rsidRPr="004306A0" w:rsidRDefault="00163AF0" w:rsidP="00DE227F">
      <w:pPr>
        <w:spacing w:line="480" w:lineRule="auto"/>
        <w:contextualSpacing/>
        <w:jc w:val="both"/>
        <w:rPr>
          <w:rFonts w:cs="Times New Roman"/>
          <w:szCs w:val="24"/>
        </w:rPr>
      </w:pPr>
      <w:r w:rsidRPr="004306A0">
        <w:t>The observed total PAH range of 7.40-30.55 µg/m³ and the dry-season elevation are consistent with earlier environmental observations from Eleme and the wider Niger Delta, where petroleum-linked activities, vehicular movement, generator use, seasonal meteorology and suspended particulate matter have been reported to influence air quality (Ana et al., 2012; Ede &amp; Edokpa, 2015; Yorkor et al., 2017; Uzoekwe &amp; Ikpesu, 2019). The present findings add indoor-outdoor and seasonal detail for Akpajo, Alesa and Aleto, showing that PAH occurrence was not restricted to outdoor air and that wet-season reduction did not eliminate measurable PAH presence.</w:t>
      </w:r>
    </w:p>
    <w:p w14:paraId="1697BD55" w14:textId="77777777" w:rsidR="00F5454E" w:rsidRPr="004306A0" w:rsidRDefault="00163AF0" w:rsidP="00F5454E">
      <w:pPr>
        <w:spacing w:line="480" w:lineRule="auto"/>
        <w:contextualSpacing/>
        <w:jc w:val="both"/>
        <w:rPr>
          <w:rFonts w:cs="Times New Roman"/>
          <w:szCs w:val="24"/>
        </w:rPr>
      </w:pPr>
      <w:r w:rsidRPr="004306A0">
        <w:t>The congener pattern, dominated by anthracene, pyrene, benzo(k)fluoranthene, naphthalene, fluorene and phenanthrene, agrees with the general understanding that atmospheric PAHs occur as mixtures of low-, medium- and high-molecular-weight compounds with different volatility, particle affinity and toxicological relevance (Maliszewska-Kordybach, 1999; IARC, 2010; WHO Regional Office for Europe, 2021). Because health concern depends on both concentration and potency, even congeners present at relatively low concentrations may be important when toxicological weighting or cancer-slope factors are applied.</w:t>
      </w:r>
    </w:p>
    <w:p w14:paraId="5647360D" w14:textId="77777777" w:rsidR="00F56C38" w:rsidRPr="004306A0" w:rsidRDefault="00163AF0" w:rsidP="00F5454E">
      <w:pPr>
        <w:spacing w:line="480" w:lineRule="auto"/>
        <w:contextualSpacing/>
        <w:jc w:val="both"/>
        <w:rPr>
          <w:rFonts w:cs="Times New Roman"/>
          <w:b/>
          <w:bCs/>
          <w:szCs w:val="24"/>
        </w:rPr>
      </w:pPr>
      <w:r w:rsidRPr="004306A0">
        <w:rPr>
          <w:rFonts w:cs="Times New Roman"/>
          <w:b/>
          <w:bCs/>
          <w:szCs w:val="24"/>
        </w:rPr>
        <w:t>Environmental and public</w:t>
      </w:r>
      <w:r w:rsidR="00F5454E" w:rsidRPr="004306A0">
        <w:rPr>
          <w:rFonts w:cs="Times New Roman"/>
          <w:b/>
          <w:bCs/>
          <w:szCs w:val="24"/>
        </w:rPr>
        <w:t xml:space="preserve"> </w:t>
      </w:r>
      <w:r w:rsidRPr="004306A0">
        <w:rPr>
          <w:rFonts w:cs="Times New Roman"/>
          <w:b/>
          <w:bCs/>
          <w:szCs w:val="24"/>
        </w:rPr>
        <w:t>health implications</w:t>
      </w:r>
    </w:p>
    <w:p w14:paraId="04F17834" w14:textId="77777777" w:rsidR="00F56C38" w:rsidRPr="004306A0" w:rsidRDefault="00163AF0" w:rsidP="00F5454E">
      <w:pPr>
        <w:spacing w:line="480" w:lineRule="auto"/>
        <w:contextualSpacing/>
        <w:jc w:val="both"/>
        <w:rPr>
          <w:rFonts w:cs="Times New Roman"/>
          <w:szCs w:val="24"/>
        </w:rPr>
      </w:pPr>
      <w:r w:rsidRPr="004306A0">
        <w:t>The combined concentration and risk results suggest that PAH exposure in the studied communities is not limited to a single season or microenvironment. Dry-season enrichment was evident, but wet-season PAHs remained measurable. Outdoor air tended to be higher than indoor air, but indoor concentrations were also relevant. This pattern supports monitoring strategies that cover both seasons and both microenvironments rather than relying on a single sampling period or outdoor-only monitoring.</w:t>
      </w:r>
    </w:p>
    <w:p w14:paraId="3E9D1073" w14:textId="77777777" w:rsidR="00F56C38" w:rsidRPr="004306A0" w:rsidRDefault="00163AF0" w:rsidP="00F5454E">
      <w:pPr>
        <w:spacing w:line="480" w:lineRule="auto"/>
        <w:contextualSpacing/>
        <w:jc w:val="both"/>
        <w:rPr>
          <w:rFonts w:cs="Times New Roman"/>
          <w:szCs w:val="24"/>
        </w:rPr>
      </w:pPr>
      <w:r w:rsidRPr="004306A0">
        <w:lastRenderedPageBreak/>
        <w:t>Children emerged as the more vulnerable group in the screening-risk assessment because the exposure model produced higher dose estimates per unit body weight. PAH exposure is of public-health concern because several PAH compounds are toxic, mutagenic or carcinogenic, and ambient PAHs have been associated with increased cancer risk in exposed populations (IARC, 2010; WHO Regional Office for Europe, 2021). Schools, residential settings and outdoor activity areas should therefore be considered in public-health communication and air-quality surveillance.</w:t>
      </w:r>
    </w:p>
    <w:p w14:paraId="2A8CD00A" w14:textId="77777777" w:rsidR="00F56C38" w:rsidRPr="004306A0" w:rsidRDefault="00163AF0" w:rsidP="00F5454E">
      <w:pPr>
        <w:spacing w:line="480" w:lineRule="auto"/>
        <w:contextualSpacing/>
        <w:jc w:val="both"/>
        <w:rPr>
          <w:rFonts w:cs="Times New Roman"/>
          <w:szCs w:val="24"/>
        </w:rPr>
      </w:pPr>
      <w:r w:rsidRPr="004306A0">
        <w:t>Practical risk-reduction actions may include improved road-dust control, reduction of open burning, maintenance of combustion equipment, cleaner household energy choices, improved ventilation management and regular public-health communication during dry-season periods. These actions are particularly relevant where residential buildings, schools, roads and commercial activities are close to one another.</w:t>
      </w:r>
    </w:p>
    <w:p w14:paraId="7715D550" w14:textId="77777777" w:rsidR="00F56C38" w:rsidRPr="004306A0" w:rsidRDefault="00163AF0">
      <w:pPr>
        <w:rPr>
          <w:rFonts w:cs="Times New Roman"/>
          <w:b/>
          <w:bCs/>
          <w:szCs w:val="24"/>
        </w:rPr>
      </w:pPr>
      <w:r w:rsidRPr="004306A0">
        <w:rPr>
          <w:rFonts w:cs="Times New Roman"/>
          <w:b/>
          <w:bCs/>
          <w:szCs w:val="24"/>
        </w:rPr>
        <w:t>Recommendations</w:t>
      </w:r>
    </w:p>
    <w:p w14:paraId="1BA55B6C" w14:textId="77777777" w:rsidR="00F56C38" w:rsidRPr="004306A0" w:rsidRDefault="00163AF0" w:rsidP="00841A77">
      <w:pPr>
        <w:spacing w:line="480" w:lineRule="auto"/>
        <w:contextualSpacing/>
        <w:jc w:val="both"/>
        <w:rPr>
          <w:rFonts w:cs="Times New Roman"/>
          <w:szCs w:val="24"/>
        </w:rPr>
      </w:pPr>
      <w:r w:rsidRPr="004306A0">
        <w:t>Policy-makers and relevant environmental authorities should strengthen routine PAH monitoring in Eleme communities, with attention to both indoor and outdoor air and to seasonal variation. Monitoring programmes should require clear reporting of sampling duration, air volume, analytical method, QA/QC performance, LOD/LOQ values and uncertainty notes so that results can be compared across studies and over time.</w:t>
      </w:r>
    </w:p>
    <w:p w14:paraId="31B0ED5E" w14:textId="77777777" w:rsidR="00841A77" w:rsidRPr="004306A0" w:rsidRDefault="00163AF0" w:rsidP="00841A77">
      <w:pPr>
        <w:spacing w:line="480" w:lineRule="auto"/>
        <w:contextualSpacing/>
        <w:jc w:val="both"/>
        <w:rPr>
          <w:rFonts w:cs="Times New Roman"/>
          <w:szCs w:val="24"/>
        </w:rPr>
      </w:pPr>
      <w:r w:rsidRPr="004306A0">
        <w:t>Local authorities, industries and community leadership should support measures that reduce combustion-related and dust-associated exposure, including control of open burning, cleaner household and commercial energy practices, improved road maintenance, dust suppression around construction corridors, traffic-flow management and periodic public-health awareness for schools and households. Future assessments should expand the number of sampling locations, extend monitoring frequency, include meteorological measurements and evaluate personal exposure factors that influence actual inhaled dose.</w:t>
      </w:r>
    </w:p>
    <w:p w14:paraId="6B8EEC4A" w14:textId="77777777" w:rsidR="00F56C38" w:rsidRPr="004306A0" w:rsidRDefault="00163AF0" w:rsidP="00841A77">
      <w:pPr>
        <w:spacing w:line="480" w:lineRule="auto"/>
        <w:contextualSpacing/>
        <w:jc w:val="center"/>
        <w:rPr>
          <w:rFonts w:cs="Times New Roman"/>
          <w:b/>
          <w:bCs/>
          <w:szCs w:val="24"/>
        </w:rPr>
      </w:pPr>
      <w:r w:rsidRPr="004306A0">
        <w:rPr>
          <w:rFonts w:cs="Times New Roman"/>
          <w:b/>
          <w:bCs/>
          <w:szCs w:val="24"/>
        </w:rPr>
        <w:lastRenderedPageBreak/>
        <w:t>Conclusion</w:t>
      </w:r>
    </w:p>
    <w:p w14:paraId="650BB51D" w14:textId="77777777" w:rsidR="00F56C38" w:rsidRPr="004306A0" w:rsidRDefault="00163AF0" w:rsidP="00841A77">
      <w:pPr>
        <w:spacing w:line="480" w:lineRule="auto"/>
        <w:contextualSpacing/>
        <w:jc w:val="both"/>
        <w:rPr>
          <w:rFonts w:cs="Times New Roman"/>
          <w:szCs w:val="24"/>
        </w:rPr>
      </w:pPr>
      <w:r w:rsidRPr="004306A0">
        <w:t>This study assessed PAH levels in indoor and outdoor air and estimated associated screening-level inhalation risks in Akpajo, Alesa and Aleto communities in Eleme, Rivers State, Nigeria. Total PAHs varied across community, season and microenvironment, with the highest concentration recorded in Aleto dry-season outdoor air and the lowest in Alesa wet-season indoor air.</w:t>
      </w:r>
    </w:p>
    <w:p w14:paraId="0D2FF879" w14:textId="77777777" w:rsidR="00F56C38" w:rsidRPr="004306A0" w:rsidRDefault="00163AF0" w:rsidP="00841A77">
      <w:pPr>
        <w:spacing w:line="480" w:lineRule="auto"/>
        <w:contextualSpacing/>
        <w:jc w:val="both"/>
        <w:rPr>
          <w:rFonts w:cs="Times New Roman"/>
          <w:szCs w:val="24"/>
        </w:rPr>
      </w:pPr>
      <w:r w:rsidRPr="004306A0">
        <w:t>The concentration pattern showed higher mean total PAHs during the dry season than the wet season and higher mean outdoor concentrations than indoor concentrations. Aleto had the highest community mean, while anthracene, pyrene, benzo(k)fluoranthene, naphthalene, fluorene and phenanthrene were the dominant pooled congeners. Values initially recorded as zero for some high-molecular-weight PAHs were reclassified as &lt; LOD, since these compounds were below the analytical detection limit rather than truly absent.</w:t>
      </w:r>
    </w:p>
    <w:p w14:paraId="045BF2C2" w14:textId="77777777" w:rsidR="00F56C38" w:rsidRPr="004306A0" w:rsidRDefault="00163AF0" w:rsidP="00841A77">
      <w:pPr>
        <w:spacing w:line="480" w:lineRule="auto"/>
        <w:contextualSpacing/>
        <w:jc w:val="both"/>
        <w:rPr>
          <w:rFonts w:cs="Times New Roman"/>
          <w:szCs w:val="24"/>
        </w:rPr>
      </w:pPr>
      <w:r w:rsidRPr="004306A0">
        <w:t>Screening-level health-risk assessment indicated higher LADD and ILCR values for children than adults. Several child ILCR values exceeded 1.00E-04, with the highest value occurring in Aleto dry-season outdoor air. The results support routine PAH monitoring, improved emission control, dust suppression, cleaner combustion practices and risk communication targeted to sensitive receptor groups.</w:t>
      </w:r>
    </w:p>
    <w:p w14:paraId="567CA3D0" w14:textId="77777777" w:rsidR="00021388" w:rsidRPr="004306A0" w:rsidRDefault="00163AF0" w:rsidP="00021388">
      <w:pPr>
        <w:spacing w:line="480" w:lineRule="auto"/>
        <w:contextualSpacing/>
        <w:jc w:val="both"/>
        <w:rPr>
          <w:rFonts w:cs="Times New Roman"/>
          <w:szCs w:val="24"/>
        </w:rPr>
      </w:pPr>
      <w:r w:rsidRPr="004306A0">
        <w:rPr>
          <w:rFonts w:cs="Times New Roman"/>
          <w:szCs w:val="24"/>
        </w:rPr>
        <w:t>Because the study is based on condition-specific values, the findings are interpreted descriptively and as a screening-level health-risk assessment. The observed spatial, seasonal and indoor–outdoor variations provide useful evidence of PAH occurrence and exposure patterns across the studied communities, but the results should be understood within the scope of the available dataset. Future studies may strengthen these findings through expanded sampling, longer monitoring periods and broader environmental assessment.</w:t>
      </w:r>
    </w:p>
    <w:p w14:paraId="06A54A44" w14:textId="77777777" w:rsidR="00C213EB" w:rsidRPr="004306A0" w:rsidRDefault="00C213EB" w:rsidP="00021388">
      <w:pPr>
        <w:spacing w:line="480" w:lineRule="auto"/>
        <w:contextualSpacing/>
        <w:jc w:val="both"/>
        <w:rPr>
          <w:rFonts w:cs="Times New Roman"/>
          <w:szCs w:val="24"/>
        </w:rPr>
      </w:pPr>
    </w:p>
    <w:p w14:paraId="0E1ED52B" w14:textId="77777777" w:rsidR="00C213EB" w:rsidRPr="004306A0" w:rsidRDefault="00C213EB" w:rsidP="00021388">
      <w:pPr>
        <w:spacing w:line="480" w:lineRule="auto"/>
        <w:contextualSpacing/>
        <w:jc w:val="both"/>
        <w:rPr>
          <w:rFonts w:cs="Times New Roman"/>
          <w:szCs w:val="24"/>
        </w:rPr>
      </w:pPr>
    </w:p>
    <w:p w14:paraId="4FE48A84" w14:textId="77777777" w:rsidR="00F56C38" w:rsidRPr="004306A0" w:rsidRDefault="00163AF0" w:rsidP="00021388">
      <w:pPr>
        <w:spacing w:line="480" w:lineRule="auto"/>
        <w:contextualSpacing/>
        <w:jc w:val="both"/>
        <w:rPr>
          <w:rFonts w:cs="Times New Roman"/>
          <w:b/>
          <w:bCs/>
          <w:szCs w:val="24"/>
        </w:rPr>
      </w:pPr>
      <w:r w:rsidRPr="004306A0">
        <w:rPr>
          <w:rFonts w:cs="Times New Roman"/>
          <w:b/>
          <w:bCs/>
          <w:szCs w:val="24"/>
        </w:rPr>
        <w:t>Limitations</w:t>
      </w:r>
    </w:p>
    <w:p w14:paraId="0DA2D721" w14:textId="77777777" w:rsidR="00F56C38" w:rsidRPr="004306A0" w:rsidRDefault="00163AF0" w:rsidP="00021388">
      <w:pPr>
        <w:spacing w:line="480" w:lineRule="auto"/>
        <w:contextualSpacing/>
        <w:jc w:val="both"/>
        <w:rPr>
          <w:rFonts w:cs="Times New Roman"/>
          <w:szCs w:val="24"/>
        </w:rPr>
      </w:pPr>
      <w:r w:rsidRPr="004306A0">
        <w:t>This study provides useful information on the occurrence, seasonal variation and inhalation health-risk profile of PAHs in indoor and outdoor air across selected communities in Eleme, Rivers State, Nigeria. The findings are based on twelve season-community-microenvironment conditions and are interpreted descriptively with emphasis on observed concentration patterns and screening-level health-risk estimates. The results show clear differences across communities, seasons and indoor-outdoor settings, but they should be understood within the scope of the available dataset. Wider sampling coverage, longer monitoring periods and repeated seasonal measurements would strengthen future assessments and improve temporal representation.</w:t>
      </w:r>
    </w:p>
    <w:p w14:paraId="3B23B30D" w14:textId="77777777" w:rsidR="00021388" w:rsidRPr="004306A0" w:rsidRDefault="00163AF0" w:rsidP="00021388">
      <w:pPr>
        <w:spacing w:line="480" w:lineRule="auto"/>
        <w:contextualSpacing/>
        <w:jc w:val="both"/>
        <w:rPr>
          <w:rFonts w:cs="Times New Roman"/>
          <w:szCs w:val="24"/>
        </w:rPr>
      </w:pPr>
      <w:r w:rsidRPr="004306A0">
        <w:t>The interpretation of PAH patterns was guided by measured concentrations, seasonal behaviour and environmental characteristics of the study area. The health-risk estimates should be regarded as screening-level indicators because actual exposure may vary with age, body weight, occupation, time spent indoors or outdoors, ventilation conditions, household practices and proximity to local emission activities.</w:t>
      </w:r>
    </w:p>
    <w:p w14:paraId="7A8B7AE0" w14:textId="77777777" w:rsidR="00341605" w:rsidRPr="004306A0" w:rsidRDefault="00341605" w:rsidP="00341605">
      <w:pPr>
        <w:suppressAutoHyphens w:val="0"/>
        <w:spacing w:after="160" w:line="278" w:lineRule="auto"/>
        <w:rPr>
          <w:rFonts w:ascii="Calibri" w:eastAsia="Calibri" w:hAnsi="Calibri" w:cs="Times New Roman"/>
          <w:b/>
          <w:bCs/>
          <w:kern w:val="2"/>
          <w:szCs w:val="24"/>
          <w14:ligatures w14:val="standardContextual"/>
        </w:rPr>
      </w:pPr>
      <w:r w:rsidRPr="004306A0">
        <w:rPr>
          <w:rFonts w:ascii="Calibri" w:eastAsia="Calibri" w:hAnsi="Calibri" w:cs="Times New Roman"/>
          <w:b/>
          <w:bCs/>
          <w:kern w:val="2"/>
          <w:szCs w:val="24"/>
          <w14:ligatures w14:val="standardContextual"/>
        </w:rPr>
        <w:t>Declaration of AI Use</w:t>
      </w:r>
    </w:p>
    <w:p w14:paraId="53F5E1A1" w14:textId="77777777" w:rsidR="00341605" w:rsidRPr="004306A0" w:rsidRDefault="00341605" w:rsidP="00341605">
      <w:pPr>
        <w:suppressAutoHyphens w:val="0"/>
        <w:spacing w:after="160" w:line="278" w:lineRule="auto"/>
        <w:jc w:val="both"/>
        <w:rPr>
          <w:rFonts w:ascii="Calibri" w:eastAsia="Calibri" w:hAnsi="Calibri" w:cs="Times New Roman"/>
          <w:kern w:val="2"/>
          <w:szCs w:val="24"/>
          <w14:ligatures w14:val="standardContextual"/>
        </w:rPr>
      </w:pPr>
      <w:r w:rsidRPr="004306A0">
        <w:rPr>
          <w:rFonts w:ascii="Calibri" w:eastAsia="Calibri" w:hAnsi="Calibri" w:cs="Times New Roman"/>
          <w:kern w:val="2"/>
          <w:szCs w:val="24"/>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ADDB9E1" w14:textId="77777777" w:rsidR="00AF74CE" w:rsidRPr="004306A0" w:rsidRDefault="00AF74CE" w:rsidP="00341605">
      <w:pPr>
        <w:suppressAutoHyphens w:val="0"/>
        <w:spacing w:after="160" w:line="278" w:lineRule="auto"/>
        <w:jc w:val="both"/>
        <w:rPr>
          <w:rFonts w:ascii="Calibri" w:eastAsia="Calibri" w:hAnsi="Calibri" w:cs="Times New Roman"/>
          <w:kern w:val="2"/>
          <w:szCs w:val="24"/>
          <w14:ligatures w14:val="standardContextual"/>
        </w:rPr>
      </w:pPr>
    </w:p>
    <w:p w14:paraId="47309ECA" w14:textId="77777777" w:rsidR="00AF74CE" w:rsidRPr="004306A0" w:rsidRDefault="00AF74CE" w:rsidP="00341605">
      <w:pPr>
        <w:suppressAutoHyphens w:val="0"/>
        <w:spacing w:after="160" w:line="278" w:lineRule="auto"/>
        <w:jc w:val="both"/>
        <w:rPr>
          <w:rFonts w:ascii="Calibri" w:eastAsia="Calibri" w:hAnsi="Calibri" w:cs="Times New Roman"/>
          <w:kern w:val="2"/>
          <w:szCs w:val="24"/>
          <w14:ligatures w14:val="standardContextual"/>
        </w:rPr>
      </w:pPr>
    </w:p>
    <w:p w14:paraId="2F48921C" w14:textId="77777777" w:rsidR="00AF74CE" w:rsidRPr="004306A0" w:rsidRDefault="00AF74CE" w:rsidP="00341605">
      <w:pPr>
        <w:suppressAutoHyphens w:val="0"/>
        <w:spacing w:after="160" w:line="278" w:lineRule="auto"/>
        <w:jc w:val="both"/>
        <w:rPr>
          <w:rFonts w:ascii="Calibri" w:eastAsia="Calibri" w:hAnsi="Calibri" w:cs="Times New Roman"/>
          <w:kern w:val="2"/>
          <w:szCs w:val="24"/>
          <w14:ligatures w14:val="standardContextual"/>
        </w:rPr>
      </w:pPr>
    </w:p>
    <w:p w14:paraId="0E1A1723" w14:textId="77777777" w:rsidR="00F56C38" w:rsidRPr="004306A0" w:rsidRDefault="00163AF0" w:rsidP="00852B27">
      <w:pPr>
        <w:jc w:val="center"/>
        <w:rPr>
          <w:rFonts w:cs="Times New Roman"/>
          <w:b/>
          <w:bCs/>
          <w:szCs w:val="24"/>
        </w:rPr>
      </w:pPr>
      <w:r w:rsidRPr="004306A0">
        <w:rPr>
          <w:rFonts w:cs="Times New Roman"/>
          <w:b/>
          <w:bCs/>
          <w:szCs w:val="24"/>
        </w:rPr>
        <w:lastRenderedPageBreak/>
        <w:t>References</w:t>
      </w:r>
    </w:p>
    <w:p w14:paraId="7DB0C687" w14:textId="32571C56"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Adeniran, J. A., Ogunlade, B. T., </w:t>
      </w:r>
      <w:proofErr w:type="spellStart"/>
      <w:r w:rsidRPr="00AD5159">
        <w:rPr>
          <w:rFonts w:cs="Times New Roman"/>
          <w:szCs w:val="24"/>
        </w:rPr>
        <w:t>Odediran</w:t>
      </w:r>
      <w:proofErr w:type="spellEnd"/>
      <w:r w:rsidRPr="00AD5159">
        <w:rPr>
          <w:rFonts w:cs="Times New Roman"/>
          <w:szCs w:val="24"/>
        </w:rPr>
        <w:t xml:space="preserve">, E. T., Yusuf, R. O., &amp; </w:t>
      </w:r>
      <w:proofErr w:type="spellStart"/>
      <w:r w:rsidRPr="00AD5159">
        <w:rPr>
          <w:rFonts w:cs="Times New Roman"/>
          <w:szCs w:val="24"/>
        </w:rPr>
        <w:t>Sonibare</w:t>
      </w:r>
      <w:proofErr w:type="spellEnd"/>
      <w:r w:rsidRPr="00AD5159">
        <w:rPr>
          <w:rFonts w:cs="Times New Roman"/>
          <w:szCs w:val="24"/>
        </w:rPr>
        <w:t xml:space="preserve">, J. A. (2025). Polycyclic aromatic hydrocarbons within the vicinity of a scrap-iron smelting plant: Indoor-outdoor and seasonal pattern, source, and exposure risk assessment. </w:t>
      </w:r>
      <w:r w:rsidRPr="00AD5159">
        <w:rPr>
          <w:rFonts w:cs="Times New Roman"/>
          <w:i/>
          <w:iCs/>
          <w:szCs w:val="24"/>
        </w:rPr>
        <w:t>International Journal of Environmental Health Research, 35</w:t>
      </w:r>
      <w:r w:rsidRPr="00AD5159">
        <w:rPr>
          <w:rFonts w:cs="Times New Roman"/>
          <w:szCs w:val="24"/>
        </w:rPr>
        <w:t xml:space="preserve">(8), 2103–2121. </w:t>
      </w:r>
      <w:hyperlink r:id="rId7" w:history="1">
        <w:r w:rsidRPr="00AD5159">
          <w:rPr>
            <w:rFonts w:cs="Times New Roman"/>
            <w:color w:val="0000FF"/>
            <w:szCs w:val="24"/>
            <w:u w:val="single"/>
          </w:rPr>
          <w:t>https://doi.org/10.1080/09603123.2024.2431228</w:t>
        </w:r>
      </w:hyperlink>
    </w:p>
    <w:p w14:paraId="01BD32FD" w14:textId="10FDBDD2"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Ana, G. R. E. E., Sridhar, M. K. C., &amp; </w:t>
      </w:r>
      <w:proofErr w:type="spellStart"/>
      <w:r w:rsidRPr="00AD5159">
        <w:rPr>
          <w:rFonts w:cs="Times New Roman"/>
          <w:szCs w:val="24"/>
        </w:rPr>
        <w:t>Emerole</w:t>
      </w:r>
      <w:proofErr w:type="spellEnd"/>
      <w:r w:rsidRPr="00AD5159">
        <w:rPr>
          <w:rFonts w:cs="Times New Roman"/>
          <w:szCs w:val="24"/>
        </w:rPr>
        <w:t xml:space="preserve">, G. O. (2012). Polycyclic aromatic hydrocarbon burden in ambient air in selected Niger Delta communities in Nigeria. </w:t>
      </w:r>
      <w:r w:rsidRPr="00AD5159">
        <w:rPr>
          <w:rFonts w:cs="Times New Roman"/>
          <w:i/>
          <w:iCs/>
          <w:szCs w:val="24"/>
        </w:rPr>
        <w:t>Journal of the Air &amp; Waste Management Association, 62</w:t>
      </w:r>
      <w:r w:rsidRPr="00AD5159">
        <w:rPr>
          <w:rFonts w:cs="Times New Roman"/>
          <w:szCs w:val="24"/>
        </w:rPr>
        <w:t xml:space="preserve">(1), 18–25. </w:t>
      </w:r>
      <w:hyperlink r:id="rId8" w:history="1">
        <w:r w:rsidRPr="00AD5159">
          <w:rPr>
            <w:rFonts w:cs="Times New Roman"/>
            <w:color w:val="0000FF"/>
            <w:szCs w:val="24"/>
            <w:u w:val="single"/>
          </w:rPr>
          <w:t>https://doi.org/10.1080/10473289.2011.628900</w:t>
        </w:r>
      </w:hyperlink>
    </w:p>
    <w:p w14:paraId="5259D6D2" w14:textId="2EACB91D" w:rsidR="00AD5159" w:rsidRPr="00AD5159" w:rsidRDefault="00AD5159" w:rsidP="00AD5159">
      <w:pPr>
        <w:suppressAutoHyphens w:val="0"/>
        <w:spacing w:after="0" w:line="240" w:lineRule="auto"/>
        <w:ind w:left="540" w:hanging="540"/>
        <w:jc w:val="both"/>
        <w:rPr>
          <w:rFonts w:cs="Times New Roman"/>
          <w:szCs w:val="24"/>
        </w:rPr>
      </w:pPr>
      <w:proofErr w:type="spellStart"/>
      <w:r w:rsidRPr="00AD5159">
        <w:rPr>
          <w:rFonts w:cs="Times New Roman"/>
          <w:szCs w:val="24"/>
        </w:rPr>
        <w:t>Antai</w:t>
      </w:r>
      <w:proofErr w:type="spellEnd"/>
      <w:r w:rsidRPr="00AD5159">
        <w:rPr>
          <w:rFonts w:cs="Times New Roman"/>
          <w:szCs w:val="24"/>
        </w:rPr>
        <w:t xml:space="preserve">, R. E., Osuji, L. C., Obafemi, A. A., </w:t>
      </w:r>
      <w:proofErr w:type="spellStart"/>
      <w:r w:rsidRPr="00AD5159">
        <w:rPr>
          <w:rFonts w:cs="Times New Roman"/>
          <w:szCs w:val="24"/>
        </w:rPr>
        <w:t>Onojake</w:t>
      </w:r>
      <w:proofErr w:type="spellEnd"/>
      <w:r w:rsidRPr="00AD5159">
        <w:rPr>
          <w:rFonts w:cs="Times New Roman"/>
          <w:szCs w:val="24"/>
        </w:rPr>
        <w:t xml:space="preserve">, M. C., &amp; </w:t>
      </w:r>
      <w:proofErr w:type="spellStart"/>
      <w:r w:rsidRPr="00AD5159">
        <w:rPr>
          <w:rFonts w:cs="Times New Roman"/>
          <w:szCs w:val="24"/>
        </w:rPr>
        <w:t>Antai</w:t>
      </w:r>
      <w:proofErr w:type="spellEnd"/>
      <w:r w:rsidRPr="00AD5159">
        <w:rPr>
          <w:rFonts w:cs="Times New Roman"/>
          <w:szCs w:val="24"/>
        </w:rPr>
        <w:t xml:space="preserve">, H. R. (2020). The effects of </w:t>
      </w:r>
      <w:proofErr w:type="spellStart"/>
      <w:r w:rsidRPr="00AD5159">
        <w:rPr>
          <w:rFonts w:cs="Times New Roman"/>
          <w:szCs w:val="24"/>
        </w:rPr>
        <w:t>dryseason</w:t>
      </w:r>
      <w:proofErr w:type="spellEnd"/>
      <w:r w:rsidRPr="00AD5159">
        <w:rPr>
          <w:rFonts w:cs="Times New Roman"/>
          <w:szCs w:val="24"/>
        </w:rPr>
        <w:t xml:space="preserve"> induced air pollutants </w:t>
      </w:r>
      <w:proofErr w:type="spellStart"/>
      <w:r w:rsidRPr="00AD5159">
        <w:rPr>
          <w:rFonts w:cs="Times New Roman"/>
          <w:szCs w:val="24"/>
        </w:rPr>
        <w:t>concenterations</w:t>
      </w:r>
      <w:proofErr w:type="spellEnd"/>
      <w:r w:rsidRPr="00AD5159">
        <w:rPr>
          <w:rFonts w:cs="Times New Roman"/>
          <w:szCs w:val="24"/>
        </w:rPr>
        <w:t xml:space="preserve"> in Eleme, Rivers State, Nigeria. </w:t>
      </w:r>
      <w:r w:rsidRPr="00AD5159">
        <w:rPr>
          <w:rFonts w:cs="Times New Roman"/>
          <w:i/>
          <w:iCs/>
          <w:szCs w:val="24"/>
        </w:rPr>
        <w:t>IOSR Journal of Environmental Science, Toxicology and Food Technology, 14</w:t>
      </w:r>
      <w:r w:rsidRPr="00AD5159">
        <w:rPr>
          <w:rFonts w:cs="Times New Roman"/>
          <w:szCs w:val="24"/>
        </w:rPr>
        <w:t xml:space="preserve">(4), 13–22. </w:t>
      </w:r>
      <w:hyperlink r:id="rId9" w:history="1">
        <w:r w:rsidRPr="00AD5159">
          <w:rPr>
            <w:rFonts w:cs="Times New Roman"/>
            <w:color w:val="0000FF"/>
            <w:szCs w:val="24"/>
            <w:u w:val="single"/>
          </w:rPr>
          <w:t>https://doi.org/10.9790/2402-1404041322</w:t>
        </w:r>
      </w:hyperlink>
    </w:p>
    <w:p w14:paraId="5B9317FF" w14:textId="6E24E4EC"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lang w:val="nl-BE"/>
        </w:rPr>
        <w:t xml:space="preserve">Ede, P. N., &amp; Edokpa, D. O. (2015). </w:t>
      </w:r>
      <w:r w:rsidRPr="00AD5159">
        <w:rPr>
          <w:rFonts w:cs="Times New Roman"/>
          <w:szCs w:val="24"/>
        </w:rPr>
        <w:t xml:space="preserve">Regional air quality of Nigeria’s Niger Delta. </w:t>
      </w:r>
      <w:r w:rsidRPr="00AD5159">
        <w:rPr>
          <w:rFonts w:cs="Times New Roman"/>
          <w:i/>
          <w:iCs/>
          <w:szCs w:val="24"/>
        </w:rPr>
        <w:t>Open Journal of Air Pollution, 4</w:t>
      </w:r>
      <w:r w:rsidRPr="00AD5159">
        <w:rPr>
          <w:rFonts w:cs="Times New Roman"/>
          <w:szCs w:val="24"/>
        </w:rPr>
        <w:t xml:space="preserve">(1), 7–15. </w:t>
      </w:r>
      <w:hyperlink r:id="rId10" w:history="1">
        <w:r w:rsidRPr="00AD5159">
          <w:rPr>
            <w:rFonts w:cs="Times New Roman"/>
            <w:color w:val="0000FF"/>
            <w:szCs w:val="24"/>
            <w:u w:val="single"/>
          </w:rPr>
          <w:t>https://doi.org/10.4236/ojap.2015.41002</w:t>
        </w:r>
      </w:hyperlink>
    </w:p>
    <w:p w14:paraId="350C7D16" w14:textId="59FF9D24"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Fann, N., Brennan, T., Dolwick, P., Gamble, J. L., Ilacqua, V., Kolb, L., Nolte, C. G., Spero, T. L., &amp; Ziska, L. (2016). Chapter 3: Air quality impacts. In A. Crimmins, J. Balbus, J. L. Gamble, C. B. Beard, J. E. Bell, D. Dodgen, R. J. Eisen, N. Fann, M. D. Hawkins, S. C. Herring, L. </w:t>
      </w:r>
      <w:proofErr w:type="spellStart"/>
      <w:r w:rsidRPr="00AD5159">
        <w:rPr>
          <w:rFonts w:cs="Times New Roman"/>
          <w:szCs w:val="24"/>
        </w:rPr>
        <w:t>Jantarasami</w:t>
      </w:r>
      <w:proofErr w:type="spellEnd"/>
      <w:r w:rsidRPr="00AD5159">
        <w:rPr>
          <w:rFonts w:cs="Times New Roman"/>
          <w:szCs w:val="24"/>
        </w:rPr>
        <w:t xml:space="preserve">, D. M. Mills, S. Saha, M. C. Sarofim, J. </w:t>
      </w:r>
      <w:proofErr w:type="spellStart"/>
      <w:r w:rsidRPr="00AD5159">
        <w:rPr>
          <w:rFonts w:cs="Times New Roman"/>
          <w:szCs w:val="24"/>
        </w:rPr>
        <w:t>Trtanj</w:t>
      </w:r>
      <w:proofErr w:type="spellEnd"/>
      <w:r w:rsidRPr="00AD5159">
        <w:rPr>
          <w:rFonts w:cs="Times New Roman"/>
          <w:szCs w:val="24"/>
        </w:rPr>
        <w:t xml:space="preserve">, &amp; L. Ziska (Eds.), </w:t>
      </w:r>
      <w:r w:rsidRPr="00AD5159">
        <w:rPr>
          <w:rFonts w:cs="Times New Roman"/>
          <w:i/>
          <w:iCs/>
          <w:szCs w:val="24"/>
        </w:rPr>
        <w:t>The impacts of climate change on human health in the United States: A scientific assessment</w:t>
      </w:r>
      <w:r w:rsidRPr="00AD5159">
        <w:rPr>
          <w:rFonts w:cs="Times New Roman"/>
          <w:szCs w:val="24"/>
        </w:rPr>
        <w:t xml:space="preserve"> (pp. 69–98). U.S. Global Change Research Program. </w:t>
      </w:r>
      <w:hyperlink r:id="rId11" w:history="1">
        <w:r w:rsidRPr="00AD5159">
          <w:rPr>
            <w:rFonts w:cs="Times New Roman"/>
            <w:color w:val="0000FF"/>
            <w:szCs w:val="24"/>
            <w:u w:val="single"/>
          </w:rPr>
          <w:t>https://doi.org/10.7930/J0R49NQX</w:t>
        </w:r>
      </w:hyperlink>
    </w:p>
    <w:p w14:paraId="3B277A9A" w14:textId="0C303F33"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Food and Agriculture Organization of the United Nations, &amp; World Health Organization. (2005). </w:t>
      </w:r>
      <w:r w:rsidRPr="00AD5159">
        <w:rPr>
          <w:rFonts w:cs="Times New Roman"/>
          <w:i/>
          <w:iCs/>
          <w:szCs w:val="24"/>
        </w:rPr>
        <w:t>Discussion paper on polycyclic aromatic hydrocarbons contamination</w:t>
      </w:r>
      <w:r w:rsidRPr="00AD5159">
        <w:rPr>
          <w:rFonts w:cs="Times New Roman"/>
          <w:szCs w:val="24"/>
        </w:rPr>
        <w:t xml:space="preserve"> (CX/FAC 05/37/34). Codex Committee on Food Additives and Contaminants. </w:t>
      </w:r>
      <w:hyperlink r:id="rId12" w:history="1">
        <w:r w:rsidRPr="00AD5159">
          <w:rPr>
            <w:rFonts w:cs="Times New Roman"/>
            <w:color w:val="0000FF"/>
            <w:szCs w:val="24"/>
            <w:u w:val="single"/>
          </w:rPr>
          <w:t>https://www.fao.org/fao-who-codexalimentarius/sh-proxy/en/?lnk=1&amp;url=https%253A%252F%252Fworkspace.fao.org%252Fsites%252Fcodex%252FShared%2BDocuments%252FArchive%252FMeetings%252FCCFAC%252Fccfac37%252FFA37_34e.pdf</w:t>
        </w:r>
      </w:hyperlink>
    </w:p>
    <w:p w14:paraId="749735F7" w14:textId="2CAA927D"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Ghetu, C. C., Rohlman, D., Smith, B. W., Scott, R. P., Adams, K. A., Hoffman, P. D., &amp; Anderson, K. A. (2022). Wildfire impact on indoor and outdoor PAH air quality. </w:t>
      </w:r>
      <w:r w:rsidRPr="00AD5159">
        <w:rPr>
          <w:rFonts w:cs="Times New Roman"/>
          <w:i/>
          <w:iCs/>
          <w:szCs w:val="24"/>
        </w:rPr>
        <w:t>Environmental Science &amp; Technology, 56</w:t>
      </w:r>
      <w:r w:rsidRPr="00AD5159">
        <w:rPr>
          <w:rFonts w:cs="Times New Roman"/>
          <w:szCs w:val="24"/>
        </w:rPr>
        <w:t xml:space="preserve">(14), 10042–10052. </w:t>
      </w:r>
      <w:hyperlink r:id="rId13" w:history="1">
        <w:r w:rsidRPr="00AD5159">
          <w:rPr>
            <w:rFonts w:cs="Times New Roman"/>
            <w:color w:val="0000FF"/>
            <w:szCs w:val="24"/>
            <w:u w:val="single"/>
          </w:rPr>
          <w:t>https://doi.org/10.1021/acs.est.2c00619</w:t>
        </w:r>
      </w:hyperlink>
    </w:p>
    <w:p w14:paraId="67FE44A2" w14:textId="2D9CDF89" w:rsidR="00AD5159" w:rsidRPr="00AD5159" w:rsidRDefault="00AD5159" w:rsidP="00AD5159">
      <w:pPr>
        <w:suppressAutoHyphens w:val="0"/>
        <w:spacing w:after="0" w:line="240" w:lineRule="auto"/>
        <w:ind w:left="540" w:hanging="540"/>
        <w:jc w:val="both"/>
        <w:rPr>
          <w:rFonts w:cs="Times New Roman"/>
          <w:szCs w:val="24"/>
        </w:rPr>
      </w:pPr>
      <w:proofErr w:type="spellStart"/>
      <w:r w:rsidRPr="00AD5159">
        <w:rPr>
          <w:rFonts w:cs="Times New Roman"/>
          <w:szCs w:val="24"/>
        </w:rPr>
        <w:t>Ideriah</w:t>
      </w:r>
      <w:proofErr w:type="spellEnd"/>
      <w:r w:rsidRPr="00AD5159">
        <w:rPr>
          <w:rFonts w:cs="Times New Roman"/>
          <w:szCs w:val="24"/>
        </w:rPr>
        <w:t xml:space="preserve">, T. J. K., Dick-Williams, U. G., Gobo, A. E., Dollah, O. C., &amp; </w:t>
      </w:r>
      <w:proofErr w:type="spellStart"/>
      <w:r w:rsidRPr="00AD5159">
        <w:rPr>
          <w:rFonts w:cs="Times New Roman"/>
          <w:szCs w:val="24"/>
        </w:rPr>
        <w:t>Awolo</w:t>
      </w:r>
      <w:proofErr w:type="spellEnd"/>
      <w:r w:rsidRPr="00AD5159">
        <w:rPr>
          <w:rFonts w:cs="Times New Roman"/>
          <w:szCs w:val="24"/>
        </w:rPr>
        <w:t xml:space="preserve">, S. N. (2025). Ambient air particulate matter levels in some industrial communities in Rivers State, Nigeria. </w:t>
      </w:r>
      <w:r w:rsidRPr="00AD5159">
        <w:rPr>
          <w:rFonts w:cs="Times New Roman"/>
          <w:i/>
          <w:iCs/>
          <w:szCs w:val="24"/>
        </w:rPr>
        <w:t>Journal of Global Ecology and Environment, 21</w:t>
      </w:r>
      <w:r w:rsidRPr="00AD5159">
        <w:rPr>
          <w:rFonts w:cs="Times New Roman"/>
          <w:szCs w:val="24"/>
        </w:rPr>
        <w:t xml:space="preserve">(4), 16–32. </w:t>
      </w:r>
      <w:hyperlink r:id="rId14" w:history="1">
        <w:r w:rsidRPr="00AD5159">
          <w:rPr>
            <w:rFonts w:cs="Times New Roman"/>
            <w:color w:val="0000FF"/>
            <w:szCs w:val="24"/>
            <w:u w:val="single"/>
          </w:rPr>
          <w:t>https://doi.org/10.56557/jogee/2025/v21i49759</w:t>
        </w:r>
      </w:hyperlink>
    </w:p>
    <w:p w14:paraId="209BD717" w14:textId="3F73C844"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International Agency for Research on Cancer. (2010). </w:t>
      </w:r>
      <w:r w:rsidRPr="00AD5159">
        <w:rPr>
          <w:rFonts w:cs="Times New Roman"/>
          <w:i/>
          <w:iCs/>
          <w:szCs w:val="24"/>
        </w:rPr>
        <w:t>Some non-heterocyclic polycyclic aromatic hydrocarbons and some related exposures</w:t>
      </w:r>
      <w:r w:rsidRPr="00AD5159">
        <w:rPr>
          <w:rFonts w:cs="Times New Roman"/>
          <w:szCs w:val="24"/>
        </w:rPr>
        <w:t xml:space="preserve"> (IARC Monographs on the Evaluation of Carcinogenic Risks to Humans, Vol. 92). International Agency for Research on Cancer. </w:t>
      </w:r>
      <w:hyperlink r:id="rId15" w:history="1">
        <w:r w:rsidRPr="00AD5159">
          <w:rPr>
            <w:rFonts w:cs="Times New Roman"/>
            <w:color w:val="0000FF"/>
            <w:szCs w:val="24"/>
            <w:u w:val="single"/>
          </w:rPr>
          <w:t>https://publications.iarc.who.int/Book-And-Report-Series/Iarc-Monographs-On-The-Identification-Of-Carcinogenic-Hazards-To-Humans/Some-Non-heterocyclic-Polycyclic-Aromatic-Hydrocarbons-And-Some-Related-Exposures-2010</w:t>
        </w:r>
      </w:hyperlink>
    </w:p>
    <w:p w14:paraId="159757D6" w14:textId="16A31240"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Maliszewska-</w:t>
      </w:r>
      <w:proofErr w:type="spellStart"/>
      <w:r w:rsidRPr="00AD5159">
        <w:rPr>
          <w:rFonts w:cs="Times New Roman"/>
          <w:szCs w:val="24"/>
        </w:rPr>
        <w:t>Kordybach</w:t>
      </w:r>
      <w:proofErr w:type="spellEnd"/>
      <w:r w:rsidRPr="00AD5159">
        <w:rPr>
          <w:rFonts w:cs="Times New Roman"/>
          <w:szCs w:val="24"/>
        </w:rPr>
        <w:t xml:space="preserve">, B. (1999). Sources, concentrations, fate and effects of polycyclic aromatic hydrocarbons (PAHs) in the environment. Part A: PAHs in air. </w:t>
      </w:r>
      <w:r w:rsidRPr="00AD5159">
        <w:rPr>
          <w:rFonts w:cs="Times New Roman"/>
          <w:i/>
          <w:iCs/>
          <w:szCs w:val="24"/>
        </w:rPr>
        <w:t>Polish Journal of Environmental Studies, 8</w:t>
      </w:r>
      <w:r w:rsidRPr="00AD5159">
        <w:rPr>
          <w:rFonts w:cs="Times New Roman"/>
          <w:szCs w:val="24"/>
        </w:rPr>
        <w:t xml:space="preserve">(3), 131–136. </w:t>
      </w:r>
      <w:hyperlink r:id="rId16" w:history="1">
        <w:r w:rsidRPr="00AD5159">
          <w:rPr>
            <w:rFonts w:cs="Times New Roman"/>
            <w:color w:val="0000FF"/>
            <w:szCs w:val="24"/>
            <w:u w:val="single"/>
          </w:rPr>
          <w:t>https://www.pjoes.com/Sources-Concentrations-Fate-and-Effects-of-Polycyclic-Aromatic-Hydrocarbons-PAHs%2C87230%2C0%2C2.html</w:t>
        </w:r>
      </w:hyperlink>
    </w:p>
    <w:p w14:paraId="6A117558" w14:textId="36268456"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lang w:val="nl-BE"/>
        </w:rPr>
        <w:lastRenderedPageBreak/>
        <w:t xml:space="preserve">Mannan, M., &amp; Al-Ghamdi, S. G. (2021). </w:t>
      </w:r>
      <w:r w:rsidRPr="00AD5159">
        <w:rPr>
          <w:rFonts w:cs="Times New Roman"/>
          <w:szCs w:val="24"/>
        </w:rPr>
        <w:t xml:space="preserve">Indoor air quality in buildings: A comprehensive review on the factors influencing air pollution in residential and commercial structure. </w:t>
      </w:r>
      <w:r w:rsidRPr="00AD5159">
        <w:rPr>
          <w:rFonts w:cs="Times New Roman"/>
          <w:i/>
          <w:iCs/>
          <w:szCs w:val="24"/>
        </w:rPr>
        <w:t>International Journal of Environmental Research and Public Health, 18</w:t>
      </w:r>
      <w:r w:rsidRPr="00AD5159">
        <w:rPr>
          <w:rFonts w:cs="Times New Roman"/>
          <w:szCs w:val="24"/>
        </w:rPr>
        <w:t xml:space="preserve">(6), Article 3276. </w:t>
      </w:r>
      <w:hyperlink r:id="rId17" w:history="1">
        <w:r w:rsidRPr="00AD5159">
          <w:rPr>
            <w:rFonts w:cs="Times New Roman"/>
            <w:color w:val="0000FF"/>
            <w:szCs w:val="24"/>
            <w:u w:val="single"/>
          </w:rPr>
          <w:t>https://doi.org/10.3390/ijerph18063276</w:t>
        </w:r>
      </w:hyperlink>
    </w:p>
    <w:p w14:paraId="3ACFB18C" w14:textId="43315A07"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lang w:val="nl-BE"/>
        </w:rPr>
        <w:t xml:space="preserve">Onwujekwe, E. C., Eze, C. N., Ogbonna, J. C., &amp; Eze, C. N. (2022). </w:t>
      </w:r>
      <w:r w:rsidRPr="00AD5159">
        <w:rPr>
          <w:rFonts w:cs="Times New Roman"/>
          <w:szCs w:val="24"/>
        </w:rPr>
        <w:t xml:space="preserve">Biodegradation and impact of polycyclic aromatic hydrocarbons in the environment: A review. </w:t>
      </w:r>
      <w:r w:rsidRPr="00AD5159">
        <w:rPr>
          <w:rFonts w:cs="Times New Roman"/>
          <w:i/>
          <w:iCs/>
          <w:szCs w:val="24"/>
        </w:rPr>
        <w:t>Journal of Advances in Biology &amp; Biotechnology, 25</w:t>
      </w:r>
      <w:r w:rsidRPr="00AD5159">
        <w:rPr>
          <w:rFonts w:cs="Times New Roman"/>
          <w:szCs w:val="24"/>
        </w:rPr>
        <w:t xml:space="preserve">(9), 35–47. </w:t>
      </w:r>
      <w:hyperlink r:id="rId18" w:history="1">
        <w:r w:rsidRPr="00AD5159">
          <w:rPr>
            <w:rFonts w:cs="Times New Roman"/>
            <w:color w:val="0000FF"/>
            <w:szCs w:val="24"/>
            <w:u w:val="single"/>
          </w:rPr>
          <w:t>https://doi.org/10.9734/jabb/2022/v25i9597</w:t>
        </w:r>
      </w:hyperlink>
    </w:p>
    <w:p w14:paraId="4CDB1602" w14:textId="33465D09"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Seo, Y., Park, D., &amp; Baek, S. O. (2009). Evaluation of measurement methods for polycyclic aromatic hydrocarbons in ambient air using high-volume sampling and GC/MS analysis. </w:t>
      </w:r>
      <w:r w:rsidRPr="00AD5159">
        <w:rPr>
          <w:rFonts w:cs="Times New Roman"/>
          <w:i/>
          <w:iCs/>
          <w:szCs w:val="24"/>
        </w:rPr>
        <w:t>Korean Journal of Environmental Health Sciences, 35</w:t>
      </w:r>
      <w:r w:rsidRPr="00AD5159">
        <w:rPr>
          <w:rFonts w:cs="Times New Roman"/>
          <w:szCs w:val="24"/>
        </w:rPr>
        <w:t xml:space="preserve">(4), 322–330. </w:t>
      </w:r>
    </w:p>
    <w:p w14:paraId="0BE835E1" w14:textId="3F7A4717"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U.S. Environmental Protection Agency. (1989). </w:t>
      </w:r>
      <w:r w:rsidRPr="00AD5159">
        <w:rPr>
          <w:rFonts w:cs="Times New Roman"/>
          <w:i/>
          <w:iCs/>
          <w:szCs w:val="24"/>
        </w:rPr>
        <w:t>Risk assessment guidance for Superfund: Volume I—Human health evaluation manual (Part A)</w:t>
      </w:r>
      <w:r w:rsidRPr="00AD5159">
        <w:rPr>
          <w:rFonts w:cs="Times New Roman"/>
          <w:szCs w:val="24"/>
        </w:rPr>
        <w:t xml:space="preserve"> (EPA/540/1-89/002). Office of Emergency and Remedial Response. </w:t>
      </w:r>
      <w:hyperlink r:id="rId19" w:history="1">
        <w:r w:rsidRPr="00AD5159">
          <w:rPr>
            <w:rFonts w:cs="Times New Roman"/>
            <w:color w:val="0000FF"/>
            <w:szCs w:val="24"/>
            <w:u w:val="single"/>
          </w:rPr>
          <w:t>https://www.epa.gov/risk/risk-assessment-guidance-superfund-rags-part</w:t>
        </w:r>
      </w:hyperlink>
    </w:p>
    <w:p w14:paraId="6667A279" w14:textId="46818776"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U.S. Environmental Protection Agency. (1999). </w:t>
      </w:r>
      <w:r w:rsidRPr="00AD5159">
        <w:rPr>
          <w:rFonts w:cs="Times New Roman"/>
          <w:i/>
          <w:iCs/>
          <w:szCs w:val="24"/>
        </w:rPr>
        <w:t>Compendium Method TO-13A: Determination of polycyclic aromatic hydrocarbons (PAHs) in ambient air using gas chromatography/mass spectrometry (GC/MS).</w:t>
      </w:r>
      <w:r w:rsidRPr="00AD5159">
        <w:rPr>
          <w:rFonts w:cs="Times New Roman"/>
          <w:szCs w:val="24"/>
        </w:rPr>
        <w:t xml:space="preserve"> In </w:t>
      </w:r>
      <w:r w:rsidRPr="00AD5159">
        <w:rPr>
          <w:rFonts w:cs="Times New Roman"/>
          <w:i/>
          <w:iCs/>
          <w:szCs w:val="24"/>
        </w:rPr>
        <w:t>Compendium of methods for the determination of toxic organic compounds in ambient air</w:t>
      </w:r>
      <w:r w:rsidRPr="00AD5159">
        <w:rPr>
          <w:rFonts w:cs="Times New Roman"/>
          <w:szCs w:val="24"/>
        </w:rPr>
        <w:t xml:space="preserve"> (2nd ed.; EPA/625/R-96/010b). Office of Research and Development. </w:t>
      </w:r>
      <w:hyperlink r:id="rId20" w:history="1">
        <w:r w:rsidRPr="00AD5159">
          <w:rPr>
            <w:rFonts w:cs="Times New Roman"/>
            <w:color w:val="0000FF"/>
            <w:szCs w:val="24"/>
            <w:u w:val="single"/>
          </w:rPr>
          <w:t>https://www.epa.gov/sites/production/files/2019-11/documents/to-13arr.pdf</w:t>
        </w:r>
      </w:hyperlink>
    </w:p>
    <w:p w14:paraId="30D0DC77" w14:textId="3F4710D8"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U.S. Environmental Protection Agency. (2001). </w:t>
      </w:r>
      <w:r w:rsidRPr="00AD5159">
        <w:rPr>
          <w:rFonts w:cs="Times New Roman"/>
          <w:i/>
          <w:iCs/>
          <w:szCs w:val="24"/>
        </w:rPr>
        <w:t>Risk assessment guidance for Superfund: Volume I—Human health evaluation manual (Part D, standardized planning, reporting, and review of Superfund risk assessments)</w:t>
      </w:r>
      <w:r w:rsidRPr="00AD5159">
        <w:rPr>
          <w:rFonts w:cs="Times New Roman"/>
          <w:szCs w:val="24"/>
        </w:rPr>
        <w:t xml:space="preserve"> (Publication 9285.7-47). Office of Emergency and Remedial Response. </w:t>
      </w:r>
      <w:hyperlink r:id="rId21" w:history="1">
        <w:r w:rsidRPr="00AD5159">
          <w:rPr>
            <w:rFonts w:cs="Times New Roman"/>
            <w:color w:val="0000FF"/>
            <w:szCs w:val="24"/>
            <w:u w:val="single"/>
          </w:rPr>
          <w:t>https://www.epa.gov/risk/risk-assessment-guidance-superfund-rags-part-d</w:t>
        </w:r>
      </w:hyperlink>
    </w:p>
    <w:p w14:paraId="57A69945" w14:textId="7BC37021"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U.S. Environmental Protection Agency. (2009). </w:t>
      </w:r>
      <w:r w:rsidRPr="00AD5159">
        <w:rPr>
          <w:rFonts w:cs="Times New Roman"/>
          <w:i/>
          <w:iCs/>
          <w:szCs w:val="24"/>
        </w:rPr>
        <w:t>Risk assessment guidance for Superfund: Volume I—Human health evaluation manual (Part F, supplemental guidance for inhalation risk assessment)</w:t>
      </w:r>
      <w:r w:rsidRPr="00AD5159">
        <w:rPr>
          <w:rFonts w:cs="Times New Roman"/>
          <w:szCs w:val="24"/>
        </w:rPr>
        <w:t xml:space="preserve"> (EPA-540-R-070-002). Office of Superfund Remediation and Technology Innovation. </w:t>
      </w:r>
      <w:hyperlink r:id="rId22" w:history="1">
        <w:r w:rsidRPr="00AD5159">
          <w:rPr>
            <w:rFonts w:cs="Times New Roman"/>
            <w:color w:val="0000FF"/>
            <w:szCs w:val="24"/>
            <w:u w:val="single"/>
          </w:rPr>
          <w:t>https://www.epa.gov/risk/risk-assessment-guidance-superfund-rags-part-f</w:t>
        </w:r>
      </w:hyperlink>
    </w:p>
    <w:p w14:paraId="2D52D651" w14:textId="5877125E"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U.S. Environmental Protection Agency. (2011). </w:t>
      </w:r>
      <w:r w:rsidRPr="00AD5159">
        <w:rPr>
          <w:rFonts w:cs="Times New Roman"/>
          <w:i/>
          <w:iCs/>
          <w:szCs w:val="24"/>
        </w:rPr>
        <w:t>Exposure factors handbook: 2011 edition</w:t>
      </w:r>
      <w:r w:rsidRPr="00AD5159">
        <w:rPr>
          <w:rFonts w:cs="Times New Roman"/>
          <w:szCs w:val="24"/>
        </w:rPr>
        <w:t xml:space="preserve"> (EPA/600/R-09/052F). National Center for Environmental Assessment. </w:t>
      </w:r>
      <w:hyperlink r:id="rId23" w:history="1">
        <w:r w:rsidRPr="00AD5159">
          <w:rPr>
            <w:rFonts w:cs="Times New Roman"/>
            <w:color w:val="0000FF"/>
            <w:szCs w:val="24"/>
            <w:u w:val="single"/>
          </w:rPr>
          <w:t>https://www.epa.gov/expobox/exposure-factors-handbook-2011-edition</w:t>
        </w:r>
      </w:hyperlink>
    </w:p>
    <w:p w14:paraId="5DF4AAA1" w14:textId="04994408"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U.S. Environmental Protection Agency. (2018). </w:t>
      </w:r>
      <w:r w:rsidRPr="00AD5159">
        <w:rPr>
          <w:rFonts w:cs="Times New Roman"/>
          <w:i/>
          <w:iCs/>
          <w:szCs w:val="24"/>
        </w:rPr>
        <w:t xml:space="preserve">Method 8270E: </w:t>
      </w:r>
      <w:proofErr w:type="spellStart"/>
      <w:r w:rsidRPr="00AD5159">
        <w:rPr>
          <w:rFonts w:cs="Times New Roman"/>
          <w:i/>
          <w:iCs/>
          <w:szCs w:val="24"/>
        </w:rPr>
        <w:t>Semivolatile</w:t>
      </w:r>
      <w:proofErr w:type="spellEnd"/>
      <w:r w:rsidRPr="00AD5159">
        <w:rPr>
          <w:rFonts w:cs="Times New Roman"/>
          <w:i/>
          <w:iCs/>
          <w:szCs w:val="24"/>
        </w:rPr>
        <w:t xml:space="preserve"> organic compounds by gas chromatography/mass spectrometry (GC/MS).</w:t>
      </w:r>
      <w:r w:rsidRPr="00AD5159">
        <w:rPr>
          <w:rFonts w:cs="Times New Roman"/>
          <w:szCs w:val="24"/>
        </w:rPr>
        <w:t xml:space="preserve"> In </w:t>
      </w:r>
      <w:r w:rsidRPr="00AD5159">
        <w:rPr>
          <w:rFonts w:cs="Times New Roman"/>
          <w:i/>
          <w:iCs/>
          <w:szCs w:val="24"/>
        </w:rPr>
        <w:t>Test methods for evaluating solid waste, physical/chemical methods (SW-846).</w:t>
      </w:r>
      <w:r w:rsidRPr="00AD5159">
        <w:rPr>
          <w:rFonts w:cs="Times New Roman"/>
          <w:szCs w:val="24"/>
        </w:rPr>
        <w:t xml:space="preserve"> </w:t>
      </w:r>
      <w:hyperlink r:id="rId24" w:history="1">
        <w:r w:rsidRPr="00AD5159">
          <w:rPr>
            <w:rFonts w:cs="Times New Roman"/>
            <w:color w:val="0000FF"/>
            <w:szCs w:val="24"/>
            <w:u w:val="single"/>
          </w:rPr>
          <w:t>https://www.epa.gov/esam/epa-method-8270e-sw-846-semivolatile-organic-compounds-gas-chromatographymass-spectrometry-gc</w:t>
        </w:r>
      </w:hyperlink>
    </w:p>
    <w:p w14:paraId="0E42CE17" w14:textId="06BAA4DB"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lang w:val="nl-BE"/>
        </w:rPr>
        <w:t xml:space="preserve">Uzoekwe, S. A., &amp; Ikpesu, T. O. (2019). </w:t>
      </w:r>
      <w:r w:rsidRPr="00AD5159">
        <w:rPr>
          <w:rFonts w:cs="Times New Roman"/>
          <w:szCs w:val="24"/>
        </w:rPr>
        <w:t xml:space="preserve">Assessment of polycyclic aromatic hydrocarbons (PAHs) in ambient air of oil producing communities in Yenagoa and its environs. </w:t>
      </w:r>
      <w:r w:rsidRPr="00AD5159">
        <w:rPr>
          <w:rFonts w:cs="Times New Roman"/>
          <w:i/>
          <w:iCs/>
          <w:szCs w:val="24"/>
        </w:rPr>
        <w:t>Journal of Chemical Society of Nigeria, 44</w:t>
      </w:r>
      <w:r w:rsidRPr="00AD5159">
        <w:rPr>
          <w:rFonts w:cs="Times New Roman"/>
          <w:szCs w:val="24"/>
        </w:rPr>
        <w:t xml:space="preserve">(2). </w:t>
      </w:r>
      <w:hyperlink r:id="rId25" w:history="1">
        <w:r w:rsidRPr="00AD5159">
          <w:rPr>
            <w:rFonts w:cs="Times New Roman"/>
            <w:color w:val="0000FF"/>
            <w:szCs w:val="24"/>
            <w:u w:val="single"/>
          </w:rPr>
          <w:t>https://journals.chemsociety.org.ng/index.php/jcsn/article/view/284</w:t>
        </w:r>
      </w:hyperlink>
    </w:p>
    <w:p w14:paraId="33E8F58A" w14:textId="02D6E7B4"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World Health Organization. (2024, June 25). </w:t>
      </w:r>
      <w:r w:rsidRPr="00AD5159">
        <w:rPr>
          <w:rFonts w:cs="Times New Roman"/>
          <w:i/>
          <w:iCs/>
          <w:szCs w:val="24"/>
        </w:rPr>
        <w:t>Health consequences of air pollution on populations.</w:t>
      </w:r>
      <w:r w:rsidRPr="00AD5159">
        <w:rPr>
          <w:rFonts w:cs="Times New Roman"/>
          <w:szCs w:val="24"/>
        </w:rPr>
        <w:t xml:space="preserve"> </w:t>
      </w:r>
      <w:hyperlink r:id="rId26" w:history="1">
        <w:r w:rsidRPr="00AD5159">
          <w:rPr>
            <w:rFonts w:cs="Times New Roman"/>
            <w:color w:val="0000FF"/>
            <w:szCs w:val="24"/>
            <w:u w:val="single"/>
          </w:rPr>
          <w:t>https://www.who.int/news/item/25-06-2024-what-are-health-consequences-of-air-pollution-on-populations</w:t>
        </w:r>
      </w:hyperlink>
      <w:r w:rsidRPr="00AD5159">
        <w:rPr>
          <w:rFonts w:cs="Times New Roman"/>
          <w:szCs w:val="24"/>
        </w:rPr>
        <w:t xml:space="preserve"> </w:t>
      </w:r>
    </w:p>
    <w:p w14:paraId="0B2076EB" w14:textId="153A2E42"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World Health Organization. (2021). </w:t>
      </w:r>
      <w:r w:rsidRPr="00AD5159">
        <w:rPr>
          <w:rFonts w:cs="Times New Roman"/>
          <w:i/>
          <w:iCs/>
          <w:szCs w:val="24"/>
        </w:rPr>
        <w:t>WHO global air quality guidelines: Particulate matter (PM2.5 and PM10), ozone, nitrogen dioxide, sulfur dioxide and carbon monoxide.</w:t>
      </w:r>
      <w:r w:rsidRPr="00AD5159">
        <w:rPr>
          <w:rFonts w:cs="Times New Roman"/>
          <w:szCs w:val="24"/>
        </w:rPr>
        <w:t xml:space="preserve"> </w:t>
      </w:r>
      <w:hyperlink r:id="rId27" w:history="1">
        <w:r w:rsidRPr="00AD5159">
          <w:rPr>
            <w:rFonts w:cs="Times New Roman"/>
            <w:color w:val="0000FF"/>
            <w:szCs w:val="24"/>
            <w:u w:val="single"/>
          </w:rPr>
          <w:t>https://www.who.int/publications/i/item/9789240034228/</w:t>
        </w:r>
      </w:hyperlink>
    </w:p>
    <w:p w14:paraId="777EC94B" w14:textId="6B308759"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lastRenderedPageBreak/>
        <w:t xml:space="preserve">World Health Organization. (2024, October 24). </w:t>
      </w:r>
      <w:r w:rsidRPr="00AD5159">
        <w:rPr>
          <w:rFonts w:cs="Times New Roman"/>
          <w:i/>
          <w:iCs/>
          <w:szCs w:val="24"/>
        </w:rPr>
        <w:t>Ambient (outdoor) air pollution.</w:t>
      </w:r>
      <w:r w:rsidRPr="00AD5159">
        <w:rPr>
          <w:rFonts w:cs="Times New Roman"/>
          <w:szCs w:val="24"/>
        </w:rPr>
        <w:t xml:space="preserve"> </w:t>
      </w:r>
      <w:hyperlink r:id="rId28" w:history="1">
        <w:r w:rsidRPr="00AD5159">
          <w:rPr>
            <w:rFonts w:cs="Times New Roman"/>
            <w:color w:val="0000FF"/>
            <w:szCs w:val="24"/>
            <w:u w:val="single"/>
          </w:rPr>
          <w:t>https://www.who.int/news-room/fact-sheets/detail/ambient-%28outdoor%29-air-quality-and-health</w:t>
        </w:r>
      </w:hyperlink>
      <w:r w:rsidRPr="00AD5159">
        <w:rPr>
          <w:rFonts w:cs="Times New Roman"/>
          <w:szCs w:val="24"/>
        </w:rPr>
        <w:t xml:space="preserve"> </w:t>
      </w:r>
    </w:p>
    <w:p w14:paraId="55FD3DBA" w14:textId="2A0E32C3"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World Health Organization Regional Office for Europe. (2010). </w:t>
      </w:r>
      <w:r w:rsidRPr="00AD5159">
        <w:rPr>
          <w:rFonts w:cs="Times New Roman"/>
          <w:i/>
          <w:iCs/>
          <w:szCs w:val="24"/>
        </w:rPr>
        <w:t>WHO guidelines for indoor air quality: Selected pollutants.</w:t>
      </w:r>
      <w:r w:rsidRPr="00AD5159">
        <w:rPr>
          <w:rFonts w:cs="Times New Roman"/>
          <w:szCs w:val="24"/>
        </w:rPr>
        <w:t xml:space="preserve"> World Health Organization. </w:t>
      </w:r>
      <w:hyperlink r:id="rId29" w:history="1">
        <w:r w:rsidRPr="00AD5159">
          <w:rPr>
            <w:rFonts w:cs="Times New Roman"/>
            <w:color w:val="0000FF"/>
            <w:szCs w:val="24"/>
            <w:u w:val="single"/>
          </w:rPr>
          <w:t>https://www.who.int/publications/i/item/9789289002134</w:t>
        </w:r>
      </w:hyperlink>
    </w:p>
    <w:p w14:paraId="6F35EF98" w14:textId="184EEF48"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rPr>
        <w:t xml:space="preserve">World Health Organization Regional Office for Europe. (2021). </w:t>
      </w:r>
      <w:r w:rsidRPr="00AD5159">
        <w:rPr>
          <w:rFonts w:cs="Times New Roman"/>
          <w:i/>
          <w:iCs/>
          <w:szCs w:val="24"/>
        </w:rPr>
        <w:t>Human health effects of polycyclic aromatic hydrocarbons as ambient air pollutants: Report of the Working Group on Polycyclic Aromatic Hydrocarbons of the Joint Task Force on the Health Aspects of Air Pollution.</w:t>
      </w:r>
      <w:r w:rsidRPr="00AD5159">
        <w:rPr>
          <w:rFonts w:cs="Times New Roman"/>
          <w:szCs w:val="24"/>
        </w:rPr>
        <w:t xml:space="preserve"> World Health Organization. </w:t>
      </w:r>
      <w:hyperlink r:id="rId30" w:history="1">
        <w:r w:rsidRPr="00AD5159">
          <w:rPr>
            <w:rFonts w:cs="Times New Roman"/>
            <w:color w:val="0000FF"/>
            <w:szCs w:val="24"/>
            <w:u w:val="single"/>
          </w:rPr>
          <w:t>https://www.who.int/europe/publications/i/item/9789289056533</w:t>
        </w:r>
      </w:hyperlink>
    </w:p>
    <w:p w14:paraId="0335910F" w14:textId="5E561FF2" w:rsidR="00AD5159" w:rsidRPr="00AD5159" w:rsidRDefault="00AD5159" w:rsidP="00AD5159">
      <w:pPr>
        <w:suppressAutoHyphens w:val="0"/>
        <w:spacing w:after="0" w:line="240" w:lineRule="auto"/>
        <w:ind w:left="540" w:hanging="540"/>
        <w:jc w:val="both"/>
        <w:rPr>
          <w:rFonts w:cs="Times New Roman"/>
          <w:szCs w:val="24"/>
        </w:rPr>
      </w:pPr>
      <w:r w:rsidRPr="00AD5159">
        <w:rPr>
          <w:rFonts w:cs="Times New Roman"/>
          <w:szCs w:val="24"/>
          <w:lang w:val="nl-BE"/>
        </w:rPr>
        <w:t xml:space="preserve">Wu, D., Chen, L., Ma, Z., Zhou, D., Fu, L., Liu, M., Zhang, T., Yang, J., &amp; Zhen, Q. (2024). </w:t>
      </w:r>
      <w:r w:rsidRPr="00AD5159">
        <w:rPr>
          <w:rFonts w:cs="Times New Roman"/>
          <w:szCs w:val="24"/>
        </w:rPr>
        <w:t xml:space="preserve">Source analysis and health risk assessment of polycyclic aromatic hydrocarbon (PAHs) in total suspended particulate matter (TSP) from Bengbu, China. </w:t>
      </w:r>
      <w:r w:rsidRPr="00AD5159">
        <w:rPr>
          <w:rFonts w:cs="Times New Roman"/>
          <w:i/>
          <w:iCs/>
          <w:szCs w:val="24"/>
        </w:rPr>
        <w:t>Scientific Reports, 14</w:t>
      </w:r>
      <w:r w:rsidRPr="00AD5159">
        <w:rPr>
          <w:rFonts w:cs="Times New Roman"/>
          <w:szCs w:val="24"/>
        </w:rPr>
        <w:t xml:space="preserve">, Article 5080. </w:t>
      </w:r>
      <w:hyperlink r:id="rId31" w:history="1">
        <w:r w:rsidRPr="00AD5159">
          <w:rPr>
            <w:rFonts w:cs="Times New Roman"/>
            <w:color w:val="0000FF"/>
            <w:szCs w:val="24"/>
            <w:u w:val="single"/>
          </w:rPr>
          <w:t>https://doi.org/10.1038/s41598-024-55695-1</w:t>
        </w:r>
      </w:hyperlink>
    </w:p>
    <w:p w14:paraId="45877722" w14:textId="582CDE28" w:rsidR="00FB7E6F" w:rsidRDefault="00AD5159" w:rsidP="00AD5159">
      <w:pPr>
        <w:ind w:left="540" w:hanging="540"/>
        <w:jc w:val="both"/>
      </w:pPr>
      <w:proofErr w:type="spellStart"/>
      <w:r w:rsidRPr="00AD5159">
        <w:rPr>
          <w:rFonts w:cs="Times New Roman"/>
          <w:szCs w:val="24"/>
        </w:rPr>
        <w:t>Yorkor</w:t>
      </w:r>
      <w:proofErr w:type="spellEnd"/>
      <w:r w:rsidRPr="00AD5159">
        <w:rPr>
          <w:rFonts w:cs="Times New Roman"/>
          <w:szCs w:val="24"/>
        </w:rPr>
        <w:t xml:space="preserve">, B., </w:t>
      </w:r>
      <w:proofErr w:type="spellStart"/>
      <w:r w:rsidRPr="00AD5159">
        <w:rPr>
          <w:rFonts w:cs="Times New Roman"/>
          <w:szCs w:val="24"/>
        </w:rPr>
        <w:t>Leton</w:t>
      </w:r>
      <w:proofErr w:type="spellEnd"/>
      <w:r w:rsidRPr="00AD5159">
        <w:rPr>
          <w:rFonts w:cs="Times New Roman"/>
          <w:szCs w:val="24"/>
        </w:rPr>
        <w:t xml:space="preserve">, T. G., &amp; </w:t>
      </w:r>
      <w:proofErr w:type="spellStart"/>
      <w:r w:rsidRPr="00AD5159">
        <w:rPr>
          <w:rFonts w:cs="Times New Roman"/>
          <w:szCs w:val="24"/>
        </w:rPr>
        <w:t>Ugbebor</w:t>
      </w:r>
      <w:proofErr w:type="spellEnd"/>
      <w:r w:rsidRPr="00AD5159">
        <w:rPr>
          <w:rFonts w:cs="Times New Roman"/>
          <w:szCs w:val="24"/>
        </w:rPr>
        <w:t xml:space="preserve">, J. N. (2017). The role of meteorology for seasonal variation in air pollution level in Eleme, Rivers State, Nigeria. </w:t>
      </w:r>
      <w:r w:rsidRPr="00AD5159">
        <w:rPr>
          <w:rFonts w:cs="Times New Roman"/>
          <w:i/>
          <w:iCs/>
          <w:szCs w:val="24"/>
        </w:rPr>
        <w:t>Journal of Scientific Research &amp; Reports, 17</w:t>
      </w:r>
      <w:r w:rsidRPr="00AD5159">
        <w:rPr>
          <w:rFonts w:cs="Times New Roman"/>
          <w:szCs w:val="24"/>
        </w:rPr>
        <w:t xml:space="preserve">(3), 1–17. </w:t>
      </w:r>
      <w:hyperlink r:id="rId32" w:history="1">
        <w:r w:rsidRPr="00AD5159">
          <w:rPr>
            <w:rFonts w:cs="Times New Roman"/>
            <w:color w:val="0000FF"/>
            <w:szCs w:val="24"/>
            <w:u w:val="single"/>
          </w:rPr>
          <w:t>https://doi.org/10.9734/JSRR/2017/36613</w:t>
        </w:r>
      </w:hyperlink>
    </w:p>
    <w:sectPr w:rsidR="00FB7E6F">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Arial"/>
    <w:charset w:val="00"/>
    <w:family w:val="swiss"/>
    <w:pitch w:val="variable"/>
    <w:sig w:usb0="00000000" w:usb1="D200FDFF" w:usb2="0A24602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1098C"/>
    <w:multiLevelType w:val="multilevel"/>
    <w:tmpl w:val="E80CC9E6"/>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33D2F80"/>
    <w:multiLevelType w:val="multilevel"/>
    <w:tmpl w:val="1E3EA3AA"/>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56D2D66"/>
    <w:multiLevelType w:val="hybridMultilevel"/>
    <w:tmpl w:val="410A93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4E7360"/>
    <w:multiLevelType w:val="multilevel"/>
    <w:tmpl w:val="02E69E70"/>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4" w15:restartNumberingAfterBreak="0">
    <w:nsid w:val="3F920127"/>
    <w:multiLevelType w:val="multilevel"/>
    <w:tmpl w:val="B2749AB8"/>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75F4B5D"/>
    <w:multiLevelType w:val="multilevel"/>
    <w:tmpl w:val="FCA02DD2"/>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BFE17E9"/>
    <w:multiLevelType w:val="hybridMultilevel"/>
    <w:tmpl w:val="177A0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CE5455"/>
    <w:multiLevelType w:val="multilevel"/>
    <w:tmpl w:val="EB223AE0"/>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F580B45"/>
    <w:multiLevelType w:val="hybridMultilevel"/>
    <w:tmpl w:val="22B6E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F84456"/>
    <w:multiLevelType w:val="multilevel"/>
    <w:tmpl w:val="A008C75A"/>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00838887">
    <w:abstractNumId w:val="3"/>
  </w:num>
  <w:num w:numId="2" w16cid:durableId="1342513032">
    <w:abstractNumId w:val="1"/>
  </w:num>
  <w:num w:numId="3" w16cid:durableId="524487569">
    <w:abstractNumId w:val="9"/>
  </w:num>
  <w:num w:numId="4" w16cid:durableId="1340543084">
    <w:abstractNumId w:val="0"/>
  </w:num>
  <w:num w:numId="5" w16cid:durableId="353383919">
    <w:abstractNumId w:val="7"/>
  </w:num>
  <w:num w:numId="6" w16cid:durableId="934560899">
    <w:abstractNumId w:val="4"/>
  </w:num>
  <w:num w:numId="7" w16cid:durableId="1752239479">
    <w:abstractNumId w:val="5"/>
  </w:num>
  <w:num w:numId="8" w16cid:durableId="27488942">
    <w:abstractNumId w:val="8"/>
  </w:num>
  <w:num w:numId="9" w16cid:durableId="784542163">
    <w:abstractNumId w:val="6"/>
  </w:num>
  <w:num w:numId="10" w16cid:durableId="1009020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C38"/>
    <w:rsid w:val="00021388"/>
    <w:rsid w:val="00086C37"/>
    <w:rsid w:val="00163AF0"/>
    <w:rsid w:val="001A68F3"/>
    <w:rsid w:val="0020343E"/>
    <w:rsid w:val="002179D2"/>
    <w:rsid w:val="00341605"/>
    <w:rsid w:val="0039253B"/>
    <w:rsid w:val="003933EF"/>
    <w:rsid w:val="004306A0"/>
    <w:rsid w:val="00477399"/>
    <w:rsid w:val="004B3587"/>
    <w:rsid w:val="0054363A"/>
    <w:rsid w:val="00677F57"/>
    <w:rsid w:val="006A41A2"/>
    <w:rsid w:val="006D7E32"/>
    <w:rsid w:val="006E5760"/>
    <w:rsid w:val="007C1B1B"/>
    <w:rsid w:val="007F65EA"/>
    <w:rsid w:val="00841A77"/>
    <w:rsid w:val="00852B27"/>
    <w:rsid w:val="00910ACE"/>
    <w:rsid w:val="009241F5"/>
    <w:rsid w:val="00925010"/>
    <w:rsid w:val="00936616"/>
    <w:rsid w:val="009A0072"/>
    <w:rsid w:val="00A04C7E"/>
    <w:rsid w:val="00A554FE"/>
    <w:rsid w:val="00A73566"/>
    <w:rsid w:val="00A81789"/>
    <w:rsid w:val="00AD5159"/>
    <w:rsid w:val="00AF74CE"/>
    <w:rsid w:val="00B747C6"/>
    <w:rsid w:val="00BE5877"/>
    <w:rsid w:val="00C213EB"/>
    <w:rsid w:val="00C6226F"/>
    <w:rsid w:val="00CA24E1"/>
    <w:rsid w:val="00CB1509"/>
    <w:rsid w:val="00CB2A93"/>
    <w:rsid w:val="00D63466"/>
    <w:rsid w:val="00DB3D53"/>
    <w:rsid w:val="00DE227F"/>
    <w:rsid w:val="00E12272"/>
    <w:rsid w:val="00F07898"/>
    <w:rsid w:val="00F2563F"/>
    <w:rsid w:val="00F43521"/>
    <w:rsid w:val="00F5454E"/>
    <w:rsid w:val="00F56C38"/>
    <w:rsid w:val="00FA4748"/>
    <w:rsid w:val="00FB7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FE6A9"/>
  <w15:docId w15:val="{E6F31B91-1E9E-4E3B-A8F1-45FF4C060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DejaVu Sans"/>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pPr>
    <w:rPr>
      <w:rFonts w:ascii="Times New Roman" w:eastAsia="Times New Roman" w:hAnsi="Times New Roman"/>
      <w:sz w:val="24"/>
    </w:rPr>
  </w:style>
  <w:style w:type="paragraph" w:styleId="Heading1">
    <w:name w:val="heading 1"/>
    <w:basedOn w:val="Normal"/>
    <w:next w:val="Normal"/>
    <w:link w:val="Heading1Char"/>
    <w:uiPriority w:val="9"/>
    <w:qFormat/>
    <w:pPr>
      <w:keepNext/>
      <w:keepLines/>
      <w:spacing w:before="480" w:after="0"/>
      <w:outlineLvl w:val="0"/>
    </w:pPr>
    <w:rPr>
      <w:rFonts w:ascii="Calibri" w:eastAsia="MS Gothic" w:hAnsi="Calibr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MS Gothic" w:hAnsi="Calibr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MS Gothic" w:hAnsi="Calibr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MS Gothic" w:hAnsi="Calibr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MS Gothic" w:hAnsi="Calibr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MS Gothic" w:hAnsi="Calibri"/>
      <w:i/>
      <w:iCs/>
      <w:color w:val="243F60" w:themeColor="accent1" w:themeShade="7F"/>
    </w:rPr>
  </w:style>
  <w:style w:type="paragraph" w:styleId="Heading7">
    <w:name w:val="heading 7"/>
    <w:basedOn w:val="Normal"/>
    <w:next w:val="Normal"/>
    <w:link w:val="Heading7Char"/>
    <w:qFormat/>
    <w:pPr>
      <w:keepNext/>
      <w:keepLines/>
      <w:spacing w:before="200" w:after="0"/>
      <w:outlineLvl w:val="6"/>
    </w:pPr>
    <w:rPr>
      <w:rFonts w:ascii="Calibri" w:eastAsia="MS Gothic" w:hAnsi="Calibri"/>
      <w:i/>
      <w:iCs/>
      <w:color w:val="404040" w:themeColor="dark1" w:themeTint="BF"/>
    </w:rPr>
  </w:style>
  <w:style w:type="paragraph" w:styleId="Heading8">
    <w:name w:val="heading 8"/>
    <w:basedOn w:val="Normal"/>
    <w:next w:val="Normal"/>
    <w:link w:val="Heading8Char"/>
    <w:qFormat/>
    <w:pPr>
      <w:keepNext/>
      <w:keepLines/>
      <w:spacing w:before="200" w:after="0"/>
      <w:outlineLvl w:val="7"/>
    </w:pPr>
    <w:rPr>
      <w:rFonts w:ascii="Calibri" w:eastAsia="MS Gothic" w:hAnsi="Calibri"/>
      <w:color w:val="4F81BD" w:themeColor="accent1"/>
      <w:sz w:val="20"/>
      <w:szCs w:val="20"/>
    </w:rPr>
  </w:style>
  <w:style w:type="paragraph" w:styleId="Heading9">
    <w:name w:val="heading 9"/>
    <w:basedOn w:val="Normal"/>
    <w:next w:val="Normal"/>
    <w:link w:val="Heading9Char"/>
    <w:qFormat/>
    <w:pPr>
      <w:keepNext/>
      <w:keepLines/>
      <w:spacing w:before="200" w:after="0"/>
      <w:outlineLvl w:val="8"/>
    </w:pPr>
    <w:rPr>
      <w:rFonts w:ascii="Calibri" w:eastAsia="MS Gothic" w:hAnsi="Calibri"/>
      <w:i/>
      <w:iCs/>
      <w:color w:val="404040" w:themeColor="dark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customStyle="1" w:styleId="Heading1Char">
    <w:name w:val="Heading 1 Char"/>
    <w:basedOn w:val="DefaultParagraphFont"/>
    <w:link w:val="Heading1"/>
    <w:qFormat/>
    <w:rPr>
      <w:rFonts w:ascii="Calibri" w:eastAsia="MS Gothic" w:hAnsi="Calibri" w:cs="DejaVu Sans"/>
      <w:b/>
      <w:bCs/>
      <w:color w:val="365F91" w:themeColor="accent1" w:themeShade="BF"/>
      <w:sz w:val="28"/>
      <w:szCs w:val="28"/>
    </w:rPr>
  </w:style>
  <w:style w:type="character" w:customStyle="1" w:styleId="Heading2Char">
    <w:name w:val="Heading 2 Char"/>
    <w:basedOn w:val="DefaultParagraphFont"/>
    <w:link w:val="Heading2"/>
    <w:qFormat/>
    <w:rPr>
      <w:rFonts w:ascii="Calibri" w:eastAsia="MS Gothic" w:hAnsi="Calibri" w:cs="DejaVu Sans"/>
      <w:b/>
      <w:bCs/>
      <w:color w:val="4F81BD" w:themeColor="accent1"/>
      <w:sz w:val="26"/>
      <w:szCs w:val="26"/>
    </w:rPr>
  </w:style>
  <w:style w:type="character" w:customStyle="1" w:styleId="Heading3Char">
    <w:name w:val="Heading 3 Char"/>
    <w:basedOn w:val="DefaultParagraphFont"/>
    <w:link w:val="Heading3"/>
    <w:qFormat/>
    <w:rPr>
      <w:rFonts w:ascii="Calibri" w:eastAsia="MS Gothic" w:hAnsi="Calibri" w:cs="DejaVu Sans"/>
      <w:b/>
      <w:bCs/>
      <w:color w:val="4F81BD" w:themeColor="accent1"/>
    </w:rPr>
  </w:style>
  <w:style w:type="character" w:customStyle="1" w:styleId="TitleChar">
    <w:name w:val="Title Char"/>
    <w:basedOn w:val="DefaultParagraphFont"/>
    <w:link w:val="Title"/>
    <w:qFormat/>
    <w:rPr>
      <w:rFonts w:ascii="Calibri" w:eastAsia="MS Gothic" w:hAnsi="Calibri" w:cs="DejaVu Sans"/>
      <w:color w:val="17365D" w:themeColor="dark2" w:themeShade="BF"/>
      <w:spacing w:val="5"/>
      <w:kern w:val="2"/>
      <w:sz w:val="52"/>
      <w:szCs w:val="52"/>
    </w:rPr>
  </w:style>
  <w:style w:type="character" w:customStyle="1" w:styleId="SubtitleChar">
    <w:name w:val="Subtitle Char"/>
    <w:basedOn w:val="DefaultParagraphFont"/>
    <w:link w:val="Subtitle"/>
    <w:qFormat/>
    <w:rPr>
      <w:rFonts w:ascii="Calibri" w:eastAsia="MS Gothic" w:hAnsi="Calibri" w:cs="DejaVu Sans"/>
      <w:i/>
      <w:iCs/>
      <w:color w:val="4F81BD" w:themeColor="accent1"/>
      <w:spacing w:val="15"/>
      <w:sz w:val="24"/>
      <w:szCs w:val="24"/>
    </w:rPr>
  </w:style>
  <w:style w:type="character" w:customStyle="1" w:styleId="BodyTextChar">
    <w:name w:val="Body Text Char"/>
    <w:basedOn w:val="DefaultParagraphFont"/>
    <w:link w:val="BodyText"/>
    <w:qFormat/>
  </w:style>
  <w:style w:type="character" w:customStyle="1" w:styleId="BodyText2Char">
    <w:name w:val="Body Text 2 Char"/>
    <w:basedOn w:val="DefaultParagraphFont"/>
    <w:link w:val="BodyText2"/>
    <w:qFormat/>
  </w:style>
  <w:style w:type="character" w:customStyle="1" w:styleId="BodyText3Char">
    <w:name w:val="Body Text 3 Char"/>
    <w:basedOn w:val="DefaultParagraphFont"/>
    <w:link w:val="BodyText3"/>
    <w:qFormat/>
    <w:rPr>
      <w:sz w:val="16"/>
      <w:szCs w:val="16"/>
    </w:rPr>
  </w:style>
  <w:style w:type="character" w:customStyle="1" w:styleId="MacroTextChar">
    <w:name w:val="Macro Text Char"/>
    <w:basedOn w:val="DefaultParagraphFont"/>
    <w:link w:val="MacroText"/>
    <w:qFormat/>
    <w:rPr>
      <w:rFonts w:ascii="Courier" w:hAnsi="Courier"/>
      <w:sz w:val="20"/>
      <w:szCs w:val="20"/>
    </w:rPr>
  </w:style>
  <w:style w:type="character" w:customStyle="1" w:styleId="QuoteChar">
    <w:name w:val="Quote Char"/>
    <w:basedOn w:val="DefaultParagraphFont"/>
    <w:link w:val="Quote"/>
    <w:qFormat/>
    <w:rPr>
      <w:i/>
      <w:iCs/>
      <w:color w:val="000000" w:themeColor="dark1"/>
    </w:rPr>
  </w:style>
  <w:style w:type="character" w:customStyle="1" w:styleId="Heading4Char">
    <w:name w:val="Heading 4 Char"/>
    <w:basedOn w:val="DefaultParagraphFont"/>
    <w:link w:val="Heading4"/>
    <w:qFormat/>
    <w:rPr>
      <w:rFonts w:ascii="Calibri" w:eastAsia="MS Gothic" w:hAnsi="Calibri" w:cs="DejaVu Sans"/>
      <w:b/>
      <w:bCs/>
      <w:i/>
      <w:iCs/>
      <w:color w:val="4F81BD" w:themeColor="accent1"/>
    </w:rPr>
  </w:style>
  <w:style w:type="character" w:customStyle="1" w:styleId="Heading5Char">
    <w:name w:val="Heading 5 Char"/>
    <w:basedOn w:val="DefaultParagraphFont"/>
    <w:link w:val="Heading5"/>
    <w:qFormat/>
    <w:rPr>
      <w:rFonts w:ascii="Calibri" w:eastAsia="MS Gothic" w:hAnsi="Calibri" w:cs="DejaVu Sans"/>
      <w:color w:val="243F60" w:themeColor="accent1" w:themeShade="7F"/>
    </w:rPr>
  </w:style>
  <w:style w:type="character" w:customStyle="1" w:styleId="Heading6Char">
    <w:name w:val="Heading 6 Char"/>
    <w:basedOn w:val="DefaultParagraphFont"/>
    <w:link w:val="Heading6"/>
    <w:qFormat/>
    <w:rPr>
      <w:rFonts w:ascii="Calibri" w:eastAsia="MS Gothic" w:hAnsi="Calibri" w:cs="DejaVu Sans"/>
      <w:i/>
      <w:iCs/>
      <w:color w:val="243F60" w:themeColor="accent1" w:themeShade="7F"/>
    </w:rPr>
  </w:style>
  <w:style w:type="character" w:customStyle="1" w:styleId="Heading7Char">
    <w:name w:val="Heading 7 Char"/>
    <w:basedOn w:val="DefaultParagraphFont"/>
    <w:link w:val="Heading7"/>
    <w:qFormat/>
    <w:rPr>
      <w:rFonts w:ascii="Calibri" w:eastAsia="MS Gothic" w:hAnsi="Calibri" w:cs="DejaVu Sans"/>
      <w:i/>
      <w:iCs/>
      <w:color w:val="404040" w:themeColor="dark1" w:themeTint="BF"/>
    </w:rPr>
  </w:style>
  <w:style w:type="character" w:customStyle="1" w:styleId="Heading8Char">
    <w:name w:val="Heading 8 Char"/>
    <w:basedOn w:val="DefaultParagraphFont"/>
    <w:link w:val="Heading8"/>
    <w:qFormat/>
    <w:rPr>
      <w:rFonts w:ascii="Calibri" w:eastAsia="MS Gothic" w:hAnsi="Calibri" w:cs="DejaVu Sans"/>
      <w:color w:val="4F81BD" w:themeColor="accent1"/>
      <w:sz w:val="20"/>
      <w:szCs w:val="20"/>
    </w:rPr>
  </w:style>
  <w:style w:type="character" w:customStyle="1" w:styleId="Heading9Char">
    <w:name w:val="Heading 9 Char"/>
    <w:basedOn w:val="DefaultParagraphFont"/>
    <w:link w:val="Heading9"/>
    <w:qFormat/>
    <w:rPr>
      <w:rFonts w:ascii="Calibri" w:eastAsia="MS Gothic" w:hAnsi="Calibri" w:cs="DejaVu Sans"/>
      <w:i/>
      <w:iCs/>
      <w:color w:val="404040" w:themeColor="dark1" w:themeTint="BF"/>
      <w:sz w:val="20"/>
      <w:szCs w:val="20"/>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customStyle="1" w:styleId="IntenseQuoteChar">
    <w:name w:val="Intense Quote Char"/>
    <w:basedOn w:val="DefaultParagraphFont"/>
    <w:link w:val="IntenseQuote"/>
    <w:qFormat/>
    <w:rPr>
      <w:b/>
      <w:bCs/>
      <w:i/>
      <w:iCs/>
      <w:color w:val="4F81BD" w:themeColor="accent1"/>
    </w:rPr>
  </w:style>
  <w:style w:type="character" w:styleId="SubtleEmphasis">
    <w:name w:val="Subtle Emphasis"/>
    <w:basedOn w:val="DefaultParagraphFont"/>
    <w:qFormat/>
    <w:rPr>
      <w:i/>
      <w:iCs/>
      <w:color w:val="808080" w:themeColor="dark1" w:themeTint="7F"/>
    </w:rPr>
  </w:style>
  <w:style w:type="character" w:styleId="IntenseEmphasis">
    <w:name w:val="Intense Emphasis"/>
    <w:basedOn w:val="DefaultParagraphFont"/>
    <w:qFormat/>
    <w:rPr>
      <w:b/>
      <w:bCs/>
      <w:i/>
      <w:iCs/>
      <w:color w:val="4F81BD" w:themeColor="accent1"/>
    </w:rPr>
  </w:style>
  <w:style w:type="character" w:styleId="SubtleReference">
    <w:name w:val="Subtle Reference"/>
    <w:basedOn w:val="DefaultParagraphFont"/>
    <w:qFormat/>
    <w:rPr>
      <w:smallCaps/>
      <w:color w:val="C0504D" w:themeColor="accent2"/>
      <w:u w:val="single"/>
    </w:rPr>
  </w:style>
  <w:style w:type="character" w:styleId="IntenseReference">
    <w:name w:val="Intense Reference"/>
    <w:basedOn w:val="DefaultParagraphFont"/>
    <w:qFormat/>
    <w:rPr>
      <w:b/>
      <w:bCs/>
      <w:smallCaps/>
      <w:color w:val="C0504D" w:themeColor="accent2"/>
      <w:spacing w:val="5"/>
      <w:u w:val="single"/>
    </w:rPr>
  </w:style>
  <w:style w:type="character" w:styleId="BookTitle">
    <w:name w:val="Book Title"/>
    <w:basedOn w:val="DefaultParagraphFont"/>
    <w:qFormat/>
    <w:rPr>
      <w:b/>
      <w:bCs/>
      <w:smallCaps/>
      <w:spacing w:val="5"/>
    </w:rPr>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link w:val="BodyTextChar"/>
  </w:style>
  <w:style w:type="paragraph" w:styleId="List">
    <w:name w:val="List"/>
    <w:basedOn w:val="Normal"/>
    <w:pPr>
      <w:ind w:left="360" w:hanging="360"/>
      <w:contextualSpacing/>
    </w:pPr>
  </w:style>
  <w:style w:type="paragraph" w:styleId="Caption">
    <w:name w:val="caption"/>
    <w:basedOn w:val="Normal"/>
    <w:next w:val="Normal"/>
    <w:qFormat/>
    <w:pPr>
      <w:spacing w:line="240" w:lineRule="auto"/>
    </w:pPr>
    <w:rPr>
      <w:b/>
      <w:bCs/>
      <w:i/>
      <w:color w:val="4F81BD" w:themeColor="accent1"/>
      <w:sz w:val="20"/>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pPr>
      <w:tabs>
        <w:tab w:val="center" w:pos="4680"/>
        <w:tab w:val="right" w:pos="9360"/>
      </w:tabs>
      <w:spacing w:after="0" w:line="240" w:lineRule="auto"/>
    </w:pPr>
  </w:style>
  <w:style w:type="paragraph" w:styleId="Footer">
    <w:name w:val="footer"/>
    <w:basedOn w:val="Normal"/>
    <w:link w:val="FooterChar"/>
    <w:pPr>
      <w:tabs>
        <w:tab w:val="center" w:pos="4680"/>
        <w:tab w:val="right" w:pos="9360"/>
      </w:tabs>
      <w:spacing w:after="0" w:line="240" w:lineRule="auto"/>
    </w:pPr>
  </w:style>
  <w:style w:type="paragraph" w:styleId="NoSpacing">
    <w:name w:val="No Spacing"/>
    <w:qFormat/>
  </w:style>
  <w:style w:type="paragraph" w:styleId="Title">
    <w:name w:val="Title"/>
    <w:basedOn w:val="Normal"/>
    <w:next w:val="Normal"/>
    <w:link w:val="TitleChar"/>
    <w:uiPriority w:val="10"/>
    <w:qFormat/>
    <w:pPr>
      <w:pBdr>
        <w:bottom w:val="single" w:sz="8" w:space="4" w:color="4F81BD"/>
      </w:pBdr>
      <w:spacing w:after="300" w:line="240" w:lineRule="auto"/>
      <w:contextualSpacing/>
    </w:pPr>
    <w:rPr>
      <w:rFonts w:ascii="Calibri" w:eastAsia="MS Gothic" w:hAnsi="Calibri"/>
      <w:color w:val="17365D" w:themeColor="dark2" w:themeShade="BF"/>
      <w:spacing w:val="5"/>
      <w:kern w:val="2"/>
      <w:sz w:val="52"/>
      <w:szCs w:val="52"/>
    </w:rPr>
  </w:style>
  <w:style w:type="paragraph" w:styleId="Subtitle">
    <w:name w:val="Subtitle"/>
    <w:basedOn w:val="Normal"/>
    <w:next w:val="Normal"/>
    <w:link w:val="SubtitleChar"/>
    <w:uiPriority w:val="11"/>
    <w:qFormat/>
    <w:rPr>
      <w:rFonts w:ascii="Calibri" w:eastAsia="MS Gothic" w:hAnsi="Calibri"/>
      <w:i/>
      <w:iCs/>
      <w:color w:val="4F81BD" w:themeColor="accent1"/>
      <w:spacing w:val="15"/>
      <w:szCs w:val="24"/>
    </w:rPr>
  </w:style>
  <w:style w:type="paragraph" w:styleId="ListParagraph">
    <w:name w:val="List Paragraph"/>
    <w:basedOn w:val="Normal"/>
    <w:qFormat/>
    <w:pPr>
      <w:ind w:left="720"/>
      <w:contextualSpacing/>
    </w:pPr>
  </w:style>
  <w:style w:type="paragraph" w:styleId="BodyText2">
    <w:name w:val="Body Text 2"/>
    <w:basedOn w:val="Normal"/>
    <w:link w:val="BodyText2Char"/>
    <w:qFormat/>
    <w:pPr>
      <w:spacing w:line="480" w:lineRule="auto"/>
    </w:pPr>
  </w:style>
  <w:style w:type="paragraph" w:styleId="BodyText3">
    <w:name w:val="Body Text 3"/>
    <w:basedOn w:val="Normal"/>
    <w:link w:val="BodyText3Char"/>
    <w:qFormat/>
    <w:rPr>
      <w:sz w:val="16"/>
      <w:szCs w:val="16"/>
    </w:rPr>
  </w:style>
  <w:style w:type="paragraph" w:styleId="List2">
    <w:name w:val="List 2"/>
    <w:basedOn w:val="Normal"/>
    <w:qFormat/>
    <w:pPr>
      <w:ind w:left="720" w:hanging="360"/>
      <w:contextualSpacing/>
    </w:pPr>
  </w:style>
  <w:style w:type="paragraph" w:styleId="List3">
    <w:name w:val="List 3"/>
    <w:basedOn w:val="Normal"/>
    <w:qFormat/>
    <w:pPr>
      <w:ind w:left="1080" w:hanging="360"/>
      <w:contextualSpacing/>
    </w:pPr>
  </w:style>
  <w:style w:type="paragraph" w:styleId="ListBullet">
    <w:name w:val="List Bullet"/>
    <w:basedOn w:val="Normal"/>
    <w:pPr>
      <w:numPr>
        <w:numId w:val="2"/>
      </w:numPr>
      <w:contextualSpacing/>
    </w:pPr>
  </w:style>
  <w:style w:type="paragraph" w:styleId="ListBullet2">
    <w:name w:val="List Bullet 2"/>
    <w:basedOn w:val="Normal"/>
    <w:pPr>
      <w:numPr>
        <w:numId w:val="3"/>
      </w:numPr>
      <w:contextualSpacing/>
    </w:pPr>
  </w:style>
  <w:style w:type="paragraph" w:styleId="ListBullet3">
    <w:name w:val="List Bullet 3"/>
    <w:basedOn w:val="Normal"/>
    <w:pPr>
      <w:numPr>
        <w:numId w:val="4"/>
      </w:numPr>
      <w:contextualSpacing/>
    </w:pPr>
  </w:style>
  <w:style w:type="paragraph" w:styleId="ListNumber">
    <w:name w:val="List Number"/>
    <w:basedOn w:val="Normal"/>
    <w:pPr>
      <w:numPr>
        <w:numId w:val="5"/>
      </w:numPr>
      <w:contextualSpacing/>
    </w:pPr>
  </w:style>
  <w:style w:type="paragraph" w:styleId="ListNumber2">
    <w:name w:val="List Number 2"/>
    <w:basedOn w:val="Normal"/>
    <w:pPr>
      <w:numPr>
        <w:numId w:val="6"/>
      </w:numPr>
      <w:contextualSpacing/>
    </w:pPr>
  </w:style>
  <w:style w:type="paragraph" w:styleId="ListNumber3">
    <w:name w:val="List Number 3"/>
    <w:basedOn w:val="Normal"/>
    <w:pPr>
      <w:numPr>
        <w:numId w:val="7"/>
      </w:numPr>
      <w:contextualSpacing/>
    </w:pPr>
  </w:style>
  <w:style w:type="paragraph" w:styleId="ListContinue">
    <w:name w:val="List Continue"/>
    <w:basedOn w:val="Normal"/>
    <w:pPr>
      <w:ind w:left="360"/>
      <w:contextualSpacing/>
    </w:pPr>
  </w:style>
  <w:style w:type="paragraph" w:styleId="ListContinue2">
    <w:name w:val="List Continue 2"/>
    <w:basedOn w:val="Normal"/>
    <w:pPr>
      <w:ind w:left="720"/>
      <w:contextualSpacing/>
    </w:pPr>
  </w:style>
  <w:style w:type="paragraph" w:styleId="ListContinue3">
    <w:name w:val="List Continue 3"/>
    <w:basedOn w:val="Normal"/>
    <w:pPr>
      <w:ind w:left="1080"/>
      <w:contextualSpacing/>
    </w:pPr>
  </w:style>
  <w:style w:type="paragraph" w:styleId="MacroText">
    <w:name w:val="macro"/>
    <w:link w:val="MacroTextChar"/>
    <w:qFormat/>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qFormat/>
    <w:rPr>
      <w:i/>
      <w:iCs/>
      <w:color w:val="000000" w:themeColor="dark1"/>
    </w:rPr>
  </w:style>
  <w:style w:type="paragraph" w:styleId="IntenseQuote">
    <w:name w:val="Intense Quote"/>
    <w:basedOn w:val="Normal"/>
    <w:next w:val="Normal"/>
    <w:link w:val="IntenseQuoteChar"/>
    <w:qFormat/>
    <w:pPr>
      <w:pBdr>
        <w:bottom w:val="single" w:sz="4" w:space="4" w:color="4F81BD"/>
      </w:pBdr>
      <w:spacing w:before="200" w:after="280"/>
      <w:ind w:left="936" w:right="936"/>
    </w:pPr>
    <w:rPr>
      <w:b/>
      <w:bCs/>
      <w:i/>
      <w:iCs/>
      <w:color w:val="4F81BD" w:themeColor="accent1"/>
    </w:rPr>
  </w:style>
  <w:style w:type="paragraph" w:styleId="IndexHeading">
    <w:name w:val="index heading"/>
    <w:basedOn w:val="Heading"/>
  </w:style>
  <w:style w:type="paragraph" w:styleId="TOCHeading">
    <w:name w:val="TOC Heading"/>
    <w:basedOn w:val="Heading1"/>
    <w:next w:val="Normal"/>
    <w:qFormat/>
    <w:pPr>
      <w:outlineLvl w:val="9"/>
    </w:pPr>
  </w:style>
  <w:style w:type="paragraph" w:customStyle="1" w:styleId="TableContents">
    <w:name w:val="Table Contents"/>
    <w:basedOn w:val="Normal"/>
    <w:qFormat/>
    <w:pPr>
      <w:widowControl w:val="0"/>
      <w:suppressLineNumbers/>
    </w:pPr>
  </w:style>
  <w:style w:type="character" w:styleId="Hyperlink">
    <w:name w:val="Hyperlink"/>
    <w:basedOn w:val="DefaultParagraphFont"/>
    <w:uiPriority w:val="99"/>
    <w:unhideWhenUsed/>
    <w:rsid w:val="00852B27"/>
    <w:rPr>
      <w:color w:val="0000FF" w:themeColor="hyperlink"/>
      <w:u w:val="single"/>
    </w:rPr>
  </w:style>
  <w:style w:type="character" w:customStyle="1" w:styleId="UnresolvedMention1">
    <w:name w:val="Unresolved Mention1"/>
    <w:basedOn w:val="DefaultParagraphFont"/>
    <w:uiPriority w:val="99"/>
    <w:semiHidden/>
    <w:unhideWhenUsed/>
    <w:rsid w:val="00852B27"/>
    <w:rPr>
      <w:color w:val="605E5C"/>
      <w:shd w:val="clear" w:color="auto" w:fill="E1DFDD"/>
    </w:rPr>
  </w:style>
  <w:style w:type="character" w:styleId="UnresolvedMention">
    <w:name w:val="Unresolved Mention"/>
    <w:basedOn w:val="DefaultParagraphFont"/>
    <w:uiPriority w:val="99"/>
    <w:semiHidden/>
    <w:unhideWhenUsed/>
    <w:rsid w:val="00477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21/acs.est.2c00619" TargetMode="External"/><Relationship Id="rId18" Type="http://schemas.openxmlformats.org/officeDocument/2006/relationships/hyperlink" Target="https://doi.org/10.9734/jabb/2022/v25i9597" TargetMode="External"/><Relationship Id="rId26" Type="http://schemas.openxmlformats.org/officeDocument/2006/relationships/hyperlink" Target="https://www.who.int/news/item/25-06-2024-what-are-health-consequences-of-air-pollution-on-populations" TargetMode="External"/><Relationship Id="rId3" Type="http://schemas.openxmlformats.org/officeDocument/2006/relationships/settings" Target="settings.xml"/><Relationship Id="rId21" Type="http://schemas.openxmlformats.org/officeDocument/2006/relationships/hyperlink" Target="https://www.epa.gov/risk/risk-assessment-guidance-superfund-rags-part-d" TargetMode="External"/><Relationship Id="rId34" Type="http://schemas.openxmlformats.org/officeDocument/2006/relationships/theme" Target="theme/theme1.xml"/><Relationship Id="rId7" Type="http://schemas.openxmlformats.org/officeDocument/2006/relationships/hyperlink" Target="https://doi.org/10.1080/09603123.2024.2431228" TargetMode="External"/><Relationship Id="rId12" Type="http://schemas.openxmlformats.org/officeDocument/2006/relationships/hyperlink" Target="https://www.fao.org/fao-who-codexalimentarius/sh-proxy/en/?lnk=1&amp;url=https%253A%252F%252Fworkspace.fao.org%252Fsites%252Fcodex%252FShared%2BDocuments%252FArchive%252FMeetings%252FCCFAC%252Fccfac37%252FFA37_34e.pdf" TargetMode="External"/><Relationship Id="rId17" Type="http://schemas.openxmlformats.org/officeDocument/2006/relationships/hyperlink" Target="https://doi.org/10.3390/ijerph18063276" TargetMode="External"/><Relationship Id="rId25" Type="http://schemas.openxmlformats.org/officeDocument/2006/relationships/hyperlink" Target="https://journals.chemsociety.org.ng/index.php/jcsn/article/view/28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joes.com/Sources-Concentrations-Fate-and-Effects-of-Polycyclic-Aromatic-Hydrocarbons-PAHs%2C87230%2C0%2C2.html" TargetMode="External"/><Relationship Id="rId20" Type="http://schemas.openxmlformats.org/officeDocument/2006/relationships/hyperlink" Target="https://www.epa.gov/sites/production/files/2019-11/documents/to-13arr.pdf" TargetMode="External"/><Relationship Id="rId29" Type="http://schemas.openxmlformats.org/officeDocument/2006/relationships/hyperlink" Target="https://www.who.int/publications/i/item/9789289002134"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i.org/10.7930/J0R49NQX" TargetMode="External"/><Relationship Id="rId24" Type="http://schemas.openxmlformats.org/officeDocument/2006/relationships/hyperlink" Target="https://www.epa.gov/esam/epa-method-8270e-sw-846-semivolatile-organic-compounds-gas-chromatographymass-spectrometry-gc" TargetMode="External"/><Relationship Id="rId32" Type="http://schemas.openxmlformats.org/officeDocument/2006/relationships/hyperlink" Target="https://doi.org/10.9734/JSRR/2017/36613" TargetMode="External"/><Relationship Id="rId5" Type="http://schemas.openxmlformats.org/officeDocument/2006/relationships/image" Target="media/image1.jpeg"/><Relationship Id="rId15" Type="http://schemas.openxmlformats.org/officeDocument/2006/relationships/hyperlink" Target="https://publications.iarc.who.int/Book-And-Report-Series/Iarc-Monographs-On-The-Identification-Of-Carcinogenic-Hazards-To-Humans/Some-Non-heterocyclic-Polycyclic-Aromatic-Hydrocarbons-And-Some-Related-Exposures-2010" TargetMode="External"/><Relationship Id="rId23" Type="http://schemas.openxmlformats.org/officeDocument/2006/relationships/hyperlink" Target="https://www.epa.gov/expobox/exposure-factors-handbook-2011-edition" TargetMode="External"/><Relationship Id="rId28" Type="http://schemas.openxmlformats.org/officeDocument/2006/relationships/hyperlink" Target="https://www.who.int/news-room/fact-sheets/detail/ambient-%28outdoor%29-air-quality-and-health" TargetMode="External"/><Relationship Id="rId10" Type="http://schemas.openxmlformats.org/officeDocument/2006/relationships/hyperlink" Target="https://doi.org/10.4236/ojap.2015.41002" TargetMode="External"/><Relationship Id="rId19" Type="http://schemas.openxmlformats.org/officeDocument/2006/relationships/hyperlink" Target="https://www.epa.gov/risk/risk-assessment-guidance-superfund-rags-part" TargetMode="External"/><Relationship Id="rId31" Type="http://schemas.openxmlformats.org/officeDocument/2006/relationships/hyperlink" Target="https://doi.org/10.1038/s41598-024-55695-1" TargetMode="External"/><Relationship Id="rId4" Type="http://schemas.openxmlformats.org/officeDocument/2006/relationships/webSettings" Target="webSettings.xml"/><Relationship Id="rId9" Type="http://schemas.openxmlformats.org/officeDocument/2006/relationships/hyperlink" Target="https://doi.org/10.9790/2402-1404041322" TargetMode="External"/><Relationship Id="rId14" Type="http://schemas.openxmlformats.org/officeDocument/2006/relationships/hyperlink" Target="https://doi.org/10.56557/jogee/2025/v21i49759" TargetMode="External"/><Relationship Id="rId22" Type="http://schemas.openxmlformats.org/officeDocument/2006/relationships/hyperlink" Target="https://www.epa.gov/risk/risk-assessment-guidance-superfund-rags-part-f" TargetMode="External"/><Relationship Id="rId27" Type="http://schemas.openxmlformats.org/officeDocument/2006/relationships/hyperlink" Target="https://www.who.int/publications/i/item/9789240034228/" TargetMode="External"/><Relationship Id="rId30" Type="http://schemas.openxmlformats.org/officeDocument/2006/relationships/hyperlink" Target="https://www.who.int/europe/publications/i/item/9789289056533" TargetMode="External"/><Relationship Id="rId8" Type="http://schemas.openxmlformats.org/officeDocument/2006/relationships/hyperlink" Target="https://doi.org/10.1080/10473289.2011.628900"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7544</Words>
  <Characters>43007</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SDI CPU 1117</cp:lastModifiedBy>
  <cp:revision>22</cp:revision>
  <dcterms:created xsi:type="dcterms:W3CDTF">2026-06-23T08:49:00Z</dcterms:created>
  <dcterms:modified xsi:type="dcterms:W3CDTF">2026-06-27T04:28:00Z</dcterms:modified>
  <dc:language>en-US</dc:language>
</cp:coreProperties>
</file>