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10871" w14:textId="77777777" w:rsidR="00312333" w:rsidRPr="00F13121" w:rsidRDefault="00000000">
      <w:pPr>
        <w:rPr>
          <w:rFonts w:ascii="Times New Roman" w:eastAsia="Times New Roman" w:hAnsi="Times New Roman" w:cs="Times New Roman"/>
          <w:b/>
          <w:bCs/>
          <w:sz w:val="24"/>
          <w:szCs w:val="24"/>
        </w:rPr>
      </w:pPr>
      <w:r w:rsidRPr="00F13121">
        <w:rPr>
          <w:rFonts w:ascii="Times New Roman" w:eastAsia="Times New Roman" w:hAnsi="Times New Roman" w:cs="Times New Roman"/>
          <w:b/>
          <w:bCs/>
          <w:sz w:val="24"/>
          <w:szCs w:val="24"/>
        </w:rPr>
        <w:t xml:space="preserve">PRELIMINARY PILOT STUDY ON FUNGAL CONTAMINATION IN TREATED DRINKING WATER COLLECTED FROM SAIDAPET, CHENNAI, INDIA </w:t>
      </w:r>
    </w:p>
    <w:p w14:paraId="06CDC5CC" w14:textId="77777777" w:rsidR="00312333" w:rsidRPr="00F13121" w:rsidRDefault="00312333">
      <w:pPr>
        <w:rPr>
          <w:rFonts w:ascii="Times New Roman" w:eastAsia="Times New Roman" w:hAnsi="Times New Roman" w:cs="Times New Roman"/>
          <w:b/>
          <w:bCs/>
        </w:rPr>
      </w:pPr>
    </w:p>
    <w:p w14:paraId="1F29E86C" w14:textId="77777777" w:rsidR="00312333" w:rsidRPr="00F13121" w:rsidRDefault="00312333">
      <w:pPr>
        <w:rPr>
          <w:rFonts w:ascii="Times New Roman" w:eastAsia="Times New Roman" w:hAnsi="Times New Roman" w:cs="Times New Roman"/>
          <w:b/>
          <w:bCs/>
        </w:rPr>
      </w:pPr>
    </w:p>
    <w:p w14:paraId="25C62B63" w14:textId="77777777" w:rsidR="00312333" w:rsidRPr="00F13121" w:rsidRDefault="00000000">
      <w:pPr>
        <w:spacing w:line="240" w:lineRule="auto"/>
        <w:rPr>
          <w:rFonts w:ascii="Times New Roman" w:eastAsia="Times New Roman" w:hAnsi="Times New Roman" w:cs="Times New Roman"/>
          <w:b/>
          <w:bCs/>
        </w:rPr>
      </w:pPr>
      <w:r w:rsidRPr="00F13121">
        <w:rPr>
          <w:rFonts w:ascii="Times New Roman" w:eastAsia="Times New Roman" w:hAnsi="Times New Roman" w:cs="Times New Roman"/>
          <w:b/>
          <w:bCs/>
        </w:rPr>
        <w:t>ABSTRACT</w:t>
      </w:r>
    </w:p>
    <w:p w14:paraId="3E7B38A0" w14:textId="77777777" w:rsidR="00312333" w:rsidRPr="00F13121" w:rsidRDefault="00312333">
      <w:pPr>
        <w:spacing w:line="240" w:lineRule="auto"/>
        <w:rPr>
          <w:rFonts w:ascii="Times New Roman" w:eastAsia="Times New Roman" w:hAnsi="Times New Roman" w:cs="Times New Roman"/>
          <w:b/>
          <w:bCs/>
        </w:rPr>
      </w:pPr>
    </w:p>
    <w:p w14:paraId="267B81A8" w14:textId="0588340C" w:rsidR="00312333" w:rsidRPr="00F13121" w:rsidRDefault="0074618B" w:rsidP="0074618B">
      <w:pPr>
        <w:jc w:val="both"/>
        <w:rPr>
          <w:rFonts w:ascii="Times New Roman" w:eastAsia="Times New Roman" w:hAnsi="Times New Roman" w:cs="Times New Roman"/>
        </w:rPr>
      </w:pPr>
      <w:r w:rsidRPr="00F13121">
        <w:t xml:space="preserve">Safe drinking water is essential for human health, yet fungal contamination receives less attention than bacterial contamination. This preliminary pilot study assessed the possible occurrence of fungi in treated drinking water collected from Raghava Colony, </w:t>
      </w:r>
      <w:proofErr w:type="spellStart"/>
      <w:r w:rsidRPr="00F13121">
        <w:t>Saidapet</w:t>
      </w:r>
      <w:proofErr w:type="spellEnd"/>
      <w:r w:rsidRPr="00F13121">
        <w:t xml:space="preserve">, Chennai, India. A single 100 mL sample was collected aseptically and </w:t>
      </w:r>
      <w:proofErr w:type="spellStart"/>
      <w:r w:rsidRPr="00F13121">
        <w:t>analysed</w:t>
      </w:r>
      <w:proofErr w:type="spellEnd"/>
      <w:r w:rsidRPr="00F13121">
        <w:t xml:space="preserve"> using the Indian Standard method IS 5403:1999 with Yeast Extract Dextrose Chloramphenicol agar. Following incubation at 25 ± 1°C for 3–5 days, colonies were evaluated by macroscopic morphology and microscopic examination using Lactophenol Cotton Blue staining. The isolates were presumptively identified as </w:t>
      </w:r>
      <w:r w:rsidRPr="00F13121">
        <w:rPr>
          <w:rStyle w:val="Emphasis"/>
        </w:rPr>
        <w:t>Aspergillus flavus</w:t>
      </w:r>
      <w:r w:rsidRPr="00F13121">
        <w:t xml:space="preserve"> and </w:t>
      </w:r>
      <w:r w:rsidRPr="00F13121">
        <w:rPr>
          <w:rStyle w:val="Emphasis"/>
        </w:rPr>
        <w:t xml:space="preserve">Aspergillus </w:t>
      </w:r>
      <w:proofErr w:type="spellStart"/>
      <w:r w:rsidRPr="00F13121">
        <w:rPr>
          <w:rStyle w:val="Emphasis"/>
        </w:rPr>
        <w:t>niger</w:t>
      </w:r>
      <w:proofErr w:type="spellEnd"/>
      <w:r w:rsidRPr="00F13121">
        <w:t xml:space="preserve">. Characteristic colonies of </w:t>
      </w:r>
      <w:r w:rsidRPr="00F13121">
        <w:rPr>
          <w:rStyle w:val="Emphasis"/>
        </w:rPr>
        <w:t>Candida albicans</w:t>
      </w:r>
      <w:r w:rsidRPr="00F13121">
        <w:t xml:space="preserve"> and </w:t>
      </w:r>
      <w:r w:rsidRPr="00F13121">
        <w:rPr>
          <w:rStyle w:val="Emphasis"/>
        </w:rPr>
        <w:t>Saccharomyces cerevisiae</w:t>
      </w:r>
      <w:r w:rsidRPr="00F13121">
        <w:t xml:space="preserve"> were not detected. These observations indicate that fungal propagules may be present in treated drinking water despite filtration and chlorination; however, they do not establish the extent, frequency, or public health significance of contamination. Interpretation is limited by the analysis of one sample, the absence of replicate sampling, quantitative colony enumeration, statistical analysis, and molecular confirmation. The findings therefore provide only preliminary baseline evidence for the selected location. Further investigations using multiple samples, seasonal sampling, quantitative fungal counts, and molecular identification are required to </w:t>
      </w:r>
      <w:proofErr w:type="spellStart"/>
      <w:r w:rsidRPr="00F13121">
        <w:t>characterise</w:t>
      </w:r>
      <w:proofErr w:type="spellEnd"/>
      <w:r w:rsidRPr="00F13121">
        <w:t xml:space="preserve"> fungal occurrence more reliably within the drinking water distribution system at this location.</w:t>
      </w:r>
    </w:p>
    <w:p w14:paraId="2C394062" w14:textId="77777777" w:rsidR="00FC50E8" w:rsidRPr="00F13121" w:rsidRDefault="00000000" w:rsidP="00FC50E8">
      <w:pPr>
        <w:pStyle w:val="pdq2pgselectionanchorcontainer"/>
      </w:pPr>
      <w:r w:rsidRPr="00F13121">
        <w:rPr>
          <w:b/>
          <w:bCs/>
        </w:rPr>
        <w:t>Keywords:</w:t>
      </w:r>
      <w:r w:rsidRPr="00F13121">
        <w:t xml:space="preserve"> </w:t>
      </w:r>
      <w:r w:rsidR="00FC50E8" w:rsidRPr="00F13121">
        <w:t xml:space="preserve">Treated drinking water; fungal contamination; </w:t>
      </w:r>
      <w:r w:rsidR="00FC50E8" w:rsidRPr="00F13121">
        <w:rPr>
          <w:rStyle w:val="Emphasis"/>
        </w:rPr>
        <w:t>Aspergillus flavus</w:t>
      </w:r>
      <w:r w:rsidR="00FC50E8" w:rsidRPr="00F13121">
        <w:t xml:space="preserve">; </w:t>
      </w:r>
      <w:r w:rsidR="00FC50E8" w:rsidRPr="00F13121">
        <w:rPr>
          <w:rStyle w:val="Emphasis"/>
        </w:rPr>
        <w:t xml:space="preserve">Aspergillus </w:t>
      </w:r>
      <w:proofErr w:type="spellStart"/>
      <w:r w:rsidR="00FC50E8" w:rsidRPr="00F13121">
        <w:rPr>
          <w:rStyle w:val="Emphasis"/>
        </w:rPr>
        <w:t>niger</w:t>
      </w:r>
      <w:proofErr w:type="spellEnd"/>
      <w:r w:rsidR="00FC50E8" w:rsidRPr="00F13121">
        <w:t>; water quality; preliminary pilot study; YDC agar; IS 5403:1999; municipal water supply; fungal surveillance</w:t>
      </w:r>
    </w:p>
    <w:p w14:paraId="6B29D568" w14:textId="2B67AC72" w:rsidR="00312333" w:rsidRPr="00F13121" w:rsidRDefault="00312333">
      <w:pPr>
        <w:rPr>
          <w:rFonts w:ascii="Times New Roman" w:eastAsia="Times New Roman" w:hAnsi="Times New Roman" w:cs="Times New Roman"/>
        </w:rPr>
      </w:pPr>
    </w:p>
    <w:p w14:paraId="3EECECA5" w14:textId="77777777" w:rsidR="00312333" w:rsidRPr="00F13121" w:rsidRDefault="00312333">
      <w:pPr>
        <w:rPr>
          <w:rFonts w:ascii="Times New Roman" w:eastAsia="Times New Roman" w:hAnsi="Times New Roman" w:cs="Times New Roman"/>
        </w:rPr>
      </w:pPr>
    </w:p>
    <w:p w14:paraId="223F4525" w14:textId="77777777" w:rsidR="00312333" w:rsidRPr="00F13121" w:rsidRDefault="00312333">
      <w:pPr>
        <w:rPr>
          <w:rFonts w:ascii="Times New Roman" w:eastAsia="Times New Roman" w:hAnsi="Times New Roman" w:cs="Times New Roman"/>
        </w:rPr>
      </w:pPr>
    </w:p>
    <w:p w14:paraId="704C4FB1" w14:textId="77777777" w:rsidR="00312333" w:rsidRPr="00F13121" w:rsidRDefault="00000000">
      <w:pPr>
        <w:rPr>
          <w:rFonts w:ascii="Times New Roman" w:eastAsia="Times New Roman" w:hAnsi="Times New Roman" w:cs="Times New Roman"/>
          <w:b/>
          <w:bCs/>
        </w:rPr>
      </w:pPr>
      <w:r w:rsidRPr="00F13121">
        <w:rPr>
          <w:rFonts w:ascii="Times New Roman" w:eastAsia="Times New Roman" w:hAnsi="Times New Roman" w:cs="Times New Roman"/>
          <w:b/>
          <w:bCs/>
        </w:rPr>
        <w:t>INTRODUCTION</w:t>
      </w:r>
    </w:p>
    <w:p w14:paraId="3A9A1C6E" w14:textId="77777777" w:rsidR="00312333" w:rsidRPr="00F13121" w:rsidRDefault="00000000">
      <w:pPr>
        <w:rPr>
          <w:rFonts w:ascii="Times New Roman" w:eastAsia="Times New Roman" w:hAnsi="Times New Roman" w:cs="Times New Roman"/>
          <w:b/>
          <w:bCs/>
        </w:rPr>
      </w:pPr>
      <w:r w:rsidRPr="00F13121">
        <w:rPr>
          <w:rFonts w:ascii="Times New Roman" w:eastAsia="Times New Roman" w:hAnsi="Times New Roman" w:cs="Times New Roman"/>
          <w:b/>
          <w:bCs/>
        </w:rPr>
        <w:t xml:space="preserve">   </w:t>
      </w:r>
    </w:p>
    <w:p w14:paraId="45418DCA" w14:textId="77777777" w:rsidR="00312333" w:rsidRPr="00F13121" w:rsidRDefault="00000000">
      <w:pPr>
        <w:rPr>
          <w:rFonts w:ascii="Times New Roman" w:eastAsia="Times New Roman" w:hAnsi="Times New Roman" w:cs="Times New Roman"/>
        </w:rPr>
      </w:pPr>
      <w:r w:rsidRPr="00F13121">
        <w:rPr>
          <w:rFonts w:ascii="Times New Roman" w:eastAsia="Times New Roman" w:hAnsi="Times New Roman" w:cs="Times New Roman"/>
          <w:b/>
          <w:bCs/>
        </w:rPr>
        <w:t xml:space="preserve">      </w:t>
      </w:r>
      <w:r w:rsidRPr="00F13121">
        <w:rPr>
          <w:rFonts w:ascii="Times New Roman" w:eastAsia="Times New Roman" w:hAnsi="Times New Roman" w:cs="Times New Roman"/>
        </w:rPr>
        <w:t xml:space="preserve">Fungi are ubiquitous microorganisms found in freshwater, oceans and drinking water distribution systems, where they survive through spore formation and adaptation to diverse environmental conditions (Gostinčar </w:t>
      </w:r>
      <w:r w:rsidRPr="00F13121">
        <w:rPr>
          <w:rFonts w:ascii="Times New Roman" w:eastAsia="Times New Roman" w:hAnsi="Times New Roman" w:cs="Times New Roman"/>
          <w:i/>
          <w:iCs/>
        </w:rPr>
        <w:t>et al.,</w:t>
      </w:r>
      <w:r w:rsidRPr="00F13121">
        <w:rPr>
          <w:rFonts w:ascii="Times New Roman" w:eastAsia="Times New Roman" w:hAnsi="Times New Roman" w:cs="Times New Roman"/>
        </w:rPr>
        <w:t xml:space="preserve"> 2011; De Bruin </w:t>
      </w:r>
      <w:r w:rsidRPr="00F13121">
        <w:rPr>
          <w:rFonts w:ascii="Times New Roman" w:eastAsia="Times New Roman" w:hAnsi="Times New Roman" w:cs="Times New Roman"/>
          <w:i/>
          <w:iCs/>
        </w:rPr>
        <w:t>et al.,</w:t>
      </w:r>
      <w:r w:rsidRPr="00F13121">
        <w:rPr>
          <w:rFonts w:ascii="Times New Roman" w:eastAsia="Times New Roman" w:hAnsi="Times New Roman" w:cs="Times New Roman"/>
        </w:rPr>
        <w:t xml:space="preserve"> 2008; Wurzbacher </w:t>
      </w:r>
      <w:r w:rsidRPr="00F13121">
        <w:rPr>
          <w:rFonts w:ascii="Times New Roman" w:eastAsia="Times New Roman" w:hAnsi="Times New Roman" w:cs="Times New Roman"/>
          <w:i/>
          <w:iCs/>
        </w:rPr>
        <w:t>et al.,</w:t>
      </w:r>
      <w:r w:rsidRPr="00F13121">
        <w:rPr>
          <w:rFonts w:ascii="Times New Roman" w:eastAsia="Times New Roman" w:hAnsi="Times New Roman" w:cs="Times New Roman"/>
        </w:rPr>
        <w:t xml:space="preserve"> 2011). Unlike bacterial contamination, fungal contamination in drinking water has received comparatively less attention (Afonso </w:t>
      </w:r>
      <w:r w:rsidRPr="00F13121">
        <w:rPr>
          <w:rFonts w:ascii="Times New Roman" w:eastAsia="Times New Roman" w:hAnsi="Times New Roman" w:cs="Times New Roman"/>
          <w:i/>
          <w:iCs/>
        </w:rPr>
        <w:t>et al.,</w:t>
      </w:r>
      <w:r w:rsidRPr="00F13121">
        <w:rPr>
          <w:rFonts w:ascii="Times New Roman" w:eastAsia="Times New Roman" w:hAnsi="Times New Roman" w:cs="Times New Roman"/>
        </w:rPr>
        <w:t xml:space="preserve"> 2021; Department for Environment, Food &amp; Rural Affairs [DEFRA], 2011; Zhao </w:t>
      </w:r>
      <w:r w:rsidRPr="00F13121">
        <w:rPr>
          <w:rFonts w:ascii="Times New Roman" w:eastAsia="Times New Roman" w:hAnsi="Times New Roman" w:cs="Times New Roman"/>
          <w:i/>
          <w:iCs/>
        </w:rPr>
        <w:t>et al.,</w:t>
      </w:r>
      <w:r w:rsidRPr="00F13121">
        <w:rPr>
          <w:rFonts w:ascii="Times New Roman" w:eastAsia="Times New Roman" w:hAnsi="Times New Roman" w:cs="Times New Roman"/>
        </w:rPr>
        <w:t xml:space="preserve"> 2022). Although certain fungi can survive conventional water treatment processes, form biofilms in distribution systems and produce mycotoxins that may pose potential health risks to humans (Grabińska-Łoniewska</w:t>
      </w:r>
      <w:r w:rsidRPr="00F13121">
        <w:rPr>
          <w:rFonts w:ascii="Times New Roman" w:eastAsia="Times New Roman" w:hAnsi="Times New Roman" w:cs="Times New Roman"/>
          <w:i/>
          <w:iCs/>
        </w:rPr>
        <w:t xml:space="preserve"> et al.</w:t>
      </w:r>
      <w:r w:rsidRPr="00F13121">
        <w:rPr>
          <w:rFonts w:ascii="Times New Roman" w:eastAsia="Times New Roman" w:hAnsi="Times New Roman" w:cs="Times New Roman"/>
        </w:rPr>
        <w:t>, 2007).</w:t>
      </w:r>
    </w:p>
    <w:p w14:paraId="7EE95273" w14:textId="77777777" w:rsidR="00FB565A" w:rsidRPr="00F13121" w:rsidRDefault="00000000">
      <w:pPr>
        <w:rPr>
          <w:rFonts w:ascii="Times New Roman" w:eastAsia="Times New Roman" w:hAnsi="Times New Roman" w:cs="Times New Roman"/>
        </w:rPr>
      </w:pPr>
      <w:r w:rsidRPr="00F13121">
        <w:rPr>
          <w:rFonts w:ascii="Times New Roman" w:eastAsia="Times New Roman" w:hAnsi="Times New Roman" w:cs="Times New Roman"/>
          <w:b/>
        </w:rPr>
        <w:t xml:space="preserve">Recent investigations have shown that culturable fungal communities can occur throughout drinking-water treatment and distribution systems, with their occurrence influenced by water source, disinfection regime and distribution materials (Novak Babič et al., 2023). Complementary field evidence has identified diverse fungi, including </w:t>
      </w:r>
      <w:r w:rsidRPr="00F13121">
        <w:rPr>
          <w:rFonts w:ascii="Times New Roman" w:eastAsia="Times New Roman" w:hAnsi="Times New Roman" w:cs="Times New Roman"/>
          <w:b/>
          <w:i/>
        </w:rPr>
        <w:t>Aspergillus</w:t>
      </w:r>
      <w:r w:rsidRPr="00F13121">
        <w:rPr>
          <w:rFonts w:ascii="Times New Roman" w:eastAsia="Times New Roman" w:hAnsi="Times New Roman" w:cs="Times New Roman"/>
          <w:b/>
        </w:rPr>
        <w:t xml:space="preserve"> species, in drinking-water samples </w:t>
      </w:r>
      <w:r w:rsidRPr="00F13121">
        <w:rPr>
          <w:rFonts w:ascii="Times New Roman" w:eastAsia="Times New Roman" w:hAnsi="Times New Roman" w:cs="Times New Roman"/>
          <w:b/>
        </w:rPr>
        <w:lastRenderedPageBreak/>
        <w:t xml:space="preserve">and has indicated incomplete removal of some fungal propagules by routine treatment processes (Hussain et al., 2024). Potable-water isolates of </w:t>
      </w:r>
      <w:r w:rsidRPr="00F13121">
        <w:rPr>
          <w:rFonts w:ascii="Times New Roman" w:eastAsia="Times New Roman" w:hAnsi="Times New Roman" w:cs="Times New Roman"/>
          <w:b/>
          <w:i/>
        </w:rPr>
        <w:t>Aspergillus</w:t>
      </w:r>
      <w:r w:rsidRPr="00F13121">
        <w:rPr>
          <w:rFonts w:ascii="Times New Roman" w:eastAsia="Times New Roman" w:hAnsi="Times New Roman" w:cs="Times New Roman"/>
          <w:b/>
        </w:rPr>
        <w:t xml:space="preserve"> and </w:t>
      </w:r>
      <w:r w:rsidRPr="00F13121">
        <w:rPr>
          <w:rFonts w:ascii="Times New Roman" w:eastAsia="Times New Roman" w:hAnsi="Times New Roman" w:cs="Times New Roman"/>
          <w:b/>
          <w:i/>
        </w:rPr>
        <w:t>Candida</w:t>
      </w:r>
      <w:r w:rsidRPr="00F13121">
        <w:rPr>
          <w:rFonts w:ascii="Times New Roman" w:eastAsia="Times New Roman" w:hAnsi="Times New Roman" w:cs="Times New Roman"/>
          <w:b/>
        </w:rPr>
        <w:t xml:space="preserve"> have also exhibited reduced susceptibility to selected antifungal agents, further supporting the value of fungal surveillance in water systems (Novak Babič &amp; Gunde-Cimerman, 2025).</w:t>
      </w:r>
    </w:p>
    <w:p w14:paraId="580CFE56" w14:textId="77777777" w:rsidR="00312333" w:rsidRPr="00F13121" w:rsidRDefault="00000000">
      <w:pPr>
        <w:rPr>
          <w:rFonts w:ascii="Times New Roman" w:eastAsia="Times New Roman" w:hAnsi="Times New Roman" w:cs="Times New Roman"/>
        </w:rPr>
      </w:pPr>
      <w:r w:rsidRPr="00F13121">
        <w:rPr>
          <w:rFonts w:ascii="Times New Roman" w:eastAsia="Times New Roman" w:hAnsi="Times New Roman" w:cs="Times New Roman"/>
        </w:rPr>
        <w:t xml:space="preserve">Among these fungi, </w:t>
      </w:r>
      <w:r w:rsidRPr="00F13121">
        <w:rPr>
          <w:rFonts w:ascii="Times New Roman" w:eastAsia="Times New Roman" w:hAnsi="Times New Roman" w:cs="Times New Roman"/>
          <w:i/>
          <w:iCs/>
        </w:rPr>
        <w:t xml:space="preserve">Aspergillus flavus and Aspergillus </w:t>
      </w:r>
      <w:proofErr w:type="spellStart"/>
      <w:r w:rsidRPr="00F13121">
        <w:rPr>
          <w:rFonts w:ascii="Times New Roman" w:eastAsia="Times New Roman" w:hAnsi="Times New Roman" w:cs="Times New Roman"/>
          <w:i/>
          <w:iCs/>
        </w:rPr>
        <w:t>niger</w:t>
      </w:r>
      <w:proofErr w:type="spellEnd"/>
      <w:r w:rsidRPr="00F13121">
        <w:rPr>
          <w:rFonts w:ascii="Times New Roman" w:eastAsia="Times New Roman" w:hAnsi="Times New Roman" w:cs="Times New Roman"/>
        </w:rPr>
        <w:t xml:space="preserve"> are commonly reported in drinking water systems and are considered important because of their ability to persist in water distribution systems and cause opportunistic infections in immunocompromised individuals (Horn </w:t>
      </w:r>
      <w:r w:rsidRPr="00F13121">
        <w:rPr>
          <w:rFonts w:ascii="Times New Roman" w:eastAsia="Times New Roman" w:hAnsi="Times New Roman" w:cs="Times New Roman"/>
          <w:i/>
          <w:iCs/>
        </w:rPr>
        <w:t>et al.,</w:t>
      </w:r>
      <w:r w:rsidRPr="00F13121">
        <w:rPr>
          <w:rFonts w:ascii="Times New Roman" w:eastAsia="Times New Roman" w:hAnsi="Times New Roman" w:cs="Times New Roman"/>
        </w:rPr>
        <w:t xml:space="preserve"> 2009; Krishnan </w:t>
      </w:r>
      <w:r w:rsidRPr="00F13121">
        <w:rPr>
          <w:rFonts w:ascii="Times New Roman" w:eastAsia="Times New Roman" w:hAnsi="Times New Roman" w:cs="Times New Roman"/>
          <w:i/>
          <w:iCs/>
        </w:rPr>
        <w:t>et al., 2009</w:t>
      </w:r>
      <w:r w:rsidRPr="00F13121">
        <w:rPr>
          <w:rFonts w:ascii="Times New Roman" w:eastAsia="Times New Roman" w:hAnsi="Times New Roman" w:cs="Times New Roman"/>
        </w:rPr>
        <w:t>). However, information on fungal contamination in treated drinking water remains limited, particularly in local drinking water distribution systems.</w:t>
      </w:r>
    </w:p>
    <w:p w14:paraId="05860D20" w14:textId="77777777" w:rsidR="00FB565A" w:rsidRPr="00F13121" w:rsidRDefault="00000000">
      <w:pPr>
        <w:rPr>
          <w:rFonts w:ascii="Times New Roman" w:eastAsia="Times New Roman" w:hAnsi="Times New Roman" w:cs="Times New Roman"/>
        </w:rPr>
      </w:pPr>
      <w:r w:rsidRPr="00F13121">
        <w:rPr>
          <w:rFonts w:ascii="Times New Roman" w:eastAsia="Times New Roman" w:hAnsi="Times New Roman" w:cs="Times New Roman"/>
          <w:b/>
        </w:rPr>
        <w:t>A recent microbiological assessment of household-used surface-water and groundwater sources reported measurable yeast and mould burdens, illustrating the value of including fungal parameters alongside bacterial indicators in water-quality evaluation (Constant et al., 2025).</w:t>
      </w:r>
    </w:p>
    <w:p w14:paraId="02B23CFA" w14:textId="77777777" w:rsidR="00FB565A" w:rsidRPr="00F13121" w:rsidRDefault="00000000">
      <w:pPr>
        <w:rPr>
          <w:rFonts w:ascii="Times New Roman" w:eastAsia="Times New Roman" w:hAnsi="Times New Roman" w:cs="Times New Roman"/>
        </w:rPr>
      </w:pPr>
      <w:r w:rsidRPr="00F13121">
        <w:rPr>
          <w:rFonts w:ascii="Times New Roman" w:eastAsia="Times New Roman" w:hAnsi="Times New Roman" w:cs="Times New Roman"/>
          <w:b/>
        </w:rPr>
        <w:t>Household water-storage and handling practices have been associated with post-collection microbial contamination, particularly when storage containers are inadequately cleaned or covered (Diala et al., 2025).</w:t>
      </w:r>
    </w:p>
    <w:p w14:paraId="0AD9E6B7" w14:textId="77777777" w:rsidR="00FB565A" w:rsidRPr="00F13121" w:rsidRDefault="00000000">
      <w:pPr>
        <w:rPr>
          <w:rFonts w:ascii="Times New Roman" w:eastAsia="Times New Roman" w:hAnsi="Times New Roman" w:cs="Times New Roman"/>
        </w:rPr>
      </w:pPr>
      <w:r w:rsidRPr="00F13121">
        <w:rPr>
          <w:rFonts w:ascii="Times New Roman" w:eastAsia="Times New Roman" w:hAnsi="Times New Roman" w:cs="Times New Roman"/>
          <w:b/>
        </w:rPr>
        <w:t>Accordingly, a local evidence gap remains regarding the possible occurrence of fungi in treated drinking water at the selected sampling location in Saidapet, Chennai.</w:t>
      </w:r>
    </w:p>
    <w:p w14:paraId="6474AE2E" w14:textId="77777777" w:rsidR="00312333" w:rsidRPr="00F13121" w:rsidRDefault="00000000">
      <w:pPr>
        <w:rPr>
          <w:rFonts w:ascii="Times New Roman" w:eastAsia="Times New Roman" w:hAnsi="Times New Roman" w:cs="Times New Roman"/>
        </w:rPr>
      </w:pPr>
      <w:r w:rsidRPr="00F13121">
        <w:rPr>
          <w:rFonts w:ascii="Times New Roman" w:eastAsia="Times New Roman" w:hAnsi="Times New Roman" w:cs="Times New Roman"/>
        </w:rPr>
        <w:t xml:space="preserve">Therefore, the present study was conducted as a preliminary pilot study to assess the possible occurrence of fungal contamination in treated drinking water. Since only one treated drinking water sample was </w:t>
      </w:r>
      <w:proofErr w:type="spellStart"/>
      <w:r w:rsidRPr="00F13121">
        <w:rPr>
          <w:rFonts w:ascii="Times New Roman" w:eastAsia="Times New Roman" w:hAnsi="Times New Roman" w:cs="Times New Roman"/>
        </w:rPr>
        <w:t>analysed</w:t>
      </w:r>
      <w:proofErr w:type="spellEnd"/>
      <w:r w:rsidRPr="00F13121">
        <w:rPr>
          <w:rFonts w:ascii="Times New Roman" w:eastAsia="Times New Roman" w:hAnsi="Times New Roman" w:cs="Times New Roman"/>
        </w:rPr>
        <w:t>, the findings should be considered preliminary and provide baseline information for future large-scale investigations involving multiple samples, quantitative fungal analysis and molecular identification.</w:t>
      </w:r>
    </w:p>
    <w:p w14:paraId="6B4B1847" w14:textId="77777777" w:rsidR="00312333" w:rsidRPr="00F13121" w:rsidRDefault="00000000">
      <w:pPr>
        <w:rPr>
          <w:rFonts w:ascii="Times New Roman" w:eastAsia="Times New Roman" w:hAnsi="Times New Roman" w:cs="Times New Roman"/>
          <w:b/>
          <w:bCs/>
          <w:sz w:val="24"/>
          <w:szCs w:val="24"/>
        </w:rPr>
      </w:pPr>
      <w:r w:rsidRPr="00F13121">
        <w:rPr>
          <w:rFonts w:ascii="Times New Roman" w:eastAsia="Times New Roman" w:hAnsi="Times New Roman" w:cs="Times New Roman"/>
          <w:b/>
          <w:bCs/>
          <w:sz w:val="24"/>
          <w:szCs w:val="24"/>
        </w:rPr>
        <w:t>MATERIALS AND METHODS</w:t>
      </w:r>
    </w:p>
    <w:p w14:paraId="3AEF5D32" w14:textId="77777777" w:rsidR="00312333" w:rsidRPr="00F13121" w:rsidRDefault="00312333">
      <w:pPr>
        <w:rPr>
          <w:rFonts w:ascii="Times New Roman" w:eastAsia="Times New Roman" w:hAnsi="Times New Roman" w:cs="Times New Roman"/>
          <w:b/>
          <w:bCs/>
          <w:sz w:val="24"/>
          <w:szCs w:val="24"/>
        </w:rPr>
      </w:pPr>
    </w:p>
    <w:p w14:paraId="0BD71551" w14:textId="77777777" w:rsidR="00312333" w:rsidRPr="00F13121" w:rsidRDefault="00000000">
      <w:pPr>
        <w:rPr>
          <w:rFonts w:ascii="Times New Roman" w:eastAsia="Times New Roman" w:hAnsi="Times New Roman" w:cs="Times New Roman"/>
          <w:b/>
          <w:bCs/>
          <w:sz w:val="24"/>
          <w:szCs w:val="24"/>
        </w:rPr>
      </w:pPr>
      <w:r w:rsidRPr="00F13121">
        <w:rPr>
          <w:rFonts w:ascii="Times New Roman" w:eastAsia="Times New Roman" w:hAnsi="Times New Roman" w:cs="Times New Roman"/>
          <w:b/>
          <w:bCs/>
          <w:sz w:val="24"/>
          <w:szCs w:val="24"/>
        </w:rPr>
        <w:t xml:space="preserve">                                            </w:t>
      </w:r>
      <w:r w:rsidRPr="00F13121">
        <w:rPr>
          <w:rFonts w:ascii="Times New Roman" w:eastAsia="Times New Roman" w:hAnsi="Times New Roman" w:cs="Times New Roman"/>
          <w:b/>
          <w:bCs/>
          <w:noProof/>
          <w:sz w:val="24"/>
          <w:szCs w:val="24"/>
        </w:rPr>
        <w:drawing>
          <wp:inline distT="114300" distB="114300" distL="114300" distR="114300" wp14:anchorId="02625DD2" wp14:editId="12B5FB36">
            <wp:extent cx="2019049" cy="1104900"/>
            <wp:effectExtent l="25400" t="25400" r="25400" b="254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2019049" cy="1104900"/>
                    </a:xfrm>
                    <a:prstGeom prst="rect">
                      <a:avLst/>
                    </a:prstGeom>
                    <a:ln w="25400">
                      <a:solidFill>
                        <a:srgbClr val="A4C2F4"/>
                      </a:solidFill>
                      <a:prstDash val="solid"/>
                    </a:ln>
                  </pic:spPr>
                </pic:pic>
              </a:graphicData>
            </a:graphic>
          </wp:inline>
        </w:drawing>
      </w:r>
    </w:p>
    <w:p w14:paraId="55598935" w14:textId="77777777" w:rsidR="00312333" w:rsidRPr="00F13121" w:rsidRDefault="00000000">
      <w:pPr>
        <w:jc w:val="both"/>
        <w:rPr>
          <w:rFonts w:ascii="Times New Roman" w:eastAsia="Times New Roman" w:hAnsi="Times New Roman" w:cs="Times New Roman"/>
          <w:b/>
          <w:bCs/>
          <w:sz w:val="24"/>
          <w:szCs w:val="24"/>
        </w:rPr>
      </w:pPr>
      <w:r w:rsidRPr="00F13121">
        <w:rPr>
          <w:rFonts w:ascii="Times New Roman" w:eastAsia="Times New Roman" w:hAnsi="Times New Roman" w:cs="Times New Roman"/>
          <w:b/>
          <w:bCs/>
          <w:sz w:val="24"/>
          <w:szCs w:val="24"/>
        </w:rPr>
        <w:t xml:space="preserve">                               </w:t>
      </w:r>
      <w:r w:rsidRPr="00F13121">
        <w:rPr>
          <w:rFonts w:ascii="Times New Roman" w:eastAsia="Times New Roman" w:hAnsi="Times New Roman" w:cs="Times New Roman"/>
          <w:b/>
          <w:bCs/>
        </w:rPr>
        <w:t xml:space="preserve">Figure.1 Water sample collection from </w:t>
      </w:r>
      <w:proofErr w:type="spellStart"/>
      <w:r w:rsidRPr="00F13121">
        <w:rPr>
          <w:rFonts w:ascii="Times New Roman" w:eastAsia="Times New Roman" w:hAnsi="Times New Roman" w:cs="Times New Roman"/>
          <w:b/>
          <w:bCs/>
        </w:rPr>
        <w:t>Saidapet</w:t>
      </w:r>
      <w:proofErr w:type="spellEnd"/>
      <w:r w:rsidRPr="00F13121">
        <w:rPr>
          <w:rFonts w:ascii="Times New Roman" w:eastAsia="Times New Roman" w:hAnsi="Times New Roman" w:cs="Times New Roman"/>
          <w:b/>
          <w:bCs/>
        </w:rPr>
        <w:t>, Chennai</w:t>
      </w:r>
    </w:p>
    <w:p w14:paraId="66F1ACB7" w14:textId="77777777" w:rsidR="00312333" w:rsidRPr="00F13121" w:rsidRDefault="00000000">
      <w:pPr>
        <w:jc w:val="both"/>
        <w:rPr>
          <w:rFonts w:ascii="Times New Roman" w:eastAsia="Times New Roman" w:hAnsi="Times New Roman" w:cs="Times New Roman"/>
          <w:sz w:val="24"/>
          <w:szCs w:val="24"/>
        </w:rPr>
      </w:pPr>
      <w:r w:rsidRPr="00F13121">
        <w:rPr>
          <w:rFonts w:ascii="Times New Roman" w:eastAsia="Times New Roman" w:hAnsi="Times New Roman" w:cs="Times New Roman"/>
          <w:b/>
          <w:bCs/>
          <w:sz w:val="24"/>
          <w:szCs w:val="24"/>
        </w:rPr>
        <w:t xml:space="preserve">Study area </w:t>
      </w:r>
    </w:p>
    <w:p w14:paraId="607BC8FD" w14:textId="77777777" w:rsidR="00312333" w:rsidRPr="00F13121" w:rsidRDefault="00000000">
      <w:pP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 xml:space="preserve">    The present study was conducted in Saidapet, Chennai, Tamil Nadu, India. Treated drinking water was collected from Raghava Colony, E Street (Latitude: 13.018352° N; Longitude: 80.223963° E). The area depends mainly on the municipal water supply, and the treated water undergoes filtration and chlorination before distribution. Ageing pipelines and household storage practices may contribute to fungal contamination.</w:t>
      </w:r>
    </w:p>
    <w:p w14:paraId="07DA69F4" w14:textId="77777777" w:rsidR="00312333" w:rsidRPr="00F13121" w:rsidRDefault="00312333">
      <w:pPr>
        <w:rPr>
          <w:rFonts w:ascii="Times New Roman" w:eastAsia="Times New Roman" w:hAnsi="Times New Roman" w:cs="Times New Roman"/>
          <w:sz w:val="24"/>
          <w:szCs w:val="24"/>
        </w:rPr>
      </w:pPr>
    </w:p>
    <w:p w14:paraId="611F7986" w14:textId="77777777" w:rsidR="00312333" w:rsidRPr="00F13121" w:rsidRDefault="00000000">
      <w:pP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lastRenderedPageBreak/>
        <w:t xml:space="preserve">                                                  </w:t>
      </w:r>
      <w:r w:rsidRPr="00F13121">
        <w:rPr>
          <w:rFonts w:ascii="Times New Roman" w:eastAsia="Times New Roman" w:hAnsi="Times New Roman" w:cs="Times New Roman"/>
          <w:noProof/>
          <w:sz w:val="24"/>
          <w:szCs w:val="24"/>
        </w:rPr>
        <w:drawing>
          <wp:inline distT="114300" distB="114300" distL="114300" distR="114300" wp14:anchorId="6A7309C1" wp14:editId="5A4A185D">
            <wp:extent cx="1604477" cy="1438275"/>
            <wp:effectExtent l="25400" t="25400" r="25400" b="2540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1604477" cy="1438275"/>
                    </a:xfrm>
                    <a:prstGeom prst="rect">
                      <a:avLst/>
                    </a:prstGeom>
                    <a:ln w="25400">
                      <a:solidFill>
                        <a:srgbClr val="C9DAF8"/>
                      </a:solidFill>
                      <a:prstDash val="solid"/>
                    </a:ln>
                  </pic:spPr>
                </pic:pic>
              </a:graphicData>
            </a:graphic>
          </wp:inline>
        </w:drawing>
      </w:r>
    </w:p>
    <w:p w14:paraId="0F85F940" w14:textId="77777777" w:rsidR="00312333" w:rsidRPr="00F13121" w:rsidRDefault="00000000">
      <w:pPr>
        <w:rPr>
          <w:rFonts w:ascii="Times New Roman" w:eastAsia="Times New Roman" w:hAnsi="Times New Roman" w:cs="Times New Roman"/>
          <w:b/>
          <w:bCs/>
        </w:rPr>
      </w:pPr>
      <w:r w:rsidRPr="00F13121">
        <w:rPr>
          <w:rFonts w:ascii="Times New Roman" w:eastAsia="Times New Roman" w:hAnsi="Times New Roman" w:cs="Times New Roman"/>
          <w:sz w:val="24"/>
          <w:szCs w:val="24"/>
        </w:rPr>
        <w:t xml:space="preserve">                                            </w:t>
      </w:r>
      <w:r w:rsidRPr="00F13121">
        <w:rPr>
          <w:rFonts w:ascii="Times New Roman" w:eastAsia="Times New Roman" w:hAnsi="Times New Roman" w:cs="Times New Roman"/>
          <w:b/>
          <w:bCs/>
        </w:rPr>
        <w:t>Figure.2  Location of the sampling site</w:t>
      </w:r>
    </w:p>
    <w:p w14:paraId="21B7D17C" w14:textId="77777777" w:rsidR="00312333" w:rsidRPr="00F13121" w:rsidRDefault="00312333">
      <w:pPr>
        <w:rPr>
          <w:rFonts w:ascii="Times New Roman" w:eastAsia="Times New Roman" w:hAnsi="Times New Roman" w:cs="Times New Roman"/>
          <w:b/>
          <w:bCs/>
        </w:rPr>
      </w:pPr>
    </w:p>
    <w:p w14:paraId="23EC5598" w14:textId="77777777" w:rsidR="00312333" w:rsidRPr="00F13121" w:rsidRDefault="00000000">
      <w:pPr>
        <w:rPr>
          <w:rFonts w:ascii="Times New Roman" w:eastAsia="Times New Roman" w:hAnsi="Times New Roman" w:cs="Times New Roman"/>
          <w:b/>
          <w:bCs/>
          <w:sz w:val="24"/>
          <w:szCs w:val="24"/>
        </w:rPr>
      </w:pPr>
      <w:r w:rsidRPr="00F13121">
        <w:rPr>
          <w:rFonts w:ascii="Times New Roman" w:eastAsia="Times New Roman" w:hAnsi="Times New Roman" w:cs="Times New Roman"/>
          <w:b/>
          <w:bCs/>
          <w:sz w:val="24"/>
          <w:szCs w:val="24"/>
        </w:rPr>
        <w:t>Sample Collection</w:t>
      </w:r>
    </w:p>
    <w:p w14:paraId="3C9C7000" w14:textId="77777777" w:rsidR="00312333" w:rsidRPr="00F13121" w:rsidRDefault="00000000">
      <w:pP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 xml:space="preserve">     A total volume of 100 mL of treated drinking water was collected aseptically from household storage containers and municipal tap water using sterile sampling bottles. The sample was transported immediately to the laboratory under hygienic conditions and processed without delay to minimise external contamination.</w:t>
      </w:r>
    </w:p>
    <w:p w14:paraId="58818A4A" w14:textId="77777777" w:rsidR="00312333" w:rsidRPr="00F13121" w:rsidRDefault="00000000">
      <w:pP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 xml:space="preserve"> </w:t>
      </w:r>
    </w:p>
    <w:p w14:paraId="7CA30DFF" w14:textId="77777777" w:rsidR="00312333" w:rsidRPr="00F13121" w:rsidRDefault="00000000">
      <w:pP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 xml:space="preserve">                                                   </w:t>
      </w:r>
      <w:r w:rsidRPr="00F13121">
        <w:rPr>
          <w:rFonts w:ascii="Times New Roman" w:eastAsia="Times New Roman" w:hAnsi="Times New Roman" w:cs="Times New Roman"/>
          <w:noProof/>
          <w:sz w:val="24"/>
          <w:szCs w:val="24"/>
        </w:rPr>
        <w:drawing>
          <wp:inline distT="114300" distB="114300" distL="114300" distR="114300" wp14:anchorId="67958D29" wp14:editId="6F5554E1">
            <wp:extent cx="1650542" cy="1114425"/>
            <wp:effectExtent l="25400" t="25400" r="25400" b="2540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1650542" cy="1114425"/>
                    </a:xfrm>
                    <a:prstGeom prst="rect">
                      <a:avLst/>
                    </a:prstGeom>
                    <a:ln w="25400">
                      <a:solidFill>
                        <a:srgbClr val="A4C2F4"/>
                      </a:solidFill>
                      <a:prstDash val="solid"/>
                    </a:ln>
                  </pic:spPr>
                </pic:pic>
              </a:graphicData>
            </a:graphic>
          </wp:inline>
        </w:drawing>
      </w:r>
    </w:p>
    <w:p w14:paraId="165CFD07" w14:textId="77777777" w:rsidR="00312333" w:rsidRPr="00F13121" w:rsidRDefault="00000000">
      <w:pP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 xml:space="preserve">                                     </w:t>
      </w:r>
      <w:r w:rsidRPr="00F13121">
        <w:rPr>
          <w:rFonts w:ascii="Times New Roman" w:eastAsia="Times New Roman" w:hAnsi="Times New Roman" w:cs="Times New Roman"/>
          <w:b/>
          <w:bCs/>
          <w:sz w:val="24"/>
          <w:szCs w:val="24"/>
        </w:rPr>
        <w:t>Figure.3 Treated drinking water sample (100 mL)</w:t>
      </w:r>
    </w:p>
    <w:p w14:paraId="0863C618" w14:textId="77777777" w:rsidR="00312333" w:rsidRPr="00F13121" w:rsidRDefault="00312333">
      <w:pPr>
        <w:rPr>
          <w:rFonts w:ascii="Times New Roman" w:eastAsia="Times New Roman" w:hAnsi="Times New Roman" w:cs="Times New Roman"/>
          <w:b/>
          <w:bCs/>
          <w:sz w:val="24"/>
          <w:szCs w:val="24"/>
        </w:rPr>
      </w:pPr>
    </w:p>
    <w:p w14:paraId="76B3444F" w14:textId="77777777" w:rsidR="00312333" w:rsidRPr="00F13121" w:rsidRDefault="00000000">
      <w:pPr>
        <w:rPr>
          <w:rFonts w:ascii="Times New Roman" w:eastAsia="Times New Roman" w:hAnsi="Times New Roman" w:cs="Times New Roman"/>
          <w:b/>
          <w:bCs/>
          <w:sz w:val="24"/>
          <w:szCs w:val="24"/>
        </w:rPr>
      </w:pPr>
      <w:r w:rsidRPr="00F13121">
        <w:rPr>
          <w:rFonts w:ascii="Times New Roman" w:eastAsia="Times New Roman" w:hAnsi="Times New Roman" w:cs="Times New Roman"/>
          <w:b/>
          <w:bCs/>
          <w:sz w:val="24"/>
          <w:szCs w:val="24"/>
        </w:rPr>
        <w:t>Culture Medium Preparation</w:t>
      </w:r>
    </w:p>
    <w:p w14:paraId="56507060" w14:textId="77777777" w:rsidR="00312333" w:rsidRPr="00F13121" w:rsidRDefault="00000000">
      <w:pP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 xml:space="preserve">    Yeast Extract Dextrose Chloramphenicol (YDC) agar was prepared according to the Indian Standard Method (IS 5403:1999). The medium was sterilised by autoclaving at 121 ± 1°C for 15 minutes, cooled to approximately 45°C, and poured aseptically into sterile Petri dishes.</w:t>
      </w:r>
    </w:p>
    <w:p w14:paraId="66F3FF72" w14:textId="77777777" w:rsidR="00312333" w:rsidRPr="00F13121" w:rsidRDefault="00312333">
      <w:pPr>
        <w:rPr>
          <w:rFonts w:ascii="Times New Roman" w:eastAsia="Times New Roman" w:hAnsi="Times New Roman" w:cs="Times New Roman"/>
          <w:sz w:val="24"/>
          <w:szCs w:val="24"/>
        </w:rPr>
      </w:pPr>
    </w:p>
    <w:p w14:paraId="399B99D2" w14:textId="77777777" w:rsidR="00312333" w:rsidRPr="00F13121" w:rsidRDefault="00000000">
      <w:pPr>
        <w:rPr>
          <w:rFonts w:ascii="Times New Roman" w:eastAsia="Times New Roman" w:hAnsi="Times New Roman" w:cs="Times New Roman"/>
          <w:b/>
          <w:bCs/>
          <w:sz w:val="24"/>
          <w:szCs w:val="24"/>
        </w:rPr>
      </w:pPr>
      <w:r w:rsidRPr="00F13121">
        <w:rPr>
          <w:rFonts w:ascii="Times New Roman" w:eastAsia="Times New Roman" w:hAnsi="Times New Roman" w:cs="Times New Roman"/>
          <w:b/>
          <w:bCs/>
          <w:sz w:val="24"/>
          <w:szCs w:val="24"/>
        </w:rPr>
        <w:t>Fungal Enumeration</w:t>
      </w:r>
    </w:p>
    <w:p w14:paraId="2168EC3A" w14:textId="77777777" w:rsidR="00312333" w:rsidRPr="00F13121" w:rsidRDefault="00000000">
      <w:pP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 xml:space="preserve">     The enumeration of yeasts and </w:t>
      </w:r>
      <w:proofErr w:type="spellStart"/>
      <w:r w:rsidRPr="00F13121">
        <w:rPr>
          <w:rFonts w:ascii="Times New Roman" w:eastAsia="Times New Roman" w:hAnsi="Times New Roman" w:cs="Times New Roman"/>
          <w:sz w:val="24"/>
          <w:szCs w:val="24"/>
        </w:rPr>
        <w:t>moulds</w:t>
      </w:r>
      <w:proofErr w:type="spellEnd"/>
      <w:r w:rsidRPr="00F13121">
        <w:rPr>
          <w:rFonts w:ascii="Times New Roman" w:eastAsia="Times New Roman" w:hAnsi="Times New Roman" w:cs="Times New Roman"/>
          <w:sz w:val="24"/>
          <w:szCs w:val="24"/>
        </w:rPr>
        <w:t xml:space="preserve"> was performed according to the Indian Standard IS 5403:1999 (Bureau of Indian Standards, 1999) using the pour plate technique.  One </w:t>
      </w:r>
      <w:proofErr w:type="spellStart"/>
      <w:r w:rsidRPr="00F13121">
        <w:rPr>
          <w:rFonts w:ascii="Times New Roman" w:eastAsia="Times New Roman" w:hAnsi="Times New Roman" w:cs="Times New Roman"/>
          <w:sz w:val="24"/>
          <w:szCs w:val="24"/>
        </w:rPr>
        <w:t>millilitre</w:t>
      </w:r>
      <w:proofErr w:type="spellEnd"/>
      <w:r w:rsidRPr="00F13121">
        <w:rPr>
          <w:rFonts w:ascii="Times New Roman" w:eastAsia="Times New Roman" w:hAnsi="Times New Roman" w:cs="Times New Roman"/>
          <w:sz w:val="24"/>
          <w:szCs w:val="24"/>
        </w:rPr>
        <w:t xml:space="preserve"> of the water sample was inoculated into sterile Petri dishes, followed by the addition of molten YDC agar. The plates were gently mixed, allowed to solidify and incubated at 25 ± 1°C for 3–5 days. After incubation, fungal colonies were examined for their cultural characteristics.</w:t>
      </w:r>
    </w:p>
    <w:p w14:paraId="513B25DE" w14:textId="77777777" w:rsidR="00312333" w:rsidRPr="00F13121" w:rsidRDefault="00312333">
      <w:pPr>
        <w:rPr>
          <w:rFonts w:ascii="Times New Roman" w:eastAsia="Times New Roman" w:hAnsi="Times New Roman" w:cs="Times New Roman"/>
          <w:sz w:val="24"/>
          <w:szCs w:val="24"/>
        </w:rPr>
      </w:pPr>
    </w:p>
    <w:p w14:paraId="65288359" w14:textId="77777777" w:rsidR="00312333" w:rsidRPr="00F13121" w:rsidRDefault="00000000">
      <w:pPr>
        <w:rPr>
          <w:rFonts w:ascii="Times New Roman" w:eastAsia="Times New Roman" w:hAnsi="Times New Roman" w:cs="Times New Roman"/>
          <w:b/>
          <w:bCs/>
          <w:sz w:val="24"/>
          <w:szCs w:val="24"/>
        </w:rPr>
      </w:pPr>
      <w:r w:rsidRPr="00F13121">
        <w:rPr>
          <w:rFonts w:ascii="Times New Roman" w:eastAsia="Times New Roman" w:hAnsi="Times New Roman" w:cs="Times New Roman"/>
          <w:b/>
          <w:bCs/>
          <w:sz w:val="24"/>
          <w:szCs w:val="24"/>
        </w:rPr>
        <w:t>Identification of Fungal Isolates</w:t>
      </w:r>
    </w:p>
    <w:p w14:paraId="5E43D508" w14:textId="77777777" w:rsidR="00312333" w:rsidRPr="00F13121" w:rsidRDefault="00000000">
      <w:pPr>
        <w:rPr>
          <w:rFonts w:ascii="Times New Roman" w:eastAsia="Times New Roman" w:hAnsi="Times New Roman" w:cs="Times New Roman"/>
          <w:b/>
          <w:bCs/>
          <w:sz w:val="24"/>
          <w:szCs w:val="24"/>
        </w:rPr>
      </w:pPr>
      <w:r w:rsidRPr="00F13121">
        <w:rPr>
          <w:rFonts w:ascii="Times New Roman" w:eastAsia="Times New Roman" w:hAnsi="Times New Roman" w:cs="Times New Roman"/>
          <w:b/>
          <w:bCs/>
          <w:sz w:val="24"/>
          <w:szCs w:val="24"/>
        </w:rPr>
        <w:lastRenderedPageBreak/>
        <w:t xml:space="preserve">                                                </w:t>
      </w:r>
      <w:r w:rsidRPr="00F13121">
        <w:rPr>
          <w:rFonts w:ascii="Times New Roman" w:eastAsia="Times New Roman" w:hAnsi="Times New Roman" w:cs="Times New Roman"/>
          <w:b/>
          <w:bCs/>
          <w:noProof/>
          <w:sz w:val="24"/>
          <w:szCs w:val="24"/>
        </w:rPr>
        <w:drawing>
          <wp:inline distT="114300" distB="114300" distL="114300" distR="114300" wp14:anchorId="37A626A9" wp14:editId="7C260306">
            <wp:extent cx="1873250" cy="1428750"/>
            <wp:effectExtent l="25400" t="25400" r="25400" b="254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1873250" cy="1428750"/>
                    </a:xfrm>
                    <a:prstGeom prst="rect">
                      <a:avLst/>
                    </a:prstGeom>
                    <a:ln w="25400">
                      <a:solidFill>
                        <a:srgbClr val="A4C2F4"/>
                      </a:solidFill>
                      <a:prstDash val="solid"/>
                    </a:ln>
                  </pic:spPr>
                </pic:pic>
              </a:graphicData>
            </a:graphic>
          </wp:inline>
        </w:drawing>
      </w:r>
    </w:p>
    <w:p w14:paraId="6B507CBB" w14:textId="77777777" w:rsidR="00312333" w:rsidRPr="00F13121" w:rsidRDefault="00000000">
      <w:pPr>
        <w:rPr>
          <w:rFonts w:ascii="Times New Roman" w:eastAsia="Times New Roman" w:hAnsi="Times New Roman" w:cs="Times New Roman"/>
          <w:b/>
          <w:bCs/>
          <w:sz w:val="24"/>
          <w:szCs w:val="24"/>
        </w:rPr>
      </w:pPr>
      <w:r w:rsidRPr="00F13121">
        <w:rPr>
          <w:rFonts w:ascii="Times New Roman" w:eastAsia="Times New Roman" w:hAnsi="Times New Roman" w:cs="Times New Roman"/>
          <w:b/>
          <w:bCs/>
          <w:sz w:val="24"/>
          <w:szCs w:val="24"/>
        </w:rPr>
        <w:t xml:space="preserve">                                                 Figure : 4 fungal identification</w:t>
      </w:r>
    </w:p>
    <w:p w14:paraId="09CDF032" w14:textId="77777777" w:rsidR="00312333" w:rsidRPr="00F13121" w:rsidRDefault="00312333">
      <w:pPr>
        <w:rPr>
          <w:rFonts w:ascii="Times New Roman" w:eastAsia="Times New Roman" w:hAnsi="Times New Roman" w:cs="Times New Roman"/>
          <w:b/>
          <w:bCs/>
          <w:sz w:val="24"/>
          <w:szCs w:val="24"/>
        </w:rPr>
      </w:pPr>
    </w:p>
    <w:p w14:paraId="3C84751F" w14:textId="77777777" w:rsidR="00312333" w:rsidRPr="00F13121" w:rsidRDefault="00000000">
      <w:pP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 xml:space="preserve">     The fungal isolates were presumptively identified based on colony morphology and microscopic characteristics using standard taxonomic descriptions (Kendrick, 2000).</w:t>
      </w:r>
    </w:p>
    <w:p w14:paraId="408E00A0" w14:textId="77777777" w:rsidR="00312333" w:rsidRPr="00F13121" w:rsidRDefault="00000000">
      <w:pP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 xml:space="preserve">Colony </w:t>
      </w:r>
      <w:proofErr w:type="spellStart"/>
      <w:r w:rsidRPr="00F13121">
        <w:rPr>
          <w:rFonts w:ascii="Times New Roman" w:eastAsia="Times New Roman" w:hAnsi="Times New Roman" w:cs="Times New Roman"/>
          <w:sz w:val="24"/>
          <w:szCs w:val="24"/>
        </w:rPr>
        <w:t>colour</w:t>
      </w:r>
      <w:proofErr w:type="spellEnd"/>
      <w:r w:rsidRPr="00F13121">
        <w:rPr>
          <w:rFonts w:ascii="Times New Roman" w:eastAsia="Times New Roman" w:hAnsi="Times New Roman" w:cs="Times New Roman"/>
          <w:sz w:val="24"/>
          <w:szCs w:val="24"/>
        </w:rPr>
        <w:t>, texture, sporulation pattern and hyphal morphology were examined. Microscopic examination was carried out using Lactophenol Cotton Blue (LPCB) staining under a light microscope. Since molecular identification (ITS sequencing) was not performed, the fungal identification should be considered presumptive.</w:t>
      </w:r>
    </w:p>
    <w:p w14:paraId="22BAD637" w14:textId="77777777" w:rsidR="00312333" w:rsidRPr="00F13121" w:rsidRDefault="00312333">
      <w:pPr>
        <w:rPr>
          <w:rFonts w:ascii="Times New Roman" w:eastAsia="Times New Roman" w:hAnsi="Times New Roman" w:cs="Times New Roman"/>
          <w:b/>
          <w:bCs/>
          <w:sz w:val="24"/>
          <w:szCs w:val="24"/>
        </w:rPr>
      </w:pPr>
    </w:p>
    <w:p w14:paraId="74B8B885" w14:textId="77777777" w:rsidR="00312333" w:rsidRPr="00F13121" w:rsidRDefault="00000000">
      <w:pPr>
        <w:rPr>
          <w:rFonts w:ascii="Times New Roman" w:eastAsia="Times New Roman" w:hAnsi="Times New Roman" w:cs="Times New Roman"/>
          <w:b/>
          <w:bCs/>
          <w:sz w:val="24"/>
          <w:szCs w:val="24"/>
        </w:rPr>
      </w:pPr>
      <w:r w:rsidRPr="00F13121">
        <w:rPr>
          <w:rFonts w:ascii="Times New Roman" w:eastAsia="Times New Roman" w:hAnsi="Times New Roman" w:cs="Times New Roman"/>
          <w:b/>
          <w:bCs/>
          <w:sz w:val="24"/>
          <w:szCs w:val="24"/>
        </w:rPr>
        <w:t>Quality Control</w:t>
      </w:r>
    </w:p>
    <w:p w14:paraId="6D8BBD86" w14:textId="77777777" w:rsidR="00312333" w:rsidRPr="00F13121" w:rsidRDefault="00000000">
      <w:pP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 xml:space="preserve">      All glassware, culture media and sampling bottles were sterilised before use. Sterile techniques were followed throughout the experimental procedure to prevent contamination. An uninoculated control plate was maintained to verify the sterility of the culture medium.</w:t>
      </w:r>
    </w:p>
    <w:p w14:paraId="24F2BD96" w14:textId="77777777" w:rsidR="00312333" w:rsidRPr="00F13121" w:rsidRDefault="00312333">
      <w:pPr>
        <w:rPr>
          <w:rFonts w:ascii="Times New Roman" w:eastAsia="Times New Roman" w:hAnsi="Times New Roman" w:cs="Times New Roman"/>
          <w:b/>
          <w:bCs/>
          <w:sz w:val="24"/>
          <w:szCs w:val="24"/>
        </w:rPr>
      </w:pPr>
    </w:p>
    <w:p w14:paraId="0F5FD95E" w14:textId="77777777" w:rsidR="00D064BF" w:rsidRPr="00F13121" w:rsidRDefault="00000000" w:rsidP="00D064BF">
      <w:pPr>
        <w:rPr>
          <w:rFonts w:ascii="Times New Roman" w:eastAsia="Times New Roman" w:hAnsi="Times New Roman" w:cs="Times New Roman"/>
          <w:b/>
          <w:bCs/>
        </w:rPr>
      </w:pPr>
      <w:r w:rsidRPr="00F13121">
        <w:rPr>
          <w:rFonts w:ascii="Times New Roman" w:eastAsia="Times New Roman" w:hAnsi="Times New Roman" w:cs="Times New Roman"/>
          <w:b/>
          <w:bCs/>
          <w:sz w:val="24"/>
          <w:szCs w:val="24"/>
        </w:rPr>
        <w:t xml:space="preserve">DATA INTERPRETATION AND </w:t>
      </w:r>
      <w:r w:rsidRPr="00F13121">
        <w:rPr>
          <w:rFonts w:ascii="Times New Roman" w:eastAsia="Times New Roman" w:hAnsi="Times New Roman" w:cs="Times New Roman"/>
          <w:b/>
          <w:bCs/>
        </w:rPr>
        <w:t>DISCUSSION</w:t>
      </w:r>
    </w:p>
    <w:p w14:paraId="6B22B5A0" w14:textId="77777777" w:rsidR="00312333" w:rsidRPr="00F13121" w:rsidRDefault="00312333">
      <w:pPr>
        <w:rPr>
          <w:rFonts w:ascii="Times New Roman" w:eastAsia="Times New Roman" w:hAnsi="Times New Roman" w:cs="Times New Roman"/>
          <w:b/>
          <w:bCs/>
          <w:sz w:val="24"/>
          <w:szCs w:val="24"/>
        </w:rPr>
      </w:pPr>
    </w:p>
    <w:p w14:paraId="2D9EAA18" w14:textId="77777777" w:rsidR="00312333" w:rsidRPr="00F13121" w:rsidRDefault="00000000">
      <w:pP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 xml:space="preserve">     The presence or absence of fungal growth was recorded based on colony development on YDC agar. The fungal isolates were identified using colony morphology and microscopic observations. Because only a single sample was </w:t>
      </w:r>
      <w:proofErr w:type="spellStart"/>
      <w:r w:rsidRPr="00F13121">
        <w:rPr>
          <w:rFonts w:ascii="Times New Roman" w:eastAsia="Times New Roman" w:hAnsi="Times New Roman" w:cs="Times New Roman"/>
          <w:sz w:val="24"/>
          <w:szCs w:val="24"/>
        </w:rPr>
        <w:t>analysed</w:t>
      </w:r>
      <w:proofErr w:type="spellEnd"/>
      <w:r w:rsidRPr="00F13121">
        <w:rPr>
          <w:rFonts w:ascii="Times New Roman" w:eastAsia="Times New Roman" w:hAnsi="Times New Roman" w:cs="Times New Roman"/>
          <w:sz w:val="24"/>
          <w:szCs w:val="24"/>
        </w:rPr>
        <w:t>, quantitative statistical analysis and replicate comparisons were not performed.</w:t>
      </w:r>
    </w:p>
    <w:p w14:paraId="3AF03502" w14:textId="77777777" w:rsidR="00312333" w:rsidRPr="00F13121" w:rsidRDefault="00312333">
      <w:pPr>
        <w:rPr>
          <w:rFonts w:ascii="Times New Roman" w:eastAsia="Times New Roman" w:hAnsi="Times New Roman" w:cs="Times New Roman"/>
          <w:sz w:val="24"/>
          <w:szCs w:val="24"/>
        </w:rPr>
      </w:pPr>
    </w:p>
    <w:p w14:paraId="2C2E62D9" w14:textId="77777777" w:rsidR="00312333" w:rsidRPr="00F13121" w:rsidRDefault="00000000">
      <w:pP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 xml:space="preserve">      A single 100 mL treated drinking water sample was collected and </w:t>
      </w:r>
      <w:proofErr w:type="spellStart"/>
      <w:r w:rsidRPr="00F13121">
        <w:rPr>
          <w:rFonts w:ascii="Times New Roman" w:eastAsia="Times New Roman" w:hAnsi="Times New Roman" w:cs="Times New Roman"/>
          <w:sz w:val="24"/>
          <w:szCs w:val="24"/>
        </w:rPr>
        <w:t>analysed</w:t>
      </w:r>
      <w:proofErr w:type="spellEnd"/>
      <w:r w:rsidRPr="00F13121">
        <w:rPr>
          <w:rFonts w:ascii="Times New Roman" w:eastAsia="Times New Roman" w:hAnsi="Times New Roman" w:cs="Times New Roman"/>
          <w:sz w:val="24"/>
          <w:szCs w:val="24"/>
        </w:rPr>
        <w:t xml:space="preserve"> as part of this preliminary pilot study using the Indian Standard Method (IS 5403:1999). Following incubation on Yeast Extract Dextrose Chloramphenicol (YDC) agar, fungal colonies were examined based on colony morphology and microscopic characteristics. The fungal isolates were presumptively identified, as molecular confirmation was not performed.</w:t>
      </w:r>
    </w:p>
    <w:p w14:paraId="0A92DF80" w14:textId="77777777" w:rsidR="00312333" w:rsidRPr="00F13121" w:rsidRDefault="00312333">
      <w:pPr>
        <w:rPr>
          <w:rFonts w:ascii="Times New Roman" w:eastAsia="Times New Roman" w:hAnsi="Times New Roman" w:cs="Times New Roman"/>
          <w:sz w:val="24"/>
          <w:szCs w:val="24"/>
        </w:rPr>
      </w:pPr>
    </w:p>
    <w:p w14:paraId="3F94DB9C" w14:textId="77777777" w:rsidR="00312333" w:rsidRPr="00F13121" w:rsidRDefault="00000000">
      <w:pPr>
        <w:rPr>
          <w:rFonts w:ascii="Times New Roman" w:eastAsia="Times New Roman" w:hAnsi="Times New Roman" w:cs="Times New Roman"/>
          <w:b/>
          <w:bCs/>
          <w:sz w:val="24"/>
          <w:szCs w:val="24"/>
        </w:rPr>
      </w:pPr>
      <w:r w:rsidRPr="00F13121">
        <w:rPr>
          <w:rFonts w:ascii="Times New Roman" w:eastAsia="Times New Roman" w:hAnsi="Times New Roman" w:cs="Times New Roman"/>
          <w:b/>
          <w:bCs/>
          <w:sz w:val="24"/>
          <w:szCs w:val="24"/>
        </w:rPr>
        <w:t>Table 1 Presumptive Identification of Fungal Isolates from Treated Drinking Water</w:t>
      </w:r>
    </w:p>
    <w:p w14:paraId="4CB9CCA8" w14:textId="77777777" w:rsidR="00312333" w:rsidRPr="00F13121" w:rsidRDefault="00312333">
      <w:pPr>
        <w:rPr>
          <w:rFonts w:ascii="Times New Roman" w:eastAsia="Times New Roman" w:hAnsi="Times New Roman" w:cs="Times New Roman"/>
          <w:b/>
          <w:bCs/>
          <w:sz w:val="24"/>
          <w:szCs w:val="24"/>
        </w:rPr>
      </w:pPr>
    </w:p>
    <w:tbl>
      <w:tblPr>
        <w:tblStyle w:val="a"/>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
        <w:gridCol w:w="1755"/>
        <w:gridCol w:w="1095"/>
        <w:gridCol w:w="2085"/>
        <w:gridCol w:w="1905"/>
        <w:gridCol w:w="1935"/>
      </w:tblGrid>
      <w:tr w:rsidR="00312333" w:rsidRPr="00F13121" w14:paraId="55C22AFA" w14:textId="77777777">
        <w:trPr>
          <w:trHeight w:val="765"/>
        </w:trPr>
        <w:tc>
          <w:tcPr>
            <w:tcW w:w="570" w:type="dxa"/>
            <w:tcMar>
              <w:top w:w="100" w:type="dxa"/>
              <w:left w:w="100" w:type="dxa"/>
              <w:bottom w:w="100" w:type="dxa"/>
              <w:right w:w="100" w:type="dxa"/>
            </w:tcMar>
          </w:tcPr>
          <w:p w14:paraId="0EED32D5" w14:textId="77777777" w:rsidR="00312333" w:rsidRPr="00F1312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S.</w:t>
            </w:r>
          </w:p>
          <w:p w14:paraId="3CC3DB23" w14:textId="77777777" w:rsidR="00312333" w:rsidRPr="00F1312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No</w:t>
            </w:r>
          </w:p>
        </w:tc>
        <w:tc>
          <w:tcPr>
            <w:tcW w:w="1755" w:type="dxa"/>
            <w:tcMar>
              <w:top w:w="100" w:type="dxa"/>
              <w:left w:w="100" w:type="dxa"/>
              <w:bottom w:w="100" w:type="dxa"/>
              <w:right w:w="100" w:type="dxa"/>
            </w:tcMar>
          </w:tcPr>
          <w:p w14:paraId="40BAABAD" w14:textId="77777777" w:rsidR="00312333" w:rsidRPr="00F1312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F13121">
              <w:rPr>
                <w:rFonts w:ascii="Times New Roman" w:eastAsia="Times New Roman" w:hAnsi="Times New Roman" w:cs="Times New Roman"/>
                <w:sz w:val="20"/>
                <w:szCs w:val="20"/>
              </w:rPr>
              <w:t>PARAMETERS</w:t>
            </w:r>
          </w:p>
        </w:tc>
        <w:tc>
          <w:tcPr>
            <w:tcW w:w="1095" w:type="dxa"/>
            <w:tcMar>
              <w:top w:w="100" w:type="dxa"/>
              <w:left w:w="100" w:type="dxa"/>
              <w:bottom w:w="100" w:type="dxa"/>
              <w:right w:w="100" w:type="dxa"/>
            </w:tcMar>
          </w:tcPr>
          <w:p w14:paraId="5458DD25" w14:textId="77777777" w:rsidR="00312333" w:rsidRPr="00F1312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F13121">
              <w:rPr>
                <w:rFonts w:ascii="Times New Roman" w:eastAsia="Times New Roman" w:hAnsi="Times New Roman" w:cs="Times New Roman"/>
                <w:sz w:val="20"/>
                <w:szCs w:val="20"/>
              </w:rPr>
              <w:t>TEST</w:t>
            </w:r>
          </w:p>
          <w:p w14:paraId="7028B15A" w14:textId="77777777" w:rsidR="00312333" w:rsidRPr="00F1312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F13121">
              <w:rPr>
                <w:rFonts w:ascii="Times New Roman" w:eastAsia="Times New Roman" w:hAnsi="Times New Roman" w:cs="Times New Roman"/>
                <w:sz w:val="20"/>
                <w:szCs w:val="20"/>
              </w:rPr>
              <w:t>METHOD</w:t>
            </w:r>
          </w:p>
        </w:tc>
        <w:tc>
          <w:tcPr>
            <w:tcW w:w="2085" w:type="dxa"/>
            <w:tcMar>
              <w:top w:w="100" w:type="dxa"/>
              <w:left w:w="100" w:type="dxa"/>
              <w:bottom w:w="100" w:type="dxa"/>
              <w:right w:w="100" w:type="dxa"/>
            </w:tcMar>
          </w:tcPr>
          <w:p w14:paraId="6428AC86" w14:textId="77777777" w:rsidR="00312333" w:rsidRPr="00F1312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F13121">
              <w:rPr>
                <w:rFonts w:ascii="Times New Roman" w:eastAsia="Times New Roman" w:hAnsi="Times New Roman" w:cs="Times New Roman"/>
                <w:sz w:val="20"/>
                <w:szCs w:val="20"/>
              </w:rPr>
              <w:t>COLONY MORPHOLOGY</w:t>
            </w:r>
          </w:p>
          <w:p w14:paraId="076F8100" w14:textId="77777777" w:rsidR="00312333" w:rsidRPr="00F13121" w:rsidRDefault="0031233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905" w:type="dxa"/>
            <w:tcMar>
              <w:top w:w="100" w:type="dxa"/>
              <w:left w:w="100" w:type="dxa"/>
              <w:bottom w:w="100" w:type="dxa"/>
              <w:right w:w="100" w:type="dxa"/>
            </w:tcMar>
          </w:tcPr>
          <w:p w14:paraId="5BB49B30" w14:textId="77777777" w:rsidR="00312333" w:rsidRPr="00F1312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F13121">
              <w:rPr>
                <w:rFonts w:ascii="Times New Roman" w:eastAsia="Times New Roman" w:hAnsi="Times New Roman" w:cs="Times New Roman"/>
                <w:sz w:val="20"/>
                <w:szCs w:val="20"/>
              </w:rPr>
              <w:t>IDENTIFICATION</w:t>
            </w:r>
          </w:p>
          <w:p w14:paraId="3AB27780" w14:textId="77777777" w:rsidR="00312333" w:rsidRPr="00F1312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F13121">
              <w:rPr>
                <w:rFonts w:ascii="Times New Roman" w:eastAsia="Times New Roman" w:hAnsi="Times New Roman" w:cs="Times New Roman"/>
                <w:sz w:val="20"/>
                <w:szCs w:val="20"/>
              </w:rPr>
              <w:t xml:space="preserve"> METHOD</w:t>
            </w:r>
          </w:p>
        </w:tc>
        <w:tc>
          <w:tcPr>
            <w:tcW w:w="1935" w:type="dxa"/>
            <w:tcMar>
              <w:top w:w="100" w:type="dxa"/>
              <w:left w:w="100" w:type="dxa"/>
              <w:bottom w:w="100" w:type="dxa"/>
              <w:right w:w="100" w:type="dxa"/>
            </w:tcMar>
          </w:tcPr>
          <w:p w14:paraId="6B9F3506" w14:textId="77777777" w:rsidR="00312333" w:rsidRPr="00F1312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13121">
              <w:rPr>
                <w:rFonts w:ascii="Times New Roman" w:eastAsia="Times New Roman" w:hAnsi="Times New Roman" w:cs="Times New Roman"/>
                <w:sz w:val="20"/>
                <w:szCs w:val="20"/>
              </w:rPr>
              <w:t>RESULT</w:t>
            </w:r>
            <w:r w:rsidRPr="00F13121">
              <w:rPr>
                <w:rFonts w:ascii="Times New Roman" w:eastAsia="Times New Roman" w:hAnsi="Times New Roman" w:cs="Times New Roman"/>
                <w:sz w:val="24"/>
                <w:szCs w:val="24"/>
              </w:rPr>
              <w:t xml:space="preserve"> </w:t>
            </w:r>
          </w:p>
        </w:tc>
      </w:tr>
      <w:tr w:rsidR="00312333" w:rsidRPr="00F13121" w14:paraId="4156231C" w14:textId="77777777">
        <w:trPr>
          <w:trHeight w:val="440"/>
        </w:trPr>
        <w:tc>
          <w:tcPr>
            <w:tcW w:w="570" w:type="dxa"/>
            <w:tcMar>
              <w:top w:w="100" w:type="dxa"/>
              <w:left w:w="100" w:type="dxa"/>
              <w:bottom w:w="100" w:type="dxa"/>
              <w:right w:w="100" w:type="dxa"/>
            </w:tcMar>
          </w:tcPr>
          <w:p w14:paraId="14F7A625" w14:textId="77777777" w:rsidR="00312333" w:rsidRPr="00F1312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lastRenderedPageBreak/>
              <w:t>1</w:t>
            </w:r>
          </w:p>
        </w:tc>
        <w:tc>
          <w:tcPr>
            <w:tcW w:w="1755" w:type="dxa"/>
            <w:tcMar>
              <w:top w:w="100" w:type="dxa"/>
              <w:left w:w="100" w:type="dxa"/>
              <w:bottom w:w="100" w:type="dxa"/>
              <w:right w:w="100" w:type="dxa"/>
            </w:tcMar>
          </w:tcPr>
          <w:p w14:paraId="7BAD8D70" w14:textId="77777777" w:rsidR="00312333" w:rsidRPr="00F13121" w:rsidRDefault="00000000">
            <w:pPr>
              <w:widowControl w:val="0"/>
              <w:pBdr>
                <w:top w:val="nil"/>
                <w:left w:val="nil"/>
                <w:bottom w:val="nil"/>
                <w:right w:val="nil"/>
                <w:between w:val="nil"/>
              </w:pBdr>
              <w:spacing w:line="240" w:lineRule="auto"/>
              <w:rPr>
                <w:rFonts w:ascii="Times New Roman" w:eastAsia="Times New Roman" w:hAnsi="Times New Roman" w:cs="Times New Roman"/>
                <w:i/>
                <w:iCs/>
                <w:sz w:val="24"/>
                <w:szCs w:val="24"/>
              </w:rPr>
            </w:pPr>
            <w:r w:rsidRPr="00F13121">
              <w:rPr>
                <w:rFonts w:ascii="Times New Roman" w:eastAsia="Times New Roman" w:hAnsi="Times New Roman" w:cs="Times New Roman"/>
                <w:i/>
                <w:iCs/>
                <w:sz w:val="24"/>
                <w:szCs w:val="24"/>
              </w:rPr>
              <w:t>Aspergillus flavus</w:t>
            </w:r>
          </w:p>
        </w:tc>
        <w:tc>
          <w:tcPr>
            <w:tcW w:w="1095" w:type="dxa"/>
            <w:tcMar>
              <w:top w:w="100" w:type="dxa"/>
              <w:left w:w="100" w:type="dxa"/>
              <w:bottom w:w="100" w:type="dxa"/>
              <w:right w:w="100" w:type="dxa"/>
            </w:tcMar>
          </w:tcPr>
          <w:p w14:paraId="4C180423" w14:textId="77777777" w:rsidR="00312333" w:rsidRPr="00F1312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IS 5403</w:t>
            </w:r>
          </w:p>
        </w:tc>
        <w:tc>
          <w:tcPr>
            <w:tcW w:w="2085" w:type="dxa"/>
            <w:tcMar>
              <w:top w:w="100" w:type="dxa"/>
              <w:left w:w="100" w:type="dxa"/>
              <w:bottom w:w="100" w:type="dxa"/>
              <w:right w:w="100" w:type="dxa"/>
            </w:tcMar>
          </w:tcPr>
          <w:p w14:paraId="506395B2" w14:textId="77777777" w:rsidR="00312333" w:rsidRPr="00F1312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Yellowish-green colonies</w:t>
            </w:r>
          </w:p>
        </w:tc>
        <w:tc>
          <w:tcPr>
            <w:tcW w:w="1905" w:type="dxa"/>
            <w:tcMar>
              <w:top w:w="100" w:type="dxa"/>
              <w:left w:w="100" w:type="dxa"/>
              <w:bottom w:w="100" w:type="dxa"/>
              <w:right w:w="100" w:type="dxa"/>
            </w:tcMar>
          </w:tcPr>
          <w:p w14:paraId="1772A57C" w14:textId="77777777" w:rsidR="00312333" w:rsidRPr="00F1312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Colony morphology and microscopy (Presumptive)</w:t>
            </w:r>
          </w:p>
        </w:tc>
        <w:tc>
          <w:tcPr>
            <w:tcW w:w="1935" w:type="dxa"/>
            <w:tcMar>
              <w:top w:w="100" w:type="dxa"/>
              <w:left w:w="100" w:type="dxa"/>
              <w:bottom w:w="100" w:type="dxa"/>
              <w:right w:w="100" w:type="dxa"/>
            </w:tcMar>
          </w:tcPr>
          <w:p w14:paraId="24433507" w14:textId="77777777" w:rsidR="00312333" w:rsidRPr="00F1312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 xml:space="preserve">Present </w:t>
            </w:r>
          </w:p>
        </w:tc>
      </w:tr>
      <w:tr w:rsidR="00312333" w:rsidRPr="00F13121" w14:paraId="3C04B9BB" w14:textId="77777777">
        <w:trPr>
          <w:trHeight w:val="440"/>
        </w:trPr>
        <w:tc>
          <w:tcPr>
            <w:tcW w:w="570" w:type="dxa"/>
            <w:tcMar>
              <w:top w:w="100" w:type="dxa"/>
              <w:left w:w="100" w:type="dxa"/>
              <w:bottom w:w="100" w:type="dxa"/>
              <w:right w:w="100" w:type="dxa"/>
            </w:tcMar>
          </w:tcPr>
          <w:p w14:paraId="208DD3A6" w14:textId="77777777" w:rsidR="00312333" w:rsidRPr="00F1312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2</w:t>
            </w:r>
          </w:p>
        </w:tc>
        <w:tc>
          <w:tcPr>
            <w:tcW w:w="1755" w:type="dxa"/>
            <w:tcMar>
              <w:top w:w="100" w:type="dxa"/>
              <w:left w:w="100" w:type="dxa"/>
              <w:bottom w:w="100" w:type="dxa"/>
              <w:right w:w="100" w:type="dxa"/>
            </w:tcMar>
          </w:tcPr>
          <w:p w14:paraId="7BFD3F0C" w14:textId="77777777" w:rsidR="00312333" w:rsidRPr="00F13121" w:rsidRDefault="00000000">
            <w:pPr>
              <w:widowControl w:val="0"/>
              <w:pBdr>
                <w:top w:val="nil"/>
                <w:left w:val="nil"/>
                <w:bottom w:val="nil"/>
                <w:right w:val="nil"/>
                <w:between w:val="nil"/>
              </w:pBdr>
              <w:spacing w:line="240" w:lineRule="auto"/>
              <w:rPr>
                <w:rFonts w:ascii="Times New Roman" w:eastAsia="Times New Roman" w:hAnsi="Times New Roman" w:cs="Times New Roman"/>
                <w:i/>
                <w:iCs/>
                <w:sz w:val="24"/>
                <w:szCs w:val="24"/>
              </w:rPr>
            </w:pPr>
            <w:r w:rsidRPr="00F13121">
              <w:rPr>
                <w:rFonts w:ascii="Times New Roman" w:eastAsia="Times New Roman" w:hAnsi="Times New Roman" w:cs="Times New Roman"/>
                <w:i/>
                <w:iCs/>
                <w:sz w:val="24"/>
                <w:szCs w:val="24"/>
              </w:rPr>
              <w:t xml:space="preserve">Aspergillus </w:t>
            </w:r>
            <w:proofErr w:type="spellStart"/>
            <w:r w:rsidRPr="00F13121">
              <w:rPr>
                <w:rFonts w:ascii="Times New Roman" w:eastAsia="Times New Roman" w:hAnsi="Times New Roman" w:cs="Times New Roman"/>
                <w:i/>
                <w:iCs/>
                <w:sz w:val="24"/>
                <w:szCs w:val="24"/>
              </w:rPr>
              <w:t>niger</w:t>
            </w:r>
            <w:proofErr w:type="spellEnd"/>
          </w:p>
        </w:tc>
        <w:tc>
          <w:tcPr>
            <w:tcW w:w="1095" w:type="dxa"/>
            <w:tcMar>
              <w:top w:w="100" w:type="dxa"/>
              <w:left w:w="100" w:type="dxa"/>
              <w:bottom w:w="100" w:type="dxa"/>
              <w:right w:w="100" w:type="dxa"/>
            </w:tcMar>
          </w:tcPr>
          <w:p w14:paraId="3D68B4F5" w14:textId="77777777" w:rsidR="00312333" w:rsidRPr="00F1312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IS 5403</w:t>
            </w:r>
          </w:p>
        </w:tc>
        <w:tc>
          <w:tcPr>
            <w:tcW w:w="2085" w:type="dxa"/>
            <w:tcMar>
              <w:top w:w="100" w:type="dxa"/>
              <w:left w:w="100" w:type="dxa"/>
              <w:bottom w:w="100" w:type="dxa"/>
              <w:right w:w="100" w:type="dxa"/>
            </w:tcMar>
          </w:tcPr>
          <w:p w14:paraId="74F2EFBF" w14:textId="77777777" w:rsidR="00312333" w:rsidRPr="00F1312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Black colonies</w:t>
            </w:r>
          </w:p>
          <w:p w14:paraId="26E45CF0" w14:textId="77777777" w:rsidR="00312333" w:rsidRPr="00F13121" w:rsidRDefault="0031233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905" w:type="dxa"/>
            <w:tcMar>
              <w:top w:w="100" w:type="dxa"/>
              <w:left w:w="100" w:type="dxa"/>
              <w:bottom w:w="100" w:type="dxa"/>
              <w:right w:w="100" w:type="dxa"/>
            </w:tcMar>
          </w:tcPr>
          <w:p w14:paraId="21CE220E" w14:textId="77777777" w:rsidR="00312333" w:rsidRPr="00F1312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Colony morphology and microscopy (Presumptive)</w:t>
            </w:r>
          </w:p>
        </w:tc>
        <w:tc>
          <w:tcPr>
            <w:tcW w:w="1935" w:type="dxa"/>
            <w:tcMar>
              <w:top w:w="100" w:type="dxa"/>
              <w:left w:w="100" w:type="dxa"/>
              <w:bottom w:w="100" w:type="dxa"/>
              <w:right w:w="100" w:type="dxa"/>
            </w:tcMar>
          </w:tcPr>
          <w:p w14:paraId="7BFD35C5" w14:textId="77777777" w:rsidR="00312333" w:rsidRPr="00F1312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 xml:space="preserve">Present </w:t>
            </w:r>
          </w:p>
        </w:tc>
      </w:tr>
      <w:tr w:rsidR="00312333" w:rsidRPr="00F13121" w14:paraId="022551E3" w14:textId="77777777">
        <w:trPr>
          <w:trHeight w:val="440"/>
        </w:trPr>
        <w:tc>
          <w:tcPr>
            <w:tcW w:w="570" w:type="dxa"/>
            <w:tcMar>
              <w:top w:w="100" w:type="dxa"/>
              <w:left w:w="100" w:type="dxa"/>
              <w:bottom w:w="100" w:type="dxa"/>
              <w:right w:w="100" w:type="dxa"/>
            </w:tcMar>
          </w:tcPr>
          <w:p w14:paraId="1C561BD2" w14:textId="77777777" w:rsidR="00312333" w:rsidRPr="00F1312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3</w:t>
            </w:r>
          </w:p>
        </w:tc>
        <w:tc>
          <w:tcPr>
            <w:tcW w:w="1755" w:type="dxa"/>
            <w:tcMar>
              <w:top w:w="100" w:type="dxa"/>
              <w:left w:w="100" w:type="dxa"/>
              <w:bottom w:w="100" w:type="dxa"/>
              <w:right w:w="100" w:type="dxa"/>
            </w:tcMar>
          </w:tcPr>
          <w:p w14:paraId="2E75F572" w14:textId="77777777" w:rsidR="00312333" w:rsidRPr="00F13121" w:rsidRDefault="00000000">
            <w:pPr>
              <w:widowControl w:val="0"/>
              <w:pBdr>
                <w:top w:val="nil"/>
                <w:left w:val="nil"/>
                <w:bottom w:val="nil"/>
                <w:right w:val="nil"/>
                <w:between w:val="nil"/>
              </w:pBdr>
              <w:spacing w:line="240" w:lineRule="auto"/>
              <w:rPr>
                <w:rFonts w:ascii="Times New Roman" w:eastAsia="Times New Roman" w:hAnsi="Times New Roman" w:cs="Times New Roman"/>
                <w:i/>
                <w:iCs/>
                <w:sz w:val="24"/>
                <w:szCs w:val="24"/>
              </w:rPr>
            </w:pPr>
            <w:r w:rsidRPr="00F13121">
              <w:rPr>
                <w:rFonts w:ascii="Times New Roman" w:eastAsia="Times New Roman" w:hAnsi="Times New Roman" w:cs="Times New Roman"/>
                <w:i/>
                <w:iCs/>
                <w:sz w:val="24"/>
                <w:szCs w:val="24"/>
              </w:rPr>
              <w:t>Candida albicans</w:t>
            </w:r>
          </w:p>
        </w:tc>
        <w:tc>
          <w:tcPr>
            <w:tcW w:w="1095" w:type="dxa"/>
            <w:tcMar>
              <w:top w:w="100" w:type="dxa"/>
              <w:left w:w="100" w:type="dxa"/>
              <w:bottom w:w="100" w:type="dxa"/>
              <w:right w:w="100" w:type="dxa"/>
            </w:tcMar>
          </w:tcPr>
          <w:p w14:paraId="7E55EC0E" w14:textId="77777777" w:rsidR="00312333" w:rsidRPr="00F1312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IS 5403</w:t>
            </w:r>
          </w:p>
        </w:tc>
        <w:tc>
          <w:tcPr>
            <w:tcW w:w="2085" w:type="dxa"/>
            <w:tcMar>
              <w:top w:w="100" w:type="dxa"/>
              <w:left w:w="100" w:type="dxa"/>
              <w:bottom w:w="100" w:type="dxa"/>
              <w:right w:w="100" w:type="dxa"/>
            </w:tcMar>
          </w:tcPr>
          <w:p w14:paraId="414DC687" w14:textId="77777777" w:rsidR="00312333" w:rsidRPr="00F1312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No characteristic colonies observed</w:t>
            </w:r>
          </w:p>
        </w:tc>
        <w:tc>
          <w:tcPr>
            <w:tcW w:w="1905" w:type="dxa"/>
            <w:tcMar>
              <w:top w:w="100" w:type="dxa"/>
              <w:left w:w="100" w:type="dxa"/>
              <w:bottom w:w="100" w:type="dxa"/>
              <w:right w:w="100" w:type="dxa"/>
            </w:tcMar>
          </w:tcPr>
          <w:p w14:paraId="5FC6032E" w14:textId="77777777" w:rsidR="00312333" w:rsidRPr="00F1312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Not detected</w:t>
            </w:r>
          </w:p>
        </w:tc>
        <w:tc>
          <w:tcPr>
            <w:tcW w:w="1935" w:type="dxa"/>
            <w:tcMar>
              <w:top w:w="100" w:type="dxa"/>
              <w:left w:w="100" w:type="dxa"/>
              <w:bottom w:w="100" w:type="dxa"/>
              <w:right w:w="100" w:type="dxa"/>
            </w:tcMar>
          </w:tcPr>
          <w:p w14:paraId="4A74E941" w14:textId="77777777" w:rsidR="00312333" w:rsidRPr="00F1312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 xml:space="preserve">Absent </w:t>
            </w:r>
          </w:p>
        </w:tc>
      </w:tr>
      <w:tr w:rsidR="00312333" w:rsidRPr="00F13121" w14:paraId="3B7D09E0" w14:textId="77777777">
        <w:trPr>
          <w:trHeight w:val="440"/>
        </w:trPr>
        <w:tc>
          <w:tcPr>
            <w:tcW w:w="570" w:type="dxa"/>
            <w:tcMar>
              <w:top w:w="100" w:type="dxa"/>
              <w:left w:w="100" w:type="dxa"/>
              <w:bottom w:w="100" w:type="dxa"/>
              <w:right w:w="100" w:type="dxa"/>
            </w:tcMar>
          </w:tcPr>
          <w:p w14:paraId="6CC31AD3" w14:textId="77777777" w:rsidR="00312333" w:rsidRPr="00F1312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4</w:t>
            </w:r>
          </w:p>
        </w:tc>
        <w:tc>
          <w:tcPr>
            <w:tcW w:w="1755" w:type="dxa"/>
            <w:tcMar>
              <w:top w:w="100" w:type="dxa"/>
              <w:left w:w="100" w:type="dxa"/>
              <w:bottom w:w="100" w:type="dxa"/>
              <w:right w:w="100" w:type="dxa"/>
            </w:tcMar>
          </w:tcPr>
          <w:p w14:paraId="13E8F4B0" w14:textId="77777777" w:rsidR="00312333" w:rsidRPr="00F13121" w:rsidRDefault="00000000">
            <w:pPr>
              <w:widowControl w:val="0"/>
              <w:pBdr>
                <w:top w:val="nil"/>
                <w:left w:val="nil"/>
                <w:bottom w:val="nil"/>
                <w:right w:val="nil"/>
                <w:between w:val="nil"/>
              </w:pBdr>
              <w:spacing w:line="240" w:lineRule="auto"/>
              <w:rPr>
                <w:rFonts w:ascii="Times New Roman" w:eastAsia="Times New Roman" w:hAnsi="Times New Roman" w:cs="Times New Roman"/>
                <w:i/>
                <w:iCs/>
                <w:sz w:val="24"/>
                <w:szCs w:val="24"/>
              </w:rPr>
            </w:pPr>
            <w:r w:rsidRPr="00F13121">
              <w:rPr>
                <w:rFonts w:ascii="Times New Roman" w:eastAsia="Times New Roman" w:hAnsi="Times New Roman" w:cs="Times New Roman"/>
                <w:i/>
                <w:iCs/>
                <w:sz w:val="24"/>
                <w:szCs w:val="24"/>
              </w:rPr>
              <w:t xml:space="preserve">Saccharomyces </w:t>
            </w:r>
          </w:p>
          <w:p w14:paraId="6AFFBADC" w14:textId="77777777" w:rsidR="00312333" w:rsidRPr="00F13121" w:rsidRDefault="00000000">
            <w:pPr>
              <w:widowControl w:val="0"/>
              <w:pBdr>
                <w:top w:val="nil"/>
                <w:left w:val="nil"/>
                <w:bottom w:val="nil"/>
                <w:right w:val="nil"/>
                <w:between w:val="nil"/>
              </w:pBdr>
              <w:spacing w:line="240" w:lineRule="auto"/>
              <w:rPr>
                <w:rFonts w:ascii="Times New Roman" w:eastAsia="Times New Roman" w:hAnsi="Times New Roman" w:cs="Times New Roman"/>
                <w:i/>
                <w:iCs/>
                <w:sz w:val="24"/>
                <w:szCs w:val="24"/>
              </w:rPr>
            </w:pPr>
            <w:r w:rsidRPr="00F13121">
              <w:rPr>
                <w:rFonts w:ascii="Times New Roman" w:eastAsia="Times New Roman" w:hAnsi="Times New Roman" w:cs="Times New Roman"/>
                <w:i/>
                <w:iCs/>
                <w:sz w:val="24"/>
                <w:szCs w:val="24"/>
              </w:rPr>
              <w:t>cerevisiae</w:t>
            </w:r>
          </w:p>
        </w:tc>
        <w:tc>
          <w:tcPr>
            <w:tcW w:w="1095" w:type="dxa"/>
            <w:tcMar>
              <w:top w:w="100" w:type="dxa"/>
              <w:left w:w="100" w:type="dxa"/>
              <w:bottom w:w="100" w:type="dxa"/>
              <w:right w:w="100" w:type="dxa"/>
            </w:tcMar>
          </w:tcPr>
          <w:p w14:paraId="6FB0693A" w14:textId="77777777" w:rsidR="00312333" w:rsidRPr="00F1312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IS 5403</w:t>
            </w:r>
          </w:p>
        </w:tc>
        <w:tc>
          <w:tcPr>
            <w:tcW w:w="2085" w:type="dxa"/>
            <w:tcMar>
              <w:top w:w="100" w:type="dxa"/>
              <w:left w:w="100" w:type="dxa"/>
              <w:bottom w:w="100" w:type="dxa"/>
              <w:right w:w="100" w:type="dxa"/>
            </w:tcMar>
          </w:tcPr>
          <w:p w14:paraId="5DC1D812" w14:textId="77777777" w:rsidR="00312333" w:rsidRPr="00F1312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No characteristic colonies observed</w:t>
            </w:r>
          </w:p>
        </w:tc>
        <w:tc>
          <w:tcPr>
            <w:tcW w:w="1905" w:type="dxa"/>
            <w:tcMar>
              <w:top w:w="100" w:type="dxa"/>
              <w:left w:w="100" w:type="dxa"/>
              <w:bottom w:w="100" w:type="dxa"/>
              <w:right w:w="100" w:type="dxa"/>
            </w:tcMar>
          </w:tcPr>
          <w:p w14:paraId="708B0A12" w14:textId="77777777" w:rsidR="00312333" w:rsidRPr="00F1312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 xml:space="preserve">Not detected </w:t>
            </w:r>
          </w:p>
        </w:tc>
        <w:tc>
          <w:tcPr>
            <w:tcW w:w="1935" w:type="dxa"/>
            <w:tcMar>
              <w:top w:w="100" w:type="dxa"/>
              <w:left w:w="100" w:type="dxa"/>
              <w:bottom w:w="100" w:type="dxa"/>
              <w:right w:w="100" w:type="dxa"/>
            </w:tcMar>
          </w:tcPr>
          <w:p w14:paraId="210E4515" w14:textId="77777777" w:rsidR="00312333" w:rsidRPr="00F1312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 xml:space="preserve">Absent </w:t>
            </w:r>
          </w:p>
        </w:tc>
      </w:tr>
    </w:tbl>
    <w:p w14:paraId="46F0A8A5" w14:textId="77777777" w:rsidR="00312333" w:rsidRPr="00F13121" w:rsidRDefault="00312333">
      <w:pPr>
        <w:rPr>
          <w:rFonts w:ascii="Times New Roman" w:eastAsia="Times New Roman" w:hAnsi="Times New Roman" w:cs="Times New Roman"/>
          <w:sz w:val="24"/>
          <w:szCs w:val="24"/>
        </w:rPr>
      </w:pPr>
    </w:p>
    <w:p w14:paraId="1982ACB8" w14:textId="77777777" w:rsidR="00312333" w:rsidRPr="00F13121" w:rsidRDefault="00000000">
      <w:pP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 xml:space="preserve">     The results indicate the presumptive presence of </w:t>
      </w:r>
      <w:r w:rsidRPr="00F13121">
        <w:rPr>
          <w:rFonts w:ascii="Times New Roman" w:eastAsia="Times New Roman" w:hAnsi="Times New Roman" w:cs="Times New Roman"/>
          <w:i/>
          <w:iCs/>
          <w:sz w:val="24"/>
          <w:szCs w:val="24"/>
        </w:rPr>
        <w:t xml:space="preserve">Aspergillus flavus and Aspergillus </w:t>
      </w:r>
      <w:proofErr w:type="spellStart"/>
      <w:r w:rsidRPr="00F13121">
        <w:rPr>
          <w:rFonts w:ascii="Times New Roman" w:eastAsia="Times New Roman" w:hAnsi="Times New Roman" w:cs="Times New Roman"/>
          <w:i/>
          <w:iCs/>
          <w:sz w:val="24"/>
          <w:szCs w:val="24"/>
        </w:rPr>
        <w:t>niger</w:t>
      </w:r>
      <w:proofErr w:type="spellEnd"/>
      <w:r w:rsidRPr="00F13121">
        <w:rPr>
          <w:rFonts w:ascii="Times New Roman" w:eastAsia="Times New Roman" w:hAnsi="Times New Roman" w:cs="Times New Roman"/>
          <w:sz w:val="24"/>
          <w:szCs w:val="24"/>
        </w:rPr>
        <w:t xml:space="preserve"> in the treated drinking water sample, whereas </w:t>
      </w:r>
      <w:r w:rsidRPr="00F13121">
        <w:rPr>
          <w:rFonts w:ascii="Times New Roman" w:eastAsia="Times New Roman" w:hAnsi="Times New Roman" w:cs="Times New Roman"/>
          <w:i/>
          <w:iCs/>
          <w:sz w:val="24"/>
          <w:szCs w:val="24"/>
        </w:rPr>
        <w:t>Candida albicans and Saccharomyces cerevisiae</w:t>
      </w:r>
      <w:r w:rsidRPr="00F13121">
        <w:rPr>
          <w:rFonts w:ascii="Times New Roman" w:eastAsia="Times New Roman" w:hAnsi="Times New Roman" w:cs="Times New Roman"/>
          <w:sz w:val="24"/>
          <w:szCs w:val="24"/>
        </w:rPr>
        <w:t xml:space="preserve"> were not detected. Since the identification was based only on colony morphology and microscopic examination, the results should be considered presumptive and require confirmation by molecular methods such as ITS sequencing.</w:t>
      </w:r>
    </w:p>
    <w:p w14:paraId="4528BC1A" w14:textId="77777777" w:rsidR="00312333" w:rsidRPr="00F13121" w:rsidRDefault="00312333">
      <w:pPr>
        <w:rPr>
          <w:rFonts w:ascii="Times New Roman" w:eastAsia="Times New Roman" w:hAnsi="Times New Roman" w:cs="Times New Roman"/>
          <w:sz w:val="24"/>
          <w:szCs w:val="24"/>
        </w:rPr>
      </w:pPr>
    </w:p>
    <w:p w14:paraId="46C50032" w14:textId="77777777" w:rsidR="00312333" w:rsidRPr="00F13121" w:rsidRDefault="00312333">
      <w:pPr>
        <w:rPr>
          <w:rFonts w:ascii="Times New Roman" w:eastAsia="Times New Roman" w:hAnsi="Times New Roman" w:cs="Times New Roman"/>
          <w:b/>
          <w:bCs/>
        </w:rPr>
      </w:pPr>
    </w:p>
    <w:p w14:paraId="0EA55456" w14:textId="77777777" w:rsidR="00312333" w:rsidRPr="00F13121" w:rsidRDefault="00000000">
      <w:pPr>
        <w:rPr>
          <w:rFonts w:ascii="Times New Roman" w:eastAsia="Times New Roman" w:hAnsi="Times New Roman" w:cs="Times New Roman"/>
          <w:sz w:val="24"/>
          <w:szCs w:val="24"/>
        </w:rPr>
      </w:pPr>
      <w:r w:rsidRPr="00F13121">
        <w:rPr>
          <w:rFonts w:ascii="Times New Roman" w:eastAsia="Times New Roman" w:hAnsi="Times New Roman" w:cs="Times New Roman"/>
          <w:b/>
          <w:bCs/>
        </w:rPr>
        <w:t xml:space="preserve">     </w:t>
      </w:r>
      <w:r w:rsidRPr="00F13121">
        <w:rPr>
          <w:rFonts w:ascii="Times New Roman" w:eastAsia="Times New Roman" w:hAnsi="Times New Roman" w:cs="Times New Roman"/>
          <w:sz w:val="24"/>
          <w:szCs w:val="24"/>
        </w:rPr>
        <w:t xml:space="preserve">The present preliminary pilot study investigated the possible occurrence of fungal contamination in treated drinking water. The presumptive identification of </w:t>
      </w:r>
      <w:r w:rsidRPr="00F13121">
        <w:rPr>
          <w:rFonts w:ascii="Times New Roman" w:eastAsia="Times New Roman" w:hAnsi="Times New Roman" w:cs="Times New Roman"/>
          <w:i/>
          <w:iCs/>
          <w:sz w:val="24"/>
          <w:szCs w:val="24"/>
        </w:rPr>
        <w:t>Aspergillus flavus and</w:t>
      </w:r>
      <w:r w:rsidRPr="00F13121">
        <w:rPr>
          <w:rFonts w:ascii="Times New Roman" w:eastAsia="Times New Roman" w:hAnsi="Times New Roman" w:cs="Times New Roman"/>
          <w:sz w:val="24"/>
          <w:szCs w:val="24"/>
        </w:rPr>
        <w:t xml:space="preserve"> </w:t>
      </w:r>
      <w:r w:rsidRPr="00F13121">
        <w:rPr>
          <w:rFonts w:ascii="Times New Roman" w:eastAsia="Times New Roman" w:hAnsi="Times New Roman" w:cs="Times New Roman"/>
          <w:i/>
          <w:iCs/>
          <w:sz w:val="24"/>
          <w:szCs w:val="24"/>
        </w:rPr>
        <w:t>Aspergillus niger</w:t>
      </w:r>
      <w:r w:rsidRPr="00F13121">
        <w:rPr>
          <w:rFonts w:ascii="Times New Roman" w:eastAsia="Times New Roman" w:hAnsi="Times New Roman" w:cs="Times New Roman"/>
          <w:sz w:val="24"/>
          <w:szCs w:val="24"/>
        </w:rPr>
        <w:t xml:space="preserve"> suggests that fungal propagules may persist in treated drinking water despite conventional treatment processes such as filtration and chlorination. Similar observations were reported by Grabińska-Łoniewska </w:t>
      </w:r>
      <w:r w:rsidRPr="00F13121">
        <w:rPr>
          <w:rFonts w:ascii="Times New Roman" w:eastAsia="Times New Roman" w:hAnsi="Times New Roman" w:cs="Times New Roman"/>
          <w:i/>
          <w:iCs/>
          <w:sz w:val="24"/>
          <w:szCs w:val="24"/>
        </w:rPr>
        <w:t>et al.</w:t>
      </w:r>
      <w:r w:rsidRPr="00F13121">
        <w:rPr>
          <w:rFonts w:ascii="Times New Roman" w:eastAsia="Times New Roman" w:hAnsi="Times New Roman" w:cs="Times New Roman"/>
          <w:sz w:val="24"/>
          <w:szCs w:val="24"/>
        </w:rPr>
        <w:t xml:space="preserve"> (2007), who demonstrated that environmental fungi can survive within drinking water distribution systems through biofilm formation and spore persistence.</w:t>
      </w:r>
    </w:p>
    <w:p w14:paraId="77A1165E" w14:textId="77777777" w:rsidR="00312333" w:rsidRPr="00F13121" w:rsidRDefault="00000000">
      <w:pP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 xml:space="preserve">The occurrence of </w:t>
      </w:r>
      <w:r w:rsidRPr="00F13121">
        <w:rPr>
          <w:rFonts w:ascii="Times New Roman" w:eastAsia="Times New Roman" w:hAnsi="Times New Roman" w:cs="Times New Roman"/>
          <w:i/>
          <w:iCs/>
          <w:sz w:val="24"/>
          <w:szCs w:val="24"/>
        </w:rPr>
        <w:t>Aspergillus</w:t>
      </w:r>
      <w:r w:rsidRPr="00F13121">
        <w:rPr>
          <w:rFonts w:ascii="Times New Roman" w:eastAsia="Times New Roman" w:hAnsi="Times New Roman" w:cs="Times New Roman"/>
          <w:sz w:val="24"/>
          <w:szCs w:val="24"/>
        </w:rPr>
        <w:t xml:space="preserve"> species in drinking water does not necessarily indicate an immediate public health risk.</w:t>
      </w:r>
    </w:p>
    <w:p w14:paraId="79E41E03" w14:textId="77777777" w:rsidR="00312333" w:rsidRPr="00F13121" w:rsidRDefault="00000000">
      <w:pP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 xml:space="preserve"> However, their presence suggests that routine monitoring of fungal contamination may be beneficial, particularly in water distribution systems.</w:t>
      </w:r>
    </w:p>
    <w:p w14:paraId="3F6061AF" w14:textId="77777777" w:rsidR="00312333" w:rsidRPr="00F13121" w:rsidRDefault="00000000">
      <w:pP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 xml:space="preserve">      Previous studies have reported that </w:t>
      </w:r>
      <w:r w:rsidRPr="00F13121">
        <w:rPr>
          <w:rFonts w:ascii="Times New Roman" w:eastAsia="Times New Roman" w:hAnsi="Times New Roman" w:cs="Times New Roman"/>
          <w:i/>
          <w:iCs/>
          <w:sz w:val="24"/>
          <w:szCs w:val="24"/>
        </w:rPr>
        <w:t xml:space="preserve">Aspergillus </w:t>
      </w:r>
      <w:r w:rsidRPr="00F13121">
        <w:rPr>
          <w:rFonts w:ascii="Times New Roman" w:eastAsia="Times New Roman" w:hAnsi="Times New Roman" w:cs="Times New Roman"/>
          <w:sz w:val="24"/>
          <w:szCs w:val="24"/>
        </w:rPr>
        <w:t xml:space="preserve">species are widely distributed in soil, air and water environments and may act as opportunistic pathogens in immunocompromised individuals (Horn </w:t>
      </w:r>
      <w:r w:rsidRPr="00F13121">
        <w:rPr>
          <w:rFonts w:ascii="Times New Roman" w:eastAsia="Times New Roman" w:hAnsi="Times New Roman" w:cs="Times New Roman"/>
          <w:i/>
          <w:iCs/>
          <w:sz w:val="24"/>
          <w:szCs w:val="24"/>
        </w:rPr>
        <w:t>et al.,</w:t>
      </w:r>
      <w:r w:rsidRPr="00F13121">
        <w:rPr>
          <w:rFonts w:ascii="Times New Roman" w:eastAsia="Times New Roman" w:hAnsi="Times New Roman" w:cs="Times New Roman"/>
          <w:sz w:val="24"/>
          <w:szCs w:val="24"/>
        </w:rPr>
        <w:t xml:space="preserve"> 2009; Krishnan </w:t>
      </w:r>
      <w:r w:rsidRPr="00F13121">
        <w:rPr>
          <w:rFonts w:ascii="Times New Roman" w:eastAsia="Times New Roman" w:hAnsi="Times New Roman" w:cs="Times New Roman"/>
          <w:i/>
          <w:iCs/>
          <w:sz w:val="24"/>
          <w:szCs w:val="24"/>
        </w:rPr>
        <w:t>et al.,</w:t>
      </w:r>
      <w:r w:rsidRPr="00F13121">
        <w:rPr>
          <w:rFonts w:ascii="Times New Roman" w:eastAsia="Times New Roman" w:hAnsi="Times New Roman" w:cs="Times New Roman"/>
          <w:sz w:val="24"/>
          <w:szCs w:val="24"/>
        </w:rPr>
        <w:t xml:space="preserve"> 2009). Therefore, their detection should be interpreted cautiously and in conjunction with quantitative fungal analysis and molecular confirmation.</w:t>
      </w:r>
    </w:p>
    <w:p w14:paraId="6F905581" w14:textId="77777777" w:rsidR="00312333" w:rsidRPr="00F13121" w:rsidRDefault="00000000">
      <w:pPr>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 xml:space="preserve"> In contrast, </w:t>
      </w:r>
      <w:r w:rsidRPr="00F13121">
        <w:rPr>
          <w:rFonts w:ascii="Times New Roman" w:eastAsia="Times New Roman" w:hAnsi="Times New Roman" w:cs="Times New Roman"/>
          <w:i/>
          <w:iCs/>
          <w:sz w:val="24"/>
          <w:szCs w:val="24"/>
        </w:rPr>
        <w:t>Candida albicans and Saccharomyces cerevisiae</w:t>
      </w:r>
      <w:r w:rsidRPr="00F13121">
        <w:rPr>
          <w:rFonts w:ascii="Times New Roman" w:eastAsia="Times New Roman" w:hAnsi="Times New Roman" w:cs="Times New Roman"/>
          <w:sz w:val="24"/>
          <w:szCs w:val="24"/>
        </w:rPr>
        <w:t xml:space="preserve"> were not detected in the analysed sample, suggesting satisfactory microbiological quality with respect to these yeasts. However, because only a single treated drinking water sample was examined, these findings cannot be generalised to the entire water distribution system.</w:t>
      </w:r>
    </w:p>
    <w:p w14:paraId="036FF5D1" w14:textId="77E2CE76" w:rsidR="00C86601" w:rsidRPr="00F13121" w:rsidRDefault="00000000">
      <w:pPr>
        <w:rPr>
          <w:rFonts w:ascii="Times New Roman" w:eastAsia="Times New Roman" w:hAnsi="Times New Roman" w:cs="Times New Roman"/>
          <w:b/>
          <w:bCs/>
          <w:sz w:val="24"/>
          <w:szCs w:val="24"/>
        </w:rPr>
      </w:pPr>
      <w:r w:rsidRPr="00F13121">
        <w:rPr>
          <w:rFonts w:ascii="Times New Roman" w:eastAsia="Times New Roman" w:hAnsi="Times New Roman" w:cs="Times New Roman"/>
          <w:sz w:val="24"/>
          <w:szCs w:val="24"/>
        </w:rPr>
        <w:lastRenderedPageBreak/>
        <w:t xml:space="preserve"> </w:t>
      </w:r>
      <w:r w:rsidR="00C86601" w:rsidRPr="00F13121">
        <w:rPr>
          <w:rFonts w:ascii="Times New Roman" w:eastAsia="Times New Roman" w:hAnsi="Times New Roman" w:cs="Times New Roman"/>
          <w:b/>
          <w:bCs/>
          <w:sz w:val="24"/>
          <w:szCs w:val="24"/>
        </w:rPr>
        <w:t>Limitation</w:t>
      </w:r>
    </w:p>
    <w:p w14:paraId="288C4FFF" w14:textId="77777777" w:rsidR="00C86601" w:rsidRPr="00F13121" w:rsidRDefault="00C86601">
      <w:pPr>
        <w:rPr>
          <w:rFonts w:ascii="Times New Roman" w:eastAsia="Times New Roman" w:hAnsi="Times New Roman" w:cs="Times New Roman"/>
          <w:sz w:val="24"/>
          <w:szCs w:val="24"/>
        </w:rPr>
      </w:pPr>
    </w:p>
    <w:p w14:paraId="0F2D3B64" w14:textId="793605E0" w:rsidR="00312333" w:rsidRPr="00F13121" w:rsidRDefault="00000000" w:rsidP="00272A60">
      <w:pPr>
        <w:jc w:val="both"/>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The present study has several limitations. The investigation was based on a single water sample without replicate sampling, quantitative fungal enumeration (CFU), statistical analysis or molecular identification (ITS sequencing). Therefore, fungal identification should be regarded as presumptive, and the findings should be considered preliminary.</w:t>
      </w:r>
    </w:p>
    <w:p w14:paraId="554C12D0" w14:textId="77777777" w:rsidR="00312333" w:rsidRPr="00F13121" w:rsidRDefault="00000000" w:rsidP="00272A60">
      <w:pPr>
        <w:jc w:val="both"/>
        <w:rPr>
          <w:rFonts w:ascii="Times New Roman" w:eastAsia="Times New Roman" w:hAnsi="Times New Roman" w:cs="Times New Roman"/>
          <w:sz w:val="24"/>
          <w:szCs w:val="24"/>
        </w:rPr>
      </w:pPr>
      <w:r w:rsidRPr="00F13121">
        <w:rPr>
          <w:rFonts w:ascii="Times New Roman" w:eastAsia="Times New Roman" w:hAnsi="Times New Roman" w:cs="Times New Roman"/>
          <w:sz w:val="24"/>
          <w:szCs w:val="24"/>
        </w:rPr>
        <w:t>Despite these limitations, the study provides baseline information on the possible occurrence of fungal contamination in treated drinking water. Future investigations should include larger sample sizes, seasonal sampling, quantitative fungal counts, molecular identification techniques and statistical analysis to better understand the occurrence and significance of fungi in drinking water distribution systems.</w:t>
      </w:r>
    </w:p>
    <w:p w14:paraId="627AAB33" w14:textId="77777777" w:rsidR="00312333" w:rsidRPr="00F13121" w:rsidRDefault="00312333">
      <w:pPr>
        <w:rPr>
          <w:rFonts w:ascii="Times New Roman" w:eastAsia="Times New Roman" w:hAnsi="Times New Roman" w:cs="Times New Roman"/>
          <w:sz w:val="24"/>
          <w:szCs w:val="24"/>
        </w:rPr>
      </w:pPr>
    </w:p>
    <w:p w14:paraId="1706A41D" w14:textId="77777777" w:rsidR="00312333" w:rsidRPr="00F13121" w:rsidRDefault="00000000">
      <w:pPr>
        <w:rPr>
          <w:rFonts w:ascii="Times New Roman" w:eastAsia="Times New Roman" w:hAnsi="Times New Roman" w:cs="Times New Roman"/>
          <w:b/>
          <w:bCs/>
        </w:rPr>
      </w:pPr>
      <w:r w:rsidRPr="00F13121">
        <w:rPr>
          <w:rFonts w:ascii="Times New Roman" w:eastAsia="Times New Roman" w:hAnsi="Times New Roman" w:cs="Times New Roman"/>
          <w:b/>
          <w:bCs/>
        </w:rPr>
        <w:t>CONCLUSION</w:t>
      </w:r>
    </w:p>
    <w:p w14:paraId="74D2A52E" w14:textId="77777777" w:rsidR="00312333" w:rsidRPr="00F13121" w:rsidRDefault="00312333">
      <w:pPr>
        <w:rPr>
          <w:rFonts w:ascii="Times New Roman" w:eastAsia="Times New Roman" w:hAnsi="Times New Roman" w:cs="Times New Roman"/>
          <w:b/>
          <w:bCs/>
        </w:rPr>
      </w:pPr>
    </w:p>
    <w:p w14:paraId="32975BFD" w14:textId="723BED89" w:rsidR="00272A60" w:rsidRPr="00F13121" w:rsidRDefault="00272A60" w:rsidP="00BF51F5">
      <w:pPr>
        <w:jc w:val="both"/>
        <w:rPr>
          <w:rFonts w:ascii="Times New Roman" w:eastAsia="Times New Roman" w:hAnsi="Times New Roman" w:cs="Times New Roman"/>
          <w:sz w:val="24"/>
          <w:szCs w:val="24"/>
        </w:rPr>
      </w:pPr>
      <w:r w:rsidRPr="00F13121">
        <w:t xml:space="preserve">This preliminary pilot study examined a single 100 mL treated drinking water sample from </w:t>
      </w:r>
      <w:proofErr w:type="spellStart"/>
      <w:r w:rsidRPr="00F13121">
        <w:t>Saidapet</w:t>
      </w:r>
      <w:proofErr w:type="spellEnd"/>
      <w:r w:rsidRPr="00F13121">
        <w:t xml:space="preserve">, Chennai, for fungal contamination. Based on colony morphology and microscopic examination, the recovered isolates were presumptively identified as </w:t>
      </w:r>
      <w:r w:rsidRPr="00F13121">
        <w:rPr>
          <w:rStyle w:val="Emphasis"/>
        </w:rPr>
        <w:t>Aspergillus flavus</w:t>
      </w:r>
      <w:r w:rsidRPr="00F13121">
        <w:t xml:space="preserve"> and </w:t>
      </w:r>
      <w:r w:rsidRPr="00F13121">
        <w:rPr>
          <w:rStyle w:val="Emphasis"/>
        </w:rPr>
        <w:t xml:space="preserve">Aspergillus </w:t>
      </w:r>
      <w:proofErr w:type="spellStart"/>
      <w:r w:rsidRPr="00F13121">
        <w:rPr>
          <w:rStyle w:val="Emphasis"/>
        </w:rPr>
        <w:t>niger</w:t>
      </w:r>
      <w:proofErr w:type="spellEnd"/>
      <w:r w:rsidRPr="00F13121">
        <w:t xml:space="preserve">, while </w:t>
      </w:r>
      <w:r w:rsidRPr="00F13121">
        <w:rPr>
          <w:rStyle w:val="Emphasis"/>
        </w:rPr>
        <w:t>Candida albicans</w:t>
      </w:r>
      <w:r w:rsidRPr="00F13121">
        <w:t xml:space="preserve"> and </w:t>
      </w:r>
      <w:r w:rsidRPr="00F13121">
        <w:rPr>
          <w:rStyle w:val="Emphasis"/>
        </w:rPr>
        <w:t>Saccharomyces cerevisiae</w:t>
      </w:r>
      <w:r w:rsidRPr="00F13121">
        <w:t xml:space="preserve"> were not detected. The result suggests that fungal propagules may occur in treated water after conventional filtration and chlorination. Nevertheless, the observation should be interpreted cautiously because the study did not include replicate or seasonal sampling, quantitative fungal enumeration, statistical analysis, or molecular confirmation. Accordingly, the findings cannot be </w:t>
      </w:r>
      <w:proofErr w:type="spellStart"/>
      <w:r w:rsidRPr="00F13121">
        <w:t>generalised</w:t>
      </w:r>
      <w:proofErr w:type="spellEnd"/>
      <w:r w:rsidRPr="00F13121">
        <w:t xml:space="preserve"> to the wider distribution system or used to determine the magnitude or health significance of contamination. The study provides location-specific preliminary evidence that may support the design of larger investigations. Future work should include multiple sampling points and sampling periods, quantitative colony counts, appropriate controls, and molecular identification to establish the occurrence, distribution, and identity of fungi in treated drinking water more reliably.</w:t>
      </w:r>
    </w:p>
    <w:p w14:paraId="5D30D3DC" w14:textId="77777777" w:rsidR="00272A60" w:rsidRPr="00F13121" w:rsidRDefault="00272A60">
      <w:pPr>
        <w:rPr>
          <w:rFonts w:ascii="Times New Roman" w:eastAsia="Times New Roman" w:hAnsi="Times New Roman" w:cs="Times New Roman"/>
          <w:sz w:val="24"/>
          <w:szCs w:val="24"/>
        </w:rPr>
      </w:pPr>
    </w:p>
    <w:p w14:paraId="402A9C80" w14:textId="77777777" w:rsidR="00CD2951" w:rsidRPr="00F13121" w:rsidRDefault="00CD2951" w:rsidP="00CD2951">
      <w:pPr>
        <w:spacing w:after="160" w:line="278" w:lineRule="auto"/>
        <w:rPr>
          <w:rFonts w:eastAsia="Calibri"/>
          <w:b/>
          <w:bCs/>
          <w:kern w:val="2"/>
          <w:sz w:val="20"/>
          <w:szCs w:val="20"/>
          <w:lang w:val="en-US"/>
          <w14:ligatures w14:val="standardContextual"/>
        </w:rPr>
      </w:pPr>
      <w:r w:rsidRPr="00F13121">
        <w:rPr>
          <w:rFonts w:eastAsia="Calibri"/>
          <w:b/>
          <w:bCs/>
          <w:kern w:val="2"/>
          <w:sz w:val="20"/>
          <w:szCs w:val="20"/>
          <w:lang w:val="en-US"/>
          <w14:ligatures w14:val="standardContextual"/>
        </w:rPr>
        <w:t>Declaration of AI Use</w:t>
      </w:r>
    </w:p>
    <w:p w14:paraId="3DC2A488" w14:textId="77777777" w:rsidR="00CD2951" w:rsidRPr="00F13121" w:rsidRDefault="00CD2951" w:rsidP="00CD2951">
      <w:pPr>
        <w:spacing w:after="160" w:line="278" w:lineRule="auto"/>
        <w:jc w:val="both"/>
        <w:rPr>
          <w:rFonts w:eastAsia="Calibri"/>
          <w:kern w:val="2"/>
          <w:sz w:val="20"/>
          <w:szCs w:val="20"/>
          <w:lang w:val="en-US"/>
          <w14:ligatures w14:val="standardContextual"/>
        </w:rPr>
      </w:pPr>
      <w:r w:rsidRPr="00F13121">
        <w:rPr>
          <w:rFonts w:eastAsia="Calibri"/>
          <w:kern w:val="2"/>
          <w:sz w:val="20"/>
          <w:szCs w:val="20"/>
          <w:lang w:val="en-US"/>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F2EBA90" w14:textId="77777777" w:rsidR="00CD2951" w:rsidRPr="00F13121" w:rsidRDefault="00CD2951">
      <w:pPr>
        <w:rPr>
          <w:rFonts w:ascii="Times New Roman" w:eastAsia="Times New Roman" w:hAnsi="Times New Roman" w:cs="Times New Roman"/>
          <w:sz w:val="24"/>
          <w:szCs w:val="24"/>
        </w:rPr>
      </w:pPr>
    </w:p>
    <w:p w14:paraId="6EB81940" w14:textId="77777777" w:rsidR="00312333" w:rsidRPr="00F13121" w:rsidRDefault="00312333">
      <w:pPr>
        <w:rPr>
          <w:rFonts w:ascii="Times New Roman" w:eastAsia="Times New Roman" w:hAnsi="Times New Roman" w:cs="Times New Roman"/>
          <w:sz w:val="24"/>
          <w:szCs w:val="24"/>
        </w:rPr>
      </w:pPr>
    </w:p>
    <w:p w14:paraId="27AD9EAB" w14:textId="77777777" w:rsidR="00312333" w:rsidRPr="00F13121" w:rsidRDefault="00312333">
      <w:pPr>
        <w:rPr>
          <w:rFonts w:ascii="Times New Roman" w:eastAsia="Times New Roman" w:hAnsi="Times New Roman" w:cs="Times New Roman"/>
          <w:sz w:val="24"/>
          <w:szCs w:val="24"/>
        </w:rPr>
        <w:sectPr w:rsidR="00312333" w:rsidRPr="00F13121">
          <w:headerReference w:type="default" r:id="rId10"/>
          <w:footerReference w:type="default" r:id="rId11"/>
          <w:pgSz w:w="12240" w:h="15840"/>
          <w:pgMar w:top="1440" w:right="1440" w:bottom="1440" w:left="1440" w:header="720" w:footer="720" w:gutter="0"/>
          <w:pgNumType w:start="1"/>
          <w:cols w:space="720" w:equalWidth="0">
            <w:col w:w="9360" w:space="0"/>
          </w:cols>
        </w:sectPr>
      </w:pPr>
    </w:p>
    <w:p w14:paraId="4AACC7AF" w14:textId="77777777" w:rsidR="00312333" w:rsidRPr="00F13121" w:rsidRDefault="00000000">
      <w:pPr>
        <w:rPr>
          <w:rFonts w:ascii="Times New Roman" w:eastAsia="Times New Roman" w:hAnsi="Times New Roman" w:cs="Times New Roman"/>
          <w:sz w:val="24"/>
          <w:szCs w:val="24"/>
        </w:rPr>
      </w:pPr>
      <w:r w:rsidRPr="00F13121">
        <w:rPr>
          <w:rFonts w:ascii="Times New Roman" w:eastAsia="Times New Roman" w:hAnsi="Times New Roman" w:cs="Times New Roman"/>
          <w:b/>
          <w:bCs/>
          <w:sz w:val="24"/>
          <w:szCs w:val="24"/>
        </w:rPr>
        <w:t>REFERENCE</w:t>
      </w:r>
      <w:r w:rsidRPr="00F13121">
        <w:rPr>
          <w:rFonts w:ascii="Times New Roman" w:eastAsia="Times New Roman" w:hAnsi="Times New Roman" w:cs="Times New Roman"/>
          <w:sz w:val="24"/>
          <w:szCs w:val="24"/>
        </w:rPr>
        <w:t xml:space="preserve"> </w:t>
      </w:r>
    </w:p>
    <w:p w14:paraId="61755BF0" w14:textId="77777777" w:rsidR="00312333" w:rsidRPr="00F13121" w:rsidRDefault="00312333">
      <w:pPr>
        <w:rPr>
          <w:rFonts w:ascii="Times New Roman" w:eastAsia="Times New Roman" w:hAnsi="Times New Roman" w:cs="Times New Roman"/>
          <w:sz w:val="24"/>
          <w:szCs w:val="24"/>
        </w:rPr>
      </w:pPr>
    </w:p>
    <w:p w14:paraId="0CBB8642" w14:textId="77777777" w:rsidR="00426867" w:rsidRDefault="00426867" w:rsidP="00426867">
      <w:pPr>
        <w:pStyle w:val="isselectedend"/>
        <w:ind w:left="540" w:hanging="540"/>
        <w:jc w:val="both"/>
      </w:pPr>
      <w:r>
        <w:lastRenderedPageBreak/>
        <w:t xml:space="preserve">Afonso, T. B., Simões, L. C., &amp; Lima, N. (2021). Occurrence of filamentous fungi in drinking water: Their role in fungal–bacterial biofilm formation. </w:t>
      </w:r>
      <w:r>
        <w:rPr>
          <w:rStyle w:val="Emphasis"/>
        </w:rPr>
        <w:t>Research in Microbiology, 172</w:t>
      </w:r>
      <w:r>
        <w:t xml:space="preserve">(1), 103791. </w:t>
      </w:r>
      <w:hyperlink r:id="rId12" w:history="1">
        <w:r>
          <w:rPr>
            <w:rStyle w:val="Hyperlink"/>
          </w:rPr>
          <w:t>https://doi.org/10.1016/j.resmic.2020.11.002</w:t>
        </w:r>
      </w:hyperlink>
    </w:p>
    <w:p w14:paraId="111A3CB0" w14:textId="77777777" w:rsidR="00426867" w:rsidRDefault="00426867" w:rsidP="00426867">
      <w:pPr>
        <w:pStyle w:val="isselectedend"/>
        <w:ind w:left="540" w:hanging="540"/>
        <w:jc w:val="both"/>
      </w:pPr>
      <w:r>
        <w:t xml:space="preserve">Bureau of Indian Standards. (1999). </w:t>
      </w:r>
      <w:r>
        <w:rPr>
          <w:rStyle w:val="Emphasis"/>
        </w:rPr>
        <w:t xml:space="preserve">IS 5403:1999: Method for yeast and </w:t>
      </w:r>
      <w:proofErr w:type="spellStart"/>
      <w:r>
        <w:rPr>
          <w:rStyle w:val="Emphasis"/>
        </w:rPr>
        <w:t>mould</w:t>
      </w:r>
      <w:proofErr w:type="spellEnd"/>
      <w:r>
        <w:rPr>
          <w:rStyle w:val="Emphasis"/>
        </w:rPr>
        <w:t xml:space="preserve"> count of foodstuffs and animal feeds</w:t>
      </w:r>
      <w:r>
        <w:t xml:space="preserve"> (1st rev.). </w:t>
      </w:r>
      <w:hyperlink r:id="rId13" w:history="1">
        <w:r>
          <w:rPr>
            <w:rStyle w:val="Hyperlink"/>
          </w:rPr>
          <w:t>https://standardsbis.bsbedge.com/BIS_SearchStandard.aspx?Standard_Number=5403&amp;id=0</w:t>
        </w:r>
      </w:hyperlink>
    </w:p>
    <w:p w14:paraId="3696F3F2" w14:textId="77777777" w:rsidR="00426867" w:rsidRDefault="00426867" w:rsidP="00426867">
      <w:pPr>
        <w:pStyle w:val="isselectedend"/>
        <w:ind w:left="540" w:hanging="540"/>
        <w:jc w:val="both"/>
      </w:pPr>
      <w:r>
        <w:t xml:space="preserve">Constant, Z. A., Paul, A. Y., </w:t>
      </w:r>
      <w:proofErr w:type="spellStart"/>
      <w:r>
        <w:t>Haziz</w:t>
      </w:r>
      <w:proofErr w:type="spellEnd"/>
      <w:r>
        <w:t xml:space="preserve">, S., </w:t>
      </w:r>
      <w:proofErr w:type="spellStart"/>
      <w:r>
        <w:t>Bethsabé</w:t>
      </w:r>
      <w:proofErr w:type="spellEnd"/>
      <w:r>
        <w:t xml:space="preserve">, Y. A., Rose, K.-N., Nathalie, C., Ibrahim, K., &amp; Lamine, B.-M. (2025). Physicochemical and microbiological characteristics of surface and groundwater frequently used by households in some districts of </w:t>
      </w:r>
      <w:proofErr w:type="spellStart"/>
      <w:r>
        <w:t>Daloa</w:t>
      </w:r>
      <w:proofErr w:type="spellEnd"/>
      <w:r>
        <w:t xml:space="preserve">, Côte d’Ivoire. </w:t>
      </w:r>
      <w:r>
        <w:rPr>
          <w:rStyle w:val="Emphasis"/>
        </w:rPr>
        <w:t>Journal of Advances in Microbiology, 25</w:t>
      </w:r>
      <w:r>
        <w:t xml:space="preserve">(3), 1–12. </w:t>
      </w:r>
      <w:hyperlink r:id="rId14" w:history="1">
        <w:r>
          <w:rPr>
            <w:rStyle w:val="Hyperlink"/>
          </w:rPr>
          <w:t>https://doi.org/10.9734/jamb/2025/v25i3903</w:t>
        </w:r>
      </w:hyperlink>
    </w:p>
    <w:p w14:paraId="581953BE" w14:textId="77777777" w:rsidR="00426867" w:rsidRDefault="00426867" w:rsidP="00426867">
      <w:pPr>
        <w:pStyle w:val="isselectedend"/>
        <w:ind w:left="540" w:hanging="540"/>
        <w:jc w:val="both"/>
      </w:pPr>
      <w:r>
        <w:t xml:space="preserve">De Bruin, A., </w:t>
      </w:r>
      <w:proofErr w:type="spellStart"/>
      <w:r>
        <w:t>Ibelings</w:t>
      </w:r>
      <w:proofErr w:type="spellEnd"/>
      <w:r>
        <w:t xml:space="preserve">, B. W., Kagami, M., </w:t>
      </w:r>
      <w:proofErr w:type="spellStart"/>
      <w:r>
        <w:t>Mooij</w:t>
      </w:r>
      <w:proofErr w:type="spellEnd"/>
      <w:r>
        <w:t xml:space="preserve">, W. M., &amp; van Donk, E. (2008). Adaptation of the fungal parasite </w:t>
      </w:r>
      <w:proofErr w:type="spellStart"/>
      <w:r>
        <w:rPr>
          <w:rStyle w:val="Emphasis"/>
        </w:rPr>
        <w:t>Zygorhizidium</w:t>
      </w:r>
      <w:proofErr w:type="spellEnd"/>
      <w:r>
        <w:rPr>
          <w:rStyle w:val="Emphasis"/>
        </w:rPr>
        <w:t xml:space="preserve"> </w:t>
      </w:r>
      <w:proofErr w:type="spellStart"/>
      <w:r>
        <w:rPr>
          <w:rStyle w:val="Emphasis"/>
        </w:rPr>
        <w:t>planktonicum</w:t>
      </w:r>
      <w:proofErr w:type="spellEnd"/>
      <w:r>
        <w:t xml:space="preserve"> during 200 generations of growth on homogeneous and heterogeneous populations of its host, the diatom </w:t>
      </w:r>
      <w:proofErr w:type="spellStart"/>
      <w:r>
        <w:rPr>
          <w:rStyle w:val="Emphasis"/>
        </w:rPr>
        <w:t>Asterionella</w:t>
      </w:r>
      <w:proofErr w:type="spellEnd"/>
      <w:r>
        <w:rPr>
          <w:rStyle w:val="Emphasis"/>
        </w:rPr>
        <w:t xml:space="preserve"> </w:t>
      </w:r>
      <w:proofErr w:type="spellStart"/>
      <w:r>
        <w:rPr>
          <w:rStyle w:val="Emphasis"/>
        </w:rPr>
        <w:t>formosa</w:t>
      </w:r>
      <w:proofErr w:type="spellEnd"/>
      <w:r>
        <w:t xml:space="preserve">. </w:t>
      </w:r>
      <w:r>
        <w:rPr>
          <w:rStyle w:val="Emphasis"/>
        </w:rPr>
        <w:t>The Journal of Eukaryotic Microbiology, 55</w:t>
      </w:r>
      <w:r>
        <w:t xml:space="preserve">(2), 69–74. </w:t>
      </w:r>
      <w:hyperlink r:id="rId15" w:history="1">
        <w:r>
          <w:rPr>
            <w:rStyle w:val="Hyperlink"/>
          </w:rPr>
          <w:t>https://doi.org/10.1111/j.1550-7408.2008.00306.x</w:t>
        </w:r>
      </w:hyperlink>
    </w:p>
    <w:p w14:paraId="5EAE8F24" w14:textId="77777777" w:rsidR="00426867" w:rsidRDefault="00426867" w:rsidP="00426867">
      <w:pPr>
        <w:pStyle w:val="isselectedend"/>
        <w:ind w:left="540" w:hanging="540"/>
        <w:jc w:val="both"/>
      </w:pPr>
      <w:r>
        <w:t xml:space="preserve">Department for Environment, Food &amp; Rural Affairs. (2011). </w:t>
      </w:r>
      <w:r>
        <w:rPr>
          <w:rStyle w:val="Emphasis"/>
        </w:rPr>
        <w:t>A review of fungi in drinking water and the implications for human health</w:t>
      </w:r>
      <w:r>
        <w:t xml:space="preserve"> (DWI 70/2/255). Drinking Water Inspectorate. </w:t>
      </w:r>
      <w:hyperlink r:id="rId16" w:history="1">
        <w:r>
          <w:rPr>
            <w:rStyle w:val="Hyperlink"/>
          </w:rPr>
          <w:t>https://www.dwi.gov.uk/research/completed-research/risk-assessment-microbiological/a-review-of-fungi-in-drinking-water-and-the-implications-for-human-health/</w:t>
        </w:r>
      </w:hyperlink>
    </w:p>
    <w:p w14:paraId="69B6403A" w14:textId="77777777" w:rsidR="00426867" w:rsidRDefault="00426867" w:rsidP="00426867">
      <w:pPr>
        <w:pStyle w:val="isselectedend"/>
        <w:ind w:left="540" w:hanging="540"/>
        <w:jc w:val="both"/>
      </w:pPr>
      <w:r>
        <w:t xml:space="preserve">Diala, C. G., Chigozie, O. F., Femi-Olatunji, T. R., Edim, P. D., Willie, I. P., Imade, O. E., </w:t>
      </w:r>
      <w:proofErr w:type="spellStart"/>
      <w:r>
        <w:t>Binuyo</w:t>
      </w:r>
      <w:proofErr w:type="spellEnd"/>
      <w:r>
        <w:t xml:space="preserve">, O. A., &amp; </w:t>
      </w:r>
      <w:proofErr w:type="spellStart"/>
      <w:r>
        <w:t>Ibishagba</w:t>
      </w:r>
      <w:proofErr w:type="spellEnd"/>
      <w:r>
        <w:t xml:space="preserve">, S. M. (2025). Investigating the role of household water storage practices in shaping microbial contamination and diarrheal disease burden in South East Nigeria. </w:t>
      </w:r>
      <w:r>
        <w:rPr>
          <w:rStyle w:val="Emphasis"/>
        </w:rPr>
        <w:t>Asian Journal of Microbiology and Biotechnology, 10</w:t>
      </w:r>
      <w:r>
        <w:t xml:space="preserve">(2), 232–241. </w:t>
      </w:r>
      <w:hyperlink r:id="rId17" w:history="1">
        <w:r>
          <w:rPr>
            <w:rStyle w:val="Hyperlink"/>
          </w:rPr>
          <w:t>https://doi.org/10.56557/ajmab/2025/v10i29848</w:t>
        </w:r>
      </w:hyperlink>
    </w:p>
    <w:p w14:paraId="0FCADD58" w14:textId="77777777" w:rsidR="00426867" w:rsidRDefault="00426867" w:rsidP="00426867">
      <w:pPr>
        <w:pStyle w:val="isselectedend"/>
        <w:ind w:left="540" w:hanging="540"/>
        <w:jc w:val="both"/>
      </w:pPr>
      <w:proofErr w:type="spellStart"/>
      <w:r>
        <w:t>Gostinčar</w:t>
      </w:r>
      <w:proofErr w:type="spellEnd"/>
      <w:r>
        <w:t xml:space="preserve">, C., Grube, M., &amp; Gunde-Cimerman, N. (2011). Evolution of fungal pathogens in domestic environments? </w:t>
      </w:r>
      <w:r>
        <w:rPr>
          <w:rStyle w:val="Emphasis"/>
        </w:rPr>
        <w:t>Fungal Biology, 115</w:t>
      </w:r>
      <w:r>
        <w:t xml:space="preserve">(10), 1008–1018. </w:t>
      </w:r>
      <w:hyperlink r:id="rId18" w:history="1">
        <w:r>
          <w:rPr>
            <w:rStyle w:val="Hyperlink"/>
          </w:rPr>
          <w:t>https://doi.org/10.1016/j.funbio.2011.03.004</w:t>
        </w:r>
      </w:hyperlink>
    </w:p>
    <w:p w14:paraId="749A3E80" w14:textId="77777777" w:rsidR="00426867" w:rsidRDefault="00426867" w:rsidP="00426867">
      <w:pPr>
        <w:pStyle w:val="isselectedend"/>
        <w:ind w:left="540" w:hanging="540"/>
        <w:jc w:val="both"/>
      </w:pPr>
      <w:r>
        <w:t>Grabińska-</w:t>
      </w:r>
      <w:proofErr w:type="spellStart"/>
      <w:r>
        <w:t>Łoniewska</w:t>
      </w:r>
      <w:proofErr w:type="spellEnd"/>
      <w:r>
        <w:t xml:space="preserve">, A., </w:t>
      </w:r>
      <w:proofErr w:type="spellStart"/>
      <w:r>
        <w:t>Koniłłowicz</w:t>
      </w:r>
      <w:proofErr w:type="spellEnd"/>
      <w:r>
        <w:t xml:space="preserve">-Kowalska, T., </w:t>
      </w:r>
      <w:proofErr w:type="spellStart"/>
      <w:r>
        <w:t>Wardzyńska</w:t>
      </w:r>
      <w:proofErr w:type="spellEnd"/>
      <w:r>
        <w:t xml:space="preserve">, G., &amp; </w:t>
      </w:r>
      <w:proofErr w:type="spellStart"/>
      <w:r>
        <w:t>Boryn</w:t>
      </w:r>
      <w:proofErr w:type="spellEnd"/>
      <w:r>
        <w:t xml:space="preserve">, K. (2007). Occurrence of fungi in water distribution system. </w:t>
      </w:r>
      <w:r>
        <w:rPr>
          <w:rStyle w:val="Emphasis"/>
        </w:rPr>
        <w:t>Polish Journal of Environmental Studies, 16</w:t>
      </w:r>
      <w:r>
        <w:t xml:space="preserve">(4), 539–547. </w:t>
      </w:r>
      <w:hyperlink r:id="rId19" w:history="1">
        <w:r>
          <w:rPr>
            <w:rStyle w:val="Hyperlink"/>
          </w:rPr>
          <w:t>https://www.pjoes.com/Occurrence-of-Fungi-in-Water-Distribution-System-r-n,88020,0,2.html</w:t>
        </w:r>
      </w:hyperlink>
    </w:p>
    <w:p w14:paraId="5C5CA3EB" w14:textId="77777777" w:rsidR="00426867" w:rsidRDefault="00426867" w:rsidP="00426867">
      <w:pPr>
        <w:pStyle w:val="isselectedend"/>
        <w:ind w:left="540" w:hanging="540"/>
        <w:jc w:val="both"/>
      </w:pPr>
      <w:r>
        <w:t xml:space="preserve">Horn, B. W., Moore, G. G., &amp; Carbone, I. (2009). Sexual reproduction in </w:t>
      </w:r>
      <w:r>
        <w:rPr>
          <w:rStyle w:val="Emphasis"/>
        </w:rPr>
        <w:t>Aspergillus flavus</w:t>
      </w:r>
      <w:r>
        <w:t xml:space="preserve">. </w:t>
      </w:r>
      <w:proofErr w:type="spellStart"/>
      <w:r>
        <w:rPr>
          <w:rStyle w:val="Emphasis"/>
        </w:rPr>
        <w:t>Mycologia</w:t>
      </w:r>
      <w:proofErr w:type="spellEnd"/>
      <w:r>
        <w:rPr>
          <w:rStyle w:val="Emphasis"/>
        </w:rPr>
        <w:t>, 101</w:t>
      </w:r>
      <w:r>
        <w:t xml:space="preserve">(3), 423–429. </w:t>
      </w:r>
      <w:hyperlink r:id="rId20" w:history="1">
        <w:r>
          <w:rPr>
            <w:rStyle w:val="Hyperlink"/>
          </w:rPr>
          <w:t>https://doi.org/10.3852/09-011</w:t>
        </w:r>
      </w:hyperlink>
    </w:p>
    <w:p w14:paraId="69094C1B" w14:textId="77777777" w:rsidR="00426867" w:rsidRDefault="00426867" w:rsidP="00426867">
      <w:pPr>
        <w:pStyle w:val="isselectedend"/>
        <w:ind w:left="540" w:hanging="540"/>
        <w:jc w:val="both"/>
      </w:pPr>
      <w:r>
        <w:t xml:space="preserve">Hussain, F., Salam, I.-U., Farzana, Memon, Z.-N., Abdullah, M., Abbas, G., Akbar, M., Hussain, A., Majeed, M., Ali, K., &amp; Moda, H. M. (2024). Occurrence of fungal microbial contamination in drinking water of the megacity of Karachi, Pakistan, and its </w:t>
      </w:r>
      <w:r>
        <w:lastRenderedPageBreak/>
        <w:t xml:space="preserve">physicochemical control. </w:t>
      </w:r>
      <w:proofErr w:type="spellStart"/>
      <w:r>
        <w:rPr>
          <w:rStyle w:val="Emphasis"/>
        </w:rPr>
        <w:t>Heliyon</w:t>
      </w:r>
      <w:proofErr w:type="spellEnd"/>
      <w:r>
        <w:rPr>
          <w:rStyle w:val="Emphasis"/>
        </w:rPr>
        <w:t>, 10</w:t>
      </w:r>
      <w:r>
        <w:t xml:space="preserve">(7), e28926. </w:t>
      </w:r>
      <w:hyperlink r:id="rId21" w:history="1">
        <w:r>
          <w:rPr>
            <w:rStyle w:val="Hyperlink"/>
          </w:rPr>
          <w:t>https://doi.org/10.1016/j.heliyon.2024.e28926</w:t>
        </w:r>
      </w:hyperlink>
    </w:p>
    <w:p w14:paraId="24B98A91" w14:textId="3D2F973B" w:rsidR="00426867" w:rsidRDefault="00426867" w:rsidP="00426867">
      <w:pPr>
        <w:pStyle w:val="isselectedend"/>
        <w:ind w:left="540" w:hanging="540"/>
        <w:jc w:val="both"/>
      </w:pPr>
      <w:r>
        <w:t xml:space="preserve">Kendrick, B. (2000). </w:t>
      </w:r>
      <w:r>
        <w:rPr>
          <w:rStyle w:val="Emphasis"/>
        </w:rPr>
        <w:t>The fifth kingdom</w:t>
      </w:r>
      <w:r>
        <w:t xml:space="preserve"> (3rd ed.). Focus Publishing. </w:t>
      </w:r>
    </w:p>
    <w:p w14:paraId="7D059F95" w14:textId="77777777" w:rsidR="00426867" w:rsidRDefault="00426867" w:rsidP="00426867">
      <w:pPr>
        <w:pStyle w:val="isselectedend"/>
        <w:ind w:left="540" w:hanging="540"/>
        <w:jc w:val="both"/>
      </w:pPr>
      <w:r>
        <w:t xml:space="preserve">Krishnan, S., </w:t>
      </w:r>
      <w:proofErr w:type="spellStart"/>
      <w:r>
        <w:t>Manavathu</w:t>
      </w:r>
      <w:proofErr w:type="spellEnd"/>
      <w:r>
        <w:t xml:space="preserve">, E. K., &amp; Chandrasekar, P. H. (2009). </w:t>
      </w:r>
      <w:r>
        <w:rPr>
          <w:rStyle w:val="Emphasis"/>
        </w:rPr>
        <w:t>Aspergillus flavus</w:t>
      </w:r>
      <w:r>
        <w:t>: An emerging non-</w:t>
      </w:r>
      <w:r>
        <w:rPr>
          <w:rStyle w:val="Emphasis"/>
        </w:rPr>
        <w:t>fumigatus Aspergillus</w:t>
      </w:r>
      <w:r>
        <w:t xml:space="preserve"> species of significance. </w:t>
      </w:r>
      <w:r>
        <w:rPr>
          <w:rStyle w:val="Emphasis"/>
        </w:rPr>
        <w:t>Mycoses, 52</w:t>
      </w:r>
      <w:r>
        <w:t xml:space="preserve">(3), 206–222. </w:t>
      </w:r>
      <w:hyperlink r:id="rId22" w:history="1">
        <w:r>
          <w:rPr>
            <w:rStyle w:val="Hyperlink"/>
          </w:rPr>
          <w:t>https://doi.org/10.1111/j.1439-0507.2008.01642.x</w:t>
        </w:r>
      </w:hyperlink>
    </w:p>
    <w:p w14:paraId="5BC81F33" w14:textId="77777777" w:rsidR="00426867" w:rsidRDefault="00426867" w:rsidP="00426867">
      <w:pPr>
        <w:pStyle w:val="isselectedend"/>
        <w:ind w:left="540" w:hanging="540"/>
        <w:jc w:val="both"/>
      </w:pPr>
      <w:r>
        <w:t xml:space="preserve">Novak Babič, M., &amp; Gunde-Cimerman, N. (2025). Potable water as a source of intermediate and borderline-resistant </w:t>
      </w:r>
      <w:r>
        <w:rPr>
          <w:rStyle w:val="Emphasis"/>
        </w:rPr>
        <w:t>Aspergillus</w:t>
      </w:r>
      <w:r>
        <w:t xml:space="preserve"> and </w:t>
      </w:r>
      <w:r>
        <w:rPr>
          <w:rStyle w:val="Emphasis"/>
        </w:rPr>
        <w:t>Candida</w:t>
      </w:r>
      <w:r>
        <w:t xml:space="preserve"> strains. </w:t>
      </w:r>
      <w:r>
        <w:rPr>
          <w:rStyle w:val="Emphasis"/>
        </w:rPr>
        <w:t>Journal of Water and Health, 23</w:t>
      </w:r>
      <w:r>
        <w:t xml:space="preserve">(2), 225–237. </w:t>
      </w:r>
      <w:hyperlink r:id="rId23" w:history="1">
        <w:r>
          <w:rPr>
            <w:rStyle w:val="Hyperlink"/>
          </w:rPr>
          <w:t>https://doi.org/10.2166/wh.2025.300</w:t>
        </w:r>
      </w:hyperlink>
    </w:p>
    <w:p w14:paraId="2761BBF9" w14:textId="77777777" w:rsidR="00426867" w:rsidRDefault="00426867" w:rsidP="00426867">
      <w:pPr>
        <w:pStyle w:val="isselectedend"/>
        <w:ind w:left="540" w:hanging="540"/>
        <w:jc w:val="both"/>
      </w:pPr>
      <w:r>
        <w:t xml:space="preserve">Novak Babič, M., Marolt, G., </w:t>
      </w:r>
      <w:proofErr w:type="spellStart"/>
      <w:r>
        <w:t>Imperl</w:t>
      </w:r>
      <w:proofErr w:type="spellEnd"/>
      <w:r>
        <w:t xml:space="preserve">, J., </w:t>
      </w:r>
      <w:proofErr w:type="spellStart"/>
      <w:r>
        <w:t>Breskvar</w:t>
      </w:r>
      <w:proofErr w:type="spellEnd"/>
      <w:r>
        <w:t xml:space="preserve">, M., Džeroski, S., &amp; Gunde-Cimerman, N. (2023). Effect of location, disinfection, and building materials on the presence and richness of culturable </w:t>
      </w:r>
      <w:proofErr w:type="spellStart"/>
      <w:r>
        <w:t>mycobiota</w:t>
      </w:r>
      <w:proofErr w:type="spellEnd"/>
      <w:r>
        <w:t xml:space="preserve"> through oligotrophic drinking water systems. </w:t>
      </w:r>
      <w:r>
        <w:rPr>
          <w:rStyle w:val="Emphasis"/>
        </w:rPr>
        <w:t>Journal of Fungi, 9</w:t>
      </w:r>
      <w:r>
        <w:t xml:space="preserve">(11), 1086. </w:t>
      </w:r>
      <w:hyperlink r:id="rId24" w:history="1">
        <w:r>
          <w:rPr>
            <w:rStyle w:val="Hyperlink"/>
          </w:rPr>
          <w:t>https://doi.org/10.3390/jof9111086</w:t>
        </w:r>
      </w:hyperlink>
    </w:p>
    <w:p w14:paraId="6B750E21" w14:textId="77777777" w:rsidR="00426867" w:rsidRPr="00426867" w:rsidRDefault="00426867" w:rsidP="00426867">
      <w:pPr>
        <w:pStyle w:val="isselectedend"/>
        <w:ind w:left="540" w:hanging="540"/>
        <w:jc w:val="both"/>
        <w:rPr>
          <w:lang w:val="nl-BE"/>
        </w:rPr>
      </w:pPr>
      <w:r>
        <w:t xml:space="preserve">Wurzbacher, C., Kerr, J., &amp; </w:t>
      </w:r>
      <w:proofErr w:type="spellStart"/>
      <w:r>
        <w:t>Grossart</w:t>
      </w:r>
      <w:proofErr w:type="spellEnd"/>
      <w:r>
        <w:t xml:space="preserve">, H.-P. (2011). Aquatic fungi. In O. Grillo and G. Venora (Eds.), </w:t>
      </w:r>
      <w:r>
        <w:rPr>
          <w:rStyle w:val="Emphasis"/>
        </w:rPr>
        <w:t>The dynamical processes of biodiversity: Case studies of evolution and spatial distribution</w:t>
      </w:r>
      <w:r>
        <w:t xml:space="preserve"> (pp. 227–258). </w:t>
      </w:r>
      <w:r w:rsidRPr="00426867">
        <w:rPr>
          <w:lang w:val="nl-BE"/>
        </w:rPr>
        <w:t xml:space="preserve">IntechOpen. </w:t>
      </w:r>
      <w:hyperlink r:id="rId25" w:history="1">
        <w:r w:rsidRPr="00426867">
          <w:rPr>
            <w:rStyle w:val="Hyperlink"/>
            <w:lang w:val="nl-BE"/>
          </w:rPr>
          <w:t>https://doi.org/10.5772/23029</w:t>
        </w:r>
      </w:hyperlink>
    </w:p>
    <w:p w14:paraId="04ABFD8E" w14:textId="77777777" w:rsidR="00426867" w:rsidRDefault="00426867" w:rsidP="00426867">
      <w:pPr>
        <w:pStyle w:val="NormalWeb"/>
        <w:ind w:left="540" w:hanging="540"/>
        <w:jc w:val="both"/>
      </w:pPr>
      <w:r w:rsidRPr="00426867">
        <w:rPr>
          <w:lang w:val="nl-BE"/>
        </w:rPr>
        <w:t xml:space="preserve">Zhao, H.-X., Zhang, T.-Y., Wang, H., Hu, C.-Y., Tang, Y.-L., &amp; Xu, B. (2022). </w:t>
      </w:r>
      <w:r>
        <w:t xml:space="preserve">Occurrence of fungal spores in drinking water: A review of pathogenicity, odor, chlorine resistance, and control strategies. </w:t>
      </w:r>
      <w:r>
        <w:rPr>
          <w:rStyle w:val="Emphasis"/>
        </w:rPr>
        <w:t>Science of the Total Environment, 853</w:t>
      </w:r>
      <w:r>
        <w:t xml:space="preserve">, 158626. </w:t>
      </w:r>
      <w:hyperlink r:id="rId26" w:history="1">
        <w:r>
          <w:rPr>
            <w:rStyle w:val="Hyperlink"/>
          </w:rPr>
          <w:t>https://doi.org/10.1016/j.scitotenv.2022.158626</w:t>
        </w:r>
      </w:hyperlink>
    </w:p>
    <w:p w14:paraId="72C5D6C4" w14:textId="64DCFBFA" w:rsidR="00312333" w:rsidRPr="00426867" w:rsidRDefault="00312333" w:rsidP="00426867">
      <w:pPr>
        <w:ind w:left="720" w:hanging="720"/>
        <w:rPr>
          <w:rFonts w:ascii="Times New Roman" w:eastAsia="Times New Roman" w:hAnsi="Times New Roman" w:cs="Times New Roman"/>
          <w:sz w:val="24"/>
          <w:szCs w:val="24"/>
          <w:lang w:val="en-US"/>
        </w:rPr>
      </w:pPr>
    </w:p>
    <w:sectPr w:rsidR="00312333" w:rsidRPr="00426867">
      <w:type w:val="continuous"/>
      <w:pgSz w:w="12240" w:h="15840"/>
      <w:pgMar w:top="1440" w:right="1440" w:bottom="1440" w:left="1440" w:header="720" w:footer="720" w:gutter="0"/>
      <w:cols w:space="720" w:equalWidth="0">
        <w:col w:w="936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1C95D" w14:textId="77777777" w:rsidR="0028620C" w:rsidRDefault="0028620C">
      <w:pPr>
        <w:spacing w:line="240" w:lineRule="auto"/>
      </w:pPr>
      <w:r>
        <w:separator/>
      </w:r>
    </w:p>
  </w:endnote>
  <w:endnote w:type="continuationSeparator" w:id="0">
    <w:p w14:paraId="581E6081" w14:textId="77777777" w:rsidR="0028620C" w:rsidRDefault="002862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B68218E-2EAB-4408-90F8-C55BE1AA1B39}"/>
    <w:embedBold r:id="rId2" w:fontKey="{41A5DFE9-CE98-4F0A-BBB1-0D150AC43E68}"/>
  </w:font>
  <w:font w:name="Cambria">
    <w:panose1 w:val="02040503050406030204"/>
    <w:charset w:val="00"/>
    <w:family w:val="roman"/>
    <w:pitch w:val="variable"/>
    <w:sig w:usb0="E00006FF" w:usb1="420024FF" w:usb2="02000000" w:usb3="00000000" w:csb0="0000019F" w:csb1="00000000"/>
    <w:embedRegular r:id="rId3" w:fontKey="{11880F9B-D62E-403B-B080-95155B83E2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5646" w14:textId="77777777" w:rsidR="00312333" w:rsidRDefault="00000000">
    <w:pPr>
      <w:jc w:val="both"/>
    </w:pPr>
    <w:r>
      <w:rPr>
        <w:rFonts w:ascii="Times New Roman" w:eastAsia="Times New Roman" w:hAnsi="Times New Roman" w:cs="Times New Roman"/>
        <w:b/>
        <w:bCs/>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507F6" w14:textId="77777777" w:rsidR="0028620C" w:rsidRDefault="0028620C">
      <w:pPr>
        <w:spacing w:line="240" w:lineRule="auto"/>
      </w:pPr>
      <w:r>
        <w:separator/>
      </w:r>
    </w:p>
  </w:footnote>
  <w:footnote w:type="continuationSeparator" w:id="0">
    <w:p w14:paraId="63810049" w14:textId="77777777" w:rsidR="0028620C" w:rsidRDefault="002862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FB9E" w14:textId="77777777" w:rsidR="00312333" w:rsidRDefault="00312333">
    <w:pPr>
      <w:rPr>
        <w:rFonts w:ascii="Times New Roman" w:eastAsia="Times New Roman" w:hAnsi="Times New Roman" w:cs="Times New Roman"/>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zMzaxMDEwNzQ1MzVU0lEKTi0uzszPAykwrAUAtkVswCwAAAA="/>
  </w:docVars>
  <w:rsids>
    <w:rsidRoot w:val="00312333"/>
    <w:rsid w:val="00272A60"/>
    <w:rsid w:val="0028620C"/>
    <w:rsid w:val="002E0C1E"/>
    <w:rsid w:val="00312333"/>
    <w:rsid w:val="00426867"/>
    <w:rsid w:val="0074618B"/>
    <w:rsid w:val="007803CB"/>
    <w:rsid w:val="008E7152"/>
    <w:rsid w:val="009D4950"/>
    <w:rsid w:val="00BF51F5"/>
    <w:rsid w:val="00C86601"/>
    <w:rsid w:val="00CD2951"/>
    <w:rsid w:val="00D064BF"/>
    <w:rsid w:val="00F13121"/>
    <w:rsid w:val="00FB565A"/>
    <w:rsid w:val="00FC1D03"/>
    <w:rsid w:val="00FC5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67F5A"/>
  <w15:docId w15:val="{D861B926-3EFC-4E98-BF33-8909DF049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customStyle="1" w:styleId="pdq2pgselectionanchorcontainer">
    <w:name w:val="pdq2pg_selectionanchorcontainer"/>
    <w:basedOn w:val="Normal"/>
    <w:rsid w:val="00FC50E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FC50E8"/>
    <w:rPr>
      <w:i/>
      <w:iCs/>
    </w:rPr>
  </w:style>
  <w:style w:type="paragraph" w:customStyle="1" w:styleId="isselectedend">
    <w:name w:val="isselectedend"/>
    <w:basedOn w:val="Normal"/>
    <w:rsid w:val="0042686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426867"/>
    <w:rPr>
      <w:color w:val="0000FF"/>
      <w:u w:val="single"/>
    </w:rPr>
  </w:style>
  <w:style w:type="character" w:styleId="Strong">
    <w:name w:val="Strong"/>
    <w:basedOn w:val="DefaultParagraphFont"/>
    <w:uiPriority w:val="22"/>
    <w:qFormat/>
    <w:rsid w:val="00426867"/>
    <w:rPr>
      <w:b/>
      <w:bCs/>
    </w:rPr>
  </w:style>
  <w:style w:type="paragraph" w:styleId="NormalWeb">
    <w:name w:val="Normal (Web)"/>
    <w:basedOn w:val="Normal"/>
    <w:uiPriority w:val="99"/>
    <w:semiHidden/>
    <w:unhideWhenUsed/>
    <w:rsid w:val="0042686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s://standardsbis.bsbedge.com/BIS_SearchStandard.aspx?Standard_Number=5403&amp;id=0" TargetMode="External"/><Relationship Id="rId18" Type="http://schemas.openxmlformats.org/officeDocument/2006/relationships/hyperlink" Target="https://doi.org/10.1016/j.funbio.2011.03.004" TargetMode="External"/><Relationship Id="rId26" Type="http://schemas.openxmlformats.org/officeDocument/2006/relationships/hyperlink" Target="https://doi.org/10.1016/j.scitotenv.2022.158626" TargetMode="External"/><Relationship Id="rId3" Type="http://schemas.openxmlformats.org/officeDocument/2006/relationships/webSettings" Target="webSettings.xml"/><Relationship Id="rId21" Type="http://schemas.openxmlformats.org/officeDocument/2006/relationships/hyperlink" Target="https://doi.org/10.1016/j.heliyon.2024.e28926" TargetMode="External"/><Relationship Id="rId7" Type="http://schemas.openxmlformats.org/officeDocument/2006/relationships/image" Target="media/image2.jpg"/><Relationship Id="rId12" Type="http://schemas.openxmlformats.org/officeDocument/2006/relationships/hyperlink" Target="https://doi.org/10.1016/j.resmic.2020.11.002" TargetMode="External"/><Relationship Id="rId17" Type="http://schemas.openxmlformats.org/officeDocument/2006/relationships/hyperlink" Target="https://doi.org/10.56557/ajmab/2025/v10i29848" TargetMode="External"/><Relationship Id="rId25" Type="http://schemas.openxmlformats.org/officeDocument/2006/relationships/hyperlink" Target="https://doi.org/10.5772/23029" TargetMode="External"/><Relationship Id="rId2" Type="http://schemas.openxmlformats.org/officeDocument/2006/relationships/settings" Target="settings.xml"/><Relationship Id="rId16" Type="http://schemas.openxmlformats.org/officeDocument/2006/relationships/hyperlink" Target="https://www.dwi.gov.uk/research/completed-research/risk-assessment-microbiological/a-review-of-fungi-in-drinking-water-and-the-implications-for-human-health/" TargetMode="External"/><Relationship Id="rId20" Type="http://schemas.openxmlformats.org/officeDocument/2006/relationships/hyperlink" Target="https://doi.org/10.3852/09-011"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24" Type="http://schemas.openxmlformats.org/officeDocument/2006/relationships/hyperlink" Target="https://doi.org/10.3390/jof9111086" TargetMode="External"/><Relationship Id="rId5" Type="http://schemas.openxmlformats.org/officeDocument/2006/relationships/endnotes" Target="endnotes.xml"/><Relationship Id="rId15" Type="http://schemas.openxmlformats.org/officeDocument/2006/relationships/hyperlink" Target="https://doi.org/10.1111/j.1550-7408.2008.00306.x" TargetMode="External"/><Relationship Id="rId23" Type="http://schemas.openxmlformats.org/officeDocument/2006/relationships/hyperlink" Target="https://doi.org/10.2166/wh.2025.300"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pjoes.com/Occurrence-of-Fungi-in-Water-Distribution-System-r-n,88020,0,2.html" TargetMode="Externa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hyperlink" Target="https://doi.org/10.9734/jamb/2025/v25i3903" TargetMode="External"/><Relationship Id="rId22" Type="http://schemas.openxmlformats.org/officeDocument/2006/relationships/hyperlink" Target="https://doi.org/10.1111/j.1439-0507.2008.01642.x"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2867</Words>
  <Characters>16346</Characters>
  <Application>Microsoft Office Word</Application>
  <DocSecurity>0</DocSecurity>
  <Lines>136</Lines>
  <Paragraphs>38</Paragraphs>
  <ScaleCrop>false</ScaleCrop>
  <Company/>
  <LinksUpToDate>false</LinksUpToDate>
  <CharactersWithSpaces>19175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Editor-90</cp:lastModifiedBy>
  <cp:revision>12</cp:revision>
  <dcterms:created xsi:type="dcterms:W3CDTF">2026-07-16T06:56:00Z</dcterms:created>
  <dcterms:modified xsi:type="dcterms:W3CDTF">2026-07-21T07:35:00Z</dcterms:modified>
</cp:coreProperties>
</file>