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CB56B" w14:textId="77777777" w:rsidR="00E818A8" w:rsidRPr="00E515F1" w:rsidRDefault="005F3352" w:rsidP="00FC2E95">
      <w:pPr>
        <w:spacing w:after="0" w:line="360" w:lineRule="auto"/>
        <w:jc w:val="center"/>
        <w:rPr>
          <w:rFonts w:ascii="Times New Roman" w:hAnsi="Times New Roman" w:cs="Times New Roman"/>
          <w:sz w:val="24"/>
          <w:szCs w:val="24"/>
        </w:rPr>
      </w:pPr>
      <w:r w:rsidRPr="00E515F1">
        <w:rPr>
          <w:rFonts w:ascii="Times New Roman" w:hAnsi="Times New Roman" w:cs="Times New Roman"/>
          <w:b/>
          <w:sz w:val="24"/>
          <w:szCs w:val="24"/>
        </w:rPr>
        <w:t xml:space="preserve">Assessment of Knowledge, Attitudes and Practices (KAP) Regarding Milk-Borne Zoonotic Diseases in </w:t>
      </w:r>
      <w:proofErr w:type="spellStart"/>
      <w:r w:rsidRPr="00E515F1">
        <w:rPr>
          <w:rFonts w:ascii="Times New Roman" w:hAnsi="Times New Roman" w:cs="Times New Roman"/>
          <w:b/>
          <w:sz w:val="24"/>
          <w:szCs w:val="24"/>
        </w:rPr>
        <w:t>Agro</w:t>
      </w:r>
      <w:proofErr w:type="spellEnd"/>
      <w:r w:rsidRPr="00E515F1">
        <w:rPr>
          <w:rFonts w:ascii="Times New Roman" w:hAnsi="Times New Roman" w:cs="Times New Roman"/>
          <w:b/>
          <w:sz w:val="24"/>
          <w:szCs w:val="24"/>
        </w:rPr>
        <w:t>-Pastoral Communities of Yobe State, Nigeria</w:t>
      </w:r>
    </w:p>
    <w:p w14:paraId="4688A655" w14:textId="77777777" w:rsidR="00D82E08" w:rsidRPr="00E515F1" w:rsidRDefault="00D82E08" w:rsidP="00FC2E95">
      <w:pPr>
        <w:spacing w:after="320" w:line="360" w:lineRule="auto"/>
        <w:rPr>
          <w:rFonts w:ascii="Times New Roman" w:hAnsi="Times New Roman" w:cs="Times New Roman"/>
          <w:sz w:val="24"/>
          <w:szCs w:val="24"/>
        </w:rPr>
      </w:pPr>
    </w:p>
    <w:p w14:paraId="0361EA44" w14:textId="77777777" w:rsidR="00E818A8" w:rsidRPr="00E515F1" w:rsidRDefault="005F3352">
      <w:pPr>
        <w:spacing w:after="0" w:line="360" w:lineRule="auto"/>
        <w:jc w:val="both"/>
        <w:rPr>
          <w:rFonts w:ascii="Times New Roman" w:hAnsi="Times New Roman" w:cs="Times New Roman"/>
          <w:sz w:val="24"/>
          <w:szCs w:val="24"/>
        </w:rPr>
      </w:pPr>
      <w:r w:rsidRPr="00E515F1">
        <w:rPr>
          <w:rFonts w:ascii="Times New Roman" w:hAnsi="Times New Roman" w:cs="Times New Roman"/>
          <w:b/>
          <w:sz w:val="24"/>
          <w:szCs w:val="24"/>
        </w:rPr>
        <w:t>ABSTRACT</w:t>
      </w:r>
      <w:r w:rsidR="001E0F51" w:rsidRPr="00E515F1">
        <w:rPr>
          <w:rFonts w:ascii="Times New Roman" w:hAnsi="Times New Roman" w:cs="Times New Roman"/>
          <w:b/>
          <w:sz w:val="24"/>
          <w:szCs w:val="24"/>
        </w:rPr>
        <w:t xml:space="preserve"> </w:t>
      </w:r>
    </w:p>
    <w:p w14:paraId="5E64EEF2" w14:textId="77777777" w:rsidR="00E818A8" w:rsidRPr="00E515F1" w:rsidRDefault="005F3352">
      <w:pPr>
        <w:spacing w:after="0" w:line="360" w:lineRule="auto"/>
        <w:jc w:val="both"/>
        <w:rPr>
          <w:rFonts w:ascii="Times New Roman" w:hAnsi="Times New Roman" w:cs="Times New Roman"/>
          <w:sz w:val="24"/>
          <w:szCs w:val="24"/>
        </w:rPr>
      </w:pPr>
      <w:r w:rsidRPr="00E515F1">
        <w:rPr>
          <w:b/>
        </w:rPr>
        <w:t>Background:</w:t>
      </w:r>
      <w:r w:rsidRPr="00E515F1">
        <w:t xml:space="preserve"> Zoonoses are diseases transmissible from animals to humans. Milk-borne zoonotic diseases (MBZDs) are mainly contracted through the consumption of milk from infected animals. Diseases such as brucellosis, bovine tuberculosis, and Q fever constitute a major but frequently overlooked public-health risk in </w:t>
      </w:r>
      <w:proofErr w:type="spellStart"/>
      <w:r w:rsidRPr="00E515F1">
        <w:t>agro</w:t>
      </w:r>
      <w:proofErr w:type="spellEnd"/>
      <w:r w:rsidRPr="00E515F1">
        <w:t>-pastoral communities. Their impact may be greater in rural communities, where much of the population has inadequate basic knowledge and awareness of zoonoses. In Yobe State, Nigeria, raw milk consumption is culturally entrenched, and veterinary infrastructure is concentrated mainly in urban communities, creating conditions that facilitate disease transmission and spread.</w:t>
      </w:r>
    </w:p>
    <w:p w14:paraId="612F9540" w14:textId="77777777" w:rsidR="00E818A8" w:rsidRPr="00E515F1" w:rsidRDefault="005F3352">
      <w:pPr>
        <w:spacing w:after="0" w:line="360" w:lineRule="auto"/>
        <w:jc w:val="both"/>
        <w:rPr>
          <w:rFonts w:ascii="Times New Roman" w:hAnsi="Times New Roman" w:cs="Times New Roman"/>
          <w:sz w:val="24"/>
          <w:szCs w:val="24"/>
        </w:rPr>
      </w:pPr>
      <w:r w:rsidRPr="00E515F1">
        <w:rPr>
          <w:b/>
        </w:rPr>
        <w:t>Objective:</w:t>
      </w:r>
      <w:r w:rsidRPr="00E515F1">
        <w:t xml:space="preserve"> This study aimed to assess knowledge, attitudes, and practices (KAP) regarding milk-borne zoonotic diseases among </w:t>
      </w:r>
      <w:proofErr w:type="spellStart"/>
      <w:r w:rsidRPr="00E515F1">
        <w:t>agro</w:t>
      </w:r>
      <w:proofErr w:type="spellEnd"/>
      <w:r w:rsidRPr="00E515F1">
        <w:t xml:space="preserve">-pastoral communities in Buni Yadi, Damaturu, and </w:t>
      </w:r>
      <w:proofErr w:type="spellStart"/>
      <w:r w:rsidRPr="00E515F1">
        <w:t>Damagum</w:t>
      </w:r>
      <w:proofErr w:type="spellEnd"/>
      <w:r w:rsidRPr="00E515F1">
        <w:t>, Yobe State, and to generate evidence for targeted public-health interventions.</w:t>
      </w:r>
    </w:p>
    <w:p w14:paraId="797DA232" w14:textId="77777777" w:rsidR="00E818A8" w:rsidRPr="00E515F1" w:rsidRDefault="00E541AC">
      <w:pPr>
        <w:spacing w:after="0" w:line="360" w:lineRule="auto"/>
        <w:jc w:val="both"/>
        <w:rPr>
          <w:rFonts w:ascii="Times New Roman" w:hAnsi="Times New Roman" w:cs="Times New Roman"/>
          <w:sz w:val="24"/>
          <w:szCs w:val="24"/>
        </w:rPr>
      </w:pPr>
      <w:r w:rsidRPr="00E515F1">
        <w:rPr>
          <w:b/>
        </w:rPr>
        <w:t>Methodology:</w:t>
      </w:r>
      <w:r w:rsidRPr="00E515F1">
        <w:t xml:space="preserve"> A cross-sectional survey was conducted among 150 respondents (50 per community) selected through multistage sampling in </w:t>
      </w:r>
      <w:proofErr w:type="spellStart"/>
      <w:r w:rsidRPr="00E515F1">
        <w:t>agro</w:t>
      </w:r>
      <w:proofErr w:type="spellEnd"/>
      <w:r w:rsidRPr="00E515F1">
        <w:t xml:space="preserve">-pastoral communities of Yobe State. Data were collected using a structured questionnaire and </w:t>
      </w:r>
      <w:proofErr w:type="spellStart"/>
      <w:r w:rsidRPr="00E515F1">
        <w:t>analysed</w:t>
      </w:r>
      <w:proofErr w:type="spellEnd"/>
      <w:r w:rsidRPr="00E515F1">
        <w:t xml:space="preserve"> using IBM SPSS Statistics, version 25.0. Descriptive statistics were applied.</w:t>
      </w:r>
    </w:p>
    <w:p w14:paraId="63C45238" w14:textId="77777777" w:rsidR="00E818A8" w:rsidRPr="00E515F1" w:rsidRDefault="005F3352">
      <w:pPr>
        <w:spacing w:after="0" w:line="360" w:lineRule="auto"/>
        <w:jc w:val="both"/>
        <w:rPr>
          <w:rFonts w:ascii="Times New Roman" w:hAnsi="Times New Roman" w:cs="Times New Roman"/>
          <w:sz w:val="24"/>
          <w:szCs w:val="24"/>
        </w:rPr>
      </w:pPr>
      <w:r w:rsidRPr="00E515F1">
        <w:rPr>
          <w:b/>
        </w:rPr>
        <w:t>Results:</w:t>
      </w:r>
      <w:r w:rsidRPr="00E515F1">
        <w:t xml:space="preserve"> Substantial knowledge gaps were identified: only 16.7% of respondents were aware of brucellosis, and 70% knew none of the listed MBZDs. Only 30% knew that milk from apparently healthy animals could transmit disease. High-risk practices were prevalent: 66.7% consumed raw milk, 73.3% stored milk at room temperature, 46.7% reported no udder cleaning before milking, and 66.7% were recorded as never boiling milk before sale. Although 86.7% knew that sick animals could cause human disease, 60% would sell milk from sick animals, either unconditionally or after boiling. The principal reported barriers were a lack of practical knowledge (80%) and the cost of fuel for boiling (60%). Respondents strongly supported community education (93.3%), led by health workers (86.7%) and delivered through radio </w:t>
      </w:r>
      <w:proofErr w:type="spellStart"/>
      <w:r w:rsidRPr="00E515F1">
        <w:t>programmes</w:t>
      </w:r>
      <w:proofErr w:type="spellEnd"/>
      <w:r w:rsidRPr="00E515F1">
        <w:t xml:space="preserve"> (80%).</w:t>
      </w:r>
    </w:p>
    <w:p w14:paraId="7D932A7F" w14:textId="77777777" w:rsidR="00E818A8" w:rsidRPr="00E515F1" w:rsidRDefault="005F3352">
      <w:pPr>
        <w:spacing w:after="0" w:line="360" w:lineRule="auto"/>
        <w:jc w:val="both"/>
        <w:rPr>
          <w:rFonts w:ascii="Times New Roman" w:hAnsi="Times New Roman" w:cs="Times New Roman"/>
          <w:sz w:val="24"/>
          <w:szCs w:val="24"/>
        </w:rPr>
      </w:pPr>
      <w:r w:rsidRPr="00E515F1">
        <w:rPr>
          <w:b/>
        </w:rPr>
        <w:t>Conclusion:</w:t>
      </w:r>
      <w:r w:rsidRPr="00E515F1">
        <w:t xml:space="preserve"> The findings indicate a gap between general awareness and routine milk-safety practices. A multi-pronged intervention combining culturally appropriate education, practical milk-hygiene guidance, veterinary support, and measures addressing economic barriers is warranted and is supported by the surveyed communities.</w:t>
      </w:r>
    </w:p>
    <w:p w14:paraId="3A9A9EB6" w14:textId="77777777" w:rsidR="001372E8" w:rsidRDefault="005F3352" w:rsidP="001372E8">
      <w:pPr>
        <w:spacing w:after="0" w:line="360" w:lineRule="auto"/>
        <w:jc w:val="both"/>
        <w:rPr>
          <w:rFonts w:ascii="Times New Roman" w:hAnsi="Times New Roman" w:cs="Times New Roman"/>
          <w:i/>
          <w:sz w:val="24"/>
          <w:szCs w:val="24"/>
        </w:rPr>
      </w:pPr>
      <w:r w:rsidRPr="00E515F1">
        <w:rPr>
          <w:rFonts w:ascii="Times New Roman" w:hAnsi="Times New Roman" w:cs="Times New Roman"/>
          <w:b/>
          <w:sz w:val="24"/>
          <w:szCs w:val="24"/>
        </w:rPr>
        <w:t>Keywords:</w:t>
      </w:r>
      <w:r w:rsidRPr="00E515F1">
        <w:rPr>
          <w:rFonts w:ascii="Times New Roman" w:hAnsi="Times New Roman" w:cs="Times New Roman"/>
          <w:sz w:val="24"/>
          <w:szCs w:val="24"/>
        </w:rPr>
        <w:t xml:space="preserve"> </w:t>
      </w:r>
      <w:r w:rsidR="001372E8" w:rsidRPr="001372E8">
        <w:rPr>
          <w:rFonts w:ascii="Times New Roman" w:hAnsi="Times New Roman" w:cs="Times New Roman"/>
          <w:i/>
          <w:sz w:val="24"/>
          <w:szCs w:val="24"/>
        </w:rPr>
        <w:t xml:space="preserve">Milk-borne zoonoses; knowledge, attitudes and practices; raw milk; brucellosis; bovine tuberculosis; milk hygiene; </w:t>
      </w:r>
      <w:proofErr w:type="spellStart"/>
      <w:r w:rsidR="001372E8" w:rsidRPr="001372E8">
        <w:rPr>
          <w:rFonts w:ascii="Times New Roman" w:hAnsi="Times New Roman" w:cs="Times New Roman"/>
          <w:i/>
          <w:sz w:val="24"/>
          <w:szCs w:val="24"/>
        </w:rPr>
        <w:t>agro</w:t>
      </w:r>
      <w:proofErr w:type="spellEnd"/>
      <w:r w:rsidR="001372E8" w:rsidRPr="001372E8">
        <w:rPr>
          <w:rFonts w:ascii="Times New Roman" w:hAnsi="Times New Roman" w:cs="Times New Roman"/>
          <w:i/>
          <w:sz w:val="24"/>
          <w:szCs w:val="24"/>
        </w:rPr>
        <w:t>-pastoral communities; food safety; One Health</w:t>
      </w:r>
    </w:p>
    <w:p w14:paraId="7634BEA9" w14:textId="77777777" w:rsidR="001372E8" w:rsidRDefault="001372E8" w:rsidP="001372E8">
      <w:pPr>
        <w:spacing w:after="0" w:line="360" w:lineRule="auto"/>
        <w:jc w:val="both"/>
        <w:rPr>
          <w:rFonts w:ascii="Times New Roman" w:hAnsi="Times New Roman" w:cs="Times New Roman"/>
          <w:i/>
          <w:sz w:val="24"/>
          <w:szCs w:val="24"/>
        </w:rPr>
      </w:pPr>
    </w:p>
    <w:p w14:paraId="01B59964" w14:textId="58C77087" w:rsidR="00E818A8" w:rsidRPr="00E515F1" w:rsidRDefault="005F3352" w:rsidP="001372E8">
      <w:pPr>
        <w:spacing w:after="0" w:line="360" w:lineRule="auto"/>
        <w:jc w:val="both"/>
        <w:rPr>
          <w:rFonts w:ascii="Times New Roman" w:hAnsi="Times New Roman" w:cs="Times New Roman"/>
          <w:sz w:val="24"/>
          <w:szCs w:val="24"/>
        </w:rPr>
      </w:pPr>
      <w:r w:rsidRPr="00E515F1">
        <w:rPr>
          <w:rFonts w:ascii="Times New Roman" w:hAnsi="Times New Roman" w:cs="Times New Roman"/>
          <w:b/>
          <w:sz w:val="24"/>
          <w:szCs w:val="24"/>
        </w:rPr>
        <w:t>INTRODUCTION</w:t>
      </w:r>
      <w:r w:rsidRPr="00E515F1">
        <w:rPr>
          <w:rFonts w:ascii="Times New Roman" w:hAnsi="Times New Roman" w:cs="Times New Roman"/>
          <w:sz w:val="24"/>
          <w:szCs w:val="24"/>
        </w:rPr>
        <w:t xml:space="preserve"> </w:t>
      </w:r>
    </w:p>
    <w:p w14:paraId="2ECA3512" w14:textId="6A2965FD"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Milk is a complete and nutritious food that is essential for human growth and development because of its rich content of proteins, fats, vitamins, and minerals (FAO, 2013). In Nigeria, particularly in </w:t>
      </w:r>
      <w:proofErr w:type="spellStart"/>
      <w:r w:rsidRPr="00E515F1">
        <w:t>agro</w:t>
      </w:r>
      <w:proofErr w:type="spellEnd"/>
      <w:r w:rsidRPr="00E515F1">
        <w:t xml:space="preserve">-pastoral states such as Yobe State, livestock production is a critical component of livelihoods, food security, and cultural identity. However, the considerable public-health benefits of milk are undermined when it becomes a vehicle for zoonotic disease transmission, carrying infections that can pass from vertebrate animals to humans (WHO, </w:t>
      </w:r>
      <w:r w:rsidR="00C769A7" w:rsidRPr="00C769A7">
        <w:t>2020</w:t>
      </w:r>
      <w:r w:rsidRPr="00E515F1">
        <w:t>).</w:t>
      </w:r>
    </w:p>
    <w:p w14:paraId="1E62BFAC"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Milk-borne zoonotic diseases (MBZDs), such as brucellosis, bovine tuberculosis, and Q fever, constitute a major but often overlooked public-health burden in developing countries such as Nigeria. These diseases are transmitted primarily through the consumption of raw (</w:t>
      </w:r>
      <w:proofErr w:type="spellStart"/>
      <w:r w:rsidRPr="00E515F1">
        <w:t>unpasteurised</w:t>
      </w:r>
      <w:proofErr w:type="spellEnd"/>
      <w:r w:rsidRPr="00E515F1">
        <w:t xml:space="preserve">) milk from infected animals or through direct contact with infected animals (Dean et al., 2012). In Nigeria, raw milk and fermented dairy products such as </w:t>
      </w:r>
      <w:proofErr w:type="spellStart"/>
      <w:r w:rsidRPr="00E515F1">
        <w:rPr>
          <w:i/>
        </w:rPr>
        <w:t>nono</w:t>
      </w:r>
      <w:proofErr w:type="spellEnd"/>
      <w:r w:rsidRPr="00E515F1">
        <w:t xml:space="preserve"> (fresh yoghurt) and </w:t>
      </w:r>
      <w:proofErr w:type="spellStart"/>
      <w:r w:rsidRPr="00E515F1">
        <w:rPr>
          <w:i/>
        </w:rPr>
        <w:t>kindirmo</w:t>
      </w:r>
      <w:proofErr w:type="spellEnd"/>
      <w:r w:rsidRPr="00E515F1">
        <w:t xml:space="preserve"> (sour milk) are widely consumed, potentially increasing exposure where hygienic controls are inadequate (Alhaji et al., 2020; Mohammed &amp; </w:t>
      </w:r>
      <w:proofErr w:type="spellStart"/>
      <w:r w:rsidRPr="00E515F1">
        <w:t>Biyabra</w:t>
      </w:r>
      <w:proofErr w:type="spellEnd"/>
      <w:r w:rsidRPr="00E515F1">
        <w:t xml:space="preserve">, 2024). Recent reviews </w:t>
      </w:r>
      <w:proofErr w:type="spellStart"/>
      <w:r w:rsidRPr="00E515F1">
        <w:t>emphasise</w:t>
      </w:r>
      <w:proofErr w:type="spellEnd"/>
      <w:r w:rsidRPr="00E515F1">
        <w:t xml:space="preserve"> that milk-borne infection can arise at multiple points from production to household consumption, making coordinated hygienic and One Health measures important for risk reduction (Kapoor et al., 2023). A microbiological investigation also identified </w:t>
      </w:r>
      <w:r w:rsidRPr="00E515F1">
        <w:rPr>
          <w:i/>
        </w:rPr>
        <w:t>Listeria monocytogenes</w:t>
      </w:r>
      <w:r w:rsidRPr="00E515F1">
        <w:t xml:space="preserve"> in raw milk samples, illustrating the potential for zoonotic contamination where milk-safety controls are inadequate (Suthar et al., 2026).</w:t>
      </w:r>
    </w:p>
    <w:p w14:paraId="4D5FE294" w14:textId="77777777" w:rsidR="00E818A8" w:rsidRPr="00E515F1" w:rsidRDefault="005F3352">
      <w:pPr>
        <w:spacing w:after="120" w:line="360" w:lineRule="auto"/>
        <w:ind w:firstLine="425"/>
        <w:jc w:val="both"/>
        <w:rPr>
          <w:rFonts w:ascii="Times New Roman" w:hAnsi="Times New Roman" w:cs="Times New Roman"/>
          <w:bCs/>
          <w:sz w:val="24"/>
          <w:szCs w:val="24"/>
        </w:rPr>
      </w:pPr>
      <w:r w:rsidRPr="00E515F1">
        <w:t xml:space="preserve">The knowledge, attitudes, and practices (KAP) model is a commonly used study framework for evaluating what a community knows, believes, and does regarding a specific subject or health risk (Andrade et al., 2020). Data generated through KAP studies offer important insights for designing effective public-health interventions. Predominantly </w:t>
      </w:r>
      <w:proofErr w:type="spellStart"/>
      <w:r w:rsidRPr="00E515F1">
        <w:t>agro</w:t>
      </w:r>
      <w:proofErr w:type="spellEnd"/>
      <w:r w:rsidRPr="00E515F1">
        <w:t xml:space="preserve">-pastoral communities such as those in Yobe State may be highly vulnerable to MBZDs, yet </w:t>
      </w:r>
      <w:proofErr w:type="spellStart"/>
      <w:r w:rsidRPr="00E515F1">
        <w:t>localised</w:t>
      </w:r>
      <w:proofErr w:type="spellEnd"/>
      <w:r w:rsidRPr="00E515F1">
        <w:t xml:space="preserve"> data on community understanding and milk-safety practices remain scarce. This study addresses this gap by assessing the KAP of community members in Buni Yadi, Damaturu, and </w:t>
      </w:r>
      <w:proofErr w:type="spellStart"/>
      <w:r w:rsidRPr="00E515F1">
        <w:t>Damagum</w:t>
      </w:r>
      <w:proofErr w:type="spellEnd"/>
      <w:r w:rsidRPr="00E515F1">
        <w:t xml:space="preserve">, thereby generating evidence to inform future public-health action. Evidence from a recent systematic review indicates that knowledge of bovine tuberculosis among dairy producers and consumers in low- and middle-income countries does not consistently translate into safer practices (Van der </w:t>
      </w:r>
      <w:proofErr w:type="spellStart"/>
      <w:r w:rsidRPr="00E515F1">
        <w:t>Zwan</w:t>
      </w:r>
      <w:proofErr w:type="spellEnd"/>
      <w:r w:rsidRPr="00E515F1">
        <w:t xml:space="preserve"> et al., 2024). In Nigeria, a comparative microbiological assessment similarly showed substantially poorer quality in </w:t>
      </w:r>
      <w:proofErr w:type="spellStart"/>
      <w:r w:rsidRPr="00E515F1">
        <w:t>unpasteurised</w:t>
      </w:r>
      <w:proofErr w:type="spellEnd"/>
      <w:r w:rsidRPr="00E515F1">
        <w:t xml:space="preserve"> cow milk than in processed milk, supporting the relevance of heat treatment and hygienic handling (</w:t>
      </w:r>
      <w:proofErr w:type="spellStart"/>
      <w:r w:rsidRPr="00E515F1">
        <w:t>Mmuoegbulam</w:t>
      </w:r>
      <w:proofErr w:type="spellEnd"/>
      <w:r w:rsidRPr="00E515F1">
        <w:t xml:space="preserve"> et al., 2022).</w:t>
      </w:r>
    </w:p>
    <w:p w14:paraId="72843156"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Problem Statement</w:t>
      </w:r>
    </w:p>
    <w:p w14:paraId="5465ADD2"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lastRenderedPageBreak/>
        <w:t xml:space="preserve">Despite the evident health risks associated with milk and milk products obtained from unverified sources, raw milk consumption remains common in the </w:t>
      </w:r>
      <w:proofErr w:type="spellStart"/>
      <w:r w:rsidRPr="00E515F1">
        <w:t>agro</w:t>
      </w:r>
      <w:proofErr w:type="spellEnd"/>
      <w:r w:rsidRPr="00E515F1">
        <w:t>-pastoral communities of Yobe State. This practice, coupled with poor milk handling and unhygienic processing, creates a persistent pathway for the transmission of zoonotic diseases, particularly bovine tuberculosis. Brucellosis and bovine tuberculosis are endemic among Nigerian livestock, while human cases may be underreported because of non-specific symptoms and limited diagnostic capacity, contributing to an under-</w:t>
      </w:r>
      <w:proofErr w:type="spellStart"/>
      <w:r w:rsidRPr="00E515F1">
        <w:t>recognised</w:t>
      </w:r>
      <w:proofErr w:type="spellEnd"/>
      <w:r w:rsidRPr="00E515F1">
        <w:t xml:space="preserve"> burden (Akinyemi et al., 2022; </w:t>
      </w:r>
      <w:proofErr w:type="spellStart"/>
      <w:r w:rsidRPr="00E515F1">
        <w:t>Odetokun</w:t>
      </w:r>
      <w:proofErr w:type="spellEnd"/>
      <w:r w:rsidRPr="00E515F1">
        <w:t xml:space="preserve"> et al., 2022). MBZDs may impose a substantial socio-economic burden through reduced income and high treatment costs, with additional effects on children's school attendance and development.</w:t>
      </w:r>
    </w:p>
    <w:p w14:paraId="5BCA3B9C" w14:textId="77777777" w:rsidR="00E818A8" w:rsidRPr="00E515F1" w:rsidRDefault="005F3352">
      <w:pPr>
        <w:spacing w:after="120" w:line="360" w:lineRule="auto"/>
        <w:jc w:val="both"/>
        <w:rPr>
          <w:rFonts w:ascii="Times New Roman" w:hAnsi="Times New Roman" w:cs="Times New Roman"/>
          <w:bCs/>
          <w:sz w:val="24"/>
          <w:szCs w:val="24"/>
        </w:rPr>
      </w:pPr>
      <w:r w:rsidRPr="00E515F1">
        <w:t xml:space="preserve">The study area commonly experiences the consumption of raw or </w:t>
      </w:r>
      <w:proofErr w:type="spellStart"/>
      <w:r w:rsidRPr="00E515F1">
        <w:t>unpasteurised</w:t>
      </w:r>
      <w:proofErr w:type="spellEnd"/>
      <w:r w:rsidRPr="00E515F1">
        <w:t xml:space="preserve"> milk, poor hygiene during milking, improper storage conditions, and the sale of milk from animals showing signs of illness. These practices increase the risk of disease transmission. Although many community members understand that boiling milk is a safe practice, they may face challenges in applying it consistently because of limited knowledge, cultural habits </w:t>
      </w:r>
      <w:proofErr w:type="spellStart"/>
      <w:r w:rsidRPr="00E515F1">
        <w:t>favouring</w:t>
      </w:r>
      <w:proofErr w:type="spellEnd"/>
      <w:r w:rsidRPr="00E515F1">
        <w:t xml:space="preserve"> raw milk, and financial constraints. Studies in pastoral settings further show that awareness of zoonotic transmission may coexist with </w:t>
      </w:r>
      <w:proofErr w:type="gramStart"/>
      <w:r w:rsidRPr="00E515F1">
        <w:t>low risk</w:t>
      </w:r>
      <w:proofErr w:type="gramEnd"/>
      <w:r w:rsidRPr="00E515F1">
        <w:t xml:space="preserve"> perception and limited preventive </w:t>
      </w:r>
      <w:proofErr w:type="spellStart"/>
      <w:r w:rsidRPr="00E515F1">
        <w:t>behaviour</w:t>
      </w:r>
      <w:proofErr w:type="spellEnd"/>
      <w:r w:rsidRPr="00E515F1">
        <w:t>, highlighting the need for context-specific community evidence (Alemu et al., 2023).</w:t>
      </w:r>
    </w:p>
    <w:p w14:paraId="785DC635"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Significance of the Study</w:t>
      </w:r>
    </w:p>
    <w:p w14:paraId="4089C6BB" w14:textId="77777777" w:rsidR="00E818A8" w:rsidRPr="00E515F1" w:rsidRDefault="005F3352">
      <w:pPr>
        <w:spacing w:before="200" w:after="80" w:line="360" w:lineRule="auto"/>
        <w:rPr>
          <w:rFonts w:ascii="Times New Roman" w:hAnsi="Times New Roman" w:cs="Times New Roman"/>
          <w:sz w:val="24"/>
          <w:szCs w:val="24"/>
        </w:rPr>
      </w:pPr>
      <w:r w:rsidRPr="00E515F1">
        <w:t xml:space="preserve">The results of this research provide baseline data for government and non-governmental agencies, including the Yobe State Ministry of Health and Ministry of Livestock, to design health-education campaigns. By identifying specific knowledge gaps and risky practices, the study may contribute to awareness-raising in the surveyed communities and support efforts to reduce disease risk. The results may also inform livestock and food-safety policies, particularly those concerning the regulation of local milk processing and vending and the promotion of </w:t>
      </w:r>
      <w:proofErr w:type="spellStart"/>
      <w:r w:rsidRPr="00E515F1">
        <w:t>pasteurisation</w:t>
      </w:r>
      <w:proofErr w:type="spellEnd"/>
      <w:r w:rsidRPr="00E515F1">
        <w:t>, while adding to the scientific literature on KAP regarding zoonotic diseases in Nigeria.</w:t>
      </w:r>
    </w:p>
    <w:p w14:paraId="0099C7EF" w14:textId="77777777" w:rsidR="00E818A8" w:rsidRPr="00E515F1" w:rsidRDefault="005F3352">
      <w:pPr>
        <w:spacing w:after="120" w:line="360" w:lineRule="auto"/>
        <w:jc w:val="both"/>
        <w:rPr>
          <w:rFonts w:ascii="Times New Roman" w:hAnsi="Times New Roman" w:cs="Times New Roman"/>
          <w:b/>
          <w:sz w:val="24"/>
          <w:szCs w:val="24"/>
        </w:rPr>
      </w:pPr>
      <w:r w:rsidRPr="00E515F1">
        <w:rPr>
          <w:rFonts w:ascii="Times New Roman" w:hAnsi="Times New Roman" w:cs="Times New Roman"/>
          <w:b/>
          <w:bCs/>
          <w:sz w:val="24"/>
          <w:szCs w:val="24"/>
        </w:rPr>
        <w:t>Scope of the Study</w:t>
      </w:r>
    </w:p>
    <w:p w14:paraId="2697C0B1" w14:textId="77777777" w:rsidR="00E818A8" w:rsidRPr="00E515F1" w:rsidRDefault="005F3352">
      <w:pPr>
        <w:spacing w:after="120" w:line="360" w:lineRule="auto"/>
        <w:jc w:val="both"/>
        <w:rPr>
          <w:rFonts w:ascii="Times New Roman" w:hAnsi="Times New Roman" w:cs="Times New Roman"/>
          <w:sz w:val="24"/>
          <w:szCs w:val="24"/>
        </w:rPr>
      </w:pPr>
      <w:r w:rsidRPr="00E515F1">
        <w:rPr>
          <w:rFonts w:ascii="Times New Roman" w:hAnsi="Times New Roman" w:cs="Times New Roman"/>
          <w:sz w:val="24"/>
          <w:szCs w:val="24"/>
        </w:rPr>
        <w:t xml:space="preserve">This study is limited to evaluating the knowledge, attitudes, and practices (KAP) of community members in three selected locations: Buni Yadi, Damaturu, and </w:t>
      </w:r>
      <w:proofErr w:type="spellStart"/>
      <w:r w:rsidRPr="00E515F1">
        <w:rPr>
          <w:rFonts w:ascii="Times New Roman" w:hAnsi="Times New Roman" w:cs="Times New Roman"/>
          <w:sz w:val="24"/>
          <w:szCs w:val="24"/>
        </w:rPr>
        <w:t>Damagum</w:t>
      </w:r>
      <w:proofErr w:type="spellEnd"/>
      <w:r w:rsidRPr="00E515F1">
        <w:rPr>
          <w:rFonts w:ascii="Times New Roman" w:hAnsi="Times New Roman" w:cs="Times New Roman"/>
          <w:sz w:val="24"/>
          <w:szCs w:val="24"/>
        </w:rPr>
        <w:t xml:space="preserve"> in Yobe State, Nigeria. The research specifically addresses zoonotic diseases transmitted through the consumption of milk from infected animals, without detailed consideration of other modes of zoonotic transmission. Data were collected using a cross-sectional survey, offering a snapshot of the situation during the study period.</w:t>
      </w:r>
    </w:p>
    <w:p w14:paraId="26C807DE" w14:textId="77777777" w:rsidR="0028270B" w:rsidRPr="00E515F1" w:rsidRDefault="000F2E75">
      <w:pPr>
        <w:spacing w:after="120" w:line="360" w:lineRule="auto"/>
        <w:jc w:val="both"/>
        <w:rPr>
          <w:rFonts w:ascii="Times New Roman" w:hAnsi="Times New Roman" w:cs="Times New Roman"/>
          <w:b/>
          <w:sz w:val="24"/>
          <w:szCs w:val="24"/>
        </w:rPr>
      </w:pPr>
      <w:r w:rsidRPr="00E515F1">
        <w:rPr>
          <w:rFonts w:ascii="Times New Roman" w:eastAsia="Times New Roman" w:hAnsi="Times New Roman" w:cs="Times New Roman"/>
          <w:b/>
          <w:sz w:val="24"/>
        </w:rPr>
        <w:lastRenderedPageBreak/>
        <w:t>Research Gap</w:t>
      </w:r>
    </w:p>
    <w:p w14:paraId="62E28C27" w14:textId="77777777" w:rsidR="00DE65FB" w:rsidRPr="00E515F1" w:rsidRDefault="00DE65FB">
      <w:pPr>
        <w:spacing w:before="200" w:after="80" w:line="360" w:lineRule="auto"/>
        <w:rPr>
          <w:rFonts w:ascii="Times New Roman" w:eastAsia="Times New Roman" w:hAnsi="Times New Roman" w:cs="Times New Roman"/>
          <w:bCs/>
          <w:sz w:val="24"/>
        </w:rPr>
      </w:pPr>
      <w:r w:rsidRPr="00E515F1">
        <w:rPr>
          <w:rFonts w:ascii="Times New Roman" w:eastAsia="Times New Roman" w:hAnsi="Times New Roman" w:cs="Times New Roman"/>
          <w:bCs/>
          <w:sz w:val="24"/>
        </w:rPr>
        <w:t xml:space="preserve">Despite the </w:t>
      </w:r>
      <w:proofErr w:type="spellStart"/>
      <w:r w:rsidRPr="00E515F1">
        <w:rPr>
          <w:rFonts w:ascii="Times New Roman" w:eastAsia="Times New Roman" w:hAnsi="Times New Roman" w:cs="Times New Roman"/>
          <w:bCs/>
          <w:sz w:val="24"/>
        </w:rPr>
        <w:t>recognised</w:t>
      </w:r>
      <w:proofErr w:type="spellEnd"/>
      <w:r w:rsidRPr="00E515F1">
        <w:rPr>
          <w:rFonts w:ascii="Times New Roman" w:eastAsia="Times New Roman" w:hAnsi="Times New Roman" w:cs="Times New Roman"/>
          <w:bCs/>
          <w:sz w:val="24"/>
        </w:rPr>
        <w:t xml:space="preserve"> risk of milk-borne zoonotic diseases in northern Nigeria, existing evidence has largely addressed disease occurrence, livestock infection, or isolated aspects of milk consumption and handling. There remains insufficient community-level evidence examining the relationship between knowledge of milk-borne zoonoses, attitudes towards milk safety, actual handling and consumption practices, and the barriers that prevent the adoption of safer </w:t>
      </w:r>
      <w:proofErr w:type="spellStart"/>
      <w:r w:rsidRPr="00E515F1">
        <w:rPr>
          <w:rFonts w:ascii="Times New Roman" w:eastAsia="Times New Roman" w:hAnsi="Times New Roman" w:cs="Times New Roman"/>
          <w:bCs/>
          <w:sz w:val="24"/>
        </w:rPr>
        <w:t>behaviours</w:t>
      </w:r>
      <w:proofErr w:type="spellEnd"/>
      <w:r w:rsidRPr="00E515F1">
        <w:rPr>
          <w:rFonts w:ascii="Times New Roman" w:eastAsia="Times New Roman" w:hAnsi="Times New Roman" w:cs="Times New Roman"/>
          <w:bCs/>
          <w:sz w:val="24"/>
        </w:rPr>
        <w:t xml:space="preserve"> among </w:t>
      </w:r>
      <w:proofErr w:type="spellStart"/>
      <w:r w:rsidRPr="00E515F1">
        <w:rPr>
          <w:rFonts w:ascii="Times New Roman" w:eastAsia="Times New Roman" w:hAnsi="Times New Roman" w:cs="Times New Roman"/>
          <w:bCs/>
          <w:sz w:val="24"/>
        </w:rPr>
        <w:t>agro</w:t>
      </w:r>
      <w:proofErr w:type="spellEnd"/>
      <w:r w:rsidRPr="00E515F1">
        <w:rPr>
          <w:rFonts w:ascii="Times New Roman" w:eastAsia="Times New Roman" w:hAnsi="Times New Roman" w:cs="Times New Roman"/>
          <w:bCs/>
          <w:sz w:val="24"/>
        </w:rPr>
        <w:t xml:space="preserve">-pastoral populations in Yobe State. In particular, these interrelated dimensions have not been systematically assessed across Buni Yadi, Damaturu, and </w:t>
      </w:r>
      <w:proofErr w:type="spellStart"/>
      <w:r w:rsidRPr="00E515F1">
        <w:rPr>
          <w:rFonts w:ascii="Times New Roman" w:eastAsia="Times New Roman" w:hAnsi="Times New Roman" w:cs="Times New Roman"/>
          <w:bCs/>
          <w:sz w:val="24"/>
        </w:rPr>
        <w:t>Damagum</w:t>
      </w:r>
      <w:proofErr w:type="spellEnd"/>
      <w:r w:rsidRPr="00E515F1">
        <w:rPr>
          <w:rFonts w:ascii="Times New Roman" w:eastAsia="Times New Roman" w:hAnsi="Times New Roman" w:cs="Times New Roman"/>
          <w:bCs/>
          <w:sz w:val="24"/>
        </w:rPr>
        <w:t>, limiting the development of locally responsive and evidence-based public-health interventions.</w:t>
      </w:r>
    </w:p>
    <w:p w14:paraId="282794B7"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Aim and Objectives of the Study</w:t>
      </w:r>
    </w:p>
    <w:p w14:paraId="1180F8DD" w14:textId="77777777" w:rsidR="00E818A8" w:rsidRPr="00E515F1" w:rsidRDefault="005F3352">
      <w:pPr>
        <w:spacing w:after="120" w:line="360" w:lineRule="auto"/>
        <w:jc w:val="both"/>
        <w:rPr>
          <w:rFonts w:ascii="Times New Roman" w:hAnsi="Times New Roman" w:cs="Times New Roman"/>
          <w:sz w:val="24"/>
          <w:szCs w:val="24"/>
        </w:rPr>
      </w:pPr>
      <w:r w:rsidRPr="00E515F1">
        <w:t xml:space="preserve">The aim of this study was to assess the knowledge, attitudes, and practices (KAP) of community members in Buni Yadi, Damaturu, and </w:t>
      </w:r>
      <w:proofErr w:type="spellStart"/>
      <w:r w:rsidRPr="00E515F1">
        <w:t>Damagum</w:t>
      </w:r>
      <w:proofErr w:type="spellEnd"/>
      <w:r w:rsidRPr="00E515F1">
        <w:t>, Yobe State, regarding milk-borne zoonotic diseases, in order to inform the development of a targeted public-health intervention strategy.</w:t>
      </w:r>
    </w:p>
    <w:p w14:paraId="1BD7FB99" w14:textId="77777777" w:rsidR="00E818A8" w:rsidRPr="00E515F1" w:rsidRDefault="005F3352">
      <w:pPr>
        <w:spacing w:after="120" w:line="360" w:lineRule="auto"/>
        <w:jc w:val="both"/>
        <w:rPr>
          <w:rFonts w:ascii="Times New Roman" w:hAnsi="Times New Roman" w:cs="Times New Roman"/>
          <w:sz w:val="24"/>
          <w:szCs w:val="24"/>
        </w:rPr>
      </w:pPr>
      <w:r w:rsidRPr="00E515F1">
        <w:t>The specific objectives were to: (</w:t>
      </w:r>
      <w:proofErr w:type="spellStart"/>
      <w:r w:rsidRPr="00E515F1">
        <w:t>i</w:t>
      </w:r>
      <w:proofErr w:type="spellEnd"/>
      <w:r w:rsidRPr="00E515F1">
        <w:t>) evaluate community knowledge of common MBZDs, including their modes of transmission and symptoms; (ii) explore community attitudes towards milk safety; and (iii) document practices related to milk consumption, handling, storage, and sale.</w:t>
      </w:r>
    </w:p>
    <w:p w14:paraId="47DBD0BB" w14:textId="77777777" w:rsidR="00E818A8" w:rsidRPr="00E515F1" w:rsidRDefault="005F3352">
      <w:pPr>
        <w:spacing w:after="120" w:line="360" w:lineRule="auto"/>
        <w:jc w:val="both"/>
        <w:rPr>
          <w:rFonts w:ascii="Times New Roman" w:hAnsi="Times New Roman" w:cs="Times New Roman"/>
          <w:b/>
          <w:sz w:val="24"/>
          <w:szCs w:val="24"/>
        </w:rPr>
      </w:pPr>
      <w:r w:rsidRPr="00E515F1">
        <w:rPr>
          <w:rFonts w:ascii="Times New Roman" w:hAnsi="Times New Roman" w:cs="Times New Roman"/>
          <w:b/>
          <w:sz w:val="24"/>
          <w:szCs w:val="24"/>
        </w:rPr>
        <w:t xml:space="preserve">REVIEW OF RELATED LITERATURE </w:t>
      </w:r>
    </w:p>
    <w:p w14:paraId="56E37FF5"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Milk is an important source of nutrition, providing high-quality protein, essential fatty acids, vitamins, and minerals (FAO, 2013). In developing countries, the dairy sector plays a significant role in livelihoods and food security. However, the public-health benefits of milk are compromised when it transmits zoonotic pathogens (WHO, 2022). </w:t>
      </w:r>
      <w:proofErr w:type="spellStart"/>
      <w:r w:rsidRPr="00E515F1">
        <w:t>Agro</w:t>
      </w:r>
      <w:proofErr w:type="spellEnd"/>
      <w:r w:rsidRPr="00E515F1">
        <w:t>-pastoral communities such as those in Yobe State are particularly at risk because of their reliance on livestock, culturally entrenched raw-milk consumption, and limited access to veterinary and public-health services. The KAP study model provides a conceptual framework for investigating this human dimension and generating data to inform effective interventions (Andrade et al., 2020).</w:t>
      </w:r>
    </w:p>
    <w:p w14:paraId="70B0B4AA"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Major Milk-Borne Zoonotic Diseases</w:t>
      </w:r>
    </w:p>
    <w:p w14:paraId="460FD5B8" w14:textId="77777777" w:rsidR="00E818A8" w:rsidRPr="00E515F1" w:rsidRDefault="005F3352">
      <w:pPr>
        <w:spacing w:line="360" w:lineRule="auto"/>
        <w:jc w:val="both"/>
        <w:rPr>
          <w:rFonts w:ascii="Times New Roman" w:hAnsi="Times New Roman" w:cs="Times New Roman"/>
          <w:sz w:val="24"/>
          <w:szCs w:val="24"/>
        </w:rPr>
      </w:pPr>
      <w:r w:rsidRPr="00E515F1">
        <w:t xml:space="preserve">Brucellosis is a zoonotic disease transmitted through the consumption of raw milk or contact with infected animals. The disease is caused by the bacterium </w:t>
      </w:r>
      <w:r w:rsidRPr="00E515F1">
        <w:rPr>
          <w:i/>
        </w:rPr>
        <w:t>Brucella abortus</w:t>
      </w:r>
      <w:r w:rsidRPr="00E515F1">
        <w:t xml:space="preserve"> and, to a lesser extent, by </w:t>
      </w:r>
      <w:r w:rsidRPr="00E515F1">
        <w:rPr>
          <w:i/>
        </w:rPr>
        <w:t xml:space="preserve">B. </w:t>
      </w:r>
      <w:proofErr w:type="spellStart"/>
      <w:r w:rsidRPr="00E515F1">
        <w:rPr>
          <w:i/>
        </w:rPr>
        <w:t>melitensis</w:t>
      </w:r>
      <w:proofErr w:type="spellEnd"/>
      <w:r w:rsidRPr="00E515F1">
        <w:t xml:space="preserve"> (Corbel, 2006). In humans, it is also known as Malta fever or undulant fever; symptoms include fever, malaise, joint pain, and sweating, and the infection may lead to chronic debilitating </w:t>
      </w:r>
      <w:r w:rsidRPr="00E515F1">
        <w:lastRenderedPageBreak/>
        <w:t>disease (Franc et al., 2018). Investigations in Nigeria have reported brucellosis among cattle and other livestock populations (Akinyemi et al., 2022).</w:t>
      </w:r>
    </w:p>
    <w:p w14:paraId="6886C656" w14:textId="77777777" w:rsidR="00E818A8" w:rsidRPr="00E515F1" w:rsidRDefault="005F3352">
      <w:pPr>
        <w:spacing w:line="360" w:lineRule="auto"/>
        <w:jc w:val="both"/>
        <w:rPr>
          <w:rFonts w:ascii="Times New Roman" w:hAnsi="Times New Roman" w:cs="Times New Roman"/>
          <w:sz w:val="24"/>
          <w:szCs w:val="24"/>
        </w:rPr>
      </w:pPr>
      <w:r w:rsidRPr="00E515F1">
        <w:t xml:space="preserve">Bovine tuberculosis is a chronic disease of cattle caused by </w:t>
      </w:r>
      <w:r w:rsidRPr="00E515F1">
        <w:rPr>
          <w:i/>
        </w:rPr>
        <w:t xml:space="preserve">Mycobacterium </w:t>
      </w:r>
      <w:proofErr w:type="spellStart"/>
      <w:r w:rsidRPr="00E515F1">
        <w:rPr>
          <w:i/>
        </w:rPr>
        <w:t>bovis</w:t>
      </w:r>
      <w:proofErr w:type="spellEnd"/>
      <w:r w:rsidRPr="00E515F1">
        <w:t xml:space="preserve">. The disease is transmissible to humans through inhalation and the consumption of raw milk (O'Reilly &amp; </w:t>
      </w:r>
      <w:proofErr w:type="spellStart"/>
      <w:r w:rsidRPr="00E515F1">
        <w:t>Daborn</w:t>
      </w:r>
      <w:proofErr w:type="spellEnd"/>
      <w:r w:rsidRPr="00E515F1">
        <w:t xml:space="preserve">, 1995). The human form of the disease is generally difficult to distinguish clinically from that caused by </w:t>
      </w:r>
      <w:r w:rsidRPr="00E515F1">
        <w:rPr>
          <w:i/>
        </w:rPr>
        <w:t>M. tuberculosis</w:t>
      </w:r>
      <w:r w:rsidRPr="00E515F1">
        <w:t>. Affected organs may include the lungs and lymph nodes. The contribution of bovine tuberculosis to the overall tuberculosis burden in Nigeria is not well quantified but is considered important, particularly among cattle handlers (</w:t>
      </w:r>
      <w:proofErr w:type="spellStart"/>
      <w:r w:rsidRPr="00E515F1">
        <w:t>Odetokun</w:t>
      </w:r>
      <w:proofErr w:type="spellEnd"/>
      <w:r w:rsidRPr="00E515F1">
        <w:t xml:space="preserve"> et al., 2022). Other diseases transmitted through raw milk include Q fever (</w:t>
      </w:r>
      <w:r w:rsidRPr="00E515F1">
        <w:rPr>
          <w:i/>
        </w:rPr>
        <w:t xml:space="preserve">Coxiella </w:t>
      </w:r>
      <w:proofErr w:type="spellStart"/>
      <w:r w:rsidRPr="00E515F1">
        <w:rPr>
          <w:i/>
        </w:rPr>
        <w:t>burnetii</w:t>
      </w:r>
      <w:proofErr w:type="spellEnd"/>
      <w:r w:rsidRPr="00E515F1">
        <w:t>), salmonellosis, and campylobacteriosis. These diseases continue to be public-health concerns and place a substantial burden on limited resources.</w:t>
      </w:r>
    </w:p>
    <w:p w14:paraId="1573D0EC" w14:textId="77777777" w:rsidR="007C427D" w:rsidRPr="00E515F1" w:rsidRDefault="007C427D">
      <w:pPr>
        <w:spacing w:before="200" w:after="80" w:line="360" w:lineRule="auto"/>
        <w:rPr>
          <w:rFonts w:ascii="Times New Roman" w:hAnsi="Times New Roman" w:cs="Times New Roman"/>
          <w:b/>
          <w:sz w:val="24"/>
          <w:szCs w:val="24"/>
        </w:rPr>
      </w:pPr>
    </w:p>
    <w:p w14:paraId="1722B4FE" w14:textId="77777777" w:rsidR="007C427D" w:rsidRPr="00E515F1" w:rsidRDefault="007C427D">
      <w:pPr>
        <w:spacing w:before="200" w:after="80" w:line="360" w:lineRule="auto"/>
        <w:rPr>
          <w:rFonts w:ascii="Times New Roman" w:hAnsi="Times New Roman" w:cs="Times New Roman"/>
          <w:b/>
          <w:sz w:val="24"/>
          <w:szCs w:val="24"/>
        </w:rPr>
      </w:pPr>
    </w:p>
    <w:p w14:paraId="29864426"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Socio-Cultural and Economic Context of Milk Consumption</w:t>
      </w:r>
    </w:p>
    <w:p w14:paraId="1EF13169"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Milk handling and consumption are deeply embedded in cultural practices. In northern Nigeria, including Yobe State, the consumption of raw, </w:t>
      </w:r>
      <w:proofErr w:type="spellStart"/>
      <w:r w:rsidRPr="00E515F1">
        <w:t>unpasteurised</w:t>
      </w:r>
      <w:proofErr w:type="spellEnd"/>
      <w:r w:rsidRPr="00E515F1">
        <w:t xml:space="preserve"> milk is culturally entrenched (Alhaji et al., 2020; Ghali-Mohammed et al., 2025). Many consumers believe that raw milk has superior taste and nutritional value and that its natural properties are lost during boiling or </w:t>
      </w:r>
      <w:proofErr w:type="spellStart"/>
      <w:r w:rsidRPr="00E515F1">
        <w:t>pasteurisation</w:t>
      </w:r>
      <w:proofErr w:type="spellEnd"/>
      <w:r w:rsidRPr="00E515F1">
        <w:t xml:space="preserve"> (Lucey, 2015). Fermented products such as </w:t>
      </w:r>
      <w:proofErr w:type="spellStart"/>
      <w:r w:rsidRPr="00E515F1">
        <w:rPr>
          <w:i/>
        </w:rPr>
        <w:t>nono</w:t>
      </w:r>
      <w:proofErr w:type="spellEnd"/>
      <w:r w:rsidRPr="00E515F1">
        <w:t xml:space="preserve"> (yoghurt) and </w:t>
      </w:r>
      <w:proofErr w:type="spellStart"/>
      <w:r w:rsidRPr="00E515F1">
        <w:rPr>
          <w:i/>
        </w:rPr>
        <w:t>kindirmo</w:t>
      </w:r>
      <w:proofErr w:type="spellEnd"/>
      <w:r w:rsidRPr="00E515F1">
        <w:t xml:space="preserve"> (sour milk) are long-standing cultural products that form part of social and culinary practices (Mohammed &amp; </w:t>
      </w:r>
      <w:proofErr w:type="spellStart"/>
      <w:r w:rsidRPr="00E515F1">
        <w:t>Biyabra</w:t>
      </w:r>
      <w:proofErr w:type="spellEnd"/>
      <w:r w:rsidRPr="00E515F1">
        <w:t>, 2024). Resource limitations and inadequate access to refrigeration may also constrain safer milk-handling practices (Ghali-Mohammed et al., 2025). Together, these factors create an environment in which high-risk practices may become routine, making simplistic public-health advice ineffective without a deeper understanding of the underlying motivations.</w:t>
      </w:r>
    </w:p>
    <w:p w14:paraId="26014730"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Barriers to Safe Milk Handling and Effective Interventions</w:t>
      </w:r>
    </w:p>
    <w:p w14:paraId="1A14BF34"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The transition from knowledge to practice is hindered by multiple interconnected barriers. A fundamental barrier is insufficient context-specific health education on zoonoses. Economic constraints, including the cost of fuel for boiling and limited access to affordable </w:t>
      </w:r>
      <w:proofErr w:type="spellStart"/>
      <w:r w:rsidRPr="00E515F1">
        <w:t>pasteurisation</w:t>
      </w:r>
      <w:proofErr w:type="spellEnd"/>
      <w:r w:rsidRPr="00E515F1">
        <w:t xml:space="preserve"> technology, represent important practical hurdles. Deeply held cultural beliefs about the benefits of raw milk may override scientific advice, while weak veterinary and public-health infrastructure may perpetuate disease risk (Akinyemi et al., 2022; Ghali-Mohammed et al., 2025). Effective interventions should therefore be multi-pronged. KAP studies commonly identify community </w:t>
      </w:r>
      <w:r w:rsidRPr="00E515F1">
        <w:lastRenderedPageBreak/>
        <w:t xml:space="preserve">education as a desired intervention, while participatory approaches can support disease surveillance and locally appropriate action (Jost et al., 2007). Combining education with structural support, such as community-based </w:t>
      </w:r>
      <w:proofErr w:type="spellStart"/>
      <w:r w:rsidRPr="00E515F1">
        <w:t>pasteurisation</w:t>
      </w:r>
      <w:proofErr w:type="spellEnd"/>
      <w:r w:rsidRPr="00E515F1">
        <w:t xml:space="preserve"> units, veterinary extension, and vendor hygiene training, may strengthen prevention (Ghali-Mohammed et al., 2025; Kapoor et al., 2023).</w:t>
      </w:r>
    </w:p>
    <w:p w14:paraId="28F7DB4D" w14:textId="77777777" w:rsidR="00E818A8" w:rsidRPr="00E515F1" w:rsidRDefault="005F3352">
      <w:pPr>
        <w:spacing w:before="200" w:after="80" w:line="360" w:lineRule="auto"/>
        <w:rPr>
          <w:rFonts w:ascii="Times New Roman" w:hAnsi="Times New Roman" w:cs="Times New Roman"/>
          <w:b/>
          <w:sz w:val="24"/>
          <w:szCs w:val="24"/>
        </w:rPr>
      </w:pPr>
      <w:r w:rsidRPr="00E515F1">
        <w:rPr>
          <w:rFonts w:ascii="Times New Roman" w:hAnsi="Times New Roman" w:cs="Times New Roman"/>
          <w:b/>
          <w:sz w:val="24"/>
          <w:szCs w:val="24"/>
        </w:rPr>
        <w:t xml:space="preserve">METHODS </w:t>
      </w:r>
    </w:p>
    <w:p w14:paraId="47A4CF4C"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t>Research Design</w:t>
      </w:r>
    </w:p>
    <w:p w14:paraId="18B1648A" w14:textId="298D74DB" w:rsidR="00F339EE" w:rsidRPr="00E515F1" w:rsidRDefault="00F339EE" w:rsidP="00FF4D5B">
      <w:pPr>
        <w:pStyle w:val="ds-markdown-paragraph"/>
        <w:shd w:val="clear" w:color="auto" w:fill="FFFFFF"/>
        <w:spacing w:before="240" w:beforeAutospacing="0" w:after="240" w:afterAutospacing="0" w:line="360" w:lineRule="auto"/>
        <w:rPr>
          <w:color w:val="0F1115"/>
        </w:rPr>
      </w:pPr>
      <w:r w:rsidRPr="00E515F1">
        <w:t xml:space="preserve">A cross-sectional descriptive survey was employed in this study. The design was appropriate for collecting data at a single point in time to describe the variables of interest - knowledge, attitudes, and practices - as they existed naturally (Babbie, </w:t>
      </w:r>
      <w:r w:rsidR="00C769A7" w:rsidRPr="00C769A7">
        <w:t>2021</w:t>
      </w:r>
      <w:r w:rsidRPr="00E515F1">
        <w:t>). It was efficient for quantifying the prevalence of characteristics and describing patterns among the variables.</w:t>
      </w:r>
    </w:p>
    <w:p w14:paraId="686AB203"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t>Description of the Study Area</w:t>
      </w:r>
    </w:p>
    <w:p w14:paraId="603BF98D" w14:textId="77777777" w:rsidR="00F339EE" w:rsidRPr="00E515F1" w:rsidRDefault="00F339EE" w:rsidP="00FF4D5B">
      <w:pPr>
        <w:pStyle w:val="ds-markdown-paragraph"/>
        <w:shd w:val="clear" w:color="auto" w:fill="FFFFFF"/>
        <w:spacing w:before="240" w:beforeAutospacing="0" w:after="240" w:afterAutospacing="0" w:line="360" w:lineRule="auto"/>
        <w:rPr>
          <w:color w:val="0F1115"/>
        </w:rPr>
      </w:pPr>
      <w:r w:rsidRPr="00E515F1">
        <w:t xml:space="preserve">The study was conducted in three selected </w:t>
      </w:r>
      <w:proofErr w:type="spellStart"/>
      <w:r w:rsidRPr="00E515F1">
        <w:t>agro</w:t>
      </w:r>
      <w:proofErr w:type="spellEnd"/>
      <w:r w:rsidRPr="00E515F1">
        <w:t xml:space="preserve">-pastoral communities in Yobe State, Nigeria. Buni Yadi is the principal town in </w:t>
      </w:r>
      <w:proofErr w:type="spellStart"/>
      <w:r w:rsidRPr="00E515F1">
        <w:t>Gujba</w:t>
      </w:r>
      <w:proofErr w:type="spellEnd"/>
      <w:r w:rsidRPr="00E515F1">
        <w:t xml:space="preserve"> Local Government Area (LGA) and is known for substantial livestock production and pastoral activities. Damaturu is the state capital, located in Damaturu LGA, and serves as a major commercial and administrative hub with urban and peri-urban populations engaged in livestock rearing, trade, and civil service. </w:t>
      </w:r>
      <w:proofErr w:type="spellStart"/>
      <w:r w:rsidRPr="00E515F1">
        <w:t>Damagum</w:t>
      </w:r>
      <w:proofErr w:type="spellEnd"/>
      <w:r w:rsidRPr="00E515F1">
        <w:t xml:space="preserve"> is the headquarters of Fune LGA and is an important </w:t>
      </w:r>
      <w:proofErr w:type="spellStart"/>
      <w:r w:rsidRPr="00E515F1">
        <w:t>agro</w:t>
      </w:r>
      <w:proofErr w:type="spellEnd"/>
      <w:r w:rsidRPr="00E515F1">
        <w:t>-pastoral zone with a high concentration of cattle herders and milk vendors. Yobe State is located in north-eastern Nigeria within the semi-arid Sudan-Sahelian savannah belt. Livestock rearing and crop production are major economic activities.</w:t>
      </w:r>
    </w:p>
    <w:p w14:paraId="77E1759A"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t>Target Population</w:t>
      </w:r>
    </w:p>
    <w:p w14:paraId="1F699DEB"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 xml:space="preserve">The target population comprised adult community members aged 18 years and above residing in Buni Yadi, Damaturu, and </w:t>
      </w:r>
      <w:proofErr w:type="spellStart"/>
      <w:r w:rsidRPr="00E515F1">
        <w:t>Damagum</w:t>
      </w:r>
      <w:proofErr w:type="spellEnd"/>
      <w:r w:rsidRPr="00E515F1">
        <w:t>. This population included pastoralists and livestock farmers, milk vendors and processors, household milk consumers, and crop farmers who also consumed milk. This diverse group was selected because its members were directly involved in the production, handling, or consumption of milk and were therefore potentially at risk of exposure to milk-borne diseases. Only respondents aged 18 years and above were included; the age category of 18 years in Table 1 represents respondents aged exactly 18 years, not those below 18 years.</w:t>
      </w:r>
    </w:p>
    <w:p w14:paraId="31DBF559"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lastRenderedPageBreak/>
        <w:t>Sample Size Determination</w:t>
      </w:r>
    </w:p>
    <w:p w14:paraId="5E601AEA"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 xml:space="preserve">The sample size of 150 respondents was determined using the formula for cross-sectional studies: n = Z²pq/d², where Z = 1.96 (95% confidence level), p = 50% (the assumed prevalence of adequate knowledge, as no prior study was available in the study area), q = 50%, and d = an 8% margin of error. This yielded a minimum sample of 150. The sample was allocated equally (50 respondents per </w:t>
      </w:r>
      <w:proofErr w:type="spellStart"/>
      <w:r w:rsidRPr="00E515F1">
        <w:t>town</w:t>
      </w:r>
      <w:proofErr w:type="spellEnd"/>
      <w:r w:rsidRPr="00E515F1">
        <w:t>) to ensure adequate representation from each of the three study locations. No adjustment for non-response was applied because all approached respondents consented to participate.</w:t>
      </w:r>
    </w:p>
    <w:p w14:paraId="27F57D11"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t>Sampling Technique</w:t>
      </w:r>
    </w:p>
    <w:p w14:paraId="0FCBCAE6"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rPr>
          <w:color w:val="0F1115"/>
        </w:rPr>
        <w:t>A multi-stage sampling approach was employed:</w:t>
      </w:r>
    </w:p>
    <w:p w14:paraId="1833853E"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 xml:space="preserve">Stage 1: One ward was purposively selected from each town (Buni Yadi, Damaturu, and </w:t>
      </w:r>
      <w:proofErr w:type="spellStart"/>
      <w:r w:rsidRPr="00E515F1">
        <w:t>Damagum</w:t>
      </w:r>
      <w:proofErr w:type="spellEnd"/>
      <w:r w:rsidRPr="00E515F1">
        <w:t xml:space="preserve">) based on the high concentration of the </w:t>
      </w:r>
      <w:proofErr w:type="spellStart"/>
      <w:r w:rsidRPr="00E515F1">
        <w:t>agro</w:t>
      </w:r>
      <w:proofErr w:type="spellEnd"/>
      <w:r w:rsidRPr="00E515F1">
        <w:t>-pastoral population.</w:t>
      </w:r>
    </w:p>
    <w:p w14:paraId="0B8B4B08"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Stage 2: Within each selected ward, systematic random sampling was used to select households. A sampling interval was calculated by dividing the estimated number of households in the ward by 50, and households were selected according to the calculated interval. Each selected household was visited for an interview.</w:t>
      </w:r>
    </w:p>
    <w:p w14:paraId="79CA2B86"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Stage 3: At the household level, one eligible adult (≥18 years) was randomly selected using a simple ballot method. In addition, convenience and snowball sampling were used at cattle markets and milk-collection points to supplement the sample and reach individuals who were not captured through household visits. This mixed approach was considered necessary because of the transient nature of some pastoralists.</w:t>
      </w:r>
    </w:p>
    <w:p w14:paraId="5BF4A7AB"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t>Data Collection Instrument and Method</w:t>
      </w:r>
    </w:p>
    <w:p w14:paraId="53D12BDA"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Data were collected using a structured questionnaire administered by trained interviewers. The questionnaire covered: (A) socio-demographic information; (B) knowledge of milk-borne zoonotic diseases; (C) practices related to milk consumption and handling; (D) public-health impacts; and (E-F) attitudes, barriers, and preferred interventions. Most questions were closed-ended, although some open-ended questions were included to obtain more detailed qualitative responses.</w:t>
      </w:r>
    </w:p>
    <w:p w14:paraId="1A8C3725"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rPr>
          <w:b/>
        </w:rPr>
        <w:lastRenderedPageBreak/>
        <w:t>Questionnaire Development and Validation:</w:t>
      </w:r>
      <w:r w:rsidRPr="00E515F1">
        <w:t xml:space="preserve"> The questionnaire was developed following a review of existing KAP studies on zoonotic diseases in similar settings (</w:t>
      </w:r>
      <w:proofErr w:type="spellStart"/>
      <w:r w:rsidRPr="00E515F1">
        <w:t>Megersa</w:t>
      </w:r>
      <w:proofErr w:type="spellEnd"/>
      <w:r w:rsidRPr="00E515F1">
        <w:t xml:space="preserve"> et al., 2011; </w:t>
      </w:r>
      <w:proofErr w:type="spellStart"/>
      <w:r w:rsidRPr="00E515F1">
        <w:t>Osbjer</w:t>
      </w:r>
      <w:proofErr w:type="spellEnd"/>
      <w:r w:rsidRPr="00E515F1">
        <w:t xml:space="preserve"> et al., 2015). Content validity was assessed through review by three subject-matter experts (two veterinarians and one public-health specialist). The questionnaire was pre-tested with 20 respondents from a non-study community (</w:t>
      </w:r>
      <w:proofErr w:type="spellStart"/>
      <w:r w:rsidRPr="00E515F1">
        <w:t>Gashua</w:t>
      </w:r>
      <w:proofErr w:type="spellEnd"/>
      <w:r w:rsidRPr="00E515F1">
        <w:t>, Yobe State). Based on the pre-test results, ambiguous questions were revised. The questionnaire was translated from English into Hausa, Fulani, and Kanuri by native speakers and back-translated into English to ensure accuracy. No formal reliability test (e.g., Cronbach's alpha) was conducted because the instrument measured diverse constructs rather than a single latent variable.</w:t>
      </w:r>
    </w:p>
    <w:p w14:paraId="102C3DF7"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Interviews were conducted in Hausa, Fulani, or Kanuri by trained research assistants proficient in multiple languages. This method was selected because it was suitable for populations with potentially low literacy levels, promoted a high response rate, and allowed questions to be clarified.</w:t>
      </w:r>
    </w:p>
    <w:p w14:paraId="0C51F710" w14:textId="77777777" w:rsidR="00F339EE" w:rsidRPr="00E515F1" w:rsidRDefault="00F339EE" w:rsidP="00FF4D5B">
      <w:pPr>
        <w:pStyle w:val="Heading4"/>
        <w:shd w:val="clear" w:color="auto" w:fill="FFFFFF"/>
        <w:spacing w:before="240" w:after="240" w:line="360" w:lineRule="auto"/>
        <w:rPr>
          <w:rFonts w:ascii="Times New Roman" w:hAnsi="Times New Roman" w:cs="Times New Roman"/>
          <w:i w:val="0"/>
          <w:color w:val="0F1115"/>
          <w:sz w:val="24"/>
          <w:szCs w:val="24"/>
        </w:rPr>
      </w:pPr>
      <w:r w:rsidRPr="00E515F1">
        <w:rPr>
          <w:rFonts w:ascii="Times New Roman" w:hAnsi="Times New Roman" w:cs="Times New Roman"/>
          <w:i w:val="0"/>
          <w:color w:val="0F1115"/>
          <w:sz w:val="24"/>
          <w:szCs w:val="24"/>
        </w:rPr>
        <w:t>Data Analysis</w:t>
      </w:r>
    </w:p>
    <w:p w14:paraId="3F7FDB7B" w14:textId="77777777" w:rsidR="00F339EE" w:rsidRPr="00E515F1" w:rsidRDefault="00F339EE" w:rsidP="00FF4D5B">
      <w:pPr>
        <w:pStyle w:val="ds-markdown-paragraph"/>
        <w:shd w:val="clear" w:color="auto" w:fill="FFFFFF"/>
        <w:spacing w:before="240" w:beforeAutospacing="0" w:after="240" w:afterAutospacing="0" w:line="360" w:lineRule="auto"/>
        <w:jc w:val="both"/>
        <w:rPr>
          <w:color w:val="0F1115"/>
        </w:rPr>
      </w:pPr>
      <w:r w:rsidRPr="00E515F1">
        <w:t xml:space="preserve">Data were cleaned and </w:t>
      </w:r>
      <w:proofErr w:type="spellStart"/>
      <w:r w:rsidRPr="00E515F1">
        <w:t>analysed</w:t>
      </w:r>
      <w:proofErr w:type="spellEnd"/>
      <w:r w:rsidRPr="00E515F1">
        <w:t xml:space="preserve"> using IBM SPSS Statistics (version 25.0; IBM Corp., Armonk, NY, USA). Descriptive statistics, including frequencies, percentages, means, and standard deviations, were used to </w:t>
      </w:r>
      <w:proofErr w:type="spellStart"/>
      <w:r w:rsidRPr="00E515F1">
        <w:t>summarise</w:t>
      </w:r>
      <w:proofErr w:type="spellEnd"/>
      <w:r w:rsidRPr="00E515F1">
        <w:t xml:space="preserve"> socio-demographic data and KAP responses. The results are presented in tabular form. No inferential statistics (e.g., chi-square tests) were applied because the study was designed as a descriptive survey and the objectives did not require testing associations between variables.</w:t>
      </w:r>
    </w:p>
    <w:p w14:paraId="1F224483" w14:textId="35FEE597" w:rsidR="00E818A8" w:rsidRPr="00E515F1" w:rsidRDefault="005F3352">
      <w:pPr>
        <w:spacing w:before="200" w:after="80" w:line="360" w:lineRule="auto"/>
        <w:rPr>
          <w:rFonts w:ascii="Times New Roman" w:hAnsi="Times New Roman" w:cs="Times New Roman"/>
          <w:b/>
          <w:sz w:val="24"/>
          <w:szCs w:val="24"/>
        </w:rPr>
      </w:pPr>
      <w:r w:rsidRPr="00E515F1">
        <w:rPr>
          <w:rFonts w:ascii="Times New Roman" w:hAnsi="Times New Roman" w:cs="Times New Roman"/>
          <w:b/>
          <w:sz w:val="24"/>
          <w:szCs w:val="24"/>
        </w:rPr>
        <w:t xml:space="preserve">Results and discussion </w:t>
      </w:r>
    </w:p>
    <w:p w14:paraId="413EEC88"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Socio-Demographic Profile of Respondents</w:t>
      </w:r>
    </w:p>
    <w:p w14:paraId="2604F24E" w14:textId="77777777" w:rsidR="00E818A8" w:rsidRPr="00E515F1" w:rsidRDefault="005F3352">
      <w:pPr>
        <w:spacing w:after="120" w:line="360" w:lineRule="auto"/>
        <w:jc w:val="both"/>
        <w:rPr>
          <w:rFonts w:ascii="Times New Roman" w:hAnsi="Times New Roman" w:cs="Times New Roman"/>
          <w:sz w:val="24"/>
          <w:szCs w:val="24"/>
        </w:rPr>
      </w:pPr>
      <w:r w:rsidRPr="00E515F1">
        <w:t>Table 1 presents the socio-demographic profile of the 150 respondents.</w:t>
      </w:r>
    </w:p>
    <w:p w14:paraId="26D0518F" w14:textId="77777777" w:rsidR="00E818A8" w:rsidRPr="00E515F1" w:rsidRDefault="005F3352">
      <w:pPr>
        <w:spacing w:before="200" w:after="60" w:line="360" w:lineRule="auto"/>
        <w:rPr>
          <w:rFonts w:ascii="Times New Roman" w:hAnsi="Times New Roman" w:cs="Times New Roman"/>
          <w:sz w:val="24"/>
          <w:szCs w:val="24"/>
        </w:rPr>
      </w:pPr>
      <w:r w:rsidRPr="00E515F1">
        <w:rPr>
          <w:rFonts w:ascii="Times New Roman" w:hAnsi="Times New Roman" w:cs="Times New Roman"/>
          <w:b/>
          <w:sz w:val="24"/>
          <w:szCs w:val="24"/>
        </w:rPr>
        <w:t>Table 1. Socio-Demographic Profile of Respondents (N = 150)</w:t>
      </w:r>
    </w:p>
    <w:tbl>
      <w:tblPr>
        <w:tblStyle w:val="TableGrid"/>
        <w:tblW w:w="9350" w:type="dxa"/>
        <w:tblInd w:w="-15" w:type="dxa"/>
        <w:tblLook w:val="04A0" w:firstRow="1" w:lastRow="0" w:firstColumn="1" w:lastColumn="0" w:noHBand="0" w:noVBand="1"/>
      </w:tblPr>
      <w:tblGrid>
        <w:gridCol w:w="2371"/>
        <w:gridCol w:w="2743"/>
        <w:gridCol w:w="2113"/>
        <w:gridCol w:w="2123"/>
      </w:tblGrid>
      <w:tr w:rsidR="00E818A8" w:rsidRPr="00E515F1" w14:paraId="1CB1CFE4" w14:textId="77777777">
        <w:tc>
          <w:tcPr>
            <w:tcW w:w="2371" w:type="dxa"/>
            <w:tcBorders>
              <w:top w:val="single" w:sz="6" w:space="0" w:color="2E7D52"/>
              <w:left w:val="single" w:sz="6" w:space="0" w:color="2E7D52"/>
              <w:bottom w:val="single" w:sz="6" w:space="0" w:color="2E7D52"/>
              <w:right w:val="single" w:sz="6" w:space="0" w:color="2E7D52"/>
            </w:tcBorders>
          </w:tcPr>
          <w:p w14:paraId="20D5AFC5" w14:textId="77777777" w:rsidR="00E818A8" w:rsidRPr="00E515F1" w:rsidRDefault="005F3352">
            <w:pPr>
              <w:spacing w:before="40" w:after="40" w:line="360" w:lineRule="auto"/>
              <w:jc w:val="center"/>
              <w:rPr>
                <w:rFonts w:ascii="Times New Roman" w:hAnsi="Times New Roman" w:cs="Times New Roman"/>
                <w:sz w:val="24"/>
                <w:szCs w:val="24"/>
              </w:rPr>
            </w:pPr>
            <w:r w:rsidRPr="00E515F1">
              <w:rPr>
                <w:rFonts w:ascii="Times New Roman" w:hAnsi="Times New Roman" w:cs="Times New Roman"/>
                <w:b/>
                <w:sz w:val="24"/>
                <w:szCs w:val="24"/>
              </w:rPr>
              <w:t>Characteristic</w:t>
            </w:r>
          </w:p>
        </w:tc>
        <w:tc>
          <w:tcPr>
            <w:tcW w:w="2743" w:type="dxa"/>
            <w:tcBorders>
              <w:top w:val="single" w:sz="6" w:space="0" w:color="2E7D52"/>
              <w:left w:val="single" w:sz="6" w:space="0" w:color="2E7D52"/>
              <w:bottom w:val="single" w:sz="6" w:space="0" w:color="2E7D52"/>
              <w:right w:val="single" w:sz="6" w:space="0" w:color="2E7D52"/>
            </w:tcBorders>
          </w:tcPr>
          <w:p w14:paraId="40C4E3B8" w14:textId="77777777" w:rsidR="00E818A8" w:rsidRPr="00E515F1" w:rsidRDefault="005F3352">
            <w:pPr>
              <w:spacing w:before="40" w:after="40" w:line="360" w:lineRule="auto"/>
              <w:jc w:val="center"/>
              <w:rPr>
                <w:rFonts w:ascii="Times New Roman" w:hAnsi="Times New Roman" w:cs="Times New Roman"/>
                <w:sz w:val="24"/>
                <w:szCs w:val="24"/>
              </w:rPr>
            </w:pPr>
            <w:r w:rsidRPr="00E515F1">
              <w:rPr>
                <w:rFonts w:ascii="Times New Roman" w:hAnsi="Times New Roman" w:cs="Times New Roman"/>
                <w:b/>
                <w:sz w:val="24"/>
                <w:szCs w:val="24"/>
              </w:rPr>
              <w:t>Category</w:t>
            </w:r>
          </w:p>
        </w:tc>
        <w:tc>
          <w:tcPr>
            <w:tcW w:w="2113" w:type="dxa"/>
            <w:tcBorders>
              <w:top w:val="single" w:sz="6" w:space="0" w:color="2E7D52"/>
              <w:left w:val="single" w:sz="6" w:space="0" w:color="2E7D52"/>
              <w:bottom w:val="single" w:sz="6" w:space="0" w:color="2E7D52"/>
              <w:right w:val="single" w:sz="6" w:space="0" w:color="2E7D52"/>
            </w:tcBorders>
          </w:tcPr>
          <w:p w14:paraId="5C60EACD" w14:textId="77777777" w:rsidR="00E818A8" w:rsidRPr="00E515F1" w:rsidRDefault="005F3352">
            <w:pPr>
              <w:spacing w:before="40" w:after="40" w:line="360" w:lineRule="auto"/>
              <w:jc w:val="center"/>
              <w:rPr>
                <w:rFonts w:ascii="Times New Roman" w:hAnsi="Times New Roman" w:cs="Times New Roman"/>
                <w:sz w:val="24"/>
                <w:szCs w:val="24"/>
              </w:rPr>
            </w:pPr>
            <w:r w:rsidRPr="00E515F1">
              <w:rPr>
                <w:rFonts w:ascii="Times New Roman" w:hAnsi="Times New Roman" w:cs="Times New Roman"/>
                <w:b/>
                <w:sz w:val="24"/>
                <w:szCs w:val="24"/>
              </w:rPr>
              <w:t>Frequency (n)</w:t>
            </w:r>
          </w:p>
        </w:tc>
        <w:tc>
          <w:tcPr>
            <w:tcW w:w="2123" w:type="dxa"/>
            <w:tcBorders>
              <w:top w:val="single" w:sz="6" w:space="0" w:color="2E7D52"/>
              <w:left w:val="single" w:sz="6" w:space="0" w:color="2E7D52"/>
              <w:bottom w:val="single" w:sz="6" w:space="0" w:color="2E7D52"/>
              <w:right w:val="single" w:sz="6" w:space="0" w:color="2E7D52"/>
            </w:tcBorders>
          </w:tcPr>
          <w:p w14:paraId="0D1C95F7" w14:textId="77777777" w:rsidR="00E818A8" w:rsidRPr="00E515F1" w:rsidRDefault="005F3352">
            <w:pPr>
              <w:spacing w:before="40" w:after="40" w:line="360" w:lineRule="auto"/>
              <w:jc w:val="center"/>
              <w:rPr>
                <w:rFonts w:ascii="Times New Roman" w:hAnsi="Times New Roman" w:cs="Times New Roman"/>
                <w:sz w:val="24"/>
                <w:szCs w:val="24"/>
              </w:rPr>
            </w:pPr>
            <w:r w:rsidRPr="00E515F1">
              <w:rPr>
                <w:rFonts w:ascii="Times New Roman" w:hAnsi="Times New Roman" w:cs="Times New Roman"/>
                <w:b/>
                <w:sz w:val="24"/>
                <w:szCs w:val="24"/>
              </w:rPr>
              <w:t>Percentage (%)</w:t>
            </w:r>
          </w:p>
        </w:tc>
      </w:tr>
      <w:tr w:rsidR="00E818A8" w:rsidRPr="00E515F1" w14:paraId="30FE84AF" w14:textId="77777777">
        <w:tc>
          <w:tcPr>
            <w:tcW w:w="2371" w:type="dxa"/>
            <w:vMerge w:val="restart"/>
            <w:tcBorders>
              <w:top w:val="single" w:sz="4" w:space="0" w:color="BFBFBF"/>
              <w:left w:val="single" w:sz="4" w:space="0" w:color="BFBFBF"/>
              <w:right w:val="single" w:sz="4" w:space="0" w:color="BFBFBF"/>
            </w:tcBorders>
          </w:tcPr>
          <w:p w14:paraId="6C812947" w14:textId="77777777" w:rsidR="00E818A8" w:rsidRPr="00E515F1" w:rsidRDefault="00E818A8">
            <w:pPr>
              <w:spacing w:before="40" w:after="40" w:line="360" w:lineRule="auto"/>
              <w:ind w:left="57"/>
              <w:rPr>
                <w:rFonts w:ascii="Times New Roman" w:hAnsi="Times New Roman" w:cs="Times New Roman"/>
                <w:b/>
                <w:sz w:val="24"/>
                <w:szCs w:val="24"/>
              </w:rPr>
            </w:pPr>
          </w:p>
          <w:p w14:paraId="321985A0"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b/>
                <w:sz w:val="24"/>
                <w:szCs w:val="24"/>
              </w:rPr>
              <w:t>Town of Residence</w:t>
            </w:r>
          </w:p>
        </w:tc>
        <w:tc>
          <w:tcPr>
            <w:tcW w:w="2743" w:type="dxa"/>
            <w:tcBorders>
              <w:top w:val="single" w:sz="4" w:space="0" w:color="BFBFBF"/>
              <w:left w:val="single" w:sz="4" w:space="0" w:color="BFBFBF"/>
              <w:bottom w:val="single" w:sz="4" w:space="0" w:color="BFBFBF"/>
              <w:right w:val="single" w:sz="4" w:space="0" w:color="BFBFBF"/>
            </w:tcBorders>
          </w:tcPr>
          <w:p w14:paraId="18281648"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Buni Yadi</w:t>
            </w:r>
          </w:p>
        </w:tc>
        <w:tc>
          <w:tcPr>
            <w:tcW w:w="2113" w:type="dxa"/>
            <w:tcBorders>
              <w:top w:val="single" w:sz="4" w:space="0" w:color="BFBFBF"/>
              <w:left w:val="single" w:sz="4" w:space="0" w:color="BFBFBF"/>
              <w:bottom w:val="single" w:sz="4" w:space="0" w:color="BFBFBF"/>
              <w:right w:val="single" w:sz="4" w:space="0" w:color="BFBFBF"/>
            </w:tcBorders>
          </w:tcPr>
          <w:p w14:paraId="54EB82C0"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50</w:t>
            </w:r>
          </w:p>
        </w:tc>
        <w:tc>
          <w:tcPr>
            <w:tcW w:w="2123" w:type="dxa"/>
            <w:tcBorders>
              <w:top w:val="single" w:sz="4" w:space="0" w:color="BFBFBF"/>
              <w:left w:val="single" w:sz="4" w:space="0" w:color="BFBFBF"/>
              <w:bottom w:val="single" w:sz="4" w:space="0" w:color="BFBFBF"/>
              <w:right w:val="single" w:sz="4" w:space="0" w:color="BFBFBF"/>
            </w:tcBorders>
          </w:tcPr>
          <w:p w14:paraId="6A03DB3C"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33.3%</w:t>
            </w:r>
          </w:p>
        </w:tc>
      </w:tr>
      <w:tr w:rsidR="00E818A8" w:rsidRPr="00E515F1" w14:paraId="1A397B64" w14:textId="77777777">
        <w:tc>
          <w:tcPr>
            <w:tcW w:w="2371" w:type="dxa"/>
            <w:vMerge/>
            <w:tcBorders>
              <w:left w:val="single" w:sz="4" w:space="0" w:color="BFBFBF"/>
              <w:right w:val="single" w:sz="4" w:space="0" w:color="BFBFBF"/>
            </w:tcBorders>
          </w:tcPr>
          <w:p w14:paraId="2F34F907"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1E425803"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Damaturu</w:t>
            </w:r>
          </w:p>
        </w:tc>
        <w:tc>
          <w:tcPr>
            <w:tcW w:w="2113" w:type="dxa"/>
            <w:tcBorders>
              <w:top w:val="single" w:sz="4" w:space="0" w:color="BFBFBF"/>
              <w:left w:val="single" w:sz="4" w:space="0" w:color="BFBFBF"/>
              <w:bottom w:val="single" w:sz="4" w:space="0" w:color="BFBFBF"/>
              <w:right w:val="single" w:sz="4" w:space="0" w:color="BFBFBF"/>
            </w:tcBorders>
          </w:tcPr>
          <w:p w14:paraId="72373617"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50</w:t>
            </w:r>
          </w:p>
        </w:tc>
        <w:tc>
          <w:tcPr>
            <w:tcW w:w="2123" w:type="dxa"/>
            <w:tcBorders>
              <w:top w:val="single" w:sz="4" w:space="0" w:color="BFBFBF"/>
              <w:left w:val="single" w:sz="4" w:space="0" w:color="BFBFBF"/>
              <w:bottom w:val="single" w:sz="4" w:space="0" w:color="BFBFBF"/>
              <w:right w:val="single" w:sz="4" w:space="0" w:color="BFBFBF"/>
            </w:tcBorders>
          </w:tcPr>
          <w:p w14:paraId="4B2309BD"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33.3%</w:t>
            </w:r>
          </w:p>
        </w:tc>
      </w:tr>
      <w:tr w:rsidR="00E818A8" w:rsidRPr="00E515F1" w14:paraId="4D9E883B" w14:textId="77777777">
        <w:tc>
          <w:tcPr>
            <w:tcW w:w="2371" w:type="dxa"/>
            <w:vMerge/>
            <w:tcBorders>
              <w:left w:val="single" w:sz="4" w:space="0" w:color="BFBFBF"/>
              <w:bottom w:val="single" w:sz="4" w:space="0" w:color="BFBFBF"/>
              <w:right w:val="single" w:sz="4" w:space="0" w:color="BFBFBF"/>
            </w:tcBorders>
          </w:tcPr>
          <w:p w14:paraId="2A3F7C1A"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6088C3F1" w14:textId="77777777" w:rsidR="00E818A8" w:rsidRPr="00E515F1" w:rsidRDefault="005F3352">
            <w:pPr>
              <w:spacing w:before="40" w:after="40" w:line="360" w:lineRule="auto"/>
              <w:ind w:left="57"/>
              <w:rPr>
                <w:rFonts w:ascii="Times New Roman" w:hAnsi="Times New Roman" w:cs="Times New Roman"/>
                <w:sz w:val="24"/>
                <w:szCs w:val="24"/>
              </w:rPr>
            </w:pPr>
            <w:proofErr w:type="spellStart"/>
            <w:r w:rsidRPr="00E515F1">
              <w:rPr>
                <w:rFonts w:ascii="Times New Roman" w:hAnsi="Times New Roman" w:cs="Times New Roman"/>
                <w:sz w:val="24"/>
                <w:szCs w:val="24"/>
              </w:rPr>
              <w:t>Damagum</w:t>
            </w:r>
            <w:proofErr w:type="spellEnd"/>
          </w:p>
        </w:tc>
        <w:tc>
          <w:tcPr>
            <w:tcW w:w="2113" w:type="dxa"/>
            <w:tcBorders>
              <w:top w:val="single" w:sz="4" w:space="0" w:color="BFBFBF"/>
              <w:left w:val="single" w:sz="4" w:space="0" w:color="BFBFBF"/>
              <w:bottom w:val="single" w:sz="4" w:space="0" w:color="BFBFBF"/>
              <w:right w:val="single" w:sz="4" w:space="0" w:color="BFBFBF"/>
            </w:tcBorders>
          </w:tcPr>
          <w:p w14:paraId="79D1CDDD"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50</w:t>
            </w:r>
          </w:p>
        </w:tc>
        <w:tc>
          <w:tcPr>
            <w:tcW w:w="2123" w:type="dxa"/>
            <w:tcBorders>
              <w:top w:val="single" w:sz="4" w:space="0" w:color="BFBFBF"/>
              <w:left w:val="single" w:sz="4" w:space="0" w:color="BFBFBF"/>
              <w:bottom w:val="single" w:sz="4" w:space="0" w:color="BFBFBF"/>
              <w:right w:val="single" w:sz="4" w:space="0" w:color="BFBFBF"/>
            </w:tcBorders>
          </w:tcPr>
          <w:p w14:paraId="00D384E9"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33.3%</w:t>
            </w:r>
          </w:p>
        </w:tc>
      </w:tr>
      <w:tr w:rsidR="00E818A8" w:rsidRPr="00E515F1" w14:paraId="34912058" w14:textId="77777777">
        <w:tc>
          <w:tcPr>
            <w:tcW w:w="2371" w:type="dxa"/>
            <w:vMerge w:val="restart"/>
            <w:tcBorders>
              <w:top w:val="single" w:sz="4" w:space="0" w:color="BFBFBF"/>
              <w:left w:val="single" w:sz="4" w:space="0" w:color="BFBFBF"/>
              <w:right w:val="single" w:sz="4" w:space="0" w:color="BFBFBF"/>
            </w:tcBorders>
          </w:tcPr>
          <w:p w14:paraId="55DD1201" w14:textId="77777777" w:rsidR="00E818A8" w:rsidRPr="00E515F1" w:rsidRDefault="00E818A8">
            <w:pPr>
              <w:spacing w:before="40" w:after="40" w:line="360" w:lineRule="auto"/>
              <w:ind w:left="57"/>
              <w:rPr>
                <w:rFonts w:ascii="Times New Roman" w:hAnsi="Times New Roman" w:cs="Times New Roman"/>
                <w:b/>
                <w:sz w:val="24"/>
                <w:szCs w:val="24"/>
              </w:rPr>
            </w:pPr>
          </w:p>
          <w:p w14:paraId="1D089C1D"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b/>
                <w:sz w:val="24"/>
                <w:szCs w:val="24"/>
              </w:rPr>
              <w:t>Gender</w:t>
            </w:r>
          </w:p>
        </w:tc>
        <w:tc>
          <w:tcPr>
            <w:tcW w:w="2743" w:type="dxa"/>
            <w:tcBorders>
              <w:top w:val="single" w:sz="4" w:space="0" w:color="BFBFBF"/>
              <w:left w:val="single" w:sz="4" w:space="0" w:color="BFBFBF"/>
              <w:bottom w:val="single" w:sz="4" w:space="0" w:color="BFBFBF"/>
              <w:right w:val="single" w:sz="4" w:space="0" w:color="BFBFBF"/>
            </w:tcBorders>
          </w:tcPr>
          <w:p w14:paraId="6E59BFA7"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Male</w:t>
            </w:r>
          </w:p>
        </w:tc>
        <w:tc>
          <w:tcPr>
            <w:tcW w:w="2113" w:type="dxa"/>
            <w:tcBorders>
              <w:top w:val="single" w:sz="4" w:space="0" w:color="BFBFBF"/>
              <w:left w:val="single" w:sz="4" w:space="0" w:color="BFBFBF"/>
              <w:bottom w:val="single" w:sz="4" w:space="0" w:color="BFBFBF"/>
              <w:right w:val="single" w:sz="4" w:space="0" w:color="BFBFBF"/>
            </w:tcBorders>
          </w:tcPr>
          <w:p w14:paraId="041A4F93"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90</w:t>
            </w:r>
          </w:p>
        </w:tc>
        <w:tc>
          <w:tcPr>
            <w:tcW w:w="2123" w:type="dxa"/>
            <w:tcBorders>
              <w:top w:val="single" w:sz="4" w:space="0" w:color="BFBFBF"/>
              <w:left w:val="single" w:sz="4" w:space="0" w:color="BFBFBF"/>
              <w:bottom w:val="single" w:sz="4" w:space="0" w:color="BFBFBF"/>
              <w:right w:val="single" w:sz="4" w:space="0" w:color="BFBFBF"/>
            </w:tcBorders>
          </w:tcPr>
          <w:p w14:paraId="006B6F15"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60.0%</w:t>
            </w:r>
          </w:p>
        </w:tc>
      </w:tr>
      <w:tr w:rsidR="00E818A8" w:rsidRPr="00E515F1" w14:paraId="15E777DF" w14:textId="77777777">
        <w:tc>
          <w:tcPr>
            <w:tcW w:w="2371" w:type="dxa"/>
            <w:vMerge/>
            <w:tcBorders>
              <w:left w:val="single" w:sz="4" w:space="0" w:color="BFBFBF"/>
              <w:bottom w:val="single" w:sz="4" w:space="0" w:color="BFBFBF"/>
              <w:right w:val="single" w:sz="4" w:space="0" w:color="BFBFBF"/>
            </w:tcBorders>
          </w:tcPr>
          <w:p w14:paraId="3E928DC9"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175637BE"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Female</w:t>
            </w:r>
          </w:p>
        </w:tc>
        <w:tc>
          <w:tcPr>
            <w:tcW w:w="2113" w:type="dxa"/>
            <w:tcBorders>
              <w:top w:val="single" w:sz="4" w:space="0" w:color="BFBFBF"/>
              <w:left w:val="single" w:sz="4" w:space="0" w:color="BFBFBF"/>
              <w:bottom w:val="single" w:sz="4" w:space="0" w:color="BFBFBF"/>
              <w:right w:val="single" w:sz="4" w:space="0" w:color="BFBFBF"/>
            </w:tcBorders>
          </w:tcPr>
          <w:p w14:paraId="61A53C67"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60</w:t>
            </w:r>
          </w:p>
        </w:tc>
        <w:tc>
          <w:tcPr>
            <w:tcW w:w="2123" w:type="dxa"/>
            <w:tcBorders>
              <w:top w:val="single" w:sz="4" w:space="0" w:color="BFBFBF"/>
              <w:left w:val="single" w:sz="4" w:space="0" w:color="BFBFBF"/>
              <w:bottom w:val="single" w:sz="4" w:space="0" w:color="BFBFBF"/>
              <w:right w:val="single" w:sz="4" w:space="0" w:color="BFBFBF"/>
            </w:tcBorders>
          </w:tcPr>
          <w:p w14:paraId="1B0B2718"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40.0%</w:t>
            </w:r>
          </w:p>
        </w:tc>
      </w:tr>
      <w:tr w:rsidR="00E818A8" w:rsidRPr="00E515F1" w14:paraId="7F93ADEC" w14:textId="77777777">
        <w:tc>
          <w:tcPr>
            <w:tcW w:w="2371" w:type="dxa"/>
            <w:vMerge w:val="restart"/>
            <w:tcBorders>
              <w:top w:val="single" w:sz="4" w:space="0" w:color="BFBFBF"/>
              <w:left w:val="single" w:sz="4" w:space="0" w:color="BFBFBF"/>
              <w:right w:val="single" w:sz="4" w:space="0" w:color="BFBFBF"/>
            </w:tcBorders>
          </w:tcPr>
          <w:p w14:paraId="6BEE69AB" w14:textId="77777777" w:rsidR="00E818A8" w:rsidRPr="00E515F1" w:rsidRDefault="00E818A8">
            <w:pPr>
              <w:spacing w:before="40" w:after="40" w:line="360" w:lineRule="auto"/>
              <w:ind w:left="57"/>
              <w:rPr>
                <w:rFonts w:ascii="Times New Roman" w:hAnsi="Times New Roman" w:cs="Times New Roman"/>
                <w:b/>
                <w:sz w:val="24"/>
                <w:szCs w:val="24"/>
              </w:rPr>
            </w:pPr>
          </w:p>
          <w:p w14:paraId="3458C626"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b/>
                <w:sz w:val="24"/>
                <w:szCs w:val="24"/>
              </w:rPr>
              <w:t>Age Group</w:t>
            </w:r>
          </w:p>
        </w:tc>
        <w:tc>
          <w:tcPr>
            <w:tcW w:w="2743" w:type="dxa"/>
            <w:tcBorders>
              <w:top w:val="single" w:sz="4" w:space="0" w:color="BFBFBF"/>
              <w:left w:val="single" w:sz="4" w:space="0" w:color="BFBFBF"/>
              <w:bottom w:val="single" w:sz="4" w:space="0" w:color="BFBFBF"/>
              <w:right w:val="single" w:sz="4" w:space="0" w:color="BFBFBF"/>
            </w:tcBorders>
          </w:tcPr>
          <w:p w14:paraId="4CB6718D"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18 years</w:t>
            </w:r>
          </w:p>
        </w:tc>
        <w:tc>
          <w:tcPr>
            <w:tcW w:w="2113" w:type="dxa"/>
            <w:tcBorders>
              <w:top w:val="single" w:sz="4" w:space="0" w:color="BFBFBF"/>
              <w:left w:val="single" w:sz="4" w:space="0" w:color="BFBFBF"/>
              <w:bottom w:val="single" w:sz="4" w:space="0" w:color="BFBFBF"/>
              <w:right w:val="single" w:sz="4" w:space="0" w:color="BFBFBF"/>
            </w:tcBorders>
          </w:tcPr>
          <w:p w14:paraId="0E2F0E95"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10</w:t>
            </w:r>
          </w:p>
        </w:tc>
        <w:tc>
          <w:tcPr>
            <w:tcW w:w="2123" w:type="dxa"/>
            <w:tcBorders>
              <w:top w:val="single" w:sz="4" w:space="0" w:color="BFBFBF"/>
              <w:left w:val="single" w:sz="4" w:space="0" w:color="BFBFBF"/>
              <w:bottom w:val="single" w:sz="4" w:space="0" w:color="BFBFBF"/>
              <w:right w:val="single" w:sz="4" w:space="0" w:color="BFBFBF"/>
            </w:tcBorders>
          </w:tcPr>
          <w:p w14:paraId="3E4F343C"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6.7%</w:t>
            </w:r>
          </w:p>
        </w:tc>
      </w:tr>
      <w:tr w:rsidR="00E818A8" w:rsidRPr="00E515F1" w14:paraId="24EE9AF9" w14:textId="77777777">
        <w:tc>
          <w:tcPr>
            <w:tcW w:w="2371" w:type="dxa"/>
            <w:vMerge/>
            <w:tcBorders>
              <w:left w:val="single" w:sz="4" w:space="0" w:color="BFBFBF"/>
              <w:right w:val="single" w:sz="4" w:space="0" w:color="BFBFBF"/>
            </w:tcBorders>
          </w:tcPr>
          <w:p w14:paraId="5F84258D"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6BA184EF"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1</w:t>
            </w:r>
            <w:r w:rsidR="00AF6BBB" w:rsidRPr="00E515F1">
              <w:rPr>
                <w:rFonts w:ascii="Times New Roman" w:hAnsi="Times New Roman" w:cs="Times New Roman"/>
                <w:sz w:val="24"/>
                <w:szCs w:val="24"/>
              </w:rPr>
              <w:t>9</w:t>
            </w:r>
            <w:r w:rsidRPr="00E515F1">
              <w:rPr>
                <w:rFonts w:ascii="Times New Roman" w:hAnsi="Times New Roman" w:cs="Times New Roman"/>
                <w:sz w:val="24"/>
                <w:szCs w:val="24"/>
              </w:rPr>
              <w:t>-35 years</w:t>
            </w:r>
          </w:p>
        </w:tc>
        <w:tc>
          <w:tcPr>
            <w:tcW w:w="2113" w:type="dxa"/>
            <w:tcBorders>
              <w:top w:val="single" w:sz="4" w:space="0" w:color="BFBFBF"/>
              <w:left w:val="single" w:sz="4" w:space="0" w:color="BFBFBF"/>
              <w:bottom w:val="single" w:sz="4" w:space="0" w:color="BFBFBF"/>
              <w:right w:val="single" w:sz="4" w:space="0" w:color="BFBFBF"/>
            </w:tcBorders>
          </w:tcPr>
          <w:p w14:paraId="2E75C88D"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85</w:t>
            </w:r>
          </w:p>
        </w:tc>
        <w:tc>
          <w:tcPr>
            <w:tcW w:w="2123" w:type="dxa"/>
            <w:tcBorders>
              <w:top w:val="single" w:sz="4" w:space="0" w:color="BFBFBF"/>
              <w:left w:val="single" w:sz="4" w:space="0" w:color="BFBFBF"/>
              <w:bottom w:val="single" w:sz="4" w:space="0" w:color="BFBFBF"/>
              <w:right w:val="single" w:sz="4" w:space="0" w:color="BFBFBF"/>
            </w:tcBorders>
          </w:tcPr>
          <w:p w14:paraId="779B8949"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56.7%</w:t>
            </w:r>
          </w:p>
        </w:tc>
      </w:tr>
      <w:tr w:rsidR="00E818A8" w:rsidRPr="00E515F1" w14:paraId="4BC22210" w14:textId="77777777">
        <w:tc>
          <w:tcPr>
            <w:tcW w:w="2371" w:type="dxa"/>
            <w:vMerge/>
            <w:tcBorders>
              <w:left w:val="single" w:sz="4" w:space="0" w:color="BFBFBF"/>
              <w:right w:val="single" w:sz="4" w:space="0" w:color="BFBFBF"/>
            </w:tcBorders>
          </w:tcPr>
          <w:p w14:paraId="70BC1A32"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7B45E4E6"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36-50 years</w:t>
            </w:r>
          </w:p>
        </w:tc>
        <w:tc>
          <w:tcPr>
            <w:tcW w:w="2113" w:type="dxa"/>
            <w:tcBorders>
              <w:top w:val="single" w:sz="4" w:space="0" w:color="BFBFBF"/>
              <w:left w:val="single" w:sz="4" w:space="0" w:color="BFBFBF"/>
              <w:bottom w:val="single" w:sz="4" w:space="0" w:color="BFBFBF"/>
              <w:right w:val="single" w:sz="4" w:space="0" w:color="BFBFBF"/>
            </w:tcBorders>
          </w:tcPr>
          <w:p w14:paraId="436B4BC2"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40</w:t>
            </w:r>
          </w:p>
        </w:tc>
        <w:tc>
          <w:tcPr>
            <w:tcW w:w="2123" w:type="dxa"/>
            <w:tcBorders>
              <w:top w:val="single" w:sz="4" w:space="0" w:color="BFBFBF"/>
              <w:left w:val="single" w:sz="4" w:space="0" w:color="BFBFBF"/>
              <w:bottom w:val="single" w:sz="4" w:space="0" w:color="BFBFBF"/>
              <w:right w:val="single" w:sz="4" w:space="0" w:color="BFBFBF"/>
            </w:tcBorders>
          </w:tcPr>
          <w:p w14:paraId="0646233A"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26.7%</w:t>
            </w:r>
          </w:p>
        </w:tc>
      </w:tr>
      <w:tr w:rsidR="00E818A8" w:rsidRPr="00E515F1" w14:paraId="6C330279" w14:textId="77777777">
        <w:tc>
          <w:tcPr>
            <w:tcW w:w="2371" w:type="dxa"/>
            <w:vMerge/>
            <w:tcBorders>
              <w:left w:val="single" w:sz="4" w:space="0" w:color="BFBFBF"/>
              <w:bottom w:val="single" w:sz="4" w:space="0" w:color="BFBFBF"/>
              <w:right w:val="single" w:sz="4" w:space="0" w:color="BFBFBF"/>
            </w:tcBorders>
          </w:tcPr>
          <w:p w14:paraId="71A1B047"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62F48648"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&gt;50 years</w:t>
            </w:r>
          </w:p>
        </w:tc>
        <w:tc>
          <w:tcPr>
            <w:tcW w:w="2113" w:type="dxa"/>
            <w:tcBorders>
              <w:top w:val="single" w:sz="4" w:space="0" w:color="BFBFBF"/>
              <w:left w:val="single" w:sz="4" w:space="0" w:color="BFBFBF"/>
              <w:bottom w:val="single" w:sz="4" w:space="0" w:color="BFBFBF"/>
              <w:right w:val="single" w:sz="4" w:space="0" w:color="BFBFBF"/>
            </w:tcBorders>
          </w:tcPr>
          <w:p w14:paraId="59D066F9"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15</w:t>
            </w:r>
          </w:p>
        </w:tc>
        <w:tc>
          <w:tcPr>
            <w:tcW w:w="2123" w:type="dxa"/>
            <w:tcBorders>
              <w:top w:val="single" w:sz="4" w:space="0" w:color="BFBFBF"/>
              <w:left w:val="single" w:sz="4" w:space="0" w:color="BFBFBF"/>
              <w:bottom w:val="single" w:sz="4" w:space="0" w:color="BFBFBF"/>
              <w:right w:val="single" w:sz="4" w:space="0" w:color="BFBFBF"/>
            </w:tcBorders>
          </w:tcPr>
          <w:p w14:paraId="2B0B5119"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10.0%</w:t>
            </w:r>
          </w:p>
        </w:tc>
      </w:tr>
      <w:tr w:rsidR="00E818A8" w:rsidRPr="00E515F1" w14:paraId="5F4024AF" w14:textId="77777777">
        <w:tc>
          <w:tcPr>
            <w:tcW w:w="2371" w:type="dxa"/>
            <w:vMerge w:val="restart"/>
            <w:tcBorders>
              <w:top w:val="single" w:sz="4" w:space="0" w:color="BFBFBF"/>
              <w:left w:val="single" w:sz="4" w:space="0" w:color="BFBFBF"/>
              <w:right w:val="single" w:sz="4" w:space="0" w:color="BFBFBF"/>
            </w:tcBorders>
          </w:tcPr>
          <w:p w14:paraId="7BF2C65A"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b/>
                <w:sz w:val="24"/>
                <w:szCs w:val="24"/>
              </w:rPr>
              <w:t>Primary Occupation</w:t>
            </w:r>
          </w:p>
        </w:tc>
        <w:tc>
          <w:tcPr>
            <w:tcW w:w="2743" w:type="dxa"/>
            <w:tcBorders>
              <w:top w:val="single" w:sz="4" w:space="0" w:color="BFBFBF"/>
              <w:left w:val="single" w:sz="4" w:space="0" w:color="BFBFBF"/>
              <w:bottom w:val="single" w:sz="4" w:space="0" w:color="BFBFBF"/>
              <w:right w:val="single" w:sz="4" w:space="0" w:color="BFBFBF"/>
            </w:tcBorders>
          </w:tcPr>
          <w:p w14:paraId="2BB06834"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Pastoralist/Livestock Farmer</w:t>
            </w:r>
          </w:p>
        </w:tc>
        <w:tc>
          <w:tcPr>
            <w:tcW w:w="2113" w:type="dxa"/>
            <w:tcBorders>
              <w:top w:val="single" w:sz="4" w:space="0" w:color="BFBFBF"/>
              <w:left w:val="single" w:sz="4" w:space="0" w:color="BFBFBF"/>
              <w:bottom w:val="single" w:sz="4" w:space="0" w:color="BFBFBF"/>
              <w:right w:val="single" w:sz="4" w:space="0" w:color="BFBFBF"/>
            </w:tcBorders>
          </w:tcPr>
          <w:p w14:paraId="299A4FF5"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70</w:t>
            </w:r>
          </w:p>
        </w:tc>
        <w:tc>
          <w:tcPr>
            <w:tcW w:w="2123" w:type="dxa"/>
            <w:tcBorders>
              <w:top w:val="single" w:sz="4" w:space="0" w:color="BFBFBF"/>
              <w:left w:val="single" w:sz="4" w:space="0" w:color="BFBFBF"/>
              <w:bottom w:val="single" w:sz="4" w:space="0" w:color="BFBFBF"/>
              <w:right w:val="single" w:sz="4" w:space="0" w:color="BFBFBF"/>
            </w:tcBorders>
          </w:tcPr>
          <w:p w14:paraId="1FFA4545"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46.7%</w:t>
            </w:r>
          </w:p>
        </w:tc>
      </w:tr>
      <w:tr w:rsidR="00E818A8" w:rsidRPr="00E515F1" w14:paraId="24256B47" w14:textId="77777777">
        <w:tc>
          <w:tcPr>
            <w:tcW w:w="2371" w:type="dxa"/>
            <w:vMerge/>
            <w:tcBorders>
              <w:left w:val="single" w:sz="4" w:space="0" w:color="BFBFBF"/>
              <w:right w:val="single" w:sz="4" w:space="0" w:color="BFBFBF"/>
            </w:tcBorders>
          </w:tcPr>
          <w:p w14:paraId="3ACC2564"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44C342AC"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Milk Vendor/Processor</w:t>
            </w:r>
          </w:p>
        </w:tc>
        <w:tc>
          <w:tcPr>
            <w:tcW w:w="2113" w:type="dxa"/>
            <w:tcBorders>
              <w:top w:val="single" w:sz="4" w:space="0" w:color="BFBFBF"/>
              <w:left w:val="single" w:sz="4" w:space="0" w:color="BFBFBF"/>
              <w:bottom w:val="single" w:sz="4" w:space="0" w:color="BFBFBF"/>
              <w:right w:val="single" w:sz="4" w:space="0" w:color="BFBFBF"/>
            </w:tcBorders>
          </w:tcPr>
          <w:p w14:paraId="11E1960E"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20</w:t>
            </w:r>
          </w:p>
        </w:tc>
        <w:tc>
          <w:tcPr>
            <w:tcW w:w="2123" w:type="dxa"/>
            <w:tcBorders>
              <w:top w:val="single" w:sz="4" w:space="0" w:color="BFBFBF"/>
              <w:left w:val="single" w:sz="4" w:space="0" w:color="BFBFBF"/>
              <w:bottom w:val="single" w:sz="4" w:space="0" w:color="BFBFBF"/>
              <w:right w:val="single" w:sz="4" w:space="0" w:color="BFBFBF"/>
            </w:tcBorders>
          </w:tcPr>
          <w:p w14:paraId="16465B33"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13.3%</w:t>
            </w:r>
          </w:p>
        </w:tc>
      </w:tr>
      <w:tr w:rsidR="00E818A8" w:rsidRPr="00E515F1" w14:paraId="2E13F299" w14:textId="77777777">
        <w:tc>
          <w:tcPr>
            <w:tcW w:w="2371" w:type="dxa"/>
            <w:vMerge/>
            <w:tcBorders>
              <w:left w:val="single" w:sz="4" w:space="0" w:color="BFBFBF"/>
              <w:right w:val="single" w:sz="4" w:space="0" w:color="BFBFBF"/>
            </w:tcBorders>
          </w:tcPr>
          <w:p w14:paraId="4A913BAA"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40AABD6D"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Farmer (crop)</w:t>
            </w:r>
          </w:p>
        </w:tc>
        <w:tc>
          <w:tcPr>
            <w:tcW w:w="2113" w:type="dxa"/>
            <w:tcBorders>
              <w:top w:val="single" w:sz="4" w:space="0" w:color="BFBFBF"/>
              <w:left w:val="single" w:sz="4" w:space="0" w:color="BFBFBF"/>
              <w:bottom w:val="single" w:sz="4" w:space="0" w:color="BFBFBF"/>
              <w:right w:val="single" w:sz="4" w:space="0" w:color="BFBFBF"/>
            </w:tcBorders>
          </w:tcPr>
          <w:p w14:paraId="7131E22D"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30</w:t>
            </w:r>
          </w:p>
        </w:tc>
        <w:tc>
          <w:tcPr>
            <w:tcW w:w="2123" w:type="dxa"/>
            <w:tcBorders>
              <w:top w:val="single" w:sz="4" w:space="0" w:color="BFBFBF"/>
              <w:left w:val="single" w:sz="4" w:space="0" w:color="BFBFBF"/>
              <w:bottom w:val="single" w:sz="4" w:space="0" w:color="BFBFBF"/>
              <w:right w:val="single" w:sz="4" w:space="0" w:color="BFBFBF"/>
            </w:tcBorders>
          </w:tcPr>
          <w:p w14:paraId="21BEC18D"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20.0%</w:t>
            </w:r>
          </w:p>
        </w:tc>
      </w:tr>
      <w:tr w:rsidR="00E818A8" w:rsidRPr="00E515F1" w14:paraId="4AC74E99" w14:textId="77777777">
        <w:tc>
          <w:tcPr>
            <w:tcW w:w="2371" w:type="dxa"/>
            <w:vMerge/>
            <w:tcBorders>
              <w:left w:val="single" w:sz="4" w:space="0" w:color="BFBFBF"/>
              <w:bottom w:val="single" w:sz="4" w:space="0" w:color="BFBFBF"/>
              <w:right w:val="single" w:sz="4" w:space="0" w:color="BFBFBF"/>
            </w:tcBorders>
          </w:tcPr>
          <w:p w14:paraId="4E4EB026"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3BC8701B"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Other (Trader, Student, etc.)</w:t>
            </w:r>
          </w:p>
        </w:tc>
        <w:tc>
          <w:tcPr>
            <w:tcW w:w="2113" w:type="dxa"/>
            <w:tcBorders>
              <w:top w:val="single" w:sz="4" w:space="0" w:color="BFBFBF"/>
              <w:left w:val="single" w:sz="4" w:space="0" w:color="BFBFBF"/>
              <w:bottom w:val="single" w:sz="4" w:space="0" w:color="BFBFBF"/>
              <w:right w:val="single" w:sz="4" w:space="0" w:color="BFBFBF"/>
            </w:tcBorders>
          </w:tcPr>
          <w:p w14:paraId="13818E88"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30</w:t>
            </w:r>
          </w:p>
        </w:tc>
        <w:tc>
          <w:tcPr>
            <w:tcW w:w="2123" w:type="dxa"/>
            <w:tcBorders>
              <w:top w:val="single" w:sz="4" w:space="0" w:color="BFBFBF"/>
              <w:left w:val="single" w:sz="4" w:space="0" w:color="BFBFBF"/>
              <w:bottom w:val="single" w:sz="4" w:space="0" w:color="BFBFBF"/>
              <w:right w:val="single" w:sz="4" w:space="0" w:color="BFBFBF"/>
            </w:tcBorders>
          </w:tcPr>
          <w:p w14:paraId="6C45BF43"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20.0%</w:t>
            </w:r>
          </w:p>
        </w:tc>
      </w:tr>
      <w:tr w:rsidR="00E818A8" w:rsidRPr="00E515F1" w14:paraId="2FD730D8" w14:textId="77777777">
        <w:tc>
          <w:tcPr>
            <w:tcW w:w="2371" w:type="dxa"/>
            <w:vMerge w:val="restart"/>
            <w:tcBorders>
              <w:top w:val="single" w:sz="4" w:space="0" w:color="BFBFBF"/>
              <w:left w:val="single" w:sz="4" w:space="0" w:color="BFBFBF"/>
              <w:right w:val="single" w:sz="4" w:space="0" w:color="BFBFBF"/>
            </w:tcBorders>
          </w:tcPr>
          <w:p w14:paraId="5B1F14BA" w14:textId="77777777" w:rsidR="00E818A8" w:rsidRPr="00E515F1" w:rsidRDefault="00E818A8">
            <w:pPr>
              <w:spacing w:before="40" w:after="40" w:line="360" w:lineRule="auto"/>
              <w:ind w:left="57"/>
              <w:rPr>
                <w:rFonts w:ascii="Times New Roman" w:hAnsi="Times New Roman" w:cs="Times New Roman"/>
                <w:b/>
                <w:sz w:val="24"/>
                <w:szCs w:val="24"/>
              </w:rPr>
            </w:pPr>
          </w:p>
          <w:p w14:paraId="526B18E8"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b/>
                <w:sz w:val="24"/>
                <w:szCs w:val="24"/>
              </w:rPr>
              <w:t>Educational Attainment</w:t>
            </w:r>
          </w:p>
        </w:tc>
        <w:tc>
          <w:tcPr>
            <w:tcW w:w="2743" w:type="dxa"/>
            <w:tcBorders>
              <w:top w:val="single" w:sz="4" w:space="0" w:color="BFBFBF"/>
              <w:left w:val="single" w:sz="4" w:space="0" w:color="BFBFBF"/>
              <w:bottom w:val="single" w:sz="4" w:space="0" w:color="BFBFBF"/>
              <w:right w:val="single" w:sz="4" w:space="0" w:color="BFBFBF"/>
            </w:tcBorders>
          </w:tcPr>
          <w:p w14:paraId="71A7675A"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Quranic education</w:t>
            </w:r>
          </w:p>
        </w:tc>
        <w:tc>
          <w:tcPr>
            <w:tcW w:w="2113" w:type="dxa"/>
            <w:tcBorders>
              <w:top w:val="single" w:sz="4" w:space="0" w:color="BFBFBF"/>
              <w:left w:val="single" w:sz="4" w:space="0" w:color="BFBFBF"/>
              <w:bottom w:val="single" w:sz="4" w:space="0" w:color="BFBFBF"/>
              <w:right w:val="single" w:sz="4" w:space="0" w:color="BFBFBF"/>
            </w:tcBorders>
          </w:tcPr>
          <w:p w14:paraId="3E34D730"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50</w:t>
            </w:r>
          </w:p>
        </w:tc>
        <w:tc>
          <w:tcPr>
            <w:tcW w:w="2123" w:type="dxa"/>
            <w:tcBorders>
              <w:top w:val="single" w:sz="4" w:space="0" w:color="BFBFBF"/>
              <w:left w:val="single" w:sz="4" w:space="0" w:color="BFBFBF"/>
              <w:bottom w:val="single" w:sz="4" w:space="0" w:color="BFBFBF"/>
              <w:right w:val="single" w:sz="4" w:space="0" w:color="BFBFBF"/>
            </w:tcBorders>
          </w:tcPr>
          <w:p w14:paraId="0C303112"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33.3%</w:t>
            </w:r>
          </w:p>
        </w:tc>
      </w:tr>
      <w:tr w:rsidR="00E818A8" w:rsidRPr="00E515F1" w14:paraId="2E326B4B" w14:textId="77777777">
        <w:tc>
          <w:tcPr>
            <w:tcW w:w="2371" w:type="dxa"/>
            <w:vMerge/>
            <w:tcBorders>
              <w:left w:val="single" w:sz="4" w:space="0" w:color="BFBFBF"/>
              <w:right w:val="single" w:sz="4" w:space="0" w:color="BFBFBF"/>
            </w:tcBorders>
          </w:tcPr>
          <w:p w14:paraId="6D7995DF"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6C77902F"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Primary education</w:t>
            </w:r>
          </w:p>
        </w:tc>
        <w:tc>
          <w:tcPr>
            <w:tcW w:w="2113" w:type="dxa"/>
            <w:tcBorders>
              <w:top w:val="single" w:sz="4" w:space="0" w:color="BFBFBF"/>
              <w:left w:val="single" w:sz="4" w:space="0" w:color="BFBFBF"/>
              <w:bottom w:val="single" w:sz="4" w:space="0" w:color="BFBFBF"/>
              <w:right w:val="single" w:sz="4" w:space="0" w:color="BFBFBF"/>
            </w:tcBorders>
          </w:tcPr>
          <w:p w14:paraId="41E344CC"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45</w:t>
            </w:r>
          </w:p>
        </w:tc>
        <w:tc>
          <w:tcPr>
            <w:tcW w:w="2123" w:type="dxa"/>
            <w:tcBorders>
              <w:top w:val="single" w:sz="4" w:space="0" w:color="BFBFBF"/>
              <w:left w:val="single" w:sz="4" w:space="0" w:color="BFBFBF"/>
              <w:bottom w:val="single" w:sz="4" w:space="0" w:color="BFBFBF"/>
              <w:right w:val="single" w:sz="4" w:space="0" w:color="BFBFBF"/>
            </w:tcBorders>
          </w:tcPr>
          <w:p w14:paraId="46D32B56"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30.0%</w:t>
            </w:r>
          </w:p>
        </w:tc>
      </w:tr>
      <w:tr w:rsidR="00E818A8" w:rsidRPr="00E515F1" w14:paraId="71F7AE73" w14:textId="77777777">
        <w:tc>
          <w:tcPr>
            <w:tcW w:w="2371" w:type="dxa"/>
            <w:vMerge/>
            <w:tcBorders>
              <w:left w:val="single" w:sz="4" w:space="0" w:color="BFBFBF"/>
              <w:right w:val="single" w:sz="4" w:space="0" w:color="BFBFBF"/>
            </w:tcBorders>
          </w:tcPr>
          <w:p w14:paraId="5F4AE90C"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57DB522A"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Secondary education</w:t>
            </w:r>
          </w:p>
        </w:tc>
        <w:tc>
          <w:tcPr>
            <w:tcW w:w="2113" w:type="dxa"/>
            <w:tcBorders>
              <w:top w:val="single" w:sz="4" w:space="0" w:color="BFBFBF"/>
              <w:left w:val="single" w:sz="4" w:space="0" w:color="BFBFBF"/>
              <w:bottom w:val="single" w:sz="4" w:space="0" w:color="BFBFBF"/>
              <w:right w:val="single" w:sz="4" w:space="0" w:color="BFBFBF"/>
            </w:tcBorders>
          </w:tcPr>
          <w:p w14:paraId="13EC092D"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35</w:t>
            </w:r>
          </w:p>
        </w:tc>
        <w:tc>
          <w:tcPr>
            <w:tcW w:w="2123" w:type="dxa"/>
            <w:tcBorders>
              <w:top w:val="single" w:sz="4" w:space="0" w:color="BFBFBF"/>
              <w:left w:val="single" w:sz="4" w:space="0" w:color="BFBFBF"/>
              <w:bottom w:val="single" w:sz="4" w:space="0" w:color="BFBFBF"/>
              <w:right w:val="single" w:sz="4" w:space="0" w:color="BFBFBF"/>
            </w:tcBorders>
          </w:tcPr>
          <w:p w14:paraId="6128B6BF"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23.3%</w:t>
            </w:r>
          </w:p>
        </w:tc>
      </w:tr>
      <w:tr w:rsidR="00E818A8" w:rsidRPr="00E515F1" w14:paraId="61E292B2" w14:textId="77777777">
        <w:tc>
          <w:tcPr>
            <w:tcW w:w="2371" w:type="dxa"/>
            <w:vMerge/>
            <w:tcBorders>
              <w:left w:val="single" w:sz="4" w:space="0" w:color="BFBFBF"/>
              <w:bottom w:val="single" w:sz="4" w:space="0" w:color="BFBFBF"/>
              <w:right w:val="single" w:sz="4" w:space="0" w:color="BFBFBF"/>
            </w:tcBorders>
          </w:tcPr>
          <w:p w14:paraId="45EC75A7" w14:textId="77777777" w:rsidR="00E818A8" w:rsidRPr="00E515F1" w:rsidRDefault="00E818A8">
            <w:pPr>
              <w:spacing w:before="40" w:after="40" w:line="360" w:lineRule="auto"/>
              <w:ind w:left="57"/>
              <w:rPr>
                <w:rFonts w:ascii="Times New Roman" w:hAnsi="Times New Roman" w:cs="Times New Roman"/>
                <w:sz w:val="24"/>
                <w:szCs w:val="24"/>
              </w:rPr>
            </w:pPr>
          </w:p>
        </w:tc>
        <w:tc>
          <w:tcPr>
            <w:tcW w:w="2743" w:type="dxa"/>
            <w:tcBorders>
              <w:top w:val="single" w:sz="4" w:space="0" w:color="BFBFBF"/>
              <w:left w:val="single" w:sz="4" w:space="0" w:color="BFBFBF"/>
              <w:bottom w:val="single" w:sz="4" w:space="0" w:color="BFBFBF"/>
              <w:right w:val="single" w:sz="4" w:space="0" w:color="BFBFBF"/>
            </w:tcBorders>
          </w:tcPr>
          <w:p w14:paraId="1B6A5585" w14:textId="77777777" w:rsidR="00E818A8" w:rsidRPr="00E515F1" w:rsidRDefault="005F3352">
            <w:pPr>
              <w:spacing w:before="40" w:after="40" w:line="360" w:lineRule="auto"/>
              <w:ind w:left="57"/>
              <w:rPr>
                <w:rFonts w:ascii="Times New Roman" w:hAnsi="Times New Roman" w:cs="Times New Roman"/>
                <w:sz w:val="24"/>
                <w:szCs w:val="24"/>
              </w:rPr>
            </w:pPr>
            <w:r w:rsidRPr="00E515F1">
              <w:rPr>
                <w:rFonts w:ascii="Times New Roman" w:hAnsi="Times New Roman" w:cs="Times New Roman"/>
                <w:sz w:val="24"/>
                <w:szCs w:val="24"/>
              </w:rPr>
              <w:t>Tertiary education</w:t>
            </w:r>
          </w:p>
        </w:tc>
        <w:tc>
          <w:tcPr>
            <w:tcW w:w="2113" w:type="dxa"/>
            <w:tcBorders>
              <w:top w:val="single" w:sz="4" w:space="0" w:color="BFBFBF"/>
              <w:left w:val="single" w:sz="4" w:space="0" w:color="BFBFBF"/>
              <w:bottom w:val="single" w:sz="4" w:space="0" w:color="BFBFBF"/>
              <w:right w:val="single" w:sz="4" w:space="0" w:color="BFBFBF"/>
            </w:tcBorders>
          </w:tcPr>
          <w:p w14:paraId="595F9E97"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20</w:t>
            </w:r>
          </w:p>
        </w:tc>
        <w:tc>
          <w:tcPr>
            <w:tcW w:w="2123" w:type="dxa"/>
            <w:tcBorders>
              <w:top w:val="single" w:sz="4" w:space="0" w:color="BFBFBF"/>
              <w:left w:val="single" w:sz="4" w:space="0" w:color="BFBFBF"/>
              <w:bottom w:val="single" w:sz="4" w:space="0" w:color="BFBFBF"/>
              <w:right w:val="single" w:sz="4" w:space="0" w:color="BFBFBF"/>
            </w:tcBorders>
          </w:tcPr>
          <w:p w14:paraId="4453E770" w14:textId="77777777" w:rsidR="00E818A8" w:rsidRPr="00E515F1" w:rsidRDefault="005F3352">
            <w:pPr>
              <w:spacing w:before="40" w:after="40" w:line="360" w:lineRule="auto"/>
              <w:ind w:left="57"/>
              <w:jc w:val="center"/>
              <w:rPr>
                <w:rFonts w:ascii="Times New Roman" w:hAnsi="Times New Roman" w:cs="Times New Roman"/>
                <w:sz w:val="24"/>
                <w:szCs w:val="24"/>
              </w:rPr>
            </w:pPr>
            <w:r w:rsidRPr="00E515F1">
              <w:rPr>
                <w:rFonts w:ascii="Times New Roman" w:hAnsi="Times New Roman" w:cs="Times New Roman"/>
                <w:sz w:val="24"/>
                <w:szCs w:val="24"/>
              </w:rPr>
              <w:t>13.3%</w:t>
            </w:r>
          </w:p>
        </w:tc>
      </w:tr>
    </w:tbl>
    <w:p w14:paraId="4C229CCA" w14:textId="77777777" w:rsidR="00E818A8" w:rsidRPr="00E515F1" w:rsidRDefault="008F0955">
      <w:pPr>
        <w:spacing w:before="40" w:line="360" w:lineRule="auto"/>
        <w:rPr>
          <w:rStyle w:val="Emphasis"/>
          <w:rFonts w:ascii="Times New Roman" w:hAnsi="Times New Roman" w:cs="Times New Roman"/>
          <w:i w:val="0"/>
          <w:color w:val="0F1115"/>
          <w:sz w:val="24"/>
          <w:szCs w:val="24"/>
          <w:shd w:val="clear" w:color="auto" w:fill="FFFFFF"/>
        </w:rPr>
      </w:pPr>
      <w:r w:rsidRPr="00E515F1">
        <w:rPr>
          <w:rStyle w:val="Emphasis"/>
          <w:rFonts w:ascii="Times New Roman" w:hAnsi="Times New Roman" w:cs="Times New Roman"/>
          <w:i w:val="0"/>
          <w:color w:val="0F1115"/>
          <w:sz w:val="24"/>
          <w:szCs w:val="24"/>
          <w:shd w:val="clear" w:color="auto" w:fill="FFFFFF"/>
        </w:rPr>
        <w:t>Respondents aged 18 years are included as adults (≥18 years) and provided informed consent.</w:t>
      </w:r>
    </w:p>
    <w:p w14:paraId="66E5E153" w14:textId="77777777" w:rsidR="00E818A8" w:rsidRPr="00E515F1" w:rsidRDefault="005F3352" w:rsidP="00FF4D5B">
      <w:pPr>
        <w:spacing w:before="200" w:after="80" w:line="360" w:lineRule="auto"/>
        <w:ind w:firstLine="720"/>
        <w:rPr>
          <w:rFonts w:ascii="Times New Roman" w:hAnsi="Times New Roman" w:cs="Times New Roman"/>
          <w:sz w:val="24"/>
          <w:szCs w:val="24"/>
        </w:rPr>
      </w:pPr>
      <w:r w:rsidRPr="00E515F1">
        <w:rPr>
          <w:rFonts w:ascii="Times New Roman" w:hAnsi="Times New Roman" w:cs="Times New Roman"/>
          <w:b/>
          <w:sz w:val="24"/>
          <w:szCs w:val="24"/>
        </w:rPr>
        <w:t>Knowledge of Milk-Borne Diseases</w:t>
      </w:r>
    </w:p>
    <w:p w14:paraId="1C02153B" w14:textId="77777777" w:rsidR="00E818A8" w:rsidRPr="00E515F1" w:rsidRDefault="005F3352">
      <w:pPr>
        <w:spacing w:before="200" w:after="60" w:line="360" w:lineRule="auto"/>
        <w:rPr>
          <w:rFonts w:ascii="Times New Roman" w:hAnsi="Times New Roman" w:cs="Times New Roman"/>
          <w:b/>
          <w:sz w:val="24"/>
          <w:szCs w:val="24"/>
        </w:rPr>
      </w:pPr>
      <w:r w:rsidRPr="00E515F1">
        <w:rPr>
          <w:rFonts w:ascii="Times New Roman" w:hAnsi="Times New Roman" w:cs="Times New Roman"/>
          <w:b/>
          <w:sz w:val="24"/>
          <w:szCs w:val="24"/>
        </w:rPr>
        <w:t>Table 2. Knowledge of Milk-Borne Diseases (N = 150)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08"/>
        <w:gridCol w:w="2161"/>
        <w:gridCol w:w="1769"/>
        <w:gridCol w:w="1867"/>
      </w:tblGrid>
      <w:tr w:rsidR="008039A7" w:rsidRPr="00E515F1" w14:paraId="42E89E61" w14:textId="77777777" w:rsidTr="00FF4D5B">
        <w:trPr>
          <w:tblHeader/>
        </w:trPr>
        <w:tc>
          <w:tcPr>
            <w:tcW w:w="0" w:type="auto"/>
            <w:tcMar>
              <w:top w:w="150" w:type="dxa"/>
              <w:left w:w="0" w:type="dxa"/>
              <w:bottom w:w="150" w:type="dxa"/>
              <w:right w:w="240" w:type="dxa"/>
            </w:tcMar>
            <w:vAlign w:val="center"/>
            <w:hideMark/>
          </w:tcPr>
          <w:p w14:paraId="16F53760"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Question</w:t>
            </w:r>
          </w:p>
        </w:tc>
        <w:tc>
          <w:tcPr>
            <w:tcW w:w="0" w:type="auto"/>
            <w:tcMar>
              <w:top w:w="150" w:type="dxa"/>
              <w:left w:w="240" w:type="dxa"/>
              <w:bottom w:w="150" w:type="dxa"/>
              <w:right w:w="240" w:type="dxa"/>
            </w:tcMar>
            <w:vAlign w:val="center"/>
            <w:hideMark/>
          </w:tcPr>
          <w:p w14:paraId="585A2787"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Response Option</w:t>
            </w:r>
          </w:p>
        </w:tc>
        <w:tc>
          <w:tcPr>
            <w:tcW w:w="0" w:type="auto"/>
            <w:tcMar>
              <w:top w:w="150" w:type="dxa"/>
              <w:left w:w="240" w:type="dxa"/>
              <w:bottom w:w="150" w:type="dxa"/>
              <w:right w:w="240" w:type="dxa"/>
            </w:tcMar>
            <w:vAlign w:val="center"/>
            <w:hideMark/>
          </w:tcPr>
          <w:p w14:paraId="15AB5517"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Frequency (n)</w:t>
            </w:r>
          </w:p>
        </w:tc>
        <w:tc>
          <w:tcPr>
            <w:tcW w:w="0" w:type="auto"/>
            <w:tcMar>
              <w:top w:w="150" w:type="dxa"/>
              <w:left w:w="240" w:type="dxa"/>
              <w:bottom w:w="150" w:type="dxa"/>
              <w:right w:w="240" w:type="dxa"/>
            </w:tcMar>
            <w:vAlign w:val="center"/>
            <w:hideMark/>
          </w:tcPr>
          <w:p w14:paraId="68EC0E2C"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Percentage (%)</w:t>
            </w:r>
          </w:p>
        </w:tc>
      </w:tr>
      <w:tr w:rsidR="008039A7" w:rsidRPr="00E515F1" w14:paraId="739425F6" w14:textId="77777777" w:rsidTr="00FF4D5B">
        <w:tc>
          <w:tcPr>
            <w:tcW w:w="0" w:type="auto"/>
            <w:tcMar>
              <w:top w:w="150" w:type="dxa"/>
              <w:left w:w="0" w:type="dxa"/>
              <w:bottom w:w="150" w:type="dxa"/>
              <w:right w:w="240" w:type="dxa"/>
            </w:tcMar>
            <w:vAlign w:val="center"/>
            <w:hideMark/>
          </w:tcPr>
          <w:p w14:paraId="7110B465"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Have you heard of diseases transmitted through milk?</w:t>
            </w:r>
          </w:p>
        </w:tc>
        <w:tc>
          <w:tcPr>
            <w:tcW w:w="0" w:type="auto"/>
            <w:tcMar>
              <w:top w:w="150" w:type="dxa"/>
              <w:left w:w="240" w:type="dxa"/>
              <w:bottom w:w="150" w:type="dxa"/>
              <w:right w:w="240" w:type="dxa"/>
            </w:tcMar>
            <w:vAlign w:val="center"/>
            <w:hideMark/>
          </w:tcPr>
          <w:p w14:paraId="28E579A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w:t>
            </w:r>
          </w:p>
        </w:tc>
        <w:tc>
          <w:tcPr>
            <w:tcW w:w="0" w:type="auto"/>
            <w:tcMar>
              <w:top w:w="150" w:type="dxa"/>
              <w:left w:w="240" w:type="dxa"/>
              <w:bottom w:w="150" w:type="dxa"/>
              <w:right w:w="240" w:type="dxa"/>
            </w:tcMar>
            <w:vAlign w:val="center"/>
            <w:hideMark/>
          </w:tcPr>
          <w:p w14:paraId="067807E8"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w:t>
            </w:r>
          </w:p>
        </w:tc>
        <w:tc>
          <w:tcPr>
            <w:tcW w:w="0" w:type="auto"/>
            <w:tcMar>
              <w:top w:w="150" w:type="dxa"/>
              <w:left w:w="240" w:type="dxa"/>
              <w:bottom w:w="150" w:type="dxa"/>
              <w:right w:w="0" w:type="dxa"/>
            </w:tcMar>
            <w:vAlign w:val="center"/>
            <w:hideMark/>
          </w:tcPr>
          <w:p w14:paraId="45D410C5"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40.0</w:t>
            </w:r>
          </w:p>
        </w:tc>
      </w:tr>
      <w:tr w:rsidR="008039A7" w:rsidRPr="00E515F1" w14:paraId="2EB74A13" w14:textId="77777777" w:rsidTr="00FF4D5B">
        <w:tc>
          <w:tcPr>
            <w:tcW w:w="0" w:type="auto"/>
            <w:tcMar>
              <w:top w:w="150" w:type="dxa"/>
              <w:left w:w="0" w:type="dxa"/>
              <w:bottom w:w="150" w:type="dxa"/>
              <w:right w:w="240" w:type="dxa"/>
            </w:tcMar>
            <w:vAlign w:val="center"/>
            <w:hideMark/>
          </w:tcPr>
          <w:p w14:paraId="15814AC0"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C1D6F4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3043EF16"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70</w:t>
            </w:r>
          </w:p>
        </w:tc>
        <w:tc>
          <w:tcPr>
            <w:tcW w:w="0" w:type="auto"/>
            <w:tcMar>
              <w:top w:w="150" w:type="dxa"/>
              <w:left w:w="240" w:type="dxa"/>
              <w:bottom w:w="150" w:type="dxa"/>
              <w:right w:w="0" w:type="dxa"/>
            </w:tcMar>
            <w:vAlign w:val="center"/>
            <w:hideMark/>
          </w:tcPr>
          <w:p w14:paraId="3937DA1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46.7</w:t>
            </w:r>
          </w:p>
        </w:tc>
      </w:tr>
      <w:tr w:rsidR="008039A7" w:rsidRPr="00E515F1" w14:paraId="1FE78598" w14:textId="77777777" w:rsidTr="00FF4D5B">
        <w:tc>
          <w:tcPr>
            <w:tcW w:w="0" w:type="auto"/>
            <w:tcMar>
              <w:top w:w="150" w:type="dxa"/>
              <w:left w:w="0" w:type="dxa"/>
              <w:bottom w:w="150" w:type="dxa"/>
              <w:right w:w="240" w:type="dxa"/>
            </w:tcMar>
            <w:vAlign w:val="center"/>
            <w:hideMark/>
          </w:tcPr>
          <w:p w14:paraId="48A195F1"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7A020C9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Not Sure</w:t>
            </w:r>
          </w:p>
        </w:tc>
        <w:tc>
          <w:tcPr>
            <w:tcW w:w="0" w:type="auto"/>
            <w:tcMar>
              <w:top w:w="150" w:type="dxa"/>
              <w:left w:w="240" w:type="dxa"/>
              <w:bottom w:w="150" w:type="dxa"/>
              <w:right w:w="240" w:type="dxa"/>
            </w:tcMar>
            <w:vAlign w:val="center"/>
            <w:hideMark/>
          </w:tcPr>
          <w:p w14:paraId="3BAB3A4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32E896A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8039A7" w:rsidRPr="00E515F1" w14:paraId="0ED32D16" w14:textId="77777777" w:rsidTr="00FF4D5B">
        <w:tc>
          <w:tcPr>
            <w:tcW w:w="0" w:type="auto"/>
            <w:tcMar>
              <w:top w:w="150" w:type="dxa"/>
              <w:left w:w="0" w:type="dxa"/>
              <w:bottom w:w="150" w:type="dxa"/>
              <w:right w:w="240" w:type="dxa"/>
            </w:tcMar>
            <w:vAlign w:val="center"/>
            <w:hideMark/>
          </w:tcPr>
          <w:p w14:paraId="0FFCC94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lastRenderedPageBreak/>
              <w:t>Which diseases are you aware of</w:t>
            </w:r>
          </w:p>
        </w:tc>
        <w:tc>
          <w:tcPr>
            <w:tcW w:w="0" w:type="auto"/>
            <w:tcMar>
              <w:top w:w="150" w:type="dxa"/>
              <w:left w:w="240" w:type="dxa"/>
              <w:bottom w:w="150" w:type="dxa"/>
              <w:right w:w="240" w:type="dxa"/>
            </w:tcMar>
            <w:vAlign w:val="center"/>
            <w:hideMark/>
          </w:tcPr>
          <w:p w14:paraId="6FC34179"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Brucellosis</w:t>
            </w:r>
          </w:p>
        </w:tc>
        <w:tc>
          <w:tcPr>
            <w:tcW w:w="0" w:type="auto"/>
            <w:tcMar>
              <w:top w:w="150" w:type="dxa"/>
              <w:left w:w="240" w:type="dxa"/>
              <w:bottom w:w="150" w:type="dxa"/>
              <w:right w:w="240" w:type="dxa"/>
            </w:tcMar>
            <w:vAlign w:val="center"/>
            <w:hideMark/>
          </w:tcPr>
          <w:p w14:paraId="30B3A92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25</w:t>
            </w:r>
          </w:p>
        </w:tc>
        <w:tc>
          <w:tcPr>
            <w:tcW w:w="0" w:type="auto"/>
            <w:tcMar>
              <w:top w:w="150" w:type="dxa"/>
              <w:left w:w="240" w:type="dxa"/>
              <w:bottom w:w="150" w:type="dxa"/>
              <w:right w:w="0" w:type="dxa"/>
            </w:tcMar>
            <w:vAlign w:val="center"/>
            <w:hideMark/>
          </w:tcPr>
          <w:p w14:paraId="776C3FA9"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16.7</w:t>
            </w:r>
          </w:p>
        </w:tc>
      </w:tr>
      <w:tr w:rsidR="008039A7" w:rsidRPr="00E515F1" w14:paraId="3D438B67" w14:textId="77777777" w:rsidTr="00FF4D5B">
        <w:tc>
          <w:tcPr>
            <w:tcW w:w="0" w:type="auto"/>
            <w:tcMar>
              <w:top w:w="150" w:type="dxa"/>
              <w:left w:w="0" w:type="dxa"/>
              <w:bottom w:w="150" w:type="dxa"/>
              <w:right w:w="240" w:type="dxa"/>
            </w:tcMar>
            <w:vAlign w:val="center"/>
            <w:hideMark/>
          </w:tcPr>
          <w:p w14:paraId="56754DAD"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6D31D7E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Bovine Tuberculosis</w:t>
            </w:r>
          </w:p>
        </w:tc>
        <w:tc>
          <w:tcPr>
            <w:tcW w:w="0" w:type="auto"/>
            <w:tcMar>
              <w:top w:w="150" w:type="dxa"/>
              <w:left w:w="240" w:type="dxa"/>
              <w:bottom w:w="150" w:type="dxa"/>
              <w:right w:w="240" w:type="dxa"/>
            </w:tcMar>
            <w:vAlign w:val="center"/>
            <w:hideMark/>
          </w:tcPr>
          <w:p w14:paraId="2C340AD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15</w:t>
            </w:r>
          </w:p>
        </w:tc>
        <w:tc>
          <w:tcPr>
            <w:tcW w:w="0" w:type="auto"/>
            <w:tcMar>
              <w:top w:w="150" w:type="dxa"/>
              <w:left w:w="240" w:type="dxa"/>
              <w:bottom w:w="150" w:type="dxa"/>
              <w:right w:w="0" w:type="dxa"/>
            </w:tcMar>
            <w:vAlign w:val="center"/>
            <w:hideMark/>
          </w:tcPr>
          <w:p w14:paraId="639098D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r>
      <w:tr w:rsidR="008039A7" w:rsidRPr="00E515F1" w14:paraId="408B82F7" w14:textId="77777777" w:rsidTr="00FF4D5B">
        <w:tc>
          <w:tcPr>
            <w:tcW w:w="0" w:type="auto"/>
            <w:tcMar>
              <w:top w:w="150" w:type="dxa"/>
              <w:left w:w="0" w:type="dxa"/>
              <w:bottom w:w="150" w:type="dxa"/>
              <w:right w:w="240" w:type="dxa"/>
            </w:tcMar>
            <w:vAlign w:val="center"/>
            <w:hideMark/>
          </w:tcPr>
          <w:p w14:paraId="6347C376"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32265E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Q Fever</w:t>
            </w:r>
          </w:p>
        </w:tc>
        <w:tc>
          <w:tcPr>
            <w:tcW w:w="0" w:type="auto"/>
            <w:tcMar>
              <w:top w:w="150" w:type="dxa"/>
              <w:left w:w="240" w:type="dxa"/>
              <w:bottom w:w="150" w:type="dxa"/>
              <w:right w:w="240" w:type="dxa"/>
            </w:tcMar>
            <w:vAlign w:val="center"/>
            <w:hideMark/>
          </w:tcPr>
          <w:p w14:paraId="69AD09B1"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w:t>
            </w:r>
          </w:p>
        </w:tc>
        <w:tc>
          <w:tcPr>
            <w:tcW w:w="0" w:type="auto"/>
            <w:tcMar>
              <w:top w:w="150" w:type="dxa"/>
              <w:left w:w="240" w:type="dxa"/>
              <w:bottom w:w="150" w:type="dxa"/>
              <w:right w:w="0" w:type="dxa"/>
            </w:tcMar>
            <w:vAlign w:val="center"/>
            <w:hideMark/>
          </w:tcPr>
          <w:p w14:paraId="2E59A7E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w:t>
            </w:r>
          </w:p>
        </w:tc>
      </w:tr>
      <w:tr w:rsidR="008039A7" w:rsidRPr="00E515F1" w14:paraId="4E752E7A" w14:textId="77777777" w:rsidTr="00FF4D5B">
        <w:tc>
          <w:tcPr>
            <w:tcW w:w="0" w:type="auto"/>
            <w:tcMar>
              <w:top w:w="150" w:type="dxa"/>
              <w:left w:w="0" w:type="dxa"/>
              <w:bottom w:w="150" w:type="dxa"/>
              <w:right w:w="240" w:type="dxa"/>
            </w:tcMar>
            <w:vAlign w:val="center"/>
            <w:hideMark/>
          </w:tcPr>
          <w:p w14:paraId="432C1818"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DA52CC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None of the above</w:t>
            </w:r>
          </w:p>
        </w:tc>
        <w:tc>
          <w:tcPr>
            <w:tcW w:w="0" w:type="auto"/>
            <w:tcMar>
              <w:top w:w="150" w:type="dxa"/>
              <w:left w:w="240" w:type="dxa"/>
              <w:bottom w:w="150" w:type="dxa"/>
              <w:right w:w="240" w:type="dxa"/>
            </w:tcMar>
            <w:vAlign w:val="center"/>
            <w:hideMark/>
          </w:tcPr>
          <w:p w14:paraId="14B4BDB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105</w:t>
            </w:r>
          </w:p>
        </w:tc>
        <w:tc>
          <w:tcPr>
            <w:tcW w:w="0" w:type="auto"/>
            <w:tcMar>
              <w:top w:w="150" w:type="dxa"/>
              <w:left w:w="240" w:type="dxa"/>
              <w:bottom w:w="150" w:type="dxa"/>
              <w:right w:w="0" w:type="dxa"/>
            </w:tcMar>
            <w:vAlign w:val="center"/>
            <w:hideMark/>
          </w:tcPr>
          <w:p w14:paraId="74DFF2D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70.0</w:t>
            </w:r>
          </w:p>
        </w:tc>
      </w:tr>
      <w:tr w:rsidR="008039A7" w:rsidRPr="00E515F1" w14:paraId="6567F22F" w14:textId="77777777" w:rsidTr="00FF4D5B">
        <w:tc>
          <w:tcPr>
            <w:tcW w:w="0" w:type="auto"/>
            <w:tcMar>
              <w:top w:w="150" w:type="dxa"/>
              <w:left w:w="0" w:type="dxa"/>
              <w:bottom w:w="150" w:type="dxa"/>
              <w:right w:w="240" w:type="dxa"/>
            </w:tcMar>
            <w:vAlign w:val="center"/>
            <w:hideMark/>
          </w:tcPr>
          <w:p w14:paraId="0084D3AB"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How serious do you consider these diseases?</w:t>
            </w:r>
          </w:p>
        </w:tc>
        <w:tc>
          <w:tcPr>
            <w:tcW w:w="0" w:type="auto"/>
            <w:tcMar>
              <w:top w:w="150" w:type="dxa"/>
              <w:left w:w="240" w:type="dxa"/>
              <w:bottom w:w="150" w:type="dxa"/>
              <w:right w:w="240" w:type="dxa"/>
            </w:tcMar>
            <w:vAlign w:val="center"/>
            <w:hideMark/>
          </w:tcPr>
          <w:p w14:paraId="02B8F654"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Serious</w:t>
            </w:r>
          </w:p>
        </w:tc>
        <w:tc>
          <w:tcPr>
            <w:tcW w:w="0" w:type="auto"/>
            <w:tcMar>
              <w:top w:w="150" w:type="dxa"/>
              <w:left w:w="240" w:type="dxa"/>
              <w:bottom w:w="150" w:type="dxa"/>
              <w:right w:w="240" w:type="dxa"/>
            </w:tcMar>
            <w:vAlign w:val="center"/>
            <w:hideMark/>
          </w:tcPr>
          <w:p w14:paraId="0CCEB8A1"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95</w:t>
            </w:r>
          </w:p>
        </w:tc>
        <w:tc>
          <w:tcPr>
            <w:tcW w:w="0" w:type="auto"/>
            <w:tcMar>
              <w:top w:w="150" w:type="dxa"/>
              <w:left w:w="240" w:type="dxa"/>
              <w:bottom w:w="150" w:type="dxa"/>
              <w:right w:w="0" w:type="dxa"/>
            </w:tcMar>
            <w:vAlign w:val="center"/>
            <w:hideMark/>
          </w:tcPr>
          <w:p w14:paraId="718DBBBB"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63.3</w:t>
            </w:r>
          </w:p>
        </w:tc>
      </w:tr>
      <w:tr w:rsidR="008039A7" w:rsidRPr="00E515F1" w14:paraId="3A7BCC6A" w14:textId="77777777" w:rsidTr="00FF4D5B">
        <w:tc>
          <w:tcPr>
            <w:tcW w:w="0" w:type="auto"/>
            <w:tcMar>
              <w:top w:w="150" w:type="dxa"/>
              <w:left w:w="0" w:type="dxa"/>
              <w:bottom w:w="150" w:type="dxa"/>
              <w:right w:w="240" w:type="dxa"/>
            </w:tcMar>
            <w:vAlign w:val="center"/>
            <w:hideMark/>
          </w:tcPr>
          <w:p w14:paraId="5FC2E28B"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279D6C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Not Serious</w:t>
            </w:r>
          </w:p>
        </w:tc>
        <w:tc>
          <w:tcPr>
            <w:tcW w:w="0" w:type="auto"/>
            <w:tcMar>
              <w:top w:w="150" w:type="dxa"/>
              <w:left w:w="240" w:type="dxa"/>
              <w:bottom w:w="150" w:type="dxa"/>
              <w:right w:w="240" w:type="dxa"/>
            </w:tcMar>
            <w:vAlign w:val="center"/>
            <w:hideMark/>
          </w:tcPr>
          <w:p w14:paraId="273223F5"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25</w:t>
            </w:r>
          </w:p>
        </w:tc>
        <w:tc>
          <w:tcPr>
            <w:tcW w:w="0" w:type="auto"/>
            <w:tcMar>
              <w:top w:w="150" w:type="dxa"/>
              <w:left w:w="240" w:type="dxa"/>
              <w:bottom w:w="150" w:type="dxa"/>
              <w:right w:w="0" w:type="dxa"/>
            </w:tcMar>
            <w:vAlign w:val="center"/>
            <w:hideMark/>
          </w:tcPr>
          <w:p w14:paraId="499A2B4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16.7</w:t>
            </w:r>
          </w:p>
        </w:tc>
      </w:tr>
      <w:tr w:rsidR="008039A7" w:rsidRPr="00E515F1" w14:paraId="7B99917D" w14:textId="77777777" w:rsidTr="00FF4D5B">
        <w:tc>
          <w:tcPr>
            <w:tcW w:w="0" w:type="auto"/>
            <w:tcMar>
              <w:top w:w="150" w:type="dxa"/>
              <w:left w:w="0" w:type="dxa"/>
              <w:bottom w:w="150" w:type="dxa"/>
              <w:right w:w="240" w:type="dxa"/>
            </w:tcMar>
            <w:vAlign w:val="center"/>
            <w:hideMark/>
          </w:tcPr>
          <w:p w14:paraId="3A5DD520"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3CC60591"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Don't Know</w:t>
            </w:r>
          </w:p>
        </w:tc>
        <w:tc>
          <w:tcPr>
            <w:tcW w:w="0" w:type="auto"/>
            <w:tcMar>
              <w:top w:w="150" w:type="dxa"/>
              <w:left w:w="240" w:type="dxa"/>
              <w:bottom w:w="150" w:type="dxa"/>
              <w:right w:w="240" w:type="dxa"/>
            </w:tcMar>
            <w:vAlign w:val="center"/>
            <w:hideMark/>
          </w:tcPr>
          <w:p w14:paraId="13D05675"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30</w:t>
            </w:r>
          </w:p>
        </w:tc>
        <w:tc>
          <w:tcPr>
            <w:tcW w:w="0" w:type="auto"/>
            <w:tcMar>
              <w:top w:w="150" w:type="dxa"/>
              <w:left w:w="240" w:type="dxa"/>
              <w:bottom w:w="150" w:type="dxa"/>
              <w:right w:w="0" w:type="dxa"/>
            </w:tcMar>
            <w:vAlign w:val="center"/>
            <w:hideMark/>
          </w:tcPr>
          <w:p w14:paraId="3A91849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20.0</w:t>
            </w:r>
          </w:p>
        </w:tc>
      </w:tr>
      <w:tr w:rsidR="008039A7" w:rsidRPr="00E515F1" w14:paraId="4359C7F8" w14:textId="77777777" w:rsidTr="00FF4D5B">
        <w:tc>
          <w:tcPr>
            <w:tcW w:w="0" w:type="auto"/>
            <w:tcMar>
              <w:top w:w="150" w:type="dxa"/>
              <w:left w:w="0" w:type="dxa"/>
              <w:bottom w:w="150" w:type="dxa"/>
              <w:right w:w="240" w:type="dxa"/>
            </w:tcMar>
            <w:vAlign w:val="center"/>
            <w:hideMark/>
          </w:tcPr>
          <w:p w14:paraId="4D6F5E6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How are these diseases transmitted?</w:t>
            </w:r>
          </w:p>
        </w:tc>
        <w:tc>
          <w:tcPr>
            <w:tcW w:w="0" w:type="auto"/>
            <w:tcMar>
              <w:top w:w="150" w:type="dxa"/>
              <w:left w:w="240" w:type="dxa"/>
              <w:bottom w:w="150" w:type="dxa"/>
              <w:right w:w="240" w:type="dxa"/>
            </w:tcMar>
            <w:vAlign w:val="center"/>
            <w:hideMark/>
          </w:tcPr>
          <w:p w14:paraId="4486325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Drinking raw milk</w:t>
            </w:r>
          </w:p>
        </w:tc>
        <w:tc>
          <w:tcPr>
            <w:tcW w:w="0" w:type="auto"/>
            <w:tcMar>
              <w:top w:w="150" w:type="dxa"/>
              <w:left w:w="240" w:type="dxa"/>
              <w:bottom w:w="150" w:type="dxa"/>
              <w:right w:w="240" w:type="dxa"/>
            </w:tcMar>
            <w:vAlign w:val="center"/>
            <w:hideMark/>
          </w:tcPr>
          <w:p w14:paraId="6B4737E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110</w:t>
            </w:r>
          </w:p>
        </w:tc>
        <w:tc>
          <w:tcPr>
            <w:tcW w:w="0" w:type="auto"/>
            <w:tcMar>
              <w:top w:w="150" w:type="dxa"/>
              <w:left w:w="240" w:type="dxa"/>
              <w:bottom w:w="150" w:type="dxa"/>
              <w:right w:w="0" w:type="dxa"/>
            </w:tcMar>
            <w:vAlign w:val="center"/>
            <w:hideMark/>
          </w:tcPr>
          <w:p w14:paraId="2637BCF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73.3</w:t>
            </w:r>
          </w:p>
        </w:tc>
      </w:tr>
      <w:tr w:rsidR="008039A7" w:rsidRPr="00E515F1" w14:paraId="611F2962" w14:textId="77777777" w:rsidTr="00FF4D5B">
        <w:tc>
          <w:tcPr>
            <w:tcW w:w="0" w:type="auto"/>
            <w:tcMar>
              <w:top w:w="150" w:type="dxa"/>
              <w:left w:w="0" w:type="dxa"/>
              <w:bottom w:w="150" w:type="dxa"/>
              <w:right w:w="240" w:type="dxa"/>
            </w:tcMar>
            <w:vAlign w:val="center"/>
            <w:hideMark/>
          </w:tcPr>
          <w:p w14:paraId="66594650"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9EB675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Contact with animals</w:t>
            </w:r>
          </w:p>
        </w:tc>
        <w:tc>
          <w:tcPr>
            <w:tcW w:w="0" w:type="auto"/>
            <w:tcMar>
              <w:top w:w="150" w:type="dxa"/>
              <w:left w:w="240" w:type="dxa"/>
              <w:bottom w:w="150" w:type="dxa"/>
              <w:right w:w="240" w:type="dxa"/>
            </w:tcMar>
            <w:vAlign w:val="center"/>
            <w:hideMark/>
          </w:tcPr>
          <w:p w14:paraId="26E9681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50</w:t>
            </w:r>
          </w:p>
        </w:tc>
        <w:tc>
          <w:tcPr>
            <w:tcW w:w="0" w:type="auto"/>
            <w:tcMar>
              <w:top w:w="150" w:type="dxa"/>
              <w:left w:w="240" w:type="dxa"/>
              <w:bottom w:w="150" w:type="dxa"/>
              <w:right w:w="0" w:type="dxa"/>
            </w:tcMar>
            <w:vAlign w:val="center"/>
            <w:hideMark/>
          </w:tcPr>
          <w:p w14:paraId="634B76F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33.3</w:t>
            </w:r>
          </w:p>
        </w:tc>
      </w:tr>
      <w:tr w:rsidR="008039A7" w:rsidRPr="00E515F1" w14:paraId="615FECB3" w14:textId="77777777" w:rsidTr="00FF4D5B">
        <w:tc>
          <w:tcPr>
            <w:tcW w:w="0" w:type="auto"/>
            <w:tcMar>
              <w:top w:w="150" w:type="dxa"/>
              <w:left w:w="0" w:type="dxa"/>
              <w:bottom w:w="150" w:type="dxa"/>
              <w:right w:w="240" w:type="dxa"/>
            </w:tcMar>
            <w:vAlign w:val="center"/>
            <w:hideMark/>
          </w:tcPr>
          <w:p w14:paraId="03837E08"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66869BD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All of the above</w:t>
            </w:r>
          </w:p>
        </w:tc>
        <w:tc>
          <w:tcPr>
            <w:tcW w:w="0" w:type="auto"/>
            <w:tcMar>
              <w:top w:w="150" w:type="dxa"/>
              <w:left w:w="240" w:type="dxa"/>
              <w:bottom w:w="150" w:type="dxa"/>
              <w:right w:w="240" w:type="dxa"/>
            </w:tcMar>
            <w:vAlign w:val="center"/>
            <w:hideMark/>
          </w:tcPr>
          <w:p w14:paraId="5514B9D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w:t>
            </w:r>
          </w:p>
        </w:tc>
        <w:tc>
          <w:tcPr>
            <w:tcW w:w="0" w:type="auto"/>
            <w:tcMar>
              <w:top w:w="150" w:type="dxa"/>
              <w:left w:w="240" w:type="dxa"/>
              <w:bottom w:w="150" w:type="dxa"/>
              <w:right w:w="0" w:type="dxa"/>
            </w:tcMar>
            <w:vAlign w:val="center"/>
            <w:hideMark/>
          </w:tcPr>
          <w:p w14:paraId="172AD5F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26.7</w:t>
            </w:r>
          </w:p>
        </w:tc>
      </w:tr>
      <w:tr w:rsidR="008039A7" w:rsidRPr="00E515F1" w14:paraId="4E0F7CBD" w14:textId="77777777" w:rsidTr="00FF4D5B">
        <w:tc>
          <w:tcPr>
            <w:tcW w:w="0" w:type="auto"/>
            <w:tcMar>
              <w:top w:w="150" w:type="dxa"/>
              <w:left w:w="0" w:type="dxa"/>
              <w:bottom w:w="150" w:type="dxa"/>
              <w:right w:w="240" w:type="dxa"/>
            </w:tcMar>
            <w:vAlign w:val="center"/>
            <w:hideMark/>
          </w:tcPr>
          <w:p w14:paraId="38088C29"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3AF5C169"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Don't Know</w:t>
            </w:r>
          </w:p>
        </w:tc>
        <w:tc>
          <w:tcPr>
            <w:tcW w:w="0" w:type="auto"/>
            <w:tcMar>
              <w:top w:w="150" w:type="dxa"/>
              <w:left w:w="240" w:type="dxa"/>
              <w:bottom w:w="150" w:type="dxa"/>
              <w:right w:w="240" w:type="dxa"/>
            </w:tcMar>
            <w:vAlign w:val="center"/>
            <w:hideMark/>
          </w:tcPr>
          <w:p w14:paraId="01099BA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30</w:t>
            </w:r>
          </w:p>
        </w:tc>
        <w:tc>
          <w:tcPr>
            <w:tcW w:w="0" w:type="auto"/>
            <w:tcMar>
              <w:top w:w="150" w:type="dxa"/>
              <w:left w:w="240" w:type="dxa"/>
              <w:bottom w:w="150" w:type="dxa"/>
              <w:right w:w="0" w:type="dxa"/>
            </w:tcMar>
            <w:vAlign w:val="center"/>
            <w:hideMark/>
          </w:tcPr>
          <w:p w14:paraId="68A6477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20.0</w:t>
            </w:r>
          </w:p>
        </w:tc>
      </w:tr>
      <w:tr w:rsidR="008039A7" w:rsidRPr="00E515F1" w14:paraId="0E0D4474" w14:textId="77777777" w:rsidTr="00FF4D5B">
        <w:tc>
          <w:tcPr>
            <w:tcW w:w="0" w:type="auto"/>
            <w:tcMar>
              <w:top w:w="150" w:type="dxa"/>
              <w:left w:w="0" w:type="dxa"/>
              <w:bottom w:w="150" w:type="dxa"/>
              <w:right w:w="240" w:type="dxa"/>
            </w:tcMar>
            <w:vAlign w:val="center"/>
            <w:hideMark/>
          </w:tcPr>
          <w:p w14:paraId="433136E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Can milk from healthy-looking animals transmit disease?</w:t>
            </w:r>
          </w:p>
        </w:tc>
        <w:tc>
          <w:tcPr>
            <w:tcW w:w="0" w:type="auto"/>
            <w:tcMar>
              <w:top w:w="150" w:type="dxa"/>
              <w:left w:w="240" w:type="dxa"/>
              <w:bottom w:w="150" w:type="dxa"/>
              <w:right w:w="240" w:type="dxa"/>
            </w:tcMar>
            <w:vAlign w:val="center"/>
            <w:hideMark/>
          </w:tcPr>
          <w:p w14:paraId="5214FAE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w:t>
            </w:r>
          </w:p>
        </w:tc>
        <w:tc>
          <w:tcPr>
            <w:tcW w:w="0" w:type="auto"/>
            <w:tcMar>
              <w:top w:w="150" w:type="dxa"/>
              <w:left w:w="240" w:type="dxa"/>
              <w:bottom w:w="150" w:type="dxa"/>
              <w:right w:w="240" w:type="dxa"/>
            </w:tcMar>
            <w:vAlign w:val="center"/>
            <w:hideMark/>
          </w:tcPr>
          <w:p w14:paraId="09E9B9A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45</w:t>
            </w:r>
          </w:p>
        </w:tc>
        <w:tc>
          <w:tcPr>
            <w:tcW w:w="0" w:type="auto"/>
            <w:tcMar>
              <w:top w:w="150" w:type="dxa"/>
              <w:left w:w="240" w:type="dxa"/>
              <w:bottom w:w="150" w:type="dxa"/>
              <w:right w:w="0" w:type="dxa"/>
            </w:tcMar>
            <w:vAlign w:val="center"/>
            <w:hideMark/>
          </w:tcPr>
          <w:p w14:paraId="6684C1D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30.0</w:t>
            </w:r>
          </w:p>
        </w:tc>
      </w:tr>
      <w:tr w:rsidR="008039A7" w:rsidRPr="00E515F1" w14:paraId="132E0511" w14:textId="77777777" w:rsidTr="00FF4D5B">
        <w:tc>
          <w:tcPr>
            <w:tcW w:w="0" w:type="auto"/>
            <w:tcMar>
              <w:top w:w="150" w:type="dxa"/>
              <w:left w:w="0" w:type="dxa"/>
              <w:bottom w:w="150" w:type="dxa"/>
              <w:right w:w="240" w:type="dxa"/>
            </w:tcMar>
            <w:vAlign w:val="center"/>
            <w:hideMark/>
          </w:tcPr>
          <w:p w14:paraId="2E07C679"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7B55C98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25202086"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55</w:t>
            </w:r>
          </w:p>
        </w:tc>
        <w:tc>
          <w:tcPr>
            <w:tcW w:w="0" w:type="auto"/>
            <w:tcMar>
              <w:top w:w="150" w:type="dxa"/>
              <w:left w:w="240" w:type="dxa"/>
              <w:bottom w:w="150" w:type="dxa"/>
              <w:right w:w="0" w:type="dxa"/>
            </w:tcMar>
            <w:vAlign w:val="center"/>
            <w:hideMark/>
          </w:tcPr>
          <w:p w14:paraId="5C8C733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36.7</w:t>
            </w:r>
          </w:p>
        </w:tc>
      </w:tr>
      <w:tr w:rsidR="008039A7" w:rsidRPr="00E515F1" w14:paraId="6EF3AAE1" w14:textId="77777777" w:rsidTr="00FF4D5B">
        <w:tc>
          <w:tcPr>
            <w:tcW w:w="0" w:type="auto"/>
            <w:tcMar>
              <w:top w:w="150" w:type="dxa"/>
              <w:left w:w="0" w:type="dxa"/>
              <w:bottom w:w="150" w:type="dxa"/>
              <w:right w:w="240" w:type="dxa"/>
            </w:tcMar>
            <w:vAlign w:val="center"/>
            <w:hideMark/>
          </w:tcPr>
          <w:p w14:paraId="67851419"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7760E26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Don't Know</w:t>
            </w:r>
          </w:p>
        </w:tc>
        <w:tc>
          <w:tcPr>
            <w:tcW w:w="0" w:type="auto"/>
            <w:tcMar>
              <w:top w:w="150" w:type="dxa"/>
              <w:left w:w="240" w:type="dxa"/>
              <w:bottom w:w="150" w:type="dxa"/>
              <w:right w:w="240" w:type="dxa"/>
            </w:tcMar>
            <w:vAlign w:val="center"/>
            <w:hideMark/>
          </w:tcPr>
          <w:p w14:paraId="5AD9F1F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50</w:t>
            </w:r>
          </w:p>
        </w:tc>
        <w:tc>
          <w:tcPr>
            <w:tcW w:w="0" w:type="auto"/>
            <w:tcMar>
              <w:top w:w="150" w:type="dxa"/>
              <w:left w:w="240" w:type="dxa"/>
              <w:bottom w:w="150" w:type="dxa"/>
              <w:right w:w="0" w:type="dxa"/>
            </w:tcMar>
            <w:vAlign w:val="center"/>
            <w:hideMark/>
          </w:tcPr>
          <w:p w14:paraId="7624704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33.3</w:t>
            </w:r>
          </w:p>
        </w:tc>
      </w:tr>
    </w:tbl>
    <w:p w14:paraId="14EF735A" w14:textId="77777777" w:rsidR="008039A7" w:rsidRPr="00E515F1" w:rsidRDefault="008039A7"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i/>
          <w:iCs/>
          <w:color w:val="0F1115"/>
          <w:sz w:val="24"/>
          <w:szCs w:val="24"/>
        </w:rPr>
        <w:t>Source: Field survey, 2025.</w:t>
      </w:r>
    </w:p>
    <w:p w14:paraId="4128EFAE" w14:textId="77777777" w:rsidR="008039A7" w:rsidRPr="00E515F1" w:rsidRDefault="008039A7">
      <w:pPr>
        <w:spacing w:before="200" w:after="60" w:line="360" w:lineRule="auto"/>
        <w:rPr>
          <w:rFonts w:ascii="Times New Roman" w:hAnsi="Times New Roman" w:cs="Times New Roman"/>
          <w:sz w:val="24"/>
          <w:szCs w:val="24"/>
        </w:rPr>
      </w:pPr>
    </w:p>
    <w:p w14:paraId="5A7FB196" w14:textId="77777777" w:rsidR="008039A7" w:rsidRPr="00E515F1" w:rsidRDefault="008039A7">
      <w:pPr>
        <w:spacing w:before="200" w:after="80" w:line="360" w:lineRule="auto"/>
        <w:rPr>
          <w:rFonts w:ascii="Times New Roman" w:hAnsi="Times New Roman" w:cs="Times New Roman"/>
          <w:b/>
          <w:sz w:val="24"/>
          <w:szCs w:val="24"/>
        </w:rPr>
      </w:pPr>
    </w:p>
    <w:p w14:paraId="6FCCBD5A" w14:textId="77777777" w:rsidR="008039A7" w:rsidRPr="00E515F1" w:rsidRDefault="008039A7">
      <w:pPr>
        <w:spacing w:before="200" w:after="80" w:line="360" w:lineRule="auto"/>
        <w:rPr>
          <w:rFonts w:ascii="Times New Roman" w:hAnsi="Times New Roman" w:cs="Times New Roman"/>
          <w:b/>
          <w:sz w:val="24"/>
          <w:szCs w:val="24"/>
        </w:rPr>
      </w:pPr>
    </w:p>
    <w:p w14:paraId="1C891B2F" w14:textId="77777777" w:rsidR="008039A7" w:rsidRPr="00E515F1" w:rsidRDefault="008039A7"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b/>
          <w:bCs/>
          <w:color w:val="0F1115"/>
          <w:sz w:val="24"/>
          <w:szCs w:val="24"/>
        </w:rPr>
        <w:t>Table 3. Milk Consumption and Handling Practices (N = 150)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0"/>
        <w:gridCol w:w="2459"/>
        <w:gridCol w:w="1760"/>
        <w:gridCol w:w="1856"/>
      </w:tblGrid>
      <w:tr w:rsidR="008039A7" w:rsidRPr="00E515F1" w14:paraId="375D9350" w14:textId="77777777" w:rsidTr="00FF4D5B">
        <w:trPr>
          <w:tblHeader/>
        </w:trPr>
        <w:tc>
          <w:tcPr>
            <w:tcW w:w="0" w:type="auto"/>
            <w:tcMar>
              <w:top w:w="150" w:type="dxa"/>
              <w:left w:w="0" w:type="dxa"/>
              <w:bottom w:w="150" w:type="dxa"/>
              <w:right w:w="240" w:type="dxa"/>
            </w:tcMar>
            <w:vAlign w:val="center"/>
            <w:hideMark/>
          </w:tcPr>
          <w:p w14:paraId="52E4ACB8"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Question</w:t>
            </w:r>
          </w:p>
        </w:tc>
        <w:tc>
          <w:tcPr>
            <w:tcW w:w="0" w:type="auto"/>
            <w:tcMar>
              <w:top w:w="150" w:type="dxa"/>
              <w:left w:w="240" w:type="dxa"/>
              <w:bottom w:w="150" w:type="dxa"/>
              <w:right w:w="240" w:type="dxa"/>
            </w:tcMar>
            <w:vAlign w:val="center"/>
            <w:hideMark/>
          </w:tcPr>
          <w:p w14:paraId="29C2F619"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Response Option</w:t>
            </w:r>
          </w:p>
        </w:tc>
        <w:tc>
          <w:tcPr>
            <w:tcW w:w="0" w:type="auto"/>
            <w:tcMar>
              <w:top w:w="150" w:type="dxa"/>
              <w:left w:w="240" w:type="dxa"/>
              <w:bottom w:w="150" w:type="dxa"/>
              <w:right w:w="240" w:type="dxa"/>
            </w:tcMar>
            <w:vAlign w:val="center"/>
            <w:hideMark/>
          </w:tcPr>
          <w:p w14:paraId="3767DC19"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Frequency (n)</w:t>
            </w:r>
          </w:p>
        </w:tc>
        <w:tc>
          <w:tcPr>
            <w:tcW w:w="0" w:type="auto"/>
            <w:tcMar>
              <w:top w:w="150" w:type="dxa"/>
              <w:left w:w="240" w:type="dxa"/>
              <w:bottom w:w="150" w:type="dxa"/>
              <w:right w:w="240" w:type="dxa"/>
            </w:tcMar>
            <w:vAlign w:val="center"/>
            <w:hideMark/>
          </w:tcPr>
          <w:p w14:paraId="26737BB5" w14:textId="77777777" w:rsidR="008039A7" w:rsidRPr="00E515F1" w:rsidRDefault="008039A7"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Percentage (%)</w:t>
            </w:r>
          </w:p>
        </w:tc>
      </w:tr>
      <w:tr w:rsidR="008039A7" w:rsidRPr="00E515F1" w14:paraId="44BE704B" w14:textId="77777777" w:rsidTr="00FF4D5B">
        <w:tc>
          <w:tcPr>
            <w:tcW w:w="0" w:type="auto"/>
            <w:tcMar>
              <w:top w:w="150" w:type="dxa"/>
              <w:left w:w="0" w:type="dxa"/>
              <w:bottom w:w="150" w:type="dxa"/>
              <w:right w:w="240" w:type="dxa"/>
            </w:tcMar>
            <w:vAlign w:val="center"/>
            <w:hideMark/>
          </w:tcPr>
          <w:p w14:paraId="1BE9459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Type of milk consumed</w:t>
            </w:r>
          </w:p>
        </w:tc>
        <w:tc>
          <w:tcPr>
            <w:tcW w:w="0" w:type="auto"/>
            <w:tcMar>
              <w:top w:w="150" w:type="dxa"/>
              <w:left w:w="240" w:type="dxa"/>
              <w:bottom w:w="150" w:type="dxa"/>
              <w:right w:w="240" w:type="dxa"/>
            </w:tcMar>
            <w:vAlign w:val="center"/>
            <w:hideMark/>
          </w:tcPr>
          <w:p w14:paraId="5F20AB45"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Raw (unprocessed)</w:t>
            </w:r>
          </w:p>
        </w:tc>
        <w:tc>
          <w:tcPr>
            <w:tcW w:w="0" w:type="auto"/>
            <w:tcMar>
              <w:top w:w="150" w:type="dxa"/>
              <w:left w:w="240" w:type="dxa"/>
              <w:bottom w:w="150" w:type="dxa"/>
              <w:right w:w="240" w:type="dxa"/>
            </w:tcMar>
            <w:vAlign w:val="center"/>
            <w:hideMark/>
          </w:tcPr>
          <w:p w14:paraId="03574CF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c>
          <w:tcPr>
            <w:tcW w:w="0" w:type="auto"/>
            <w:tcMar>
              <w:top w:w="150" w:type="dxa"/>
              <w:left w:w="240" w:type="dxa"/>
              <w:bottom w:w="150" w:type="dxa"/>
              <w:right w:w="0" w:type="dxa"/>
            </w:tcMar>
            <w:vAlign w:val="center"/>
            <w:hideMark/>
          </w:tcPr>
          <w:p w14:paraId="47312DF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66.7</w:t>
            </w:r>
          </w:p>
        </w:tc>
      </w:tr>
      <w:tr w:rsidR="008039A7" w:rsidRPr="00E515F1" w14:paraId="3E5EFB70" w14:textId="77777777" w:rsidTr="00FF4D5B">
        <w:tc>
          <w:tcPr>
            <w:tcW w:w="0" w:type="auto"/>
            <w:tcMar>
              <w:top w:w="150" w:type="dxa"/>
              <w:left w:w="0" w:type="dxa"/>
              <w:bottom w:w="150" w:type="dxa"/>
              <w:right w:w="240" w:type="dxa"/>
            </w:tcMar>
            <w:vAlign w:val="center"/>
            <w:hideMark/>
          </w:tcPr>
          <w:p w14:paraId="58E6D339"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2A4213B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Boiled</w:t>
            </w:r>
          </w:p>
        </w:tc>
        <w:tc>
          <w:tcPr>
            <w:tcW w:w="0" w:type="auto"/>
            <w:tcMar>
              <w:top w:w="150" w:type="dxa"/>
              <w:left w:w="240" w:type="dxa"/>
              <w:bottom w:w="150" w:type="dxa"/>
              <w:right w:w="240" w:type="dxa"/>
            </w:tcMar>
            <w:vAlign w:val="center"/>
            <w:hideMark/>
          </w:tcPr>
          <w:p w14:paraId="43FB1D6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30</w:t>
            </w:r>
          </w:p>
        </w:tc>
        <w:tc>
          <w:tcPr>
            <w:tcW w:w="0" w:type="auto"/>
            <w:tcMar>
              <w:top w:w="150" w:type="dxa"/>
              <w:left w:w="240" w:type="dxa"/>
              <w:bottom w:w="150" w:type="dxa"/>
              <w:right w:w="0" w:type="dxa"/>
            </w:tcMar>
            <w:vAlign w:val="center"/>
            <w:hideMark/>
          </w:tcPr>
          <w:p w14:paraId="13A50FE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20.0</w:t>
            </w:r>
          </w:p>
        </w:tc>
      </w:tr>
      <w:tr w:rsidR="008039A7" w:rsidRPr="00E515F1" w14:paraId="128BFF83" w14:textId="77777777" w:rsidTr="00FF4D5B">
        <w:tc>
          <w:tcPr>
            <w:tcW w:w="0" w:type="auto"/>
            <w:tcMar>
              <w:top w:w="150" w:type="dxa"/>
              <w:left w:w="0" w:type="dxa"/>
              <w:bottom w:w="150" w:type="dxa"/>
              <w:right w:w="240" w:type="dxa"/>
            </w:tcMar>
            <w:vAlign w:val="center"/>
            <w:hideMark/>
          </w:tcPr>
          <w:p w14:paraId="5CE0C337"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35ADF26B"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Fermented</w:t>
            </w:r>
          </w:p>
        </w:tc>
        <w:tc>
          <w:tcPr>
            <w:tcW w:w="0" w:type="auto"/>
            <w:tcMar>
              <w:top w:w="150" w:type="dxa"/>
              <w:left w:w="240" w:type="dxa"/>
              <w:bottom w:w="150" w:type="dxa"/>
              <w:right w:w="240" w:type="dxa"/>
            </w:tcMar>
            <w:vAlign w:val="center"/>
            <w:hideMark/>
          </w:tcPr>
          <w:p w14:paraId="6D39B9C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5A97F48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8039A7" w:rsidRPr="00E515F1" w14:paraId="40C83F70" w14:textId="77777777" w:rsidTr="00FF4D5B">
        <w:tc>
          <w:tcPr>
            <w:tcW w:w="0" w:type="auto"/>
            <w:tcMar>
              <w:top w:w="150" w:type="dxa"/>
              <w:left w:w="0" w:type="dxa"/>
              <w:bottom w:w="150" w:type="dxa"/>
              <w:right w:w="240" w:type="dxa"/>
            </w:tcMar>
            <w:vAlign w:val="center"/>
            <w:hideMark/>
          </w:tcPr>
          <w:p w14:paraId="1FD607B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Frequency of raw milk consumption</w:t>
            </w:r>
          </w:p>
        </w:tc>
        <w:tc>
          <w:tcPr>
            <w:tcW w:w="0" w:type="auto"/>
            <w:tcMar>
              <w:top w:w="150" w:type="dxa"/>
              <w:left w:w="240" w:type="dxa"/>
              <w:bottom w:w="150" w:type="dxa"/>
              <w:right w:w="240" w:type="dxa"/>
            </w:tcMar>
            <w:vAlign w:val="center"/>
            <w:hideMark/>
          </w:tcPr>
          <w:p w14:paraId="70F33AD1"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Daily</w:t>
            </w:r>
          </w:p>
        </w:tc>
        <w:tc>
          <w:tcPr>
            <w:tcW w:w="0" w:type="auto"/>
            <w:tcMar>
              <w:top w:w="150" w:type="dxa"/>
              <w:left w:w="240" w:type="dxa"/>
              <w:bottom w:w="150" w:type="dxa"/>
              <w:right w:w="240" w:type="dxa"/>
            </w:tcMar>
            <w:vAlign w:val="center"/>
            <w:hideMark/>
          </w:tcPr>
          <w:p w14:paraId="3E24525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80</w:t>
            </w:r>
          </w:p>
        </w:tc>
        <w:tc>
          <w:tcPr>
            <w:tcW w:w="0" w:type="auto"/>
            <w:tcMar>
              <w:top w:w="150" w:type="dxa"/>
              <w:left w:w="240" w:type="dxa"/>
              <w:bottom w:w="150" w:type="dxa"/>
              <w:right w:w="0" w:type="dxa"/>
            </w:tcMar>
            <w:vAlign w:val="center"/>
            <w:hideMark/>
          </w:tcPr>
          <w:p w14:paraId="1278D67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53.3</w:t>
            </w:r>
          </w:p>
        </w:tc>
      </w:tr>
      <w:tr w:rsidR="008039A7" w:rsidRPr="00E515F1" w14:paraId="7FF8FCA5" w14:textId="77777777" w:rsidTr="00FF4D5B">
        <w:tc>
          <w:tcPr>
            <w:tcW w:w="0" w:type="auto"/>
            <w:tcMar>
              <w:top w:w="150" w:type="dxa"/>
              <w:left w:w="0" w:type="dxa"/>
              <w:bottom w:w="150" w:type="dxa"/>
              <w:right w:w="240" w:type="dxa"/>
            </w:tcMar>
            <w:vAlign w:val="center"/>
            <w:hideMark/>
          </w:tcPr>
          <w:p w14:paraId="5D368BF8"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0A49299"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Weekly</w:t>
            </w:r>
          </w:p>
        </w:tc>
        <w:tc>
          <w:tcPr>
            <w:tcW w:w="0" w:type="auto"/>
            <w:tcMar>
              <w:top w:w="150" w:type="dxa"/>
              <w:left w:w="240" w:type="dxa"/>
              <w:bottom w:w="150" w:type="dxa"/>
              <w:right w:w="240" w:type="dxa"/>
            </w:tcMar>
            <w:vAlign w:val="center"/>
            <w:hideMark/>
          </w:tcPr>
          <w:p w14:paraId="1498A178"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w:t>
            </w:r>
          </w:p>
        </w:tc>
        <w:tc>
          <w:tcPr>
            <w:tcW w:w="0" w:type="auto"/>
            <w:tcMar>
              <w:top w:w="150" w:type="dxa"/>
              <w:left w:w="240" w:type="dxa"/>
              <w:bottom w:w="150" w:type="dxa"/>
              <w:right w:w="0" w:type="dxa"/>
            </w:tcMar>
            <w:vAlign w:val="center"/>
            <w:hideMark/>
          </w:tcPr>
          <w:p w14:paraId="3E7740A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26.7</w:t>
            </w:r>
          </w:p>
        </w:tc>
      </w:tr>
      <w:tr w:rsidR="008039A7" w:rsidRPr="00E515F1" w14:paraId="0DE9608F" w14:textId="77777777" w:rsidTr="00FF4D5B">
        <w:tc>
          <w:tcPr>
            <w:tcW w:w="0" w:type="auto"/>
            <w:tcMar>
              <w:top w:w="150" w:type="dxa"/>
              <w:left w:w="0" w:type="dxa"/>
              <w:bottom w:w="150" w:type="dxa"/>
              <w:right w:w="240" w:type="dxa"/>
            </w:tcMar>
            <w:vAlign w:val="center"/>
            <w:hideMark/>
          </w:tcPr>
          <w:p w14:paraId="0E0130F1"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EBF4FB6"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Occasionally</w:t>
            </w:r>
          </w:p>
        </w:tc>
        <w:tc>
          <w:tcPr>
            <w:tcW w:w="0" w:type="auto"/>
            <w:tcMar>
              <w:top w:w="150" w:type="dxa"/>
              <w:left w:w="240" w:type="dxa"/>
              <w:bottom w:w="150" w:type="dxa"/>
              <w:right w:w="240" w:type="dxa"/>
            </w:tcMar>
            <w:vAlign w:val="center"/>
            <w:hideMark/>
          </w:tcPr>
          <w:p w14:paraId="6C61E1D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0222D8F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8039A7" w:rsidRPr="00E515F1" w14:paraId="3BA9F35B" w14:textId="77777777" w:rsidTr="00FF4D5B">
        <w:tc>
          <w:tcPr>
            <w:tcW w:w="0" w:type="auto"/>
            <w:tcMar>
              <w:top w:w="150" w:type="dxa"/>
              <w:left w:w="0" w:type="dxa"/>
              <w:bottom w:w="150" w:type="dxa"/>
              <w:right w:w="240" w:type="dxa"/>
            </w:tcMar>
            <w:vAlign w:val="center"/>
            <w:hideMark/>
          </w:tcPr>
          <w:p w14:paraId="4D29FA9C"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E80070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Never</w:t>
            </w:r>
          </w:p>
        </w:tc>
        <w:tc>
          <w:tcPr>
            <w:tcW w:w="0" w:type="auto"/>
            <w:tcMar>
              <w:top w:w="150" w:type="dxa"/>
              <w:left w:w="240" w:type="dxa"/>
              <w:bottom w:w="150" w:type="dxa"/>
              <w:right w:w="240" w:type="dxa"/>
            </w:tcMar>
            <w:vAlign w:val="center"/>
            <w:hideMark/>
          </w:tcPr>
          <w:p w14:paraId="709AF8B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w:t>
            </w:r>
          </w:p>
        </w:tc>
        <w:tc>
          <w:tcPr>
            <w:tcW w:w="0" w:type="auto"/>
            <w:tcMar>
              <w:top w:w="150" w:type="dxa"/>
              <w:left w:w="240" w:type="dxa"/>
              <w:bottom w:w="150" w:type="dxa"/>
              <w:right w:w="0" w:type="dxa"/>
            </w:tcMar>
            <w:vAlign w:val="center"/>
            <w:hideMark/>
          </w:tcPr>
          <w:p w14:paraId="0443E4B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6.7</w:t>
            </w:r>
          </w:p>
        </w:tc>
      </w:tr>
      <w:tr w:rsidR="008039A7" w:rsidRPr="00E515F1" w14:paraId="2EA0EDDD" w14:textId="77777777" w:rsidTr="00FF4D5B">
        <w:tc>
          <w:tcPr>
            <w:tcW w:w="0" w:type="auto"/>
            <w:tcMar>
              <w:top w:w="150" w:type="dxa"/>
              <w:left w:w="0" w:type="dxa"/>
              <w:bottom w:w="150" w:type="dxa"/>
              <w:right w:w="240" w:type="dxa"/>
            </w:tcMar>
            <w:vAlign w:val="center"/>
            <w:hideMark/>
          </w:tcPr>
          <w:p w14:paraId="01E9D0B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Primary reason for consuming raw milk</w:t>
            </w:r>
          </w:p>
        </w:tc>
        <w:tc>
          <w:tcPr>
            <w:tcW w:w="0" w:type="auto"/>
            <w:tcMar>
              <w:top w:w="150" w:type="dxa"/>
              <w:left w:w="240" w:type="dxa"/>
              <w:bottom w:w="150" w:type="dxa"/>
              <w:right w:w="240" w:type="dxa"/>
            </w:tcMar>
            <w:vAlign w:val="center"/>
            <w:hideMark/>
          </w:tcPr>
          <w:p w14:paraId="01F8AA1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Better taste</w:t>
            </w:r>
          </w:p>
        </w:tc>
        <w:tc>
          <w:tcPr>
            <w:tcW w:w="0" w:type="auto"/>
            <w:tcMar>
              <w:top w:w="150" w:type="dxa"/>
              <w:left w:w="240" w:type="dxa"/>
              <w:bottom w:w="150" w:type="dxa"/>
              <w:right w:w="240" w:type="dxa"/>
            </w:tcMar>
            <w:vAlign w:val="center"/>
            <w:hideMark/>
          </w:tcPr>
          <w:p w14:paraId="3BA2E5C4"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90</w:t>
            </w:r>
          </w:p>
        </w:tc>
        <w:tc>
          <w:tcPr>
            <w:tcW w:w="0" w:type="auto"/>
            <w:tcMar>
              <w:top w:w="150" w:type="dxa"/>
              <w:left w:w="240" w:type="dxa"/>
              <w:bottom w:w="150" w:type="dxa"/>
              <w:right w:w="0" w:type="dxa"/>
            </w:tcMar>
            <w:vAlign w:val="center"/>
            <w:hideMark/>
          </w:tcPr>
          <w:p w14:paraId="735568C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60.0</w:t>
            </w:r>
          </w:p>
        </w:tc>
      </w:tr>
      <w:tr w:rsidR="008039A7" w:rsidRPr="00E515F1" w14:paraId="4292C34A" w14:textId="77777777" w:rsidTr="00FF4D5B">
        <w:tc>
          <w:tcPr>
            <w:tcW w:w="0" w:type="auto"/>
            <w:tcMar>
              <w:top w:w="150" w:type="dxa"/>
              <w:left w:w="0" w:type="dxa"/>
              <w:bottom w:w="150" w:type="dxa"/>
              <w:right w:w="240" w:type="dxa"/>
            </w:tcMar>
            <w:vAlign w:val="center"/>
            <w:hideMark/>
          </w:tcPr>
          <w:p w14:paraId="6ED1F5D9"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7D1796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Cultural preference</w:t>
            </w:r>
          </w:p>
        </w:tc>
        <w:tc>
          <w:tcPr>
            <w:tcW w:w="0" w:type="auto"/>
            <w:tcMar>
              <w:top w:w="150" w:type="dxa"/>
              <w:left w:w="240" w:type="dxa"/>
              <w:bottom w:w="150" w:type="dxa"/>
              <w:right w:w="240" w:type="dxa"/>
            </w:tcMar>
            <w:vAlign w:val="center"/>
            <w:hideMark/>
          </w:tcPr>
          <w:p w14:paraId="0A2A0EF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85</w:t>
            </w:r>
          </w:p>
        </w:tc>
        <w:tc>
          <w:tcPr>
            <w:tcW w:w="0" w:type="auto"/>
            <w:tcMar>
              <w:top w:w="150" w:type="dxa"/>
              <w:left w:w="240" w:type="dxa"/>
              <w:bottom w:w="150" w:type="dxa"/>
              <w:right w:w="0" w:type="dxa"/>
            </w:tcMar>
            <w:vAlign w:val="center"/>
            <w:hideMark/>
          </w:tcPr>
          <w:p w14:paraId="0A8C472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56.7</w:t>
            </w:r>
          </w:p>
        </w:tc>
      </w:tr>
      <w:tr w:rsidR="008039A7" w:rsidRPr="00E515F1" w14:paraId="52D44E19" w14:textId="77777777" w:rsidTr="00FF4D5B">
        <w:tc>
          <w:tcPr>
            <w:tcW w:w="0" w:type="auto"/>
            <w:tcMar>
              <w:top w:w="150" w:type="dxa"/>
              <w:left w:w="0" w:type="dxa"/>
              <w:bottom w:w="150" w:type="dxa"/>
              <w:right w:w="240" w:type="dxa"/>
            </w:tcMar>
            <w:vAlign w:val="center"/>
            <w:hideMark/>
          </w:tcPr>
          <w:p w14:paraId="135ACE18"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DA12AE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Cheaper/more available</w:t>
            </w:r>
          </w:p>
        </w:tc>
        <w:tc>
          <w:tcPr>
            <w:tcW w:w="0" w:type="auto"/>
            <w:tcMar>
              <w:top w:w="150" w:type="dxa"/>
              <w:left w:w="240" w:type="dxa"/>
              <w:bottom w:w="150" w:type="dxa"/>
              <w:right w:w="240" w:type="dxa"/>
            </w:tcMar>
            <w:vAlign w:val="center"/>
            <w:hideMark/>
          </w:tcPr>
          <w:p w14:paraId="4AF71AD5"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w:t>
            </w:r>
          </w:p>
        </w:tc>
        <w:tc>
          <w:tcPr>
            <w:tcW w:w="0" w:type="auto"/>
            <w:tcMar>
              <w:top w:w="150" w:type="dxa"/>
              <w:left w:w="240" w:type="dxa"/>
              <w:bottom w:w="150" w:type="dxa"/>
              <w:right w:w="0" w:type="dxa"/>
            </w:tcMar>
            <w:vAlign w:val="center"/>
            <w:hideMark/>
          </w:tcPr>
          <w:p w14:paraId="04CD4B74"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26.7</w:t>
            </w:r>
          </w:p>
        </w:tc>
      </w:tr>
      <w:tr w:rsidR="008039A7" w:rsidRPr="00E515F1" w14:paraId="00B5966C" w14:textId="77777777" w:rsidTr="00FF4D5B">
        <w:tc>
          <w:tcPr>
            <w:tcW w:w="0" w:type="auto"/>
            <w:tcMar>
              <w:top w:w="150" w:type="dxa"/>
              <w:left w:w="0" w:type="dxa"/>
              <w:bottom w:w="150" w:type="dxa"/>
              <w:right w:w="240" w:type="dxa"/>
            </w:tcMar>
            <w:vAlign w:val="center"/>
            <w:hideMark/>
          </w:tcPr>
          <w:p w14:paraId="35C4EE5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Milk storage method</w:t>
            </w:r>
          </w:p>
        </w:tc>
        <w:tc>
          <w:tcPr>
            <w:tcW w:w="0" w:type="auto"/>
            <w:tcMar>
              <w:top w:w="150" w:type="dxa"/>
              <w:left w:w="240" w:type="dxa"/>
              <w:bottom w:w="150" w:type="dxa"/>
              <w:right w:w="240" w:type="dxa"/>
            </w:tcMar>
            <w:vAlign w:val="center"/>
            <w:hideMark/>
          </w:tcPr>
          <w:p w14:paraId="5EF7A67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Left at room temperature</w:t>
            </w:r>
          </w:p>
        </w:tc>
        <w:tc>
          <w:tcPr>
            <w:tcW w:w="0" w:type="auto"/>
            <w:tcMar>
              <w:top w:w="150" w:type="dxa"/>
              <w:left w:w="240" w:type="dxa"/>
              <w:bottom w:w="150" w:type="dxa"/>
              <w:right w:w="240" w:type="dxa"/>
            </w:tcMar>
            <w:vAlign w:val="center"/>
            <w:hideMark/>
          </w:tcPr>
          <w:p w14:paraId="5DB9110B"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110</w:t>
            </w:r>
          </w:p>
        </w:tc>
        <w:tc>
          <w:tcPr>
            <w:tcW w:w="0" w:type="auto"/>
            <w:tcMar>
              <w:top w:w="150" w:type="dxa"/>
              <w:left w:w="240" w:type="dxa"/>
              <w:bottom w:w="150" w:type="dxa"/>
              <w:right w:w="0" w:type="dxa"/>
            </w:tcMar>
            <w:vAlign w:val="center"/>
            <w:hideMark/>
          </w:tcPr>
          <w:p w14:paraId="1FCFC49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73.3</w:t>
            </w:r>
          </w:p>
        </w:tc>
      </w:tr>
      <w:tr w:rsidR="008039A7" w:rsidRPr="00E515F1" w14:paraId="277E0361" w14:textId="77777777" w:rsidTr="00FF4D5B">
        <w:tc>
          <w:tcPr>
            <w:tcW w:w="0" w:type="auto"/>
            <w:tcMar>
              <w:top w:w="150" w:type="dxa"/>
              <w:left w:w="0" w:type="dxa"/>
              <w:bottom w:w="150" w:type="dxa"/>
              <w:right w:w="240" w:type="dxa"/>
            </w:tcMar>
            <w:vAlign w:val="center"/>
            <w:hideMark/>
          </w:tcPr>
          <w:p w14:paraId="51585E3D"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46241C0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Refrigerated</w:t>
            </w:r>
          </w:p>
        </w:tc>
        <w:tc>
          <w:tcPr>
            <w:tcW w:w="0" w:type="auto"/>
            <w:tcMar>
              <w:top w:w="150" w:type="dxa"/>
              <w:left w:w="240" w:type="dxa"/>
              <w:bottom w:w="150" w:type="dxa"/>
              <w:right w:w="240" w:type="dxa"/>
            </w:tcMar>
            <w:vAlign w:val="center"/>
            <w:hideMark/>
          </w:tcPr>
          <w:p w14:paraId="72553ED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w:t>
            </w:r>
          </w:p>
        </w:tc>
        <w:tc>
          <w:tcPr>
            <w:tcW w:w="0" w:type="auto"/>
            <w:tcMar>
              <w:top w:w="150" w:type="dxa"/>
              <w:left w:w="240" w:type="dxa"/>
              <w:bottom w:w="150" w:type="dxa"/>
              <w:right w:w="0" w:type="dxa"/>
            </w:tcMar>
            <w:vAlign w:val="center"/>
            <w:hideMark/>
          </w:tcPr>
          <w:p w14:paraId="4B58C4A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6.7</w:t>
            </w:r>
          </w:p>
        </w:tc>
      </w:tr>
      <w:tr w:rsidR="008039A7" w:rsidRPr="00E515F1" w14:paraId="530C9B17" w14:textId="77777777" w:rsidTr="00FF4D5B">
        <w:tc>
          <w:tcPr>
            <w:tcW w:w="0" w:type="auto"/>
            <w:tcMar>
              <w:top w:w="150" w:type="dxa"/>
              <w:left w:w="0" w:type="dxa"/>
              <w:bottom w:w="150" w:type="dxa"/>
              <w:right w:w="240" w:type="dxa"/>
            </w:tcMar>
            <w:vAlign w:val="center"/>
            <w:hideMark/>
          </w:tcPr>
          <w:p w14:paraId="2854749C"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4B0A4C61"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Immediately boiled</w:t>
            </w:r>
          </w:p>
        </w:tc>
        <w:tc>
          <w:tcPr>
            <w:tcW w:w="0" w:type="auto"/>
            <w:tcMar>
              <w:top w:w="150" w:type="dxa"/>
              <w:left w:w="240" w:type="dxa"/>
              <w:bottom w:w="150" w:type="dxa"/>
              <w:right w:w="240" w:type="dxa"/>
            </w:tcMar>
            <w:vAlign w:val="center"/>
            <w:hideMark/>
          </w:tcPr>
          <w:p w14:paraId="6520F88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3CEC5F3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8039A7" w:rsidRPr="00E515F1" w14:paraId="100898BE" w14:textId="77777777" w:rsidTr="00FF4D5B">
        <w:tc>
          <w:tcPr>
            <w:tcW w:w="0" w:type="auto"/>
            <w:tcMar>
              <w:top w:w="150" w:type="dxa"/>
              <w:left w:w="0" w:type="dxa"/>
              <w:bottom w:w="150" w:type="dxa"/>
              <w:right w:w="240" w:type="dxa"/>
            </w:tcMar>
            <w:vAlign w:val="center"/>
            <w:hideMark/>
          </w:tcPr>
          <w:p w14:paraId="25A6955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Do you clean the udder before milking?</w:t>
            </w:r>
          </w:p>
        </w:tc>
        <w:tc>
          <w:tcPr>
            <w:tcW w:w="0" w:type="auto"/>
            <w:tcMar>
              <w:top w:w="150" w:type="dxa"/>
              <w:left w:w="240" w:type="dxa"/>
              <w:bottom w:w="150" w:type="dxa"/>
              <w:right w:w="240" w:type="dxa"/>
            </w:tcMar>
            <w:vAlign w:val="center"/>
            <w:hideMark/>
          </w:tcPr>
          <w:p w14:paraId="02BC68E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 cleaning</w:t>
            </w:r>
          </w:p>
        </w:tc>
        <w:tc>
          <w:tcPr>
            <w:tcW w:w="0" w:type="auto"/>
            <w:tcMar>
              <w:top w:w="150" w:type="dxa"/>
              <w:left w:w="240" w:type="dxa"/>
              <w:bottom w:w="150" w:type="dxa"/>
              <w:right w:w="240" w:type="dxa"/>
            </w:tcMar>
            <w:vAlign w:val="center"/>
            <w:hideMark/>
          </w:tcPr>
          <w:p w14:paraId="11120DA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70</w:t>
            </w:r>
          </w:p>
        </w:tc>
        <w:tc>
          <w:tcPr>
            <w:tcW w:w="0" w:type="auto"/>
            <w:tcMar>
              <w:top w:w="150" w:type="dxa"/>
              <w:left w:w="240" w:type="dxa"/>
              <w:bottom w:w="150" w:type="dxa"/>
              <w:right w:w="0" w:type="dxa"/>
            </w:tcMar>
            <w:vAlign w:val="center"/>
            <w:hideMark/>
          </w:tcPr>
          <w:p w14:paraId="7CA2E3C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46.7</w:t>
            </w:r>
          </w:p>
        </w:tc>
      </w:tr>
      <w:tr w:rsidR="008039A7" w:rsidRPr="00E515F1" w14:paraId="14F09B29" w14:textId="77777777" w:rsidTr="00FF4D5B">
        <w:tc>
          <w:tcPr>
            <w:tcW w:w="0" w:type="auto"/>
            <w:tcMar>
              <w:top w:w="150" w:type="dxa"/>
              <w:left w:w="0" w:type="dxa"/>
              <w:bottom w:w="150" w:type="dxa"/>
              <w:right w:w="240" w:type="dxa"/>
            </w:tcMar>
            <w:vAlign w:val="center"/>
            <w:hideMark/>
          </w:tcPr>
          <w:p w14:paraId="34D86FE4"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(Asked only of livestock farmers, n=70)</w:t>
            </w:r>
          </w:p>
        </w:tc>
        <w:tc>
          <w:tcPr>
            <w:tcW w:w="0" w:type="auto"/>
            <w:tcMar>
              <w:top w:w="150" w:type="dxa"/>
              <w:left w:w="240" w:type="dxa"/>
              <w:bottom w:w="150" w:type="dxa"/>
              <w:right w:w="240" w:type="dxa"/>
            </w:tcMar>
            <w:vAlign w:val="center"/>
            <w:hideMark/>
          </w:tcPr>
          <w:p w14:paraId="6E49408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Wipe with cloth</w:t>
            </w:r>
          </w:p>
        </w:tc>
        <w:tc>
          <w:tcPr>
            <w:tcW w:w="0" w:type="auto"/>
            <w:tcMar>
              <w:top w:w="150" w:type="dxa"/>
              <w:left w:w="240" w:type="dxa"/>
              <w:bottom w:w="150" w:type="dxa"/>
              <w:right w:w="240" w:type="dxa"/>
            </w:tcMar>
            <w:vAlign w:val="center"/>
            <w:hideMark/>
          </w:tcPr>
          <w:p w14:paraId="0B3CD4C2"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50</w:t>
            </w:r>
          </w:p>
        </w:tc>
        <w:tc>
          <w:tcPr>
            <w:tcW w:w="0" w:type="auto"/>
            <w:tcMar>
              <w:top w:w="150" w:type="dxa"/>
              <w:left w:w="240" w:type="dxa"/>
              <w:bottom w:w="150" w:type="dxa"/>
              <w:right w:w="0" w:type="dxa"/>
            </w:tcMar>
            <w:vAlign w:val="center"/>
            <w:hideMark/>
          </w:tcPr>
          <w:p w14:paraId="37BAD0F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33.3</w:t>
            </w:r>
          </w:p>
        </w:tc>
      </w:tr>
      <w:tr w:rsidR="008039A7" w:rsidRPr="00E515F1" w14:paraId="4B19433F" w14:textId="77777777" w:rsidTr="00FF4D5B">
        <w:tc>
          <w:tcPr>
            <w:tcW w:w="0" w:type="auto"/>
            <w:tcMar>
              <w:top w:w="150" w:type="dxa"/>
              <w:left w:w="0" w:type="dxa"/>
              <w:bottom w:w="150" w:type="dxa"/>
              <w:right w:w="240" w:type="dxa"/>
            </w:tcMar>
            <w:vAlign w:val="center"/>
            <w:hideMark/>
          </w:tcPr>
          <w:p w14:paraId="6D7D232C"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74BB406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Wash with water</w:t>
            </w:r>
          </w:p>
        </w:tc>
        <w:tc>
          <w:tcPr>
            <w:tcW w:w="0" w:type="auto"/>
            <w:tcMar>
              <w:top w:w="150" w:type="dxa"/>
              <w:left w:w="240" w:type="dxa"/>
              <w:bottom w:w="150" w:type="dxa"/>
              <w:right w:w="240" w:type="dxa"/>
            </w:tcMar>
            <w:vAlign w:val="center"/>
            <w:hideMark/>
          </w:tcPr>
          <w:p w14:paraId="4EA36FBC"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25</w:t>
            </w:r>
          </w:p>
        </w:tc>
        <w:tc>
          <w:tcPr>
            <w:tcW w:w="0" w:type="auto"/>
            <w:tcMar>
              <w:top w:w="150" w:type="dxa"/>
              <w:left w:w="240" w:type="dxa"/>
              <w:bottom w:w="150" w:type="dxa"/>
              <w:right w:w="0" w:type="dxa"/>
            </w:tcMar>
            <w:vAlign w:val="center"/>
            <w:hideMark/>
          </w:tcPr>
          <w:p w14:paraId="6F026CE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16.7</w:t>
            </w:r>
          </w:p>
        </w:tc>
      </w:tr>
      <w:tr w:rsidR="008039A7" w:rsidRPr="00E515F1" w14:paraId="1951042E" w14:textId="77777777" w:rsidTr="00FF4D5B">
        <w:tc>
          <w:tcPr>
            <w:tcW w:w="0" w:type="auto"/>
            <w:tcMar>
              <w:top w:w="150" w:type="dxa"/>
              <w:left w:w="0" w:type="dxa"/>
              <w:bottom w:w="150" w:type="dxa"/>
              <w:right w:w="240" w:type="dxa"/>
            </w:tcMar>
            <w:vAlign w:val="center"/>
            <w:hideMark/>
          </w:tcPr>
          <w:p w14:paraId="233593A4"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96DC68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Wash with soap and water</w:t>
            </w:r>
          </w:p>
        </w:tc>
        <w:tc>
          <w:tcPr>
            <w:tcW w:w="0" w:type="auto"/>
            <w:tcMar>
              <w:top w:w="150" w:type="dxa"/>
              <w:left w:w="240" w:type="dxa"/>
              <w:bottom w:w="150" w:type="dxa"/>
              <w:right w:w="240" w:type="dxa"/>
            </w:tcMar>
            <w:vAlign w:val="center"/>
            <w:hideMark/>
          </w:tcPr>
          <w:p w14:paraId="6367167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w:t>
            </w:r>
          </w:p>
        </w:tc>
        <w:tc>
          <w:tcPr>
            <w:tcW w:w="0" w:type="auto"/>
            <w:tcMar>
              <w:top w:w="150" w:type="dxa"/>
              <w:left w:w="240" w:type="dxa"/>
              <w:bottom w:w="150" w:type="dxa"/>
              <w:right w:w="0" w:type="dxa"/>
            </w:tcMar>
            <w:vAlign w:val="center"/>
            <w:hideMark/>
          </w:tcPr>
          <w:p w14:paraId="04D5CE1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w:t>
            </w:r>
          </w:p>
        </w:tc>
      </w:tr>
      <w:tr w:rsidR="008039A7" w:rsidRPr="00E515F1" w14:paraId="0A68931F" w14:textId="77777777" w:rsidTr="00FF4D5B">
        <w:tc>
          <w:tcPr>
            <w:tcW w:w="0" w:type="auto"/>
            <w:tcMar>
              <w:top w:w="150" w:type="dxa"/>
              <w:left w:w="0" w:type="dxa"/>
              <w:bottom w:w="150" w:type="dxa"/>
              <w:right w:w="240" w:type="dxa"/>
            </w:tcMar>
            <w:vAlign w:val="center"/>
            <w:hideMark/>
          </w:tcPr>
          <w:p w14:paraId="541A23CA"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Do vendors boil milk before selling?</w:t>
            </w:r>
          </w:p>
        </w:tc>
        <w:tc>
          <w:tcPr>
            <w:tcW w:w="0" w:type="auto"/>
            <w:tcMar>
              <w:top w:w="150" w:type="dxa"/>
              <w:left w:w="240" w:type="dxa"/>
              <w:bottom w:w="150" w:type="dxa"/>
              <w:right w:w="240" w:type="dxa"/>
            </w:tcMar>
            <w:vAlign w:val="center"/>
            <w:hideMark/>
          </w:tcPr>
          <w:p w14:paraId="09DBD66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Never</w:t>
            </w:r>
          </w:p>
        </w:tc>
        <w:tc>
          <w:tcPr>
            <w:tcW w:w="0" w:type="auto"/>
            <w:tcMar>
              <w:top w:w="150" w:type="dxa"/>
              <w:left w:w="240" w:type="dxa"/>
              <w:bottom w:w="150" w:type="dxa"/>
              <w:right w:w="240" w:type="dxa"/>
            </w:tcMar>
            <w:vAlign w:val="center"/>
            <w:hideMark/>
          </w:tcPr>
          <w:p w14:paraId="51BBDA1F"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c>
          <w:tcPr>
            <w:tcW w:w="0" w:type="auto"/>
            <w:tcMar>
              <w:top w:w="150" w:type="dxa"/>
              <w:left w:w="240" w:type="dxa"/>
              <w:bottom w:w="150" w:type="dxa"/>
              <w:right w:w="0" w:type="dxa"/>
            </w:tcMar>
            <w:vAlign w:val="center"/>
            <w:hideMark/>
          </w:tcPr>
          <w:p w14:paraId="2EABA869"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66.7</w:t>
            </w:r>
          </w:p>
        </w:tc>
      </w:tr>
      <w:tr w:rsidR="008039A7" w:rsidRPr="00E515F1" w14:paraId="2F976205" w14:textId="77777777" w:rsidTr="00FF4D5B">
        <w:tc>
          <w:tcPr>
            <w:tcW w:w="0" w:type="auto"/>
            <w:tcMar>
              <w:top w:w="150" w:type="dxa"/>
              <w:left w:w="0" w:type="dxa"/>
              <w:bottom w:w="150" w:type="dxa"/>
              <w:right w:w="240" w:type="dxa"/>
            </w:tcMar>
            <w:vAlign w:val="center"/>
            <w:hideMark/>
          </w:tcPr>
          <w:p w14:paraId="68E0D0F8"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(Asked only of milk vendors/processors, n=20)</w:t>
            </w:r>
          </w:p>
        </w:tc>
        <w:tc>
          <w:tcPr>
            <w:tcW w:w="0" w:type="auto"/>
            <w:tcMar>
              <w:top w:w="150" w:type="dxa"/>
              <w:left w:w="240" w:type="dxa"/>
              <w:bottom w:w="150" w:type="dxa"/>
              <w:right w:w="240" w:type="dxa"/>
            </w:tcMar>
            <w:vAlign w:val="center"/>
            <w:hideMark/>
          </w:tcPr>
          <w:p w14:paraId="13BDA997"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Sometimes</w:t>
            </w:r>
          </w:p>
        </w:tc>
        <w:tc>
          <w:tcPr>
            <w:tcW w:w="0" w:type="auto"/>
            <w:tcMar>
              <w:top w:w="150" w:type="dxa"/>
              <w:left w:w="240" w:type="dxa"/>
              <w:bottom w:w="150" w:type="dxa"/>
              <w:right w:w="240" w:type="dxa"/>
            </w:tcMar>
            <w:vAlign w:val="center"/>
            <w:hideMark/>
          </w:tcPr>
          <w:p w14:paraId="6E1FC41E"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35</w:t>
            </w:r>
          </w:p>
        </w:tc>
        <w:tc>
          <w:tcPr>
            <w:tcW w:w="0" w:type="auto"/>
            <w:tcMar>
              <w:top w:w="150" w:type="dxa"/>
              <w:left w:w="240" w:type="dxa"/>
              <w:bottom w:w="150" w:type="dxa"/>
              <w:right w:w="0" w:type="dxa"/>
            </w:tcMar>
            <w:vAlign w:val="center"/>
            <w:hideMark/>
          </w:tcPr>
          <w:p w14:paraId="53B3B0ED"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23.3</w:t>
            </w:r>
          </w:p>
        </w:tc>
      </w:tr>
      <w:tr w:rsidR="008039A7" w:rsidRPr="00E515F1" w14:paraId="3DD9671E" w14:textId="77777777" w:rsidTr="00FF4D5B">
        <w:tc>
          <w:tcPr>
            <w:tcW w:w="0" w:type="auto"/>
            <w:tcMar>
              <w:top w:w="150" w:type="dxa"/>
              <w:left w:w="0" w:type="dxa"/>
              <w:bottom w:w="150" w:type="dxa"/>
              <w:right w:w="240" w:type="dxa"/>
            </w:tcMar>
            <w:vAlign w:val="center"/>
            <w:hideMark/>
          </w:tcPr>
          <w:p w14:paraId="5D981F33" w14:textId="77777777" w:rsidR="008039A7" w:rsidRPr="00E515F1" w:rsidRDefault="008039A7"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2FF1C903"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Always</w:t>
            </w:r>
          </w:p>
        </w:tc>
        <w:tc>
          <w:tcPr>
            <w:tcW w:w="0" w:type="auto"/>
            <w:tcMar>
              <w:top w:w="150" w:type="dxa"/>
              <w:left w:w="240" w:type="dxa"/>
              <w:bottom w:w="150" w:type="dxa"/>
              <w:right w:w="240" w:type="dxa"/>
            </w:tcMar>
            <w:vAlign w:val="center"/>
            <w:hideMark/>
          </w:tcPr>
          <w:p w14:paraId="69B937A0"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15</w:t>
            </w:r>
          </w:p>
        </w:tc>
        <w:tc>
          <w:tcPr>
            <w:tcW w:w="0" w:type="auto"/>
            <w:tcMar>
              <w:top w:w="150" w:type="dxa"/>
              <w:left w:w="240" w:type="dxa"/>
              <w:bottom w:w="150" w:type="dxa"/>
              <w:right w:w="0" w:type="dxa"/>
            </w:tcMar>
            <w:vAlign w:val="center"/>
            <w:hideMark/>
          </w:tcPr>
          <w:p w14:paraId="0197F688" w14:textId="77777777" w:rsidR="008039A7" w:rsidRPr="00E515F1" w:rsidRDefault="008039A7"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r>
    </w:tbl>
    <w:p w14:paraId="5855CE14" w14:textId="77777777" w:rsidR="008039A7" w:rsidRPr="00E515F1" w:rsidRDefault="008039A7"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i/>
          <w:iCs/>
          <w:color w:val="0F1115"/>
          <w:sz w:val="24"/>
          <w:szCs w:val="24"/>
        </w:rPr>
        <w:t>Source: Field survey, 2025.</w:t>
      </w:r>
    </w:p>
    <w:p w14:paraId="6ECFB4F2" w14:textId="77777777" w:rsidR="004F029D" w:rsidRPr="00E515F1" w:rsidRDefault="004F029D"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b/>
          <w:bCs/>
          <w:color w:val="0F1115"/>
          <w:sz w:val="24"/>
          <w:szCs w:val="24"/>
        </w:rPr>
        <w:lastRenderedPageBreak/>
        <w:t>Table 4. Attitudes and Barriers to Milk Safety (N = 150)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72"/>
        <w:gridCol w:w="2715"/>
        <w:gridCol w:w="1761"/>
        <w:gridCol w:w="1857"/>
      </w:tblGrid>
      <w:tr w:rsidR="004F029D" w:rsidRPr="00E515F1" w14:paraId="66C10771" w14:textId="77777777" w:rsidTr="00FF4D5B">
        <w:trPr>
          <w:tblHeader/>
        </w:trPr>
        <w:tc>
          <w:tcPr>
            <w:tcW w:w="0" w:type="auto"/>
            <w:tcMar>
              <w:top w:w="150" w:type="dxa"/>
              <w:left w:w="0" w:type="dxa"/>
              <w:bottom w:w="150" w:type="dxa"/>
              <w:right w:w="240" w:type="dxa"/>
            </w:tcMar>
            <w:vAlign w:val="center"/>
            <w:hideMark/>
          </w:tcPr>
          <w:p w14:paraId="315DA665"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Question</w:t>
            </w:r>
          </w:p>
        </w:tc>
        <w:tc>
          <w:tcPr>
            <w:tcW w:w="0" w:type="auto"/>
            <w:tcMar>
              <w:top w:w="150" w:type="dxa"/>
              <w:left w:w="240" w:type="dxa"/>
              <w:bottom w:w="150" w:type="dxa"/>
              <w:right w:w="240" w:type="dxa"/>
            </w:tcMar>
            <w:vAlign w:val="center"/>
            <w:hideMark/>
          </w:tcPr>
          <w:p w14:paraId="70C53B8B"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Response Option</w:t>
            </w:r>
          </w:p>
        </w:tc>
        <w:tc>
          <w:tcPr>
            <w:tcW w:w="0" w:type="auto"/>
            <w:tcMar>
              <w:top w:w="150" w:type="dxa"/>
              <w:left w:w="240" w:type="dxa"/>
              <w:bottom w:w="150" w:type="dxa"/>
              <w:right w:w="240" w:type="dxa"/>
            </w:tcMar>
            <w:vAlign w:val="center"/>
            <w:hideMark/>
          </w:tcPr>
          <w:p w14:paraId="598A2EF1"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Frequency (n)</w:t>
            </w:r>
          </w:p>
        </w:tc>
        <w:tc>
          <w:tcPr>
            <w:tcW w:w="0" w:type="auto"/>
            <w:tcMar>
              <w:top w:w="150" w:type="dxa"/>
              <w:left w:w="240" w:type="dxa"/>
              <w:bottom w:w="150" w:type="dxa"/>
              <w:right w:w="240" w:type="dxa"/>
            </w:tcMar>
            <w:vAlign w:val="center"/>
            <w:hideMark/>
          </w:tcPr>
          <w:p w14:paraId="2537BFAD"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Percentage (%)</w:t>
            </w:r>
          </w:p>
        </w:tc>
      </w:tr>
      <w:tr w:rsidR="004F029D" w:rsidRPr="00E515F1" w14:paraId="1FDF5CDA" w14:textId="77777777" w:rsidTr="00FF4D5B">
        <w:tc>
          <w:tcPr>
            <w:tcW w:w="0" w:type="auto"/>
            <w:tcMar>
              <w:top w:w="150" w:type="dxa"/>
              <w:left w:w="0" w:type="dxa"/>
              <w:bottom w:w="150" w:type="dxa"/>
              <w:right w:w="240" w:type="dxa"/>
            </w:tcMar>
            <w:vAlign w:val="center"/>
            <w:hideMark/>
          </w:tcPr>
          <w:p w14:paraId="164771B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 xml:space="preserve">What safety practices do you </w:t>
            </w:r>
            <w:proofErr w:type="gramStart"/>
            <w:r w:rsidRPr="00E515F1">
              <w:rPr>
                <w:rFonts w:ascii="Times New Roman" w:eastAsia="Times New Roman" w:hAnsi="Times New Roman" w:cs="Times New Roman"/>
                <w:b/>
                <w:bCs/>
                <w:sz w:val="24"/>
                <w:szCs w:val="24"/>
              </w:rPr>
              <w:t>follow?</w:t>
            </w:r>
            <w:r w:rsidRPr="00E515F1">
              <w:rPr>
                <w:rFonts w:ascii="Times New Roman" w:eastAsia="Times New Roman" w:hAnsi="Times New Roman" w:cs="Times New Roman"/>
                <w:sz w:val="24"/>
                <w:szCs w:val="24"/>
              </w:rPr>
              <w:t>*</w:t>
            </w:r>
            <w:proofErr w:type="gramEnd"/>
          </w:p>
        </w:tc>
        <w:tc>
          <w:tcPr>
            <w:tcW w:w="0" w:type="auto"/>
            <w:tcMar>
              <w:top w:w="150" w:type="dxa"/>
              <w:left w:w="240" w:type="dxa"/>
              <w:bottom w:w="150" w:type="dxa"/>
              <w:right w:w="240" w:type="dxa"/>
            </w:tcMar>
            <w:vAlign w:val="center"/>
            <w:hideMark/>
          </w:tcPr>
          <w:p w14:paraId="4DE2300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Always boil milk</w:t>
            </w:r>
          </w:p>
        </w:tc>
        <w:tc>
          <w:tcPr>
            <w:tcW w:w="0" w:type="auto"/>
            <w:tcMar>
              <w:top w:w="150" w:type="dxa"/>
              <w:left w:w="240" w:type="dxa"/>
              <w:bottom w:w="150" w:type="dxa"/>
              <w:right w:w="240" w:type="dxa"/>
            </w:tcMar>
            <w:vAlign w:val="center"/>
            <w:hideMark/>
          </w:tcPr>
          <w:p w14:paraId="79595F5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35</w:t>
            </w:r>
          </w:p>
        </w:tc>
        <w:tc>
          <w:tcPr>
            <w:tcW w:w="0" w:type="auto"/>
            <w:tcMar>
              <w:top w:w="150" w:type="dxa"/>
              <w:left w:w="240" w:type="dxa"/>
              <w:bottom w:w="150" w:type="dxa"/>
              <w:right w:w="0" w:type="dxa"/>
            </w:tcMar>
            <w:vAlign w:val="center"/>
            <w:hideMark/>
          </w:tcPr>
          <w:p w14:paraId="74ACAFC0"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23.3</w:t>
            </w:r>
          </w:p>
        </w:tc>
      </w:tr>
      <w:tr w:rsidR="004F029D" w:rsidRPr="00E515F1" w14:paraId="09B2ED67" w14:textId="77777777" w:rsidTr="00FF4D5B">
        <w:tc>
          <w:tcPr>
            <w:tcW w:w="0" w:type="auto"/>
            <w:tcMar>
              <w:top w:w="150" w:type="dxa"/>
              <w:left w:w="0" w:type="dxa"/>
              <w:bottom w:w="150" w:type="dxa"/>
              <w:right w:w="240" w:type="dxa"/>
            </w:tcMar>
            <w:vAlign w:val="center"/>
            <w:hideMark/>
          </w:tcPr>
          <w:p w14:paraId="56F9D3A9"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4939EAA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Avoid milk from sick animals</w:t>
            </w:r>
          </w:p>
        </w:tc>
        <w:tc>
          <w:tcPr>
            <w:tcW w:w="0" w:type="auto"/>
            <w:tcMar>
              <w:top w:w="150" w:type="dxa"/>
              <w:left w:w="240" w:type="dxa"/>
              <w:bottom w:w="150" w:type="dxa"/>
              <w:right w:w="240" w:type="dxa"/>
            </w:tcMar>
            <w:vAlign w:val="center"/>
            <w:hideMark/>
          </w:tcPr>
          <w:p w14:paraId="4DEB4CC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70</w:t>
            </w:r>
          </w:p>
        </w:tc>
        <w:tc>
          <w:tcPr>
            <w:tcW w:w="0" w:type="auto"/>
            <w:tcMar>
              <w:top w:w="150" w:type="dxa"/>
              <w:left w:w="240" w:type="dxa"/>
              <w:bottom w:w="150" w:type="dxa"/>
              <w:right w:w="0" w:type="dxa"/>
            </w:tcMar>
            <w:vAlign w:val="center"/>
            <w:hideMark/>
          </w:tcPr>
          <w:p w14:paraId="56EE294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46.7</w:t>
            </w:r>
          </w:p>
        </w:tc>
      </w:tr>
      <w:tr w:rsidR="004F029D" w:rsidRPr="00E515F1" w14:paraId="47D843B6" w14:textId="77777777" w:rsidTr="00FF4D5B">
        <w:tc>
          <w:tcPr>
            <w:tcW w:w="0" w:type="auto"/>
            <w:tcMar>
              <w:top w:w="150" w:type="dxa"/>
              <w:left w:w="0" w:type="dxa"/>
              <w:bottom w:w="150" w:type="dxa"/>
              <w:right w:w="240" w:type="dxa"/>
            </w:tcMar>
            <w:vAlign w:val="center"/>
            <w:hideMark/>
          </w:tcPr>
          <w:p w14:paraId="304A4303"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2BF9A59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 specific practices</w:t>
            </w:r>
          </w:p>
        </w:tc>
        <w:tc>
          <w:tcPr>
            <w:tcW w:w="0" w:type="auto"/>
            <w:tcMar>
              <w:top w:w="150" w:type="dxa"/>
              <w:left w:w="240" w:type="dxa"/>
              <w:bottom w:w="150" w:type="dxa"/>
              <w:right w:w="240" w:type="dxa"/>
            </w:tcMar>
            <w:vAlign w:val="center"/>
            <w:hideMark/>
          </w:tcPr>
          <w:p w14:paraId="2351F04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w:t>
            </w:r>
          </w:p>
        </w:tc>
        <w:tc>
          <w:tcPr>
            <w:tcW w:w="0" w:type="auto"/>
            <w:tcMar>
              <w:top w:w="150" w:type="dxa"/>
              <w:left w:w="240" w:type="dxa"/>
              <w:bottom w:w="150" w:type="dxa"/>
              <w:right w:w="0" w:type="dxa"/>
            </w:tcMar>
            <w:vAlign w:val="center"/>
            <w:hideMark/>
          </w:tcPr>
          <w:p w14:paraId="197C125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40.0</w:t>
            </w:r>
          </w:p>
        </w:tc>
      </w:tr>
      <w:tr w:rsidR="004F029D" w:rsidRPr="00E515F1" w14:paraId="20184C87" w14:textId="77777777" w:rsidTr="00FF4D5B">
        <w:tc>
          <w:tcPr>
            <w:tcW w:w="0" w:type="auto"/>
            <w:tcMar>
              <w:top w:w="150" w:type="dxa"/>
              <w:left w:w="0" w:type="dxa"/>
              <w:bottom w:w="150" w:type="dxa"/>
              <w:right w:w="240" w:type="dxa"/>
            </w:tcMar>
            <w:vAlign w:val="center"/>
            <w:hideMark/>
          </w:tcPr>
          <w:p w14:paraId="4EAA681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 xml:space="preserve">What are the barriers to safe milk </w:t>
            </w:r>
            <w:proofErr w:type="gramStart"/>
            <w:r w:rsidRPr="00E515F1">
              <w:rPr>
                <w:rFonts w:ascii="Times New Roman" w:eastAsia="Times New Roman" w:hAnsi="Times New Roman" w:cs="Times New Roman"/>
                <w:b/>
                <w:bCs/>
                <w:sz w:val="24"/>
                <w:szCs w:val="24"/>
              </w:rPr>
              <w:t>handling?</w:t>
            </w:r>
            <w:r w:rsidRPr="00E515F1">
              <w:rPr>
                <w:rFonts w:ascii="Times New Roman" w:eastAsia="Times New Roman" w:hAnsi="Times New Roman" w:cs="Times New Roman"/>
                <w:sz w:val="24"/>
                <w:szCs w:val="24"/>
              </w:rPr>
              <w:t>*</w:t>
            </w:r>
            <w:proofErr w:type="gramEnd"/>
          </w:p>
        </w:tc>
        <w:tc>
          <w:tcPr>
            <w:tcW w:w="0" w:type="auto"/>
            <w:tcMar>
              <w:top w:w="150" w:type="dxa"/>
              <w:left w:w="240" w:type="dxa"/>
              <w:bottom w:w="150" w:type="dxa"/>
              <w:right w:w="240" w:type="dxa"/>
            </w:tcMar>
            <w:vAlign w:val="center"/>
            <w:hideMark/>
          </w:tcPr>
          <w:p w14:paraId="7A69404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Lack of practical knowledge</w:t>
            </w:r>
          </w:p>
        </w:tc>
        <w:tc>
          <w:tcPr>
            <w:tcW w:w="0" w:type="auto"/>
            <w:tcMar>
              <w:top w:w="150" w:type="dxa"/>
              <w:left w:w="240" w:type="dxa"/>
              <w:bottom w:w="150" w:type="dxa"/>
              <w:right w:w="240" w:type="dxa"/>
            </w:tcMar>
            <w:vAlign w:val="center"/>
            <w:hideMark/>
          </w:tcPr>
          <w:p w14:paraId="32D3EDE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120</w:t>
            </w:r>
          </w:p>
        </w:tc>
        <w:tc>
          <w:tcPr>
            <w:tcW w:w="0" w:type="auto"/>
            <w:tcMar>
              <w:top w:w="150" w:type="dxa"/>
              <w:left w:w="240" w:type="dxa"/>
              <w:bottom w:w="150" w:type="dxa"/>
              <w:right w:w="0" w:type="dxa"/>
            </w:tcMar>
            <w:vAlign w:val="center"/>
            <w:hideMark/>
          </w:tcPr>
          <w:p w14:paraId="0759EE51"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80.0</w:t>
            </w:r>
          </w:p>
        </w:tc>
      </w:tr>
      <w:tr w:rsidR="004F029D" w:rsidRPr="00E515F1" w14:paraId="6E577C53" w14:textId="77777777" w:rsidTr="00FF4D5B">
        <w:tc>
          <w:tcPr>
            <w:tcW w:w="0" w:type="auto"/>
            <w:tcMar>
              <w:top w:w="150" w:type="dxa"/>
              <w:left w:w="0" w:type="dxa"/>
              <w:bottom w:w="150" w:type="dxa"/>
              <w:right w:w="240" w:type="dxa"/>
            </w:tcMar>
            <w:vAlign w:val="center"/>
            <w:hideMark/>
          </w:tcPr>
          <w:p w14:paraId="5F3CAC3C"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35A867CB"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Fuel cost for boiling</w:t>
            </w:r>
          </w:p>
        </w:tc>
        <w:tc>
          <w:tcPr>
            <w:tcW w:w="0" w:type="auto"/>
            <w:tcMar>
              <w:top w:w="150" w:type="dxa"/>
              <w:left w:w="240" w:type="dxa"/>
              <w:bottom w:w="150" w:type="dxa"/>
              <w:right w:w="240" w:type="dxa"/>
            </w:tcMar>
            <w:vAlign w:val="center"/>
            <w:hideMark/>
          </w:tcPr>
          <w:p w14:paraId="18A2A31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90</w:t>
            </w:r>
          </w:p>
        </w:tc>
        <w:tc>
          <w:tcPr>
            <w:tcW w:w="0" w:type="auto"/>
            <w:tcMar>
              <w:top w:w="150" w:type="dxa"/>
              <w:left w:w="240" w:type="dxa"/>
              <w:bottom w:w="150" w:type="dxa"/>
              <w:right w:w="0" w:type="dxa"/>
            </w:tcMar>
            <w:vAlign w:val="center"/>
            <w:hideMark/>
          </w:tcPr>
          <w:p w14:paraId="3257D37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60.0</w:t>
            </w:r>
          </w:p>
        </w:tc>
      </w:tr>
      <w:tr w:rsidR="004F029D" w:rsidRPr="00E515F1" w14:paraId="1DC71D4C" w14:textId="77777777" w:rsidTr="00FF4D5B">
        <w:tc>
          <w:tcPr>
            <w:tcW w:w="0" w:type="auto"/>
            <w:tcMar>
              <w:top w:w="150" w:type="dxa"/>
              <w:left w:w="0" w:type="dxa"/>
              <w:bottom w:w="150" w:type="dxa"/>
              <w:right w:w="240" w:type="dxa"/>
            </w:tcMar>
            <w:vAlign w:val="center"/>
            <w:hideMark/>
          </w:tcPr>
          <w:p w14:paraId="2D497A09"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76DB64B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Cultural beliefs</w:t>
            </w:r>
          </w:p>
        </w:tc>
        <w:tc>
          <w:tcPr>
            <w:tcW w:w="0" w:type="auto"/>
            <w:tcMar>
              <w:top w:w="150" w:type="dxa"/>
              <w:left w:w="240" w:type="dxa"/>
              <w:bottom w:w="150" w:type="dxa"/>
              <w:right w:w="240" w:type="dxa"/>
            </w:tcMar>
            <w:vAlign w:val="center"/>
            <w:hideMark/>
          </w:tcPr>
          <w:p w14:paraId="59B48CB6"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w:t>
            </w:r>
          </w:p>
        </w:tc>
        <w:tc>
          <w:tcPr>
            <w:tcW w:w="0" w:type="auto"/>
            <w:tcMar>
              <w:top w:w="150" w:type="dxa"/>
              <w:left w:w="240" w:type="dxa"/>
              <w:bottom w:w="150" w:type="dxa"/>
              <w:right w:w="0" w:type="dxa"/>
            </w:tcMar>
            <w:vAlign w:val="center"/>
            <w:hideMark/>
          </w:tcPr>
          <w:p w14:paraId="7E870B3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26.7</w:t>
            </w:r>
          </w:p>
        </w:tc>
      </w:tr>
      <w:tr w:rsidR="004F029D" w:rsidRPr="00E515F1" w14:paraId="54595533" w14:textId="77777777" w:rsidTr="00FF4D5B">
        <w:tc>
          <w:tcPr>
            <w:tcW w:w="0" w:type="auto"/>
            <w:tcMar>
              <w:top w:w="150" w:type="dxa"/>
              <w:left w:w="0" w:type="dxa"/>
              <w:bottom w:w="150" w:type="dxa"/>
              <w:right w:w="240" w:type="dxa"/>
            </w:tcMar>
            <w:vAlign w:val="center"/>
            <w:hideMark/>
          </w:tcPr>
          <w:p w14:paraId="7ABBA314"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B6C387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 perceived risk</w:t>
            </w:r>
          </w:p>
        </w:tc>
        <w:tc>
          <w:tcPr>
            <w:tcW w:w="0" w:type="auto"/>
            <w:tcMar>
              <w:top w:w="150" w:type="dxa"/>
              <w:left w:w="240" w:type="dxa"/>
              <w:bottom w:w="150" w:type="dxa"/>
              <w:right w:w="240" w:type="dxa"/>
            </w:tcMar>
            <w:vAlign w:val="center"/>
            <w:hideMark/>
          </w:tcPr>
          <w:p w14:paraId="51C007EC"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50</w:t>
            </w:r>
          </w:p>
        </w:tc>
        <w:tc>
          <w:tcPr>
            <w:tcW w:w="0" w:type="auto"/>
            <w:tcMar>
              <w:top w:w="150" w:type="dxa"/>
              <w:left w:w="240" w:type="dxa"/>
              <w:bottom w:w="150" w:type="dxa"/>
              <w:right w:w="0" w:type="dxa"/>
            </w:tcMar>
            <w:vAlign w:val="center"/>
            <w:hideMark/>
          </w:tcPr>
          <w:p w14:paraId="4EFCD3E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33.3</w:t>
            </w:r>
          </w:p>
        </w:tc>
      </w:tr>
      <w:tr w:rsidR="004F029D" w:rsidRPr="00E515F1" w14:paraId="0E245495" w14:textId="77777777" w:rsidTr="00FF4D5B">
        <w:tc>
          <w:tcPr>
            <w:tcW w:w="0" w:type="auto"/>
            <w:tcMar>
              <w:top w:w="150" w:type="dxa"/>
              <w:left w:w="0" w:type="dxa"/>
              <w:bottom w:w="150" w:type="dxa"/>
              <w:right w:w="240" w:type="dxa"/>
            </w:tcMar>
            <w:vAlign w:val="center"/>
            <w:hideMark/>
          </w:tcPr>
          <w:p w14:paraId="0226660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Can sick animals cause illness in humans?</w:t>
            </w:r>
          </w:p>
        </w:tc>
        <w:tc>
          <w:tcPr>
            <w:tcW w:w="0" w:type="auto"/>
            <w:tcMar>
              <w:top w:w="150" w:type="dxa"/>
              <w:left w:w="240" w:type="dxa"/>
              <w:bottom w:w="150" w:type="dxa"/>
              <w:right w:w="240" w:type="dxa"/>
            </w:tcMar>
            <w:vAlign w:val="center"/>
            <w:hideMark/>
          </w:tcPr>
          <w:p w14:paraId="16253F50"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w:t>
            </w:r>
          </w:p>
        </w:tc>
        <w:tc>
          <w:tcPr>
            <w:tcW w:w="0" w:type="auto"/>
            <w:tcMar>
              <w:top w:w="150" w:type="dxa"/>
              <w:left w:w="240" w:type="dxa"/>
              <w:bottom w:w="150" w:type="dxa"/>
              <w:right w:w="240" w:type="dxa"/>
            </w:tcMar>
            <w:vAlign w:val="center"/>
            <w:hideMark/>
          </w:tcPr>
          <w:p w14:paraId="2DFAA3F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130</w:t>
            </w:r>
          </w:p>
        </w:tc>
        <w:tc>
          <w:tcPr>
            <w:tcW w:w="0" w:type="auto"/>
            <w:tcMar>
              <w:top w:w="150" w:type="dxa"/>
              <w:left w:w="240" w:type="dxa"/>
              <w:bottom w:w="150" w:type="dxa"/>
              <w:right w:w="0" w:type="dxa"/>
            </w:tcMar>
            <w:vAlign w:val="center"/>
            <w:hideMark/>
          </w:tcPr>
          <w:p w14:paraId="0370817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86.7</w:t>
            </w:r>
          </w:p>
        </w:tc>
      </w:tr>
      <w:tr w:rsidR="004F029D" w:rsidRPr="00E515F1" w14:paraId="22513B4E" w14:textId="77777777" w:rsidTr="00FF4D5B">
        <w:tc>
          <w:tcPr>
            <w:tcW w:w="0" w:type="auto"/>
            <w:tcMar>
              <w:top w:w="150" w:type="dxa"/>
              <w:left w:w="0" w:type="dxa"/>
              <w:bottom w:w="150" w:type="dxa"/>
              <w:right w:w="240" w:type="dxa"/>
            </w:tcMar>
            <w:vAlign w:val="center"/>
            <w:hideMark/>
          </w:tcPr>
          <w:p w14:paraId="22CD8623"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419FB46C"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26D9668E"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w:t>
            </w:r>
          </w:p>
        </w:tc>
        <w:tc>
          <w:tcPr>
            <w:tcW w:w="0" w:type="auto"/>
            <w:tcMar>
              <w:top w:w="150" w:type="dxa"/>
              <w:left w:w="240" w:type="dxa"/>
              <w:bottom w:w="150" w:type="dxa"/>
              <w:right w:w="0" w:type="dxa"/>
            </w:tcMar>
            <w:vAlign w:val="center"/>
            <w:hideMark/>
          </w:tcPr>
          <w:p w14:paraId="7D402ED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6.7</w:t>
            </w:r>
          </w:p>
        </w:tc>
      </w:tr>
      <w:tr w:rsidR="004F029D" w:rsidRPr="00E515F1" w14:paraId="41DCE765" w14:textId="77777777" w:rsidTr="00FF4D5B">
        <w:tc>
          <w:tcPr>
            <w:tcW w:w="0" w:type="auto"/>
            <w:tcMar>
              <w:top w:w="150" w:type="dxa"/>
              <w:left w:w="0" w:type="dxa"/>
              <w:bottom w:w="150" w:type="dxa"/>
              <w:right w:w="240" w:type="dxa"/>
            </w:tcMar>
            <w:vAlign w:val="center"/>
            <w:hideMark/>
          </w:tcPr>
          <w:p w14:paraId="215CF37C"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5F58ED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Not Sure</w:t>
            </w:r>
          </w:p>
        </w:tc>
        <w:tc>
          <w:tcPr>
            <w:tcW w:w="0" w:type="auto"/>
            <w:tcMar>
              <w:top w:w="150" w:type="dxa"/>
              <w:left w:w="240" w:type="dxa"/>
              <w:bottom w:w="150" w:type="dxa"/>
              <w:right w:w="240" w:type="dxa"/>
            </w:tcMar>
            <w:vAlign w:val="center"/>
            <w:hideMark/>
          </w:tcPr>
          <w:p w14:paraId="3875FA8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w:t>
            </w:r>
          </w:p>
        </w:tc>
        <w:tc>
          <w:tcPr>
            <w:tcW w:w="0" w:type="auto"/>
            <w:tcMar>
              <w:top w:w="150" w:type="dxa"/>
              <w:left w:w="240" w:type="dxa"/>
              <w:bottom w:w="150" w:type="dxa"/>
              <w:right w:w="0" w:type="dxa"/>
            </w:tcMar>
            <w:vAlign w:val="center"/>
            <w:hideMark/>
          </w:tcPr>
          <w:p w14:paraId="2118721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6.7</w:t>
            </w:r>
          </w:p>
        </w:tc>
      </w:tr>
      <w:tr w:rsidR="004F029D" w:rsidRPr="00E515F1" w14:paraId="22E50385" w14:textId="77777777" w:rsidTr="00FF4D5B">
        <w:tc>
          <w:tcPr>
            <w:tcW w:w="0" w:type="auto"/>
            <w:tcMar>
              <w:top w:w="150" w:type="dxa"/>
              <w:left w:w="0" w:type="dxa"/>
              <w:bottom w:w="150" w:type="dxa"/>
              <w:right w:w="240" w:type="dxa"/>
            </w:tcMar>
            <w:vAlign w:val="center"/>
            <w:hideMark/>
          </w:tcPr>
          <w:p w14:paraId="52A5D2C6"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Would you sell milk from a sick animal?</w:t>
            </w:r>
          </w:p>
        </w:tc>
        <w:tc>
          <w:tcPr>
            <w:tcW w:w="0" w:type="auto"/>
            <w:tcMar>
              <w:top w:w="150" w:type="dxa"/>
              <w:left w:w="240" w:type="dxa"/>
              <w:bottom w:w="150" w:type="dxa"/>
              <w:right w:w="240" w:type="dxa"/>
            </w:tcMar>
            <w:vAlign w:val="center"/>
            <w:hideMark/>
          </w:tcPr>
          <w:p w14:paraId="3E93E1E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4A4E2AF1"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w:t>
            </w:r>
          </w:p>
        </w:tc>
        <w:tc>
          <w:tcPr>
            <w:tcW w:w="0" w:type="auto"/>
            <w:tcMar>
              <w:top w:w="150" w:type="dxa"/>
              <w:left w:w="240" w:type="dxa"/>
              <w:bottom w:w="150" w:type="dxa"/>
              <w:right w:w="0" w:type="dxa"/>
            </w:tcMar>
            <w:vAlign w:val="center"/>
            <w:hideMark/>
          </w:tcPr>
          <w:p w14:paraId="33D2391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40.0</w:t>
            </w:r>
          </w:p>
        </w:tc>
      </w:tr>
      <w:tr w:rsidR="004F029D" w:rsidRPr="00E515F1" w14:paraId="1E9CE265" w14:textId="77777777" w:rsidTr="00FF4D5B">
        <w:tc>
          <w:tcPr>
            <w:tcW w:w="0" w:type="auto"/>
            <w:tcMar>
              <w:top w:w="150" w:type="dxa"/>
              <w:left w:w="0" w:type="dxa"/>
              <w:bottom w:w="150" w:type="dxa"/>
              <w:right w:w="240" w:type="dxa"/>
            </w:tcMar>
            <w:vAlign w:val="center"/>
            <w:hideMark/>
          </w:tcPr>
          <w:p w14:paraId="46C4C8D4"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65939B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 unconditionally</w:t>
            </w:r>
          </w:p>
        </w:tc>
        <w:tc>
          <w:tcPr>
            <w:tcW w:w="0" w:type="auto"/>
            <w:tcMar>
              <w:top w:w="150" w:type="dxa"/>
              <w:left w:w="240" w:type="dxa"/>
              <w:bottom w:w="150" w:type="dxa"/>
              <w:right w:w="240" w:type="dxa"/>
            </w:tcMar>
            <w:vAlign w:val="center"/>
            <w:hideMark/>
          </w:tcPr>
          <w:p w14:paraId="280907D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30</w:t>
            </w:r>
          </w:p>
        </w:tc>
        <w:tc>
          <w:tcPr>
            <w:tcW w:w="0" w:type="auto"/>
            <w:tcMar>
              <w:top w:w="150" w:type="dxa"/>
              <w:left w:w="240" w:type="dxa"/>
              <w:bottom w:w="150" w:type="dxa"/>
              <w:right w:w="0" w:type="dxa"/>
            </w:tcMar>
            <w:vAlign w:val="center"/>
            <w:hideMark/>
          </w:tcPr>
          <w:p w14:paraId="7D7F7AF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20.0</w:t>
            </w:r>
          </w:p>
        </w:tc>
      </w:tr>
      <w:tr w:rsidR="004F029D" w:rsidRPr="00E515F1" w14:paraId="463BDD0E" w14:textId="77777777" w:rsidTr="00FF4D5B">
        <w:tc>
          <w:tcPr>
            <w:tcW w:w="0" w:type="auto"/>
            <w:tcMar>
              <w:top w:w="150" w:type="dxa"/>
              <w:left w:w="0" w:type="dxa"/>
              <w:bottom w:w="150" w:type="dxa"/>
              <w:right w:w="240" w:type="dxa"/>
            </w:tcMar>
            <w:vAlign w:val="center"/>
            <w:hideMark/>
          </w:tcPr>
          <w:p w14:paraId="03A60AFF"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40084F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Only after boiling</w:t>
            </w:r>
          </w:p>
        </w:tc>
        <w:tc>
          <w:tcPr>
            <w:tcW w:w="0" w:type="auto"/>
            <w:tcMar>
              <w:top w:w="150" w:type="dxa"/>
              <w:left w:w="240" w:type="dxa"/>
              <w:bottom w:w="150" w:type="dxa"/>
              <w:right w:w="240" w:type="dxa"/>
            </w:tcMar>
            <w:vAlign w:val="center"/>
            <w:hideMark/>
          </w:tcPr>
          <w:p w14:paraId="72FAF27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w:t>
            </w:r>
          </w:p>
        </w:tc>
        <w:tc>
          <w:tcPr>
            <w:tcW w:w="0" w:type="auto"/>
            <w:tcMar>
              <w:top w:w="150" w:type="dxa"/>
              <w:left w:w="240" w:type="dxa"/>
              <w:bottom w:w="150" w:type="dxa"/>
              <w:right w:w="0" w:type="dxa"/>
            </w:tcMar>
            <w:vAlign w:val="center"/>
            <w:hideMark/>
          </w:tcPr>
          <w:p w14:paraId="2035AD0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40.0</w:t>
            </w:r>
          </w:p>
        </w:tc>
      </w:tr>
      <w:tr w:rsidR="004F029D" w:rsidRPr="00E515F1" w14:paraId="39BB65E5" w14:textId="77777777" w:rsidTr="00FF4D5B">
        <w:tc>
          <w:tcPr>
            <w:tcW w:w="0" w:type="auto"/>
            <w:tcMar>
              <w:top w:w="150" w:type="dxa"/>
              <w:left w:w="0" w:type="dxa"/>
              <w:bottom w:w="150" w:type="dxa"/>
              <w:right w:w="240" w:type="dxa"/>
            </w:tcMar>
            <w:vAlign w:val="center"/>
            <w:hideMark/>
          </w:tcPr>
          <w:p w14:paraId="019C3111"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lastRenderedPageBreak/>
              <w:t>Does boiling make milk safe to drink?</w:t>
            </w:r>
          </w:p>
        </w:tc>
        <w:tc>
          <w:tcPr>
            <w:tcW w:w="0" w:type="auto"/>
            <w:tcMar>
              <w:top w:w="150" w:type="dxa"/>
              <w:left w:w="240" w:type="dxa"/>
              <w:bottom w:w="150" w:type="dxa"/>
              <w:right w:w="240" w:type="dxa"/>
            </w:tcMar>
            <w:vAlign w:val="center"/>
            <w:hideMark/>
          </w:tcPr>
          <w:p w14:paraId="6012F785"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w:t>
            </w:r>
          </w:p>
        </w:tc>
        <w:tc>
          <w:tcPr>
            <w:tcW w:w="0" w:type="auto"/>
            <w:tcMar>
              <w:top w:w="150" w:type="dxa"/>
              <w:left w:w="240" w:type="dxa"/>
              <w:bottom w:w="150" w:type="dxa"/>
              <w:right w:w="240" w:type="dxa"/>
            </w:tcMar>
            <w:vAlign w:val="center"/>
            <w:hideMark/>
          </w:tcPr>
          <w:p w14:paraId="52AE98C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125</w:t>
            </w:r>
          </w:p>
        </w:tc>
        <w:tc>
          <w:tcPr>
            <w:tcW w:w="0" w:type="auto"/>
            <w:tcMar>
              <w:top w:w="150" w:type="dxa"/>
              <w:left w:w="240" w:type="dxa"/>
              <w:bottom w:w="150" w:type="dxa"/>
              <w:right w:w="0" w:type="dxa"/>
            </w:tcMar>
            <w:vAlign w:val="center"/>
            <w:hideMark/>
          </w:tcPr>
          <w:p w14:paraId="0F292D4C"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83.3</w:t>
            </w:r>
          </w:p>
        </w:tc>
      </w:tr>
      <w:tr w:rsidR="004F029D" w:rsidRPr="00E515F1" w14:paraId="44D35619" w14:textId="77777777" w:rsidTr="00FF4D5B">
        <w:tc>
          <w:tcPr>
            <w:tcW w:w="0" w:type="auto"/>
            <w:tcMar>
              <w:top w:w="150" w:type="dxa"/>
              <w:left w:w="0" w:type="dxa"/>
              <w:bottom w:w="150" w:type="dxa"/>
              <w:right w:w="240" w:type="dxa"/>
            </w:tcMar>
            <w:vAlign w:val="center"/>
            <w:hideMark/>
          </w:tcPr>
          <w:p w14:paraId="6540DF40"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4C18B05"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0FFF0075"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w:t>
            </w:r>
          </w:p>
        </w:tc>
        <w:tc>
          <w:tcPr>
            <w:tcW w:w="0" w:type="auto"/>
            <w:tcMar>
              <w:top w:w="150" w:type="dxa"/>
              <w:left w:w="240" w:type="dxa"/>
              <w:bottom w:w="150" w:type="dxa"/>
              <w:right w:w="0" w:type="dxa"/>
            </w:tcMar>
            <w:vAlign w:val="center"/>
            <w:hideMark/>
          </w:tcPr>
          <w:p w14:paraId="44C1407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w:t>
            </w:r>
          </w:p>
        </w:tc>
      </w:tr>
      <w:tr w:rsidR="004F029D" w:rsidRPr="00E515F1" w14:paraId="69B1DD06" w14:textId="77777777" w:rsidTr="00FF4D5B">
        <w:tc>
          <w:tcPr>
            <w:tcW w:w="0" w:type="auto"/>
            <w:tcMar>
              <w:top w:w="150" w:type="dxa"/>
              <w:left w:w="0" w:type="dxa"/>
              <w:bottom w:w="150" w:type="dxa"/>
              <w:right w:w="240" w:type="dxa"/>
            </w:tcMar>
            <w:vAlign w:val="center"/>
            <w:hideMark/>
          </w:tcPr>
          <w:p w14:paraId="7A9AC562"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E934BAC"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Not Sure</w:t>
            </w:r>
          </w:p>
        </w:tc>
        <w:tc>
          <w:tcPr>
            <w:tcW w:w="0" w:type="auto"/>
            <w:tcMar>
              <w:top w:w="150" w:type="dxa"/>
              <w:left w:w="240" w:type="dxa"/>
              <w:bottom w:w="150" w:type="dxa"/>
              <w:right w:w="240" w:type="dxa"/>
            </w:tcMar>
            <w:vAlign w:val="center"/>
            <w:hideMark/>
          </w:tcPr>
          <w:p w14:paraId="13CABDC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63DE7EC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bl>
    <w:p w14:paraId="67791561" w14:textId="77777777" w:rsidR="004F029D" w:rsidRPr="00E515F1" w:rsidRDefault="004F029D"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i/>
          <w:iCs/>
          <w:color w:val="0F1115"/>
          <w:sz w:val="24"/>
          <w:szCs w:val="24"/>
        </w:rPr>
        <w:t>Source: Field survey, 2025.</w:t>
      </w:r>
    </w:p>
    <w:p w14:paraId="2B362127"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Public Health Impact and Intervention Preferences</w:t>
      </w:r>
    </w:p>
    <w:p w14:paraId="56A292C2" w14:textId="77777777" w:rsidR="004F029D" w:rsidRPr="00E515F1" w:rsidRDefault="004F029D"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b/>
          <w:bCs/>
          <w:color w:val="0F1115"/>
          <w:sz w:val="24"/>
          <w:szCs w:val="24"/>
        </w:rPr>
        <w:t>Table 5. Perceived Public Health Impact and Intervention Preferences (N = 150)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0"/>
        <w:gridCol w:w="2427"/>
        <w:gridCol w:w="1718"/>
        <w:gridCol w:w="1800"/>
      </w:tblGrid>
      <w:tr w:rsidR="004F029D" w:rsidRPr="00E515F1" w14:paraId="6140EA20" w14:textId="77777777" w:rsidTr="00FF4D5B">
        <w:trPr>
          <w:tblHeader/>
        </w:trPr>
        <w:tc>
          <w:tcPr>
            <w:tcW w:w="0" w:type="auto"/>
            <w:tcMar>
              <w:top w:w="150" w:type="dxa"/>
              <w:left w:w="0" w:type="dxa"/>
              <w:bottom w:w="150" w:type="dxa"/>
              <w:right w:w="240" w:type="dxa"/>
            </w:tcMar>
            <w:vAlign w:val="center"/>
            <w:hideMark/>
          </w:tcPr>
          <w:p w14:paraId="35E50228"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Question</w:t>
            </w:r>
          </w:p>
        </w:tc>
        <w:tc>
          <w:tcPr>
            <w:tcW w:w="0" w:type="auto"/>
            <w:tcMar>
              <w:top w:w="150" w:type="dxa"/>
              <w:left w:w="240" w:type="dxa"/>
              <w:bottom w:w="150" w:type="dxa"/>
              <w:right w:w="240" w:type="dxa"/>
            </w:tcMar>
            <w:vAlign w:val="center"/>
            <w:hideMark/>
          </w:tcPr>
          <w:p w14:paraId="2D907EAA"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Response Option</w:t>
            </w:r>
          </w:p>
        </w:tc>
        <w:tc>
          <w:tcPr>
            <w:tcW w:w="0" w:type="auto"/>
            <w:tcMar>
              <w:top w:w="150" w:type="dxa"/>
              <w:left w:w="240" w:type="dxa"/>
              <w:bottom w:w="150" w:type="dxa"/>
              <w:right w:w="240" w:type="dxa"/>
            </w:tcMar>
            <w:vAlign w:val="center"/>
            <w:hideMark/>
          </w:tcPr>
          <w:p w14:paraId="1B581A33"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Frequency (n)</w:t>
            </w:r>
          </w:p>
        </w:tc>
        <w:tc>
          <w:tcPr>
            <w:tcW w:w="0" w:type="auto"/>
            <w:tcMar>
              <w:top w:w="150" w:type="dxa"/>
              <w:left w:w="240" w:type="dxa"/>
              <w:bottom w:w="150" w:type="dxa"/>
              <w:right w:w="240" w:type="dxa"/>
            </w:tcMar>
            <w:vAlign w:val="center"/>
            <w:hideMark/>
          </w:tcPr>
          <w:p w14:paraId="1DF1D339" w14:textId="77777777" w:rsidR="004F029D" w:rsidRPr="00E515F1" w:rsidRDefault="004F029D" w:rsidP="00FF4D5B">
            <w:pPr>
              <w:spacing w:after="0" w:line="360" w:lineRule="auto"/>
              <w:rPr>
                <w:rFonts w:ascii="Times New Roman" w:eastAsia="Times New Roman" w:hAnsi="Times New Roman" w:cs="Times New Roman"/>
                <w:b/>
                <w:bCs/>
                <w:sz w:val="24"/>
                <w:szCs w:val="24"/>
              </w:rPr>
            </w:pPr>
            <w:r w:rsidRPr="00E515F1">
              <w:rPr>
                <w:rFonts w:ascii="Times New Roman" w:eastAsia="Times New Roman" w:hAnsi="Times New Roman" w:cs="Times New Roman"/>
                <w:b/>
                <w:bCs/>
                <w:sz w:val="24"/>
                <w:szCs w:val="24"/>
              </w:rPr>
              <w:t>Percentage (%)</w:t>
            </w:r>
          </w:p>
        </w:tc>
      </w:tr>
      <w:tr w:rsidR="004F029D" w:rsidRPr="00E515F1" w14:paraId="6E13A515" w14:textId="77777777" w:rsidTr="00FF4D5B">
        <w:tc>
          <w:tcPr>
            <w:tcW w:w="0" w:type="auto"/>
            <w:tcMar>
              <w:top w:w="150" w:type="dxa"/>
              <w:left w:w="0" w:type="dxa"/>
              <w:bottom w:w="150" w:type="dxa"/>
              <w:right w:w="240" w:type="dxa"/>
            </w:tcMar>
            <w:vAlign w:val="center"/>
            <w:hideMark/>
          </w:tcPr>
          <w:p w14:paraId="1262C537"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Has anyone in your household been ill after consuming milk?</w:t>
            </w:r>
          </w:p>
        </w:tc>
        <w:tc>
          <w:tcPr>
            <w:tcW w:w="0" w:type="auto"/>
            <w:tcMar>
              <w:top w:w="150" w:type="dxa"/>
              <w:left w:w="240" w:type="dxa"/>
              <w:bottom w:w="150" w:type="dxa"/>
              <w:right w:w="240" w:type="dxa"/>
            </w:tcMar>
            <w:vAlign w:val="center"/>
            <w:hideMark/>
          </w:tcPr>
          <w:p w14:paraId="72347E8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w:t>
            </w:r>
          </w:p>
        </w:tc>
        <w:tc>
          <w:tcPr>
            <w:tcW w:w="0" w:type="auto"/>
            <w:tcMar>
              <w:top w:w="150" w:type="dxa"/>
              <w:left w:w="240" w:type="dxa"/>
              <w:bottom w:w="150" w:type="dxa"/>
              <w:right w:w="240" w:type="dxa"/>
            </w:tcMar>
            <w:vAlign w:val="center"/>
            <w:hideMark/>
          </w:tcPr>
          <w:p w14:paraId="62E81AE6"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40</w:t>
            </w:r>
          </w:p>
        </w:tc>
        <w:tc>
          <w:tcPr>
            <w:tcW w:w="0" w:type="auto"/>
            <w:tcMar>
              <w:top w:w="150" w:type="dxa"/>
              <w:left w:w="240" w:type="dxa"/>
              <w:bottom w:w="150" w:type="dxa"/>
              <w:right w:w="0" w:type="dxa"/>
            </w:tcMar>
            <w:vAlign w:val="center"/>
            <w:hideMark/>
          </w:tcPr>
          <w:p w14:paraId="7D5CD99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26.7</w:t>
            </w:r>
          </w:p>
        </w:tc>
      </w:tr>
      <w:tr w:rsidR="004F029D" w:rsidRPr="00E515F1" w14:paraId="2C1BD211" w14:textId="77777777" w:rsidTr="00FF4D5B">
        <w:tc>
          <w:tcPr>
            <w:tcW w:w="0" w:type="auto"/>
            <w:tcMar>
              <w:top w:w="150" w:type="dxa"/>
              <w:left w:w="0" w:type="dxa"/>
              <w:bottom w:w="150" w:type="dxa"/>
              <w:right w:w="240" w:type="dxa"/>
            </w:tcMar>
            <w:vAlign w:val="center"/>
            <w:hideMark/>
          </w:tcPr>
          <w:p w14:paraId="02B0F7F7"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A25706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6956300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90</w:t>
            </w:r>
          </w:p>
        </w:tc>
        <w:tc>
          <w:tcPr>
            <w:tcW w:w="0" w:type="auto"/>
            <w:tcMar>
              <w:top w:w="150" w:type="dxa"/>
              <w:left w:w="240" w:type="dxa"/>
              <w:bottom w:w="150" w:type="dxa"/>
              <w:right w:w="0" w:type="dxa"/>
            </w:tcMar>
            <w:vAlign w:val="center"/>
            <w:hideMark/>
          </w:tcPr>
          <w:p w14:paraId="2A7D831E"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60.0</w:t>
            </w:r>
          </w:p>
        </w:tc>
      </w:tr>
      <w:tr w:rsidR="004F029D" w:rsidRPr="00E515F1" w14:paraId="288E3407" w14:textId="77777777" w:rsidTr="00FF4D5B">
        <w:tc>
          <w:tcPr>
            <w:tcW w:w="0" w:type="auto"/>
            <w:tcMar>
              <w:top w:w="150" w:type="dxa"/>
              <w:left w:w="0" w:type="dxa"/>
              <w:bottom w:w="150" w:type="dxa"/>
              <w:right w:w="240" w:type="dxa"/>
            </w:tcMar>
            <w:vAlign w:val="center"/>
            <w:hideMark/>
          </w:tcPr>
          <w:p w14:paraId="4256AA8C"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1D9849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Not Sure</w:t>
            </w:r>
          </w:p>
        </w:tc>
        <w:tc>
          <w:tcPr>
            <w:tcW w:w="0" w:type="auto"/>
            <w:tcMar>
              <w:top w:w="150" w:type="dxa"/>
              <w:left w:w="240" w:type="dxa"/>
              <w:bottom w:w="150" w:type="dxa"/>
              <w:right w:w="240" w:type="dxa"/>
            </w:tcMar>
            <w:vAlign w:val="center"/>
            <w:hideMark/>
          </w:tcPr>
          <w:p w14:paraId="60BF81F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2DEAECE1"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4F029D" w:rsidRPr="00E515F1" w14:paraId="487357EC" w14:textId="77777777" w:rsidTr="00FF4D5B">
        <w:tc>
          <w:tcPr>
            <w:tcW w:w="0" w:type="auto"/>
            <w:tcMar>
              <w:top w:w="150" w:type="dxa"/>
              <w:left w:w="0" w:type="dxa"/>
              <w:bottom w:w="150" w:type="dxa"/>
              <w:right w:w="240" w:type="dxa"/>
            </w:tcMar>
            <w:vAlign w:val="center"/>
            <w:hideMark/>
          </w:tcPr>
          <w:p w14:paraId="726EC489"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Impact of milk-borne illness on household income</w:t>
            </w:r>
          </w:p>
        </w:tc>
        <w:tc>
          <w:tcPr>
            <w:tcW w:w="0" w:type="auto"/>
            <w:tcMar>
              <w:top w:w="150" w:type="dxa"/>
              <w:left w:w="240" w:type="dxa"/>
              <w:bottom w:w="150" w:type="dxa"/>
              <w:right w:w="240" w:type="dxa"/>
            </w:tcMar>
            <w:vAlign w:val="center"/>
            <w:hideMark/>
          </w:tcPr>
          <w:p w14:paraId="1E76AD5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Severe/Moderate impact</w:t>
            </w:r>
          </w:p>
        </w:tc>
        <w:tc>
          <w:tcPr>
            <w:tcW w:w="0" w:type="auto"/>
            <w:tcMar>
              <w:top w:w="150" w:type="dxa"/>
              <w:left w:w="240" w:type="dxa"/>
              <w:bottom w:w="150" w:type="dxa"/>
              <w:right w:w="240" w:type="dxa"/>
            </w:tcMar>
            <w:vAlign w:val="center"/>
            <w:hideMark/>
          </w:tcPr>
          <w:p w14:paraId="49E58A59"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50</w:t>
            </w:r>
          </w:p>
        </w:tc>
        <w:tc>
          <w:tcPr>
            <w:tcW w:w="0" w:type="auto"/>
            <w:tcMar>
              <w:top w:w="150" w:type="dxa"/>
              <w:left w:w="240" w:type="dxa"/>
              <w:bottom w:w="150" w:type="dxa"/>
              <w:right w:w="0" w:type="dxa"/>
            </w:tcMar>
            <w:vAlign w:val="center"/>
            <w:hideMark/>
          </w:tcPr>
          <w:p w14:paraId="05F94FB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33.3</w:t>
            </w:r>
          </w:p>
        </w:tc>
      </w:tr>
      <w:tr w:rsidR="004F029D" w:rsidRPr="00E515F1" w14:paraId="371F0985" w14:textId="77777777" w:rsidTr="00FF4D5B">
        <w:tc>
          <w:tcPr>
            <w:tcW w:w="0" w:type="auto"/>
            <w:tcMar>
              <w:top w:w="150" w:type="dxa"/>
              <w:left w:w="0" w:type="dxa"/>
              <w:bottom w:w="150" w:type="dxa"/>
              <w:right w:w="240" w:type="dxa"/>
            </w:tcMar>
            <w:vAlign w:val="center"/>
            <w:hideMark/>
          </w:tcPr>
          <w:p w14:paraId="0C00E708"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9ABDFC5"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Little/No impact</w:t>
            </w:r>
          </w:p>
        </w:tc>
        <w:tc>
          <w:tcPr>
            <w:tcW w:w="0" w:type="auto"/>
            <w:tcMar>
              <w:top w:w="150" w:type="dxa"/>
              <w:left w:w="240" w:type="dxa"/>
              <w:bottom w:w="150" w:type="dxa"/>
              <w:right w:w="240" w:type="dxa"/>
            </w:tcMar>
            <w:vAlign w:val="center"/>
            <w:hideMark/>
          </w:tcPr>
          <w:p w14:paraId="71B45571"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c>
          <w:tcPr>
            <w:tcW w:w="0" w:type="auto"/>
            <w:tcMar>
              <w:top w:w="150" w:type="dxa"/>
              <w:left w:w="240" w:type="dxa"/>
              <w:bottom w:w="150" w:type="dxa"/>
              <w:right w:w="0" w:type="dxa"/>
            </w:tcMar>
            <w:vAlign w:val="center"/>
            <w:hideMark/>
          </w:tcPr>
          <w:p w14:paraId="2E3EB7D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66.7</w:t>
            </w:r>
          </w:p>
        </w:tc>
      </w:tr>
      <w:tr w:rsidR="004F029D" w:rsidRPr="00E515F1" w14:paraId="42E8BF39" w14:textId="77777777" w:rsidTr="00FF4D5B">
        <w:tc>
          <w:tcPr>
            <w:tcW w:w="0" w:type="auto"/>
            <w:tcMar>
              <w:top w:w="150" w:type="dxa"/>
              <w:left w:w="0" w:type="dxa"/>
              <w:bottom w:w="150" w:type="dxa"/>
              <w:right w:w="240" w:type="dxa"/>
            </w:tcMar>
            <w:vAlign w:val="center"/>
            <w:hideMark/>
          </w:tcPr>
          <w:p w14:paraId="3CBD146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Would you support pasteurization initiatives?</w:t>
            </w:r>
          </w:p>
        </w:tc>
        <w:tc>
          <w:tcPr>
            <w:tcW w:w="0" w:type="auto"/>
            <w:tcMar>
              <w:top w:w="150" w:type="dxa"/>
              <w:left w:w="240" w:type="dxa"/>
              <w:bottom w:w="150" w:type="dxa"/>
              <w:right w:w="240" w:type="dxa"/>
            </w:tcMar>
            <w:vAlign w:val="center"/>
            <w:hideMark/>
          </w:tcPr>
          <w:p w14:paraId="3CC55CA9"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Yes</w:t>
            </w:r>
          </w:p>
        </w:tc>
        <w:tc>
          <w:tcPr>
            <w:tcW w:w="0" w:type="auto"/>
            <w:tcMar>
              <w:top w:w="150" w:type="dxa"/>
              <w:left w:w="240" w:type="dxa"/>
              <w:bottom w:w="150" w:type="dxa"/>
              <w:right w:w="240" w:type="dxa"/>
            </w:tcMar>
            <w:vAlign w:val="center"/>
            <w:hideMark/>
          </w:tcPr>
          <w:p w14:paraId="7A8088AC"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110</w:t>
            </w:r>
          </w:p>
        </w:tc>
        <w:tc>
          <w:tcPr>
            <w:tcW w:w="0" w:type="auto"/>
            <w:tcMar>
              <w:top w:w="150" w:type="dxa"/>
              <w:left w:w="240" w:type="dxa"/>
              <w:bottom w:w="150" w:type="dxa"/>
              <w:right w:w="0" w:type="dxa"/>
            </w:tcMar>
            <w:vAlign w:val="center"/>
            <w:hideMark/>
          </w:tcPr>
          <w:p w14:paraId="3008210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73.3</w:t>
            </w:r>
          </w:p>
        </w:tc>
      </w:tr>
      <w:tr w:rsidR="004F029D" w:rsidRPr="00E515F1" w14:paraId="39ED87FE" w14:textId="77777777" w:rsidTr="00FF4D5B">
        <w:tc>
          <w:tcPr>
            <w:tcW w:w="0" w:type="auto"/>
            <w:tcMar>
              <w:top w:w="150" w:type="dxa"/>
              <w:left w:w="0" w:type="dxa"/>
              <w:bottom w:w="150" w:type="dxa"/>
              <w:right w:w="240" w:type="dxa"/>
            </w:tcMar>
            <w:vAlign w:val="center"/>
            <w:hideMark/>
          </w:tcPr>
          <w:p w14:paraId="75FCBCD4"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7BE50A06"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w:t>
            </w:r>
          </w:p>
        </w:tc>
        <w:tc>
          <w:tcPr>
            <w:tcW w:w="0" w:type="auto"/>
            <w:tcMar>
              <w:top w:w="150" w:type="dxa"/>
              <w:left w:w="240" w:type="dxa"/>
              <w:bottom w:w="150" w:type="dxa"/>
              <w:right w:w="240" w:type="dxa"/>
            </w:tcMar>
            <w:vAlign w:val="center"/>
            <w:hideMark/>
          </w:tcPr>
          <w:p w14:paraId="1CBE6F8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50C89449"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4F029D" w:rsidRPr="00E515F1" w14:paraId="07681922" w14:textId="77777777" w:rsidTr="00FF4D5B">
        <w:tc>
          <w:tcPr>
            <w:tcW w:w="0" w:type="auto"/>
            <w:tcMar>
              <w:top w:w="150" w:type="dxa"/>
              <w:left w:w="0" w:type="dxa"/>
              <w:bottom w:w="150" w:type="dxa"/>
              <w:right w:w="240" w:type="dxa"/>
            </w:tcMar>
            <w:vAlign w:val="center"/>
            <w:hideMark/>
          </w:tcPr>
          <w:p w14:paraId="6886DC16"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8B6166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Not Sure</w:t>
            </w:r>
          </w:p>
        </w:tc>
        <w:tc>
          <w:tcPr>
            <w:tcW w:w="0" w:type="auto"/>
            <w:tcMar>
              <w:top w:w="150" w:type="dxa"/>
              <w:left w:w="240" w:type="dxa"/>
              <w:bottom w:w="150" w:type="dxa"/>
              <w:right w:w="240" w:type="dxa"/>
            </w:tcMar>
            <w:vAlign w:val="center"/>
            <w:hideMark/>
          </w:tcPr>
          <w:p w14:paraId="1C86422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20</w:t>
            </w:r>
          </w:p>
        </w:tc>
        <w:tc>
          <w:tcPr>
            <w:tcW w:w="0" w:type="auto"/>
            <w:tcMar>
              <w:top w:w="150" w:type="dxa"/>
              <w:left w:w="240" w:type="dxa"/>
              <w:bottom w:w="150" w:type="dxa"/>
              <w:right w:w="0" w:type="dxa"/>
            </w:tcMar>
            <w:vAlign w:val="center"/>
            <w:hideMark/>
          </w:tcPr>
          <w:p w14:paraId="65A50971"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13.3</w:t>
            </w:r>
          </w:p>
        </w:tc>
      </w:tr>
      <w:tr w:rsidR="004F029D" w:rsidRPr="00E515F1" w14:paraId="63C7750C" w14:textId="77777777" w:rsidTr="00FF4D5B">
        <w:tc>
          <w:tcPr>
            <w:tcW w:w="0" w:type="auto"/>
            <w:tcMar>
              <w:top w:w="150" w:type="dxa"/>
              <w:left w:w="0" w:type="dxa"/>
              <w:bottom w:w="150" w:type="dxa"/>
              <w:right w:w="240" w:type="dxa"/>
            </w:tcMar>
            <w:vAlign w:val="center"/>
            <w:hideMark/>
          </w:tcPr>
          <w:p w14:paraId="3F98E21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Most effective interventions</w:t>
            </w:r>
          </w:p>
        </w:tc>
        <w:tc>
          <w:tcPr>
            <w:tcW w:w="0" w:type="auto"/>
            <w:tcMar>
              <w:top w:w="150" w:type="dxa"/>
              <w:left w:w="240" w:type="dxa"/>
              <w:bottom w:w="150" w:type="dxa"/>
              <w:right w:w="240" w:type="dxa"/>
            </w:tcMar>
            <w:vAlign w:val="center"/>
            <w:hideMark/>
          </w:tcPr>
          <w:p w14:paraId="6726D47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Community Education</w:t>
            </w:r>
          </w:p>
        </w:tc>
        <w:tc>
          <w:tcPr>
            <w:tcW w:w="0" w:type="auto"/>
            <w:tcMar>
              <w:top w:w="150" w:type="dxa"/>
              <w:left w:w="240" w:type="dxa"/>
              <w:bottom w:w="150" w:type="dxa"/>
              <w:right w:w="240" w:type="dxa"/>
            </w:tcMar>
            <w:vAlign w:val="center"/>
            <w:hideMark/>
          </w:tcPr>
          <w:p w14:paraId="57B29F7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140</w:t>
            </w:r>
          </w:p>
        </w:tc>
        <w:tc>
          <w:tcPr>
            <w:tcW w:w="0" w:type="auto"/>
            <w:tcMar>
              <w:top w:w="150" w:type="dxa"/>
              <w:left w:w="240" w:type="dxa"/>
              <w:bottom w:w="150" w:type="dxa"/>
              <w:right w:w="0" w:type="dxa"/>
            </w:tcMar>
            <w:vAlign w:val="center"/>
            <w:hideMark/>
          </w:tcPr>
          <w:p w14:paraId="7A9C932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93.3</w:t>
            </w:r>
          </w:p>
        </w:tc>
      </w:tr>
      <w:tr w:rsidR="004F029D" w:rsidRPr="00E515F1" w14:paraId="3B837B0F" w14:textId="77777777" w:rsidTr="00FF4D5B">
        <w:tc>
          <w:tcPr>
            <w:tcW w:w="0" w:type="auto"/>
            <w:tcMar>
              <w:top w:w="150" w:type="dxa"/>
              <w:left w:w="0" w:type="dxa"/>
              <w:bottom w:w="150" w:type="dxa"/>
              <w:right w:w="240" w:type="dxa"/>
            </w:tcMar>
            <w:vAlign w:val="center"/>
            <w:hideMark/>
          </w:tcPr>
          <w:p w14:paraId="75E23AAD"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2F1FF9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Veterinary Screening</w:t>
            </w:r>
          </w:p>
        </w:tc>
        <w:tc>
          <w:tcPr>
            <w:tcW w:w="0" w:type="auto"/>
            <w:tcMar>
              <w:top w:w="150" w:type="dxa"/>
              <w:left w:w="240" w:type="dxa"/>
              <w:bottom w:w="150" w:type="dxa"/>
              <w:right w:w="240" w:type="dxa"/>
            </w:tcMar>
            <w:vAlign w:val="center"/>
            <w:hideMark/>
          </w:tcPr>
          <w:p w14:paraId="18E686A4"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120</w:t>
            </w:r>
          </w:p>
        </w:tc>
        <w:tc>
          <w:tcPr>
            <w:tcW w:w="0" w:type="auto"/>
            <w:tcMar>
              <w:top w:w="150" w:type="dxa"/>
              <w:left w:w="240" w:type="dxa"/>
              <w:bottom w:w="150" w:type="dxa"/>
              <w:right w:w="0" w:type="dxa"/>
            </w:tcMar>
            <w:vAlign w:val="center"/>
            <w:hideMark/>
          </w:tcPr>
          <w:p w14:paraId="5EC80C0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80.0</w:t>
            </w:r>
          </w:p>
        </w:tc>
      </w:tr>
      <w:tr w:rsidR="004F029D" w:rsidRPr="00E515F1" w14:paraId="4940024F" w14:textId="77777777" w:rsidTr="00FF4D5B">
        <w:tc>
          <w:tcPr>
            <w:tcW w:w="0" w:type="auto"/>
            <w:tcMar>
              <w:top w:w="150" w:type="dxa"/>
              <w:left w:w="0" w:type="dxa"/>
              <w:bottom w:w="150" w:type="dxa"/>
              <w:right w:w="240" w:type="dxa"/>
            </w:tcMar>
            <w:vAlign w:val="center"/>
            <w:hideMark/>
          </w:tcPr>
          <w:p w14:paraId="3E14BF99"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3D071F8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Pasteurization Facilities</w:t>
            </w:r>
          </w:p>
        </w:tc>
        <w:tc>
          <w:tcPr>
            <w:tcW w:w="0" w:type="auto"/>
            <w:tcMar>
              <w:top w:w="150" w:type="dxa"/>
              <w:left w:w="240" w:type="dxa"/>
              <w:bottom w:w="150" w:type="dxa"/>
              <w:right w:w="240" w:type="dxa"/>
            </w:tcMar>
            <w:vAlign w:val="center"/>
            <w:hideMark/>
          </w:tcPr>
          <w:p w14:paraId="555275A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c>
          <w:tcPr>
            <w:tcW w:w="0" w:type="auto"/>
            <w:tcMar>
              <w:top w:w="150" w:type="dxa"/>
              <w:left w:w="240" w:type="dxa"/>
              <w:bottom w:w="150" w:type="dxa"/>
              <w:right w:w="0" w:type="dxa"/>
            </w:tcMar>
            <w:vAlign w:val="center"/>
            <w:hideMark/>
          </w:tcPr>
          <w:p w14:paraId="57789D86"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66.7</w:t>
            </w:r>
          </w:p>
        </w:tc>
      </w:tr>
      <w:tr w:rsidR="004F029D" w:rsidRPr="00E515F1" w14:paraId="624569A9" w14:textId="77777777" w:rsidTr="00FF4D5B">
        <w:tc>
          <w:tcPr>
            <w:tcW w:w="0" w:type="auto"/>
            <w:tcMar>
              <w:top w:w="150" w:type="dxa"/>
              <w:left w:w="0" w:type="dxa"/>
              <w:bottom w:w="150" w:type="dxa"/>
              <w:right w:w="240" w:type="dxa"/>
            </w:tcMar>
            <w:vAlign w:val="center"/>
            <w:hideMark/>
          </w:tcPr>
          <w:p w14:paraId="37A5685E"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FA1A58E"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Regulation of Vendors</w:t>
            </w:r>
          </w:p>
        </w:tc>
        <w:tc>
          <w:tcPr>
            <w:tcW w:w="0" w:type="auto"/>
            <w:tcMar>
              <w:top w:w="150" w:type="dxa"/>
              <w:left w:w="240" w:type="dxa"/>
              <w:bottom w:w="150" w:type="dxa"/>
              <w:right w:w="240" w:type="dxa"/>
            </w:tcMar>
            <w:vAlign w:val="center"/>
            <w:hideMark/>
          </w:tcPr>
          <w:p w14:paraId="57591665"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90</w:t>
            </w:r>
          </w:p>
        </w:tc>
        <w:tc>
          <w:tcPr>
            <w:tcW w:w="0" w:type="auto"/>
            <w:tcMar>
              <w:top w:w="150" w:type="dxa"/>
              <w:left w:w="240" w:type="dxa"/>
              <w:bottom w:w="150" w:type="dxa"/>
              <w:right w:w="0" w:type="dxa"/>
            </w:tcMar>
            <w:vAlign w:val="center"/>
            <w:hideMark/>
          </w:tcPr>
          <w:p w14:paraId="0FBD0A6B"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60.0</w:t>
            </w:r>
          </w:p>
        </w:tc>
      </w:tr>
      <w:tr w:rsidR="004F029D" w:rsidRPr="00E515F1" w14:paraId="36AD2046" w14:textId="77777777" w:rsidTr="00FF4D5B">
        <w:tc>
          <w:tcPr>
            <w:tcW w:w="0" w:type="auto"/>
            <w:tcMar>
              <w:top w:w="150" w:type="dxa"/>
              <w:left w:w="0" w:type="dxa"/>
              <w:bottom w:w="150" w:type="dxa"/>
              <w:right w:w="240" w:type="dxa"/>
            </w:tcMar>
            <w:vAlign w:val="center"/>
            <w:hideMark/>
          </w:tcPr>
          <w:p w14:paraId="1BF35A7A"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Who should lead health interventions?</w:t>
            </w:r>
          </w:p>
        </w:tc>
        <w:tc>
          <w:tcPr>
            <w:tcW w:w="0" w:type="auto"/>
            <w:tcMar>
              <w:top w:w="150" w:type="dxa"/>
              <w:left w:w="240" w:type="dxa"/>
              <w:bottom w:w="150" w:type="dxa"/>
              <w:right w:w="240" w:type="dxa"/>
            </w:tcMar>
            <w:vAlign w:val="center"/>
            <w:hideMark/>
          </w:tcPr>
          <w:p w14:paraId="61E2CB3E"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Health Workers</w:t>
            </w:r>
          </w:p>
        </w:tc>
        <w:tc>
          <w:tcPr>
            <w:tcW w:w="0" w:type="auto"/>
            <w:tcMar>
              <w:top w:w="150" w:type="dxa"/>
              <w:left w:w="240" w:type="dxa"/>
              <w:bottom w:w="150" w:type="dxa"/>
              <w:right w:w="240" w:type="dxa"/>
            </w:tcMar>
            <w:vAlign w:val="center"/>
            <w:hideMark/>
          </w:tcPr>
          <w:p w14:paraId="549BE9F5"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130</w:t>
            </w:r>
          </w:p>
        </w:tc>
        <w:tc>
          <w:tcPr>
            <w:tcW w:w="0" w:type="auto"/>
            <w:tcMar>
              <w:top w:w="150" w:type="dxa"/>
              <w:left w:w="240" w:type="dxa"/>
              <w:bottom w:w="150" w:type="dxa"/>
              <w:right w:w="0" w:type="dxa"/>
            </w:tcMar>
            <w:vAlign w:val="center"/>
            <w:hideMark/>
          </w:tcPr>
          <w:p w14:paraId="7C6B2D1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86.7</w:t>
            </w:r>
          </w:p>
        </w:tc>
      </w:tr>
      <w:tr w:rsidR="004F029D" w:rsidRPr="00E515F1" w14:paraId="4D67CFA3" w14:textId="77777777" w:rsidTr="00FF4D5B">
        <w:tc>
          <w:tcPr>
            <w:tcW w:w="0" w:type="auto"/>
            <w:tcMar>
              <w:top w:w="150" w:type="dxa"/>
              <w:left w:w="0" w:type="dxa"/>
              <w:bottom w:w="150" w:type="dxa"/>
              <w:right w:w="240" w:type="dxa"/>
            </w:tcMar>
            <w:vAlign w:val="center"/>
            <w:hideMark/>
          </w:tcPr>
          <w:p w14:paraId="2ABBE656"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058040F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Local Government</w:t>
            </w:r>
          </w:p>
        </w:tc>
        <w:tc>
          <w:tcPr>
            <w:tcW w:w="0" w:type="auto"/>
            <w:tcMar>
              <w:top w:w="150" w:type="dxa"/>
              <w:left w:w="240" w:type="dxa"/>
              <w:bottom w:w="150" w:type="dxa"/>
              <w:right w:w="240" w:type="dxa"/>
            </w:tcMar>
            <w:vAlign w:val="center"/>
            <w:hideMark/>
          </w:tcPr>
          <w:p w14:paraId="244927C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110</w:t>
            </w:r>
          </w:p>
        </w:tc>
        <w:tc>
          <w:tcPr>
            <w:tcW w:w="0" w:type="auto"/>
            <w:tcMar>
              <w:top w:w="150" w:type="dxa"/>
              <w:left w:w="240" w:type="dxa"/>
              <w:bottom w:w="150" w:type="dxa"/>
              <w:right w:w="0" w:type="dxa"/>
            </w:tcMar>
            <w:vAlign w:val="center"/>
            <w:hideMark/>
          </w:tcPr>
          <w:p w14:paraId="25872A20"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73.3</w:t>
            </w:r>
          </w:p>
        </w:tc>
      </w:tr>
      <w:tr w:rsidR="004F029D" w:rsidRPr="00E515F1" w14:paraId="6F6385EC" w14:textId="77777777" w:rsidTr="00FF4D5B">
        <w:tc>
          <w:tcPr>
            <w:tcW w:w="0" w:type="auto"/>
            <w:tcMar>
              <w:top w:w="150" w:type="dxa"/>
              <w:left w:w="0" w:type="dxa"/>
              <w:bottom w:w="150" w:type="dxa"/>
              <w:right w:w="240" w:type="dxa"/>
            </w:tcMar>
            <w:vAlign w:val="center"/>
            <w:hideMark/>
          </w:tcPr>
          <w:p w14:paraId="22957B08"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5B9D9B1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Religious Leaders</w:t>
            </w:r>
          </w:p>
        </w:tc>
        <w:tc>
          <w:tcPr>
            <w:tcW w:w="0" w:type="auto"/>
            <w:tcMar>
              <w:top w:w="150" w:type="dxa"/>
              <w:left w:w="240" w:type="dxa"/>
              <w:bottom w:w="150" w:type="dxa"/>
              <w:right w:w="240" w:type="dxa"/>
            </w:tcMar>
            <w:vAlign w:val="center"/>
            <w:hideMark/>
          </w:tcPr>
          <w:p w14:paraId="4853187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90</w:t>
            </w:r>
          </w:p>
        </w:tc>
        <w:tc>
          <w:tcPr>
            <w:tcW w:w="0" w:type="auto"/>
            <w:tcMar>
              <w:top w:w="150" w:type="dxa"/>
              <w:left w:w="240" w:type="dxa"/>
              <w:bottom w:w="150" w:type="dxa"/>
              <w:right w:w="0" w:type="dxa"/>
            </w:tcMar>
            <w:vAlign w:val="center"/>
            <w:hideMark/>
          </w:tcPr>
          <w:p w14:paraId="36DDA083"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60.0</w:t>
            </w:r>
          </w:p>
        </w:tc>
      </w:tr>
      <w:tr w:rsidR="004F029D" w:rsidRPr="00E515F1" w14:paraId="0E22EFE6" w14:textId="77777777" w:rsidTr="00FF4D5B">
        <w:tc>
          <w:tcPr>
            <w:tcW w:w="0" w:type="auto"/>
            <w:tcMar>
              <w:top w:w="150" w:type="dxa"/>
              <w:left w:w="0" w:type="dxa"/>
              <w:bottom w:w="150" w:type="dxa"/>
              <w:right w:w="240" w:type="dxa"/>
            </w:tcMar>
            <w:vAlign w:val="center"/>
            <w:hideMark/>
          </w:tcPr>
          <w:p w14:paraId="5815A1C0"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b/>
                <w:bCs/>
                <w:sz w:val="24"/>
                <w:szCs w:val="24"/>
              </w:rPr>
              <w:t>Best information channel</w:t>
            </w:r>
          </w:p>
        </w:tc>
        <w:tc>
          <w:tcPr>
            <w:tcW w:w="0" w:type="auto"/>
            <w:tcMar>
              <w:top w:w="150" w:type="dxa"/>
              <w:left w:w="240" w:type="dxa"/>
              <w:bottom w:w="150" w:type="dxa"/>
              <w:right w:w="240" w:type="dxa"/>
            </w:tcMar>
            <w:vAlign w:val="center"/>
            <w:hideMark/>
          </w:tcPr>
          <w:p w14:paraId="50EB15B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 xml:space="preserve">Radio </w:t>
            </w:r>
            <w:proofErr w:type="spellStart"/>
            <w:r w:rsidRPr="00E515F1">
              <w:rPr>
                <w:rFonts w:ascii="Times New Roman" w:eastAsia="Times New Roman" w:hAnsi="Times New Roman" w:cs="Times New Roman"/>
                <w:sz w:val="24"/>
                <w:szCs w:val="24"/>
              </w:rPr>
              <w:t>Programmes</w:t>
            </w:r>
            <w:proofErr w:type="spellEnd"/>
          </w:p>
        </w:tc>
        <w:tc>
          <w:tcPr>
            <w:tcW w:w="0" w:type="auto"/>
            <w:tcMar>
              <w:top w:w="150" w:type="dxa"/>
              <w:left w:w="240" w:type="dxa"/>
              <w:bottom w:w="150" w:type="dxa"/>
              <w:right w:w="240" w:type="dxa"/>
            </w:tcMar>
            <w:vAlign w:val="center"/>
            <w:hideMark/>
          </w:tcPr>
          <w:p w14:paraId="65AC2A6C"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120</w:t>
            </w:r>
          </w:p>
        </w:tc>
        <w:tc>
          <w:tcPr>
            <w:tcW w:w="0" w:type="auto"/>
            <w:tcMar>
              <w:top w:w="150" w:type="dxa"/>
              <w:left w:w="240" w:type="dxa"/>
              <w:bottom w:w="150" w:type="dxa"/>
              <w:right w:w="0" w:type="dxa"/>
            </w:tcMar>
            <w:vAlign w:val="center"/>
            <w:hideMark/>
          </w:tcPr>
          <w:p w14:paraId="18E46C7E"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80.0</w:t>
            </w:r>
          </w:p>
        </w:tc>
      </w:tr>
      <w:tr w:rsidR="004F029D" w:rsidRPr="00E515F1" w14:paraId="06B065C6" w14:textId="77777777" w:rsidTr="00FF4D5B">
        <w:tc>
          <w:tcPr>
            <w:tcW w:w="0" w:type="auto"/>
            <w:tcMar>
              <w:top w:w="150" w:type="dxa"/>
              <w:left w:w="0" w:type="dxa"/>
              <w:bottom w:w="150" w:type="dxa"/>
              <w:right w:w="240" w:type="dxa"/>
            </w:tcMar>
            <w:vAlign w:val="center"/>
            <w:hideMark/>
          </w:tcPr>
          <w:p w14:paraId="6D5A0106"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30E64568"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Mosque Announcements</w:t>
            </w:r>
          </w:p>
        </w:tc>
        <w:tc>
          <w:tcPr>
            <w:tcW w:w="0" w:type="auto"/>
            <w:tcMar>
              <w:top w:w="150" w:type="dxa"/>
              <w:left w:w="240" w:type="dxa"/>
              <w:bottom w:w="150" w:type="dxa"/>
              <w:right w:w="240" w:type="dxa"/>
            </w:tcMar>
            <w:vAlign w:val="center"/>
            <w:hideMark/>
          </w:tcPr>
          <w:p w14:paraId="0D0174EF"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100</w:t>
            </w:r>
          </w:p>
        </w:tc>
        <w:tc>
          <w:tcPr>
            <w:tcW w:w="0" w:type="auto"/>
            <w:tcMar>
              <w:top w:w="150" w:type="dxa"/>
              <w:left w:w="240" w:type="dxa"/>
              <w:bottom w:w="150" w:type="dxa"/>
              <w:right w:w="0" w:type="dxa"/>
            </w:tcMar>
            <w:vAlign w:val="center"/>
            <w:hideMark/>
          </w:tcPr>
          <w:p w14:paraId="0BEFB99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66.7</w:t>
            </w:r>
          </w:p>
        </w:tc>
      </w:tr>
      <w:tr w:rsidR="004F029D" w:rsidRPr="00E515F1" w14:paraId="6AB36B71" w14:textId="77777777" w:rsidTr="00FF4D5B">
        <w:tc>
          <w:tcPr>
            <w:tcW w:w="0" w:type="auto"/>
            <w:tcMar>
              <w:top w:w="150" w:type="dxa"/>
              <w:left w:w="0" w:type="dxa"/>
              <w:bottom w:w="150" w:type="dxa"/>
              <w:right w:w="240" w:type="dxa"/>
            </w:tcMar>
            <w:vAlign w:val="center"/>
            <w:hideMark/>
          </w:tcPr>
          <w:p w14:paraId="383D1713" w14:textId="77777777" w:rsidR="004F029D" w:rsidRPr="00E515F1" w:rsidRDefault="004F029D" w:rsidP="00FF4D5B">
            <w:pPr>
              <w:spacing w:after="0" w:line="360" w:lineRule="auto"/>
              <w:rPr>
                <w:rFonts w:ascii="Times New Roman" w:eastAsia="Times New Roman" w:hAnsi="Times New Roman" w:cs="Times New Roman"/>
                <w:sz w:val="24"/>
                <w:szCs w:val="24"/>
              </w:rPr>
            </w:pPr>
          </w:p>
        </w:tc>
        <w:tc>
          <w:tcPr>
            <w:tcW w:w="0" w:type="auto"/>
            <w:tcMar>
              <w:top w:w="150" w:type="dxa"/>
              <w:left w:w="240" w:type="dxa"/>
              <w:bottom w:w="150" w:type="dxa"/>
              <w:right w:w="240" w:type="dxa"/>
            </w:tcMar>
            <w:vAlign w:val="center"/>
            <w:hideMark/>
          </w:tcPr>
          <w:p w14:paraId="1AAB0BF2"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Community Meetings</w:t>
            </w:r>
          </w:p>
        </w:tc>
        <w:tc>
          <w:tcPr>
            <w:tcW w:w="0" w:type="auto"/>
            <w:tcMar>
              <w:top w:w="150" w:type="dxa"/>
              <w:left w:w="240" w:type="dxa"/>
              <w:bottom w:w="150" w:type="dxa"/>
              <w:right w:w="240" w:type="dxa"/>
            </w:tcMar>
            <w:vAlign w:val="center"/>
            <w:hideMark/>
          </w:tcPr>
          <w:p w14:paraId="2EF606CD"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95</w:t>
            </w:r>
          </w:p>
        </w:tc>
        <w:tc>
          <w:tcPr>
            <w:tcW w:w="0" w:type="auto"/>
            <w:tcMar>
              <w:top w:w="150" w:type="dxa"/>
              <w:left w:w="240" w:type="dxa"/>
              <w:bottom w:w="150" w:type="dxa"/>
              <w:right w:w="0" w:type="dxa"/>
            </w:tcMar>
            <w:vAlign w:val="center"/>
            <w:hideMark/>
          </w:tcPr>
          <w:p w14:paraId="2F6FAFAE" w14:textId="77777777" w:rsidR="004F029D" w:rsidRPr="00E515F1" w:rsidRDefault="004F029D" w:rsidP="00FF4D5B">
            <w:pPr>
              <w:spacing w:after="0" w:line="360" w:lineRule="auto"/>
              <w:rPr>
                <w:rFonts w:ascii="Times New Roman" w:eastAsia="Times New Roman" w:hAnsi="Times New Roman" w:cs="Times New Roman"/>
                <w:sz w:val="24"/>
                <w:szCs w:val="24"/>
              </w:rPr>
            </w:pPr>
            <w:r w:rsidRPr="00E515F1">
              <w:rPr>
                <w:rFonts w:ascii="Times New Roman" w:eastAsia="Times New Roman" w:hAnsi="Times New Roman" w:cs="Times New Roman"/>
                <w:sz w:val="24"/>
                <w:szCs w:val="24"/>
              </w:rPr>
              <w:t>63.3</w:t>
            </w:r>
          </w:p>
        </w:tc>
      </w:tr>
    </w:tbl>
    <w:p w14:paraId="002DC7F7" w14:textId="77777777" w:rsidR="004F029D" w:rsidRPr="00E515F1" w:rsidRDefault="004F029D" w:rsidP="00FF4D5B">
      <w:pPr>
        <w:shd w:val="clear" w:color="auto" w:fill="FFFFFF"/>
        <w:spacing w:before="240" w:after="240" w:line="360" w:lineRule="auto"/>
        <w:rPr>
          <w:rFonts w:ascii="Times New Roman" w:eastAsia="Times New Roman" w:hAnsi="Times New Roman" w:cs="Times New Roman"/>
          <w:color w:val="0F1115"/>
          <w:sz w:val="24"/>
          <w:szCs w:val="24"/>
        </w:rPr>
      </w:pPr>
      <w:r w:rsidRPr="00E515F1">
        <w:rPr>
          <w:rFonts w:ascii="Times New Roman" w:eastAsia="Times New Roman" w:hAnsi="Times New Roman" w:cs="Times New Roman"/>
          <w:i/>
          <w:iCs/>
          <w:color w:val="0F1115"/>
          <w:sz w:val="24"/>
          <w:szCs w:val="24"/>
        </w:rPr>
        <w:t>Source: Field survey, 2025.</w:t>
      </w:r>
    </w:p>
    <w:p w14:paraId="775CF025" w14:textId="77777777" w:rsidR="00E818A8" w:rsidRPr="00E515F1" w:rsidRDefault="00E818A8">
      <w:pPr>
        <w:spacing w:before="200" w:after="80" w:line="360" w:lineRule="auto"/>
        <w:rPr>
          <w:rFonts w:ascii="Times New Roman" w:hAnsi="Times New Roman" w:cs="Times New Roman"/>
          <w:b/>
          <w:i/>
          <w:sz w:val="24"/>
          <w:szCs w:val="24"/>
        </w:rPr>
      </w:pPr>
    </w:p>
    <w:p w14:paraId="4375BC18" w14:textId="77777777" w:rsidR="007C427D" w:rsidRPr="00E515F1" w:rsidRDefault="007C427D">
      <w:pPr>
        <w:rPr>
          <w:rFonts w:ascii="Times New Roman" w:hAnsi="Times New Roman" w:cs="Times New Roman"/>
          <w:b/>
          <w:sz w:val="24"/>
          <w:szCs w:val="24"/>
        </w:rPr>
      </w:pPr>
      <w:r w:rsidRPr="00E515F1">
        <w:rPr>
          <w:rFonts w:ascii="Times New Roman" w:hAnsi="Times New Roman" w:cs="Times New Roman"/>
          <w:b/>
          <w:sz w:val="24"/>
          <w:szCs w:val="24"/>
        </w:rPr>
        <w:lastRenderedPageBreak/>
        <w:br w:type="page"/>
      </w:r>
    </w:p>
    <w:p w14:paraId="09B9F4D0"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lastRenderedPageBreak/>
        <w:t>Socio-Demographic Profile and Its Implications</w:t>
      </w:r>
    </w:p>
    <w:p w14:paraId="3DF183F0"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The socio-demographic characteristics of the respondents are presented in Table 1. The profile indicates a community with frequent livestock exposure, consistent with reports from other sub-Saharan African settings. The high proportion of respondents engaged in animal handling and livestock farming (46.7%) confirms substantial direct exposure to livestock, a </w:t>
      </w:r>
      <w:proofErr w:type="spellStart"/>
      <w:r w:rsidRPr="00E515F1">
        <w:t>recognised</w:t>
      </w:r>
      <w:proofErr w:type="spellEnd"/>
      <w:r w:rsidRPr="00E515F1">
        <w:t xml:space="preserve"> risk factor for diseases such as brucellosis and bovine tuberculosis (Muma et al., 2007). The presence of milk vendors and processors (13.3%) further identifies an important point at which handling practices may affect many consumers.</w:t>
      </w:r>
    </w:p>
    <w:p w14:paraId="755F66C0"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The higher proportion of men (60%) may reflect their roles as household heads and their involvement in economic activities. However, women frequently handle and process milk within households, and this should be considered when interpreting the findings. Formal education at the primary, secondary, or tertiary level was reported by 66.6% of respondents, while 33.3% reported Quranic education. Educational attainment may influence the understanding of disease transmission and the implementation of preventive measures; similar associations between education and milk-hygiene practices have been reported among Fulani milk processors in Nigeria (Ghali-Mohammed et al., 2025).</w:t>
      </w:r>
    </w:p>
    <w:p w14:paraId="67F5C869" w14:textId="77777777" w:rsidR="00E818A8" w:rsidRPr="00E515F1" w:rsidRDefault="005F3352">
      <w:pPr>
        <w:spacing w:before="200" w:after="80" w:line="360" w:lineRule="auto"/>
        <w:rPr>
          <w:rFonts w:ascii="Times New Roman" w:hAnsi="Times New Roman" w:cs="Times New Roman"/>
          <w:sz w:val="24"/>
          <w:szCs w:val="24"/>
        </w:rPr>
      </w:pPr>
      <w:r w:rsidRPr="00E515F1">
        <w:rPr>
          <w:rFonts w:ascii="Times New Roman" w:hAnsi="Times New Roman" w:cs="Times New Roman"/>
          <w:b/>
          <w:sz w:val="24"/>
          <w:szCs w:val="24"/>
        </w:rPr>
        <w:t>Knowledge Gaps</w:t>
      </w:r>
    </w:p>
    <w:p w14:paraId="5B165D4D"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The knowledge-assessment results presented in Table 2 reveal important gaps that may perpetuate disease risk. Only 16.7% of respondents were aware of zoonotic brucellosis, and 70% knew none of the listed diseases. This finding is comparable to that of </w:t>
      </w:r>
      <w:proofErr w:type="spellStart"/>
      <w:r w:rsidRPr="00E515F1">
        <w:t>Megersa</w:t>
      </w:r>
      <w:proofErr w:type="spellEnd"/>
      <w:r w:rsidRPr="00E515F1">
        <w:t xml:space="preserve"> et al. (2011), who reported that only 21.5% of pastoralists had heard of brucellosis and tuberculosis. Limited ability to </w:t>
      </w:r>
      <w:proofErr w:type="spellStart"/>
      <w:r w:rsidRPr="00E515F1">
        <w:t>recognise</w:t>
      </w:r>
      <w:proofErr w:type="spellEnd"/>
      <w:r w:rsidRPr="00E515F1">
        <w:t xml:space="preserve"> or identify these diseases may contribute to delayed diagnosis and underreporting within formal health systems (Akinyemi et al., 2022).</w:t>
      </w:r>
    </w:p>
    <w:p w14:paraId="0406482A"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A particularly important knowledge gap concerned apparently healthy animals: only 30% of respondents knew that milk from healthy-looking animals could carry and transmit disease. This finding corresponds with the high-risk practices reported, because communities may perceive little reason to treat milk from apparently healthy animals as potentially hazardous. A similar perception was reported by </w:t>
      </w:r>
      <w:proofErr w:type="spellStart"/>
      <w:r w:rsidRPr="00E515F1">
        <w:t>Osbjer</w:t>
      </w:r>
      <w:proofErr w:type="spellEnd"/>
      <w:r w:rsidRPr="00E515F1">
        <w:t xml:space="preserve"> et al. (2015), who found that livestock keepers perceived minimal risk from their own healthy-looking herds. The high perception of disease severity (63.3%) and awareness that raw milk is a transmission route (73.3%) are encouraging findings and indicate a potentially receptive audience for targeted public-health education.</w:t>
      </w:r>
    </w:p>
    <w:p w14:paraId="000B2A09" w14:textId="77777777" w:rsidR="00E818A8" w:rsidRPr="007C58A7" w:rsidRDefault="005F3352">
      <w:pPr>
        <w:spacing w:before="200" w:after="80" w:line="360" w:lineRule="auto"/>
        <w:rPr>
          <w:rFonts w:ascii="Times New Roman" w:hAnsi="Times New Roman" w:cs="Times New Roman"/>
          <w:b/>
          <w:bCs/>
          <w:sz w:val="24"/>
          <w:szCs w:val="24"/>
        </w:rPr>
      </w:pPr>
      <w:r w:rsidRPr="007C58A7">
        <w:rPr>
          <w:b/>
          <w:bCs/>
        </w:rPr>
        <w:t xml:space="preserve">Practices: The Pervasiveness of High-Risk </w:t>
      </w:r>
      <w:proofErr w:type="spellStart"/>
      <w:r w:rsidRPr="007C58A7">
        <w:rPr>
          <w:b/>
          <w:bCs/>
        </w:rPr>
        <w:t>Behaviours</w:t>
      </w:r>
      <w:proofErr w:type="spellEnd"/>
    </w:p>
    <w:p w14:paraId="47584647"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lastRenderedPageBreak/>
        <w:t xml:space="preserve">The practice data presented in Table 3 demonstrate that high-risk </w:t>
      </w:r>
      <w:proofErr w:type="spellStart"/>
      <w:r w:rsidRPr="00E515F1">
        <w:t>behaviours</w:t>
      </w:r>
      <w:proofErr w:type="spellEnd"/>
      <w:r w:rsidRPr="00E515F1">
        <w:t xml:space="preserve"> are embedded in the cultural and economic context of the community. The high prevalence of raw-milk consumption (66.7%), primarily attributed to taste (60%) and cultural preference (56.7%), is consistent with Lucey (2015), who reported that sensory preferences and beliefs about the nutritional superiority of raw milk may supersede public-health advice. Poor milking hygiene was also a concern: 46.7% of respondents reported no udder cleaning before milking, and 73.3% stored milk at room temperature, creating conditions conducive to bacterial contamination and proliferation. Nigerian evidence has similarly linked unhygienic handling and post-production practices to contamination of traditional fermented milk (Mohammed &amp; </w:t>
      </w:r>
      <w:proofErr w:type="spellStart"/>
      <w:r w:rsidRPr="00E515F1">
        <w:t>Biyabra</w:t>
      </w:r>
      <w:proofErr w:type="spellEnd"/>
      <w:r w:rsidRPr="00E515F1">
        <w:t>, 2024). Most concerningly, 66.7% were recorded as never boiling milk before sale, potentially making the milk market a route for zoonotic disease transmission.</w:t>
      </w:r>
    </w:p>
    <w:p w14:paraId="208CF5AD" w14:textId="77777777" w:rsidR="00E818A8" w:rsidRPr="00E515F1" w:rsidRDefault="005F3352">
      <w:pPr>
        <w:spacing w:after="120" w:line="360" w:lineRule="auto"/>
        <w:jc w:val="both"/>
        <w:rPr>
          <w:rFonts w:ascii="Times New Roman" w:hAnsi="Times New Roman" w:cs="Times New Roman"/>
          <w:b/>
          <w:sz w:val="24"/>
          <w:szCs w:val="24"/>
        </w:rPr>
      </w:pPr>
      <w:r w:rsidRPr="00E515F1">
        <w:rPr>
          <w:rFonts w:ascii="Times New Roman" w:hAnsi="Times New Roman" w:cs="Times New Roman"/>
          <w:b/>
          <w:sz w:val="24"/>
          <w:szCs w:val="24"/>
        </w:rPr>
        <w:t>Attitudes and Barriers</w:t>
      </w:r>
    </w:p>
    <w:p w14:paraId="5AB9B3D4" w14:textId="77777777" w:rsidR="00E818A8" w:rsidRPr="00E515F1" w:rsidRDefault="005F3352">
      <w:pPr>
        <w:spacing w:after="120" w:line="360" w:lineRule="auto"/>
        <w:jc w:val="both"/>
        <w:rPr>
          <w:rFonts w:ascii="Times New Roman" w:hAnsi="Times New Roman" w:cs="Times New Roman"/>
          <w:sz w:val="24"/>
          <w:szCs w:val="24"/>
        </w:rPr>
      </w:pPr>
      <w:r w:rsidRPr="00E515F1">
        <w:t>Table 4 demonstrates a gap between attitudes and actual practices that may hinder public-health efforts. General awareness was relatively high: 86.7% of respondents understood that sick animals could cause human illness, and 83.3% believed that boiling made milk safe. However, this knowledge was not fully reflected in reported actions, as 60% would sell milk from a sick animal either unconditionally or after boiling. The identification of limited practical knowledge (80%) as the main barrier, despite general awareness, indicates a need for education that is specific, practical, and focused on actionable steps rather than awareness alone. The second major barrier, the cost of fuel for boiling (60%), points to substantial socio-economic constraints. Resource and educational limitations have likewise been associated with suboptimal milk-hygiene practices among Fulani milk processors in Nigeria (Ghali-Mohammed et al., 2025).</w:t>
      </w:r>
    </w:p>
    <w:p w14:paraId="2134BEE2" w14:textId="77777777" w:rsidR="00E818A8" w:rsidRPr="00E515F1" w:rsidRDefault="00E818A8">
      <w:pPr>
        <w:spacing w:before="200" w:after="80" w:line="360" w:lineRule="auto"/>
        <w:rPr>
          <w:rFonts w:ascii="Times New Roman" w:hAnsi="Times New Roman" w:cs="Times New Roman"/>
          <w:b/>
          <w:sz w:val="24"/>
          <w:szCs w:val="24"/>
        </w:rPr>
      </w:pPr>
    </w:p>
    <w:p w14:paraId="7F8BA908" w14:textId="77777777" w:rsidR="00E818A8" w:rsidRPr="00824535" w:rsidRDefault="005F3352">
      <w:pPr>
        <w:spacing w:before="200" w:after="80" w:line="360" w:lineRule="auto"/>
        <w:rPr>
          <w:rFonts w:ascii="Times New Roman" w:hAnsi="Times New Roman" w:cs="Times New Roman"/>
          <w:b/>
          <w:bCs/>
          <w:sz w:val="24"/>
          <w:szCs w:val="24"/>
        </w:rPr>
      </w:pPr>
      <w:r w:rsidRPr="00824535">
        <w:rPr>
          <w:b/>
          <w:bCs/>
        </w:rPr>
        <w:t>Public-Health Impact and a Call for Intervention</w:t>
      </w:r>
    </w:p>
    <w:p w14:paraId="2BE09C4E" w14:textId="77777777" w:rsidR="00E818A8" w:rsidRPr="00E515F1" w:rsidRDefault="005F3352">
      <w:pPr>
        <w:spacing w:after="120" w:line="360" w:lineRule="auto"/>
        <w:ind w:firstLine="425"/>
        <w:jc w:val="both"/>
        <w:rPr>
          <w:rFonts w:ascii="Times New Roman" w:hAnsi="Times New Roman" w:cs="Times New Roman"/>
          <w:sz w:val="24"/>
          <w:szCs w:val="24"/>
        </w:rPr>
      </w:pPr>
      <w:r w:rsidRPr="00E515F1">
        <w:t xml:space="preserve">The findings collectively indicate potential public-health and economic consequences associated with MBZDs. A history of household illness following milk consumption was reported by 26.7% of respondents, while 33.3% reported a moderate or severe effect on household income. These self-reported outcomes suggest a perceived health and socio-economic burden but do not confirm milk-borne disease. The communities conveyed a clear and consistent message for policymakers (Table 5): community education (93.3%), led by health workers (86.7%) and delivered through radio </w:t>
      </w:r>
      <w:proofErr w:type="spellStart"/>
      <w:r w:rsidRPr="00E515F1">
        <w:t>programmes</w:t>
      </w:r>
      <w:proofErr w:type="spellEnd"/>
      <w:r w:rsidRPr="00E515F1">
        <w:t xml:space="preserve"> (80%), was strongly supported. Support for multi-pronged strategies, including veterinary screening and </w:t>
      </w:r>
      <w:proofErr w:type="spellStart"/>
      <w:r w:rsidRPr="00E515F1">
        <w:t>pasteurisation</w:t>
      </w:r>
      <w:proofErr w:type="spellEnd"/>
      <w:r w:rsidRPr="00E515F1">
        <w:t xml:space="preserve"> facilities, is consistent with </w:t>
      </w:r>
      <w:r w:rsidRPr="00E515F1">
        <w:lastRenderedPageBreak/>
        <w:t>participatory and One Health approaches that integrate human, animal, and environmental health (Jost et al., 2007; Kapoor et al., 2023).</w:t>
      </w:r>
    </w:p>
    <w:p w14:paraId="62D934AD" w14:textId="77777777" w:rsidR="00E818A8" w:rsidRPr="00E515F1" w:rsidRDefault="005F3352">
      <w:pPr>
        <w:spacing w:after="120" w:line="360" w:lineRule="auto"/>
        <w:jc w:val="both"/>
        <w:rPr>
          <w:rFonts w:ascii="Times New Roman" w:hAnsi="Times New Roman" w:cs="Times New Roman"/>
          <w:b/>
          <w:sz w:val="24"/>
          <w:szCs w:val="24"/>
        </w:rPr>
      </w:pPr>
      <w:r w:rsidRPr="00E515F1">
        <w:rPr>
          <w:rFonts w:ascii="Times New Roman" w:hAnsi="Times New Roman" w:cs="Times New Roman"/>
          <w:b/>
          <w:sz w:val="24"/>
          <w:szCs w:val="24"/>
        </w:rPr>
        <w:t xml:space="preserve">CONCLUSION </w:t>
      </w:r>
    </w:p>
    <w:p w14:paraId="7E720964" w14:textId="4CBCACE7" w:rsidR="00D82E08" w:rsidRPr="00E515F1" w:rsidRDefault="0009283D">
      <w:pPr>
        <w:spacing w:after="120" w:line="360" w:lineRule="auto"/>
        <w:jc w:val="both"/>
        <w:rPr>
          <w:rFonts w:ascii="Times New Roman" w:hAnsi="Times New Roman" w:cs="Times New Roman"/>
          <w:sz w:val="24"/>
          <w:szCs w:val="24"/>
        </w:rPr>
      </w:pPr>
      <w:r w:rsidRPr="0009283D">
        <w:t xml:space="preserve">The surveyed </w:t>
      </w:r>
      <w:proofErr w:type="spellStart"/>
      <w:r w:rsidRPr="0009283D">
        <w:t>agro</w:t>
      </w:r>
      <w:proofErr w:type="spellEnd"/>
      <w:r w:rsidRPr="0009283D">
        <w:t xml:space="preserve">-pastoral communities demonstrated limited knowledge of specific milk-borne zoonotic diseases alongside several reported practices that may increase exposure to contaminated milk. Raw milk consumption, storage at room temperature, inadequate udder cleaning, and the sale of milk without boiling were common. Although most respondents understood that sick animals could transmit illness and that boiling could improve milk safety, this awareness was not consistently reflected in routine </w:t>
      </w:r>
      <w:proofErr w:type="spellStart"/>
      <w:r w:rsidRPr="0009283D">
        <w:t>behaviour</w:t>
      </w:r>
      <w:proofErr w:type="spellEnd"/>
      <w:r w:rsidRPr="0009283D">
        <w:t xml:space="preserve">. The findings therefore indicate a clear knowledge-to-practice gap rather than a complete absence of awareness. Public-health interventions should </w:t>
      </w:r>
      <w:proofErr w:type="spellStart"/>
      <w:r w:rsidRPr="0009283D">
        <w:t>prioritise</w:t>
      </w:r>
      <w:proofErr w:type="spellEnd"/>
      <w:r w:rsidRPr="0009283D">
        <w:t xml:space="preserve"> practical guidance on milk heating, hygienic milking, safe storage, and avoidance of milk from sick animals. Veterinary screening and training for milk producers, handlers, and vendors should complement community education. Information should be delivered in locally accessible languages through preferred channels, particularly radio and community meetings. As the study was descriptive and relied on self-reported responses, its findings represent reported knowledge and </w:t>
      </w:r>
      <w:proofErr w:type="spellStart"/>
      <w:r w:rsidRPr="0009283D">
        <w:t>behaviour</w:t>
      </w:r>
      <w:proofErr w:type="spellEnd"/>
      <w:r w:rsidRPr="0009283D">
        <w:t xml:space="preserve"> and should not be interpreted as laboratory-confirmed evidence of milk-borne infection.</w:t>
      </w:r>
    </w:p>
    <w:p w14:paraId="77DF2E6C" w14:textId="77777777" w:rsidR="00D82E08" w:rsidRPr="00E515F1" w:rsidRDefault="00D82E08">
      <w:pPr>
        <w:spacing w:after="120" w:line="360" w:lineRule="auto"/>
        <w:jc w:val="both"/>
        <w:rPr>
          <w:rFonts w:ascii="Times New Roman" w:hAnsi="Times New Roman" w:cs="Times New Roman"/>
          <w:sz w:val="24"/>
          <w:szCs w:val="24"/>
        </w:rPr>
      </w:pPr>
    </w:p>
    <w:p w14:paraId="4804D10E" w14:textId="77777777" w:rsidR="00D82E08" w:rsidRPr="00E515F1" w:rsidRDefault="00D82E08">
      <w:pPr>
        <w:spacing w:after="120" w:line="360" w:lineRule="auto"/>
        <w:jc w:val="both"/>
        <w:rPr>
          <w:rFonts w:ascii="Times New Roman" w:hAnsi="Times New Roman" w:cs="Times New Roman"/>
          <w:b/>
          <w:sz w:val="24"/>
          <w:szCs w:val="24"/>
        </w:rPr>
      </w:pPr>
      <w:r w:rsidRPr="00E515F1">
        <w:rPr>
          <w:rFonts w:ascii="Times New Roman" w:hAnsi="Times New Roman" w:cs="Times New Roman"/>
          <w:b/>
          <w:sz w:val="24"/>
          <w:szCs w:val="24"/>
        </w:rPr>
        <w:t xml:space="preserve">RECOMMENDATION </w:t>
      </w:r>
    </w:p>
    <w:p w14:paraId="7BD4EE9C" w14:textId="77777777" w:rsidR="00E818A8" w:rsidRPr="00E515F1" w:rsidRDefault="005F3352">
      <w:pPr>
        <w:spacing w:after="120" w:line="360" w:lineRule="auto"/>
        <w:jc w:val="both"/>
        <w:rPr>
          <w:rFonts w:ascii="Times New Roman" w:hAnsi="Times New Roman" w:cs="Times New Roman"/>
          <w:sz w:val="24"/>
          <w:szCs w:val="24"/>
        </w:rPr>
      </w:pPr>
      <w:r w:rsidRPr="00E515F1">
        <w:t>The study also indicates a clear way forward. The community perceives MBZDs as a serious threat, has confidence in simple measures such as boiling, and strongly supports a public-health response led by education delivered through trusted channels. Based on these findings, the following recommendations are made: (</w:t>
      </w:r>
      <w:proofErr w:type="spellStart"/>
      <w:r w:rsidRPr="00E515F1">
        <w:t>i</w:t>
      </w:r>
      <w:proofErr w:type="spellEnd"/>
      <w:r w:rsidRPr="00E515F1">
        <w:t xml:space="preserve">) community health-education </w:t>
      </w:r>
      <w:proofErr w:type="spellStart"/>
      <w:r w:rsidRPr="00E515F1">
        <w:t>programmes</w:t>
      </w:r>
      <w:proofErr w:type="spellEnd"/>
      <w:r w:rsidRPr="00E515F1">
        <w:t xml:space="preserve"> should be delivered in Hausa, Fulani, and Kanuri through radio, mosque announcements, and community meetings, led by health workers and local government officials, and should address specific knowledge gaps, particularly those concerning asymptomatic carriers and correct boiling practices; (ii) economic barriers should be addressed by promoting fuel-efficient cooking stoves and considering the establishment of community-based milk-</w:t>
      </w:r>
      <w:proofErr w:type="spellStart"/>
      <w:r w:rsidRPr="00E515F1">
        <w:t>pasteurisation</w:t>
      </w:r>
      <w:proofErr w:type="spellEnd"/>
      <w:r w:rsidRPr="00E515F1">
        <w:t xml:space="preserve"> stations; (iii) veterinary extension services should be strengthened to provide accessible livestock-disease screening; and (iv) regulatory authorities should consider enforceable hygiene standards for informal milk vendors, supported by regular training and inspection. These multi-pronged, One Health-aligned interventions have explicit community support, providing a basis for action.</w:t>
      </w:r>
    </w:p>
    <w:p w14:paraId="29A713C0" w14:textId="77777777" w:rsidR="003C7816" w:rsidRDefault="003C7816" w:rsidP="003C7816">
      <w:pPr>
        <w:spacing w:line="360" w:lineRule="auto"/>
        <w:rPr>
          <w:rFonts w:ascii="Times New Roman" w:hAnsi="Times New Roman" w:cs="Times New Roman"/>
          <w:b/>
          <w:color w:val="0F1115"/>
          <w:sz w:val="24"/>
          <w:szCs w:val="24"/>
        </w:rPr>
      </w:pPr>
    </w:p>
    <w:p w14:paraId="7E66D9E3" w14:textId="1C6E60C2" w:rsidR="00515A11" w:rsidRPr="00515A11" w:rsidRDefault="00515A11" w:rsidP="00515A11">
      <w:pPr>
        <w:keepNext/>
        <w:keepLines/>
        <w:shd w:val="clear" w:color="auto" w:fill="FFFFFF"/>
        <w:spacing w:before="240" w:after="240" w:line="360" w:lineRule="auto"/>
        <w:outlineLvl w:val="3"/>
        <w:rPr>
          <w:rFonts w:ascii="Times New Roman" w:eastAsia="MS Gothic" w:hAnsi="Times New Roman" w:cs="Times New Roman"/>
          <w:b/>
          <w:bCs/>
          <w:iCs/>
          <w:color w:val="0F1115"/>
          <w:sz w:val="24"/>
          <w:szCs w:val="24"/>
        </w:rPr>
      </w:pPr>
      <w:r w:rsidRPr="00515A11">
        <w:rPr>
          <w:rFonts w:ascii="Times New Roman" w:eastAsia="MS Gothic" w:hAnsi="Times New Roman" w:cs="Times New Roman"/>
          <w:b/>
          <w:bCs/>
          <w:iCs/>
          <w:color w:val="0F1115"/>
          <w:sz w:val="24"/>
          <w:szCs w:val="24"/>
        </w:rPr>
        <w:lastRenderedPageBreak/>
        <w:t>Ethical approval</w:t>
      </w:r>
      <w:r>
        <w:rPr>
          <w:rFonts w:ascii="Times New Roman" w:eastAsia="MS Gothic" w:hAnsi="Times New Roman" w:cs="Times New Roman"/>
          <w:b/>
          <w:bCs/>
          <w:iCs/>
          <w:color w:val="0F1115"/>
          <w:sz w:val="24"/>
          <w:szCs w:val="24"/>
        </w:rPr>
        <w:t xml:space="preserve"> and Consent </w:t>
      </w:r>
    </w:p>
    <w:p w14:paraId="4AC1E654" w14:textId="77777777" w:rsidR="00515A11" w:rsidRPr="00515A11" w:rsidRDefault="00515A11" w:rsidP="00515A11">
      <w:pPr>
        <w:shd w:val="clear" w:color="auto" w:fill="FFFFFF"/>
        <w:spacing w:before="240" w:after="240" w:line="360" w:lineRule="auto"/>
        <w:jc w:val="both"/>
        <w:rPr>
          <w:rFonts w:ascii="Times New Roman" w:eastAsia="Times New Roman" w:hAnsi="Times New Roman" w:cs="Times New Roman"/>
          <w:color w:val="0F1115"/>
          <w:sz w:val="24"/>
          <w:szCs w:val="24"/>
        </w:rPr>
      </w:pPr>
      <w:r w:rsidRPr="00515A11">
        <w:rPr>
          <w:rFonts w:ascii="Times New Roman" w:eastAsia="Times New Roman" w:hAnsi="Times New Roman" w:cs="Times New Roman"/>
          <w:color w:val="0F1115"/>
          <w:sz w:val="24"/>
          <w:szCs w:val="24"/>
        </w:rPr>
        <w:t>Ethical approval was obtained from the Yobe State Ministry of Health Research Ethics Committee (Approval No: YSMOH/REC/2025/024; Date: January 15, 2025). Participation was entirely voluntary. Written informed consent was obtained from all participants. For participants unable to read or write, verbal consent was documented with a witness present. Confidentiality of responses was assured, and respondents were free to withdraw at any time without consequence. All participants were aged 18 years and above.</w:t>
      </w:r>
    </w:p>
    <w:p w14:paraId="5F92D1BA" w14:textId="77777777" w:rsidR="003C7816" w:rsidRDefault="003C7816" w:rsidP="003C7816">
      <w:pPr>
        <w:spacing w:line="360" w:lineRule="auto"/>
        <w:rPr>
          <w:rFonts w:ascii="Times New Roman" w:hAnsi="Times New Roman" w:cs="Times New Roman"/>
          <w:b/>
          <w:color w:val="0F1115"/>
          <w:sz w:val="24"/>
          <w:szCs w:val="24"/>
        </w:rPr>
      </w:pPr>
    </w:p>
    <w:p w14:paraId="5E52169B" w14:textId="77777777" w:rsidR="003C7816" w:rsidRDefault="003C7816" w:rsidP="00FF4D5B">
      <w:pPr>
        <w:spacing w:line="360" w:lineRule="auto"/>
        <w:rPr>
          <w:rFonts w:ascii="Times New Roman" w:hAnsi="Times New Roman" w:cs="Times New Roman"/>
          <w:b/>
          <w:color w:val="0F1115"/>
          <w:sz w:val="24"/>
          <w:szCs w:val="24"/>
        </w:rPr>
      </w:pPr>
    </w:p>
    <w:p w14:paraId="665DFBE3" w14:textId="77777777" w:rsidR="003C7816" w:rsidRDefault="003C7816" w:rsidP="00FF4D5B">
      <w:pPr>
        <w:spacing w:line="360" w:lineRule="auto"/>
        <w:rPr>
          <w:rFonts w:ascii="Times New Roman" w:hAnsi="Times New Roman" w:cs="Times New Roman"/>
          <w:b/>
          <w:color w:val="0F1115"/>
          <w:sz w:val="24"/>
          <w:szCs w:val="24"/>
        </w:rPr>
      </w:pPr>
    </w:p>
    <w:p w14:paraId="4310EAB6" w14:textId="0E3A1C57" w:rsidR="00FC2E95" w:rsidRPr="00E515F1" w:rsidRDefault="00FC2E95" w:rsidP="00FF4D5B">
      <w:pPr>
        <w:spacing w:line="360" w:lineRule="auto"/>
        <w:rPr>
          <w:rFonts w:ascii="Times New Roman" w:hAnsi="Times New Roman" w:cs="Times New Roman"/>
          <w:color w:val="0F1115"/>
          <w:sz w:val="24"/>
          <w:szCs w:val="24"/>
        </w:rPr>
      </w:pPr>
      <w:r w:rsidRPr="00E515F1">
        <w:rPr>
          <w:rFonts w:ascii="Times New Roman" w:hAnsi="Times New Roman" w:cs="Times New Roman"/>
          <w:b/>
          <w:color w:val="0F1115"/>
          <w:sz w:val="24"/>
          <w:szCs w:val="24"/>
        </w:rPr>
        <w:t>LIMITATIONS</w:t>
      </w:r>
    </w:p>
    <w:p w14:paraId="7B09324A" w14:textId="77777777" w:rsidR="00FC2E95" w:rsidRPr="00E515F1" w:rsidRDefault="00FC2E95" w:rsidP="00FF4D5B">
      <w:pPr>
        <w:pStyle w:val="ds-markdown-paragraph"/>
        <w:shd w:val="clear" w:color="auto" w:fill="FFFFFF"/>
        <w:spacing w:before="240" w:beforeAutospacing="0" w:after="240" w:afterAutospacing="0" w:line="360" w:lineRule="auto"/>
        <w:jc w:val="both"/>
        <w:rPr>
          <w:color w:val="0F1115"/>
        </w:rPr>
      </w:pPr>
      <w:r w:rsidRPr="00E515F1">
        <w:t xml:space="preserve">The study used a cross-sectional design and relied on self-reported responses, which may have been affected by recall and social-desirability bias. Recruitment from only three towns and one ward per town, together with the partial use of convenience and snowball sampling, limits the </w:t>
      </w:r>
      <w:proofErr w:type="spellStart"/>
      <w:r w:rsidRPr="00E515F1">
        <w:t>generalisability</w:t>
      </w:r>
      <w:proofErr w:type="spellEnd"/>
      <w:r w:rsidRPr="00E515F1">
        <w:t xml:space="preserve"> of the findings to the wider population of Yobe State. No microbiological testing of milk, clinical diagnosis, or laboratory confirmation of zoonotic infection was conducted. Some questions were relevant only to milk producers or vendors; subgroup-specific denominators should therefore be considered when interpreting those responses. The descriptive design also meant that associations between variables were not tested.</w:t>
      </w:r>
    </w:p>
    <w:p w14:paraId="2ADB297C" w14:textId="77777777" w:rsidR="00D82E08" w:rsidRPr="00E515F1" w:rsidRDefault="00D82E08" w:rsidP="00FF4D5B">
      <w:pPr>
        <w:spacing w:after="0" w:line="360" w:lineRule="auto"/>
        <w:rPr>
          <w:rFonts w:ascii="Times New Roman" w:hAnsi="Times New Roman" w:cs="Times New Roman"/>
          <w:b/>
          <w:sz w:val="24"/>
          <w:szCs w:val="24"/>
        </w:rPr>
      </w:pPr>
      <w:r w:rsidRPr="00E515F1">
        <w:rPr>
          <w:rFonts w:ascii="Times New Roman" w:hAnsi="Times New Roman" w:cs="Times New Roman"/>
          <w:b/>
          <w:sz w:val="24"/>
          <w:szCs w:val="24"/>
        </w:rPr>
        <w:t>Declaration of AI Use</w:t>
      </w:r>
    </w:p>
    <w:p w14:paraId="34D34367" w14:textId="77777777" w:rsidR="00D82E08" w:rsidRPr="00E515F1" w:rsidRDefault="00D82E08" w:rsidP="00FF4D5B">
      <w:pPr>
        <w:spacing w:after="0" w:line="360" w:lineRule="auto"/>
        <w:rPr>
          <w:rFonts w:ascii="Times New Roman" w:hAnsi="Times New Roman" w:cs="Times New Roman"/>
          <w:sz w:val="24"/>
          <w:szCs w:val="24"/>
        </w:rPr>
      </w:pPr>
    </w:p>
    <w:p w14:paraId="27CD9997" w14:textId="77777777" w:rsidR="00D82E08" w:rsidRPr="00E515F1" w:rsidRDefault="00D82E08" w:rsidP="00FF4D5B">
      <w:pPr>
        <w:spacing w:after="0" w:line="360" w:lineRule="auto"/>
        <w:jc w:val="both"/>
        <w:rPr>
          <w:rFonts w:ascii="Times New Roman" w:hAnsi="Times New Roman" w:cs="Times New Roman"/>
          <w:sz w:val="24"/>
          <w:szCs w:val="24"/>
        </w:rPr>
      </w:pPr>
      <w:r w:rsidRPr="00E515F1">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58A0129" w14:textId="77777777" w:rsidR="00D82E08" w:rsidRPr="00E515F1" w:rsidRDefault="00D82E08" w:rsidP="00FF4D5B">
      <w:pPr>
        <w:spacing w:before="100" w:beforeAutospacing="1" w:after="100" w:afterAutospacing="1" w:line="360" w:lineRule="auto"/>
        <w:rPr>
          <w:rFonts w:ascii="Times New Roman" w:eastAsia="Times New Roman" w:hAnsi="Times New Roman" w:cs="Times New Roman"/>
          <w:sz w:val="24"/>
          <w:szCs w:val="24"/>
          <w:lang w:eastAsia="en-GB"/>
        </w:rPr>
      </w:pPr>
    </w:p>
    <w:p w14:paraId="6A5B4A6C" w14:textId="77777777" w:rsidR="00E818A8" w:rsidRPr="00E515F1" w:rsidRDefault="005F3352">
      <w:pPr>
        <w:spacing w:after="100" w:line="360" w:lineRule="auto"/>
        <w:ind w:left="425" w:hanging="425"/>
        <w:jc w:val="both"/>
        <w:rPr>
          <w:rFonts w:ascii="Times New Roman" w:hAnsi="Times New Roman" w:cs="Times New Roman"/>
          <w:b/>
          <w:sz w:val="24"/>
          <w:szCs w:val="24"/>
          <w:lang w:val="es-US"/>
        </w:rPr>
      </w:pPr>
      <w:r w:rsidRPr="00E515F1">
        <w:rPr>
          <w:rFonts w:ascii="Times New Roman" w:hAnsi="Times New Roman" w:cs="Times New Roman"/>
          <w:b/>
          <w:sz w:val="24"/>
          <w:szCs w:val="24"/>
          <w:lang w:val="es-US"/>
        </w:rPr>
        <w:t xml:space="preserve">REFERENCES </w:t>
      </w:r>
    </w:p>
    <w:p w14:paraId="399A27A8"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Alemu, S. T., Ero, D., &amp; Mor, S. M. (2023). One Health insights into pastoralists’ perceptions on zoonotic diseases in Ethiopia: Perspectives from South Omo Zone of SNNP Region. </w:t>
      </w:r>
      <w:r w:rsidRPr="00C769A7">
        <w:rPr>
          <w:rFonts w:ascii="Times New Roman" w:eastAsia="Times New Roman" w:hAnsi="Times New Roman" w:cs="Times New Roman"/>
          <w:i/>
          <w:iCs/>
          <w:sz w:val="24"/>
          <w:szCs w:val="24"/>
        </w:rPr>
        <w:t>Pastoralism, 13</w:t>
      </w:r>
      <w:r w:rsidRPr="00C769A7">
        <w:rPr>
          <w:rFonts w:ascii="Times New Roman" w:eastAsia="Times New Roman" w:hAnsi="Times New Roman" w:cs="Times New Roman"/>
          <w:sz w:val="24"/>
          <w:szCs w:val="24"/>
        </w:rPr>
        <w:t xml:space="preserve">, Article 13. </w:t>
      </w:r>
      <w:hyperlink r:id="rId8" w:history="1">
        <w:r w:rsidRPr="00C769A7">
          <w:rPr>
            <w:rFonts w:ascii="Times New Roman" w:eastAsia="Times New Roman" w:hAnsi="Times New Roman" w:cs="Times New Roman"/>
            <w:color w:val="0000FF"/>
            <w:sz w:val="24"/>
            <w:szCs w:val="24"/>
            <w:u w:val="single"/>
          </w:rPr>
          <w:t>https://doi.org/10.1186/s13570-023-00274-8</w:t>
        </w:r>
      </w:hyperlink>
    </w:p>
    <w:p w14:paraId="69F037B6"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Alhaji, N. B., Aliyu, M. B., Isola, T. O., &amp; </w:t>
      </w:r>
      <w:proofErr w:type="spellStart"/>
      <w:r w:rsidRPr="00C769A7">
        <w:rPr>
          <w:rFonts w:ascii="Times New Roman" w:eastAsia="Times New Roman" w:hAnsi="Times New Roman" w:cs="Times New Roman"/>
          <w:sz w:val="24"/>
          <w:szCs w:val="24"/>
        </w:rPr>
        <w:t>Odetokun</w:t>
      </w:r>
      <w:proofErr w:type="spellEnd"/>
      <w:r w:rsidRPr="00C769A7">
        <w:rPr>
          <w:rFonts w:ascii="Times New Roman" w:eastAsia="Times New Roman" w:hAnsi="Times New Roman" w:cs="Times New Roman"/>
          <w:sz w:val="24"/>
          <w:szCs w:val="24"/>
        </w:rPr>
        <w:t xml:space="preserve">, I. A. (2020). Zoonotic tuberculosis in nomadic pastoral communities in Nigeria: Risk routes for transmission, socio-cultural drivers and public health implications. </w:t>
      </w:r>
      <w:r w:rsidRPr="00C769A7">
        <w:rPr>
          <w:rFonts w:ascii="Times New Roman" w:eastAsia="Times New Roman" w:hAnsi="Times New Roman" w:cs="Times New Roman"/>
          <w:i/>
          <w:iCs/>
          <w:sz w:val="24"/>
          <w:szCs w:val="24"/>
        </w:rPr>
        <w:t>International Journal of Infectious Diseases, 101</w:t>
      </w:r>
      <w:r w:rsidRPr="00C769A7">
        <w:rPr>
          <w:rFonts w:ascii="Times New Roman" w:eastAsia="Times New Roman" w:hAnsi="Times New Roman" w:cs="Times New Roman"/>
          <w:sz w:val="24"/>
          <w:szCs w:val="24"/>
        </w:rPr>
        <w:t xml:space="preserve">(Suppl. 1), 456. </w:t>
      </w:r>
      <w:hyperlink r:id="rId9" w:history="1">
        <w:r w:rsidRPr="00C769A7">
          <w:rPr>
            <w:rFonts w:ascii="Times New Roman" w:eastAsia="Times New Roman" w:hAnsi="Times New Roman" w:cs="Times New Roman"/>
            <w:color w:val="0000FF"/>
            <w:sz w:val="24"/>
            <w:szCs w:val="24"/>
            <w:u w:val="single"/>
          </w:rPr>
          <w:t>https://doi.org/10.1016/j.ijid.2020.09.1195</w:t>
        </w:r>
      </w:hyperlink>
    </w:p>
    <w:p w14:paraId="3F963F99"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lang w:val="nl-BE"/>
        </w:rPr>
        <w:t xml:space="preserve">Andrade, C., Menon, V., Ameen, S., &amp; Praharaj, S. K. (2020). </w:t>
      </w:r>
      <w:r w:rsidRPr="00C769A7">
        <w:rPr>
          <w:rFonts w:ascii="Times New Roman" w:eastAsia="Times New Roman" w:hAnsi="Times New Roman" w:cs="Times New Roman"/>
          <w:sz w:val="24"/>
          <w:szCs w:val="24"/>
        </w:rPr>
        <w:t xml:space="preserve">Designing and conducting knowledge, attitude, and practice surveys in psychiatry: Practical guidance. </w:t>
      </w:r>
      <w:r w:rsidRPr="00C769A7">
        <w:rPr>
          <w:rFonts w:ascii="Times New Roman" w:eastAsia="Times New Roman" w:hAnsi="Times New Roman" w:cs="Times New Roman"/>
          <w:i/>
          <w:iCs/>
          <w:sz w:val="24"/>
          <w:szCs w:val="24"/>
        </w:rPr>
        <w:t>Indian Journal of Psychological Medicine, 42</w:t>
      </w:r>
      <w:r w:rsidRPr="00C769A7">
        <w:rPr>
          <w:rFonts w:ascii="Times New Roman" w:eastAsia="Times New Roman" w:hAnsi="Times New Roman" w:cs="Times New Roman"/>
          <w:sz w:val="24"/>
          <w:szCs w:val="24"/>
        </w:rPr>
        <w:t xml:space="preserve">(5), 478–481. </w:t>
      </w:r>
      <w:hyperlink r:id="rId10" w:history="1">
        <w:r w:rsidRPr="00C769A7">
          <w:rPr>
            <w:rFonts w:ascii="Times New Roman" w:eastAsia="Times New Roman" w:hAnsi="Times New Roman" w:cs="Times New Roman"/>
            <w:color w:val="0000FF"/>
            <w:sz w:val="24"/>
            <w:szCs w:val="24"/>
            <w:u w:val="single"/>
          </w:rPr>
          <w:t>https://doi.org/10.1177/0253717620946111</w:t>
        </w:r>
      </w:hyperlink>
    </w:p>
    <w:p w14:paraId="02129B71"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Akinyemi, K. O., </w:t>
      </w:r>
      <w:proofErr w:type="spellStart"/>
      <w:r w:rsidRPr="00C769A7">
        <w:rPr>
          <w:rFonts w:ascii="Times New Roman" w:eastAsia="Times New Roman" w:hAnsi="Times New Roman" w:cs="Times New Roman"/>
          <w:sz w:val="24"/>
          <w:szCs w:val="24"/>
        </w:rPr>
        <w:t>Fakorede</w:t>
      </w:r>
      <w:proofErr w:type="spellEnd"/>
      <w:r w:rsidRPr="00C769A7">
        <w:rPr>
          <w:rFonts w:ascii="Times New Roman" w:eastAsia="Times New Roman" w:hAnsi="Times New Roman" w:cs="Times New Roman"/>
          <w:sz w:val="24"/>
          <w:szCs w:val="24"/>
        </w:rPr>
        <w:t xml:space="preserve">, C. O., </w:t>
      </w:r>
      <w:proofErr w:type="spellStart"/>
      <w:r w:rsidRPr="00C769A7">
        <w:rPr>
          <w:rFonts w:ascii="Times New Roman" w:eastAsia="Times New Roman" w:hAnsi="Times New Roman" w:cs="Times New Roman"/>
          <w:sz w:val="24"/>
          <w:szCs w:val="24"/>
        </w:rPr>
        <w:t>Amisu</w:t>
      </w:r>
      <w:proofErr w:type="spellEnd"/>
      <w:r w:rsidRPr="00C769A7">
        <w:rPr>
          <w:rFonts w:ascii="Times New Roman" w:eastAsia="Times New Roman" w:hAnsi="Times New Roman" w:cs="Times New Roman"/>
          <w:sz w:val="24"/>
          <w:szCs w:val="24"/>
        </w:rPr>
        <w:t xml:space="preserve">, K. O., &amp; Wareth, G. (2022). Human and animal brucellosis in Nigeria: A systemic review and meta-analysis in the last twenty-one years (2001–2021). </w:t>
      </w:r>
      <w:r w:rsidRPr="00C769A7">
        <w:rPr>
          <w:rFonts w:ascii="Times New Roman" w:eastAsia="Times New Roman" w:hAnsi="Times New Roman" w:cs="Times New Roman"/>
          <w:i/>
          <w:iCs/>
          <w:sz w:val="24"/>
          <w:szCs w:val="24"/>
        </w:rPr>
        <w:t>Veterinary Sciences, 9</w:t>
      </w:r>
      <w:r w:rsidRPr="00C769A7">
        <w:rPr>
          <w:rFonts w:ascii="Times New Roman" w:eastAsia="Times New Roman" w:hAnsi="Times New Roman" w:cs="Times New Roman"/>
          <w:sz w:val="24"/>
          <w:szCs w:val="24"/>
        </w:rPr>
        <w:t xml:space="preserve">(8), Article 384. </w:t>
      </w:r>
      <w:hyperlink r:id="rId11" w:history="1">
        <w:r w:rsidRPr="00C769A7">
          <w:rPr>
            <w:rFonts w:ascii="Times New Roman" w:eastAsia="Times New Roman" w:hAnsi="Times New Roman" w:cs="Times New Roman"/>
            <w:color w:val="0000FF"/>
            <w:sz w:val="24"/>
            <w:szCs w:val="24"/>
            <w:u w:val="single"/>
          </w:rPr>
          <w:t>https://doi.org/10.3390/vetsci9080384</w:t>
        </w:r>
      </w:hyperlink>
    </w:p>
    <w:p w14:paraId="59DF5D8A" w14:textId="32C8BA6B"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Babbie, E. R. (2021). </w:t>
      </w:r>
      <w:r w:rsidRPr="00C769A7">
        <w:rPr>
          <w:rFonts w:ascii="Times New Roman" w:eastAsia="Times New Roman" w:hAnsi="Times New Roman" w:cs="Times New Roman"/>
          <w:i/>
          <w:iCs/>
          <w:sz w:val="24"/>
          <w:szCs w:val="24"/>
        </w:rPr>
        <w:t>The practice of social research</w:t>
      </w:r>
      <w:r w:rsidRPr="00C769A7">
        <w:rPr>
          <w:rFonts w:ascii="Times New Roman" w:eastAsia="Times New Roman" w:hAnsi="Times New Roman" w:cs="Times New Roman"/>
          <w:sz w:val="24"/>
          <w:szCs w:val="24"/>
        </w:rPr>
        <w:t xml:space="preserve"> (15th ed.). Cengage. </w:t>
      </w:r>
    </w:p>
    <w:p w14:paraId="69145E28"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Corbel, M. J. (2006). </w:t>
      </w:r>
      <w:r w:rsidRPr="00C769A7">
        <w:rPr>
          <w:rFonts w:ascii="Times New Roman" w:eastAsia="Times New Roman" w:hAnsi="Times New Roman" w:cs="Times New Roman"/>
          <w:i/>
          <w:iCs/>
          <w:sz w:val="24"/>
          <w:szCs w:val="24"/>
        </w:rPr>
        <w:t>Brucellosis in humans and animals</w:t>
      </w:r>
      <w:r w:rsidRPr="00C769A7">
        <w:rPr>
          <w:rFonts w:ascii="Times New Roman" w:eastAsia="Times New Roman" w:hAnsi="Times New Roman" w:cs="Times New Roman"/>
          <w:sz w:val="24"/>
          <w:szCs w:val="24"/>
        </w:rPr>
        <w:t xml:space="preserve">. World Health Organization. </w:t>
      </w:r>
      <w:hyperlink r:id="rId12" w:history="1">
        <w:r w:rsidRPr="00C769A7">
          <w:rPr>
            <w:rFonts w:ascii="Times New Roman" w:eastAsia="Times New Roman" w:hAnsi="Times New Roman" w:cs="Times New Roman"/>
            <w:color w:val="0000FF"/>
            <w:sz w:val="24"/>
            <w:szCs w:val="24"/>
            <w:u w:val="single"/>
          </w:rPr>
          <w:t>https://www.who.int/publications/i/item/9789241547130</w:t>
        </w:r>
      </w:hyperlink>
    </w:p>
    <w:p w14:paraId="4D6D1B5E"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Dean, A. S., Crump, L., Greter, H., Hattendorf, J., Schelling, E., &amp; </w:t>
      </w:r>
      <w:proofErr w:type="spellStart"/>
      <w:r w:rsidRPr="00C769A7">
        <w:rPr>
          <w:rFonts w:ascii="Times New Roman" w:eastAsia="Times New Roman" w:hAnsi="Times New Roman" w:cs="Times New Roman"/>
          <w:sz w:val="24"/>
          <w:szCs w:val="24"/>
        </w:rPr>
        <w:t>Zinsstag</w:t>
      </w:r>
      <w:proofErr w:type="spellEnd"/>
      <w:r w:rsidRPr="00C769A7">
        <w:rPr>
          <w:rFonts w:ascii="Times New Roman" w:eastAsia="Times New Roman" w:hAnsi="Times New Roman" w:cs="Times New Roman"/>
          <w:sz w:val="24"/>
          <w:szCs w:val="24"/>
        </w:rPr>
        <w:t xml:space="preserve">, J. (2012). Global burden of human brucellosis: A systematic review of disease frequency. </w:t>
      </w:r>
      <w:proofErr w:type="spellStart"/>
      <w:r w:rsidRPr="00C769A7">
        <w:rPr>
          <w:rFonts w:ascii="Times New Roman" w:eastAsia="Times New Roman" w:hAnsi="Times New Roman" w:cs="Times New Roman"/>
          <w:i/>
          <w:iCs/>
          <w:sz w:val="24"/>
          <w:szCs w:val="24"/>
        </w:rPr>
        <w:t>PLoS</w:t>
      </w:r>
      <w:proofErr w:type="spellEnd"/>
      <w:r w:rsidRPr="00C769A7">
        <w:rPr>
          <w:rFonts w:ascii="Times New Roman" w:eastAsia="Times New Roman" w:hAnsi="Times New Roman" w:cs="Times New Roman"/>
          <w:i/>
          <w:iCs/>
          <w:sz w:val="24"/>
          <w:szCs w:val="24"/>
        </w:rPr>
        <w:t xml:space="preserve"> Neglected Tropical Diseases, 6</w:t>
      </w:r>
      <w:r w:rsidRPr="00C769A7">
        <w:rPr>
          <w:rFonts w:ascii="Times New Roman" w:eastAsia="Times New Roman" w:hAnsi="Times New Roman" w:cs="Times New Roman"/>
          <w:sz w:val="24"/>
          <w:szCs w:val="24"/>
        </w:rPr>
        <w:t xml:space="preserve">(10), Article e1865. </w:t>
      </w:r>
      <w:hyperlink r:id="rId13" w:history="1">
        <w:r w:rsidRPr="00C769A7">
          <w:rPr>
            <w:rFonts w:ascii="Times New Roman" w:eastAsia="Times New Roman" w:hAnsi="Times New Roman" w:cs="Times New Roman"/>
            <w:color w:val="0000FF"/>
            <w:sz w:val="24"/>
            <w:szCs w:val="24"/>
            <w:u w:val="single"/>
          </w:rPr>
          <w:t>https://doi.org/10.1371/journal.pntd.0001865</w:t>
        </w:r>
      </w:hyperlink>
    </w:p>
    <w:p w14:paraId="6DBFC222"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Food and Agriculture Organization of the United Nations. (2013). </w:t>
      </w:r>
      <w:r w:rsidRPr="00C769A7">
        <w:rPr>
          <w:rFonts w:ascii="Times New Roman" w:eastAsia="Times New Roman" w:hAnsi="Times New Roman" w:cs="Times New Roman"/>
          <w:i/>
          <w:iCs/>
          <w:sz w:val="24"/>
          <w:szCs w:val="24"/>
        </w:rPr>
        <w:t>Milk and dairy products in human nutrition</w:t>
      </w:r>
      <w:r w:rsidRPr="00C769A7">
        <w:rPr>
          <w:rFonts w:ascii="Times New Roman" w:eastAsia="Times New Roman" w:hAnsi="Times New Roman" w:cs="Times New Roman"/>
          <w:sz w:val="24"/>
          <w:szCs w:val="24"/>
        </w:rPr>
        <w:t xml:space="preserve">. </w:t>
      </w:r>
      <w:hyperlink r:id="rId14" w:history="1">
        <w:r w:rsidRPr="00C769A7">
          <w:rPr>
            <w:rFonts w:ascii="Times New Roman" w:eastAsia="Times New Roman" w:hAnsi="Times New Roman" w:cs="Times New Roman"/>
            <w:color w:val="0000FF"/>
            <w:sz w:val="24"/>
            <w:szCs w:val="24"/>
            <w:u w:val="single"/>
          </w:rPr>
          <w:t>https://openknowledge.fao.org/handle/20.500.14283/i3396e</w:t>
        </w:r>
      </w:hyperlink>
    </w:p>
    <w:p w14:paraId="70877C26"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Franc, K. A., Krecek, R. C., </w:t>
      </w:r>
      <w:proofErr w:type="spellStart"/>
      <w:r w:rsidRPr="00C769A7">
        <w:rPr>
          <w:rFonts w:ascii="Times New Roman" w:eastAsia="Times New Roman" w:hAnsi="Times New Roman" w:cs="Times New Roman"/>
          <w:sz w:val="24"/>
          <w:szCs w:val="24"/>
        </w:rPr>
        <w:t>Häsler</w:t>
      </w:r>
      <w:proofErr w:type="spellEnd"/>
      <w:r w:rsidRPr="00C769A7">
        <w:rPr>
          <w:rFonts w:ascii="Times New Roman" w:eastAsia="Times New Roman" w:hAnsi="Times New Roman" w:cs="Times New Roman"/>
          <w:sz w:val="24"/>
          <w:szCs w:val="24"/>
        </w:rPr>
        <w:t xml:space="preserve">, B. N., &amp; Arenas-Gamboa, A. M. (2018). Brucellosis remains a neglected disease in the developing world: A call for interdisciplinary action. </w:t>
      </w:r>
      <w:r w:rsidRPr="00C769A7">
        <w:rPr>
          <w:rFonts w:ascii="Times New Roman" w:eastAsia="Times New Roman" w:hAnsi="Times New Roman" w:cs="Times New Roman"/>
          <w:i/>
          <w:iCs/>
          <w:sz w:val="24"/>
          <w:szCs w:val="24"/>
        </w:rPr>
        <w:t>BMC Public Health, 18</w:t>
      </w:r>
      <w:r w:rsidRPr="00C769A7">
        <w:rPr>
          <w:rFonts w:ascii="Times New Roman" w:eastAsia="Times New Roman" w:hAnsi="Times New Roman" w:cs="Times New Roman"/>
          <w:sz w:val="24"/>
          <w:szCs w:val="24"/>
        </w:rPr>
        <w:t xml:space="preserve">, Article 125. </w:t>
      </w:r>
      <w:hyperlink r:id="rId15" w:history="1">
        <w:r w:rsidRPr="00C769A7">
          <w:rPr>
            <w:rFonts w:ascii="Times New Roman" w:eastAsia="Times New Roman" w:hAnsi="Times New Roman" w:cs="Times New Roman"/>
            <w:color w:val="0000FF"/>
            <w:sz w:val="24"/>
            <w:szCs w:val="24"/>
            <w:u w:val="single"/>
          </w:rPr>
          <w:t>https://doi.org/10.1186/s12889-017-5016-y</w:t>
        </w:r>
      </w:hyperlink>
    </w:p>
    <w:p w14:paraId="18B2A9EE"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Ghali-Mohammed, I., Azeez, A. A., </w:t>
      </w:r>
      <w:proofErr w:type="spellStart"/>
      <w:r w:rsidRPr="00C769A7">
        <w:rPr>
          <w:rFonts w:ascii="Times New Roman" w:eastAsia="Times New Roman" w:hAnsi="Times New Roman" w:cs="Times New Roman"/>
          <w:sz w:val="24"/>
          <w:szCs w:val="24"/>
        </w:rPr>
        <w:t>Adetona</w:t>
      </w:r>
      <w:proofErr w:type="spellEnd"/>
      <w:r w:rsidRPr="00C769A7">
        <w:rPr>
          <w:rFonts w:ascii="Times New Roman" w:eastAsia="Times New Roman" w:hAnsi="Times New Roman" w:cs="Times New Roman"/>
          <w:sz w:val="24"/>
          <w:szCs w:val="24"/>
        </w:rPr>
        <w:t xml:space="preserve">, M. A., Bakare, A. A., Isola, T. O., Olawoye, D. C., Alhaji, N. B., &amp; </w:t>
      </w:r>
      <w:proofErr w:type="spellStart"/>
      <w:r w:rsidRPr="00C769A7">
        <w:rPr>
          <w:rFonts w:ascii="Times New Roman" w:eastAsia="Times New Roman" w:hAnsi="Times New Roman" w:cs="Times New Roman"/>
          <w:sz w:val="24"/>
          <w:szCs w:val="24"/>
        </w:rPr>
        <w:t>Odetokun</w:t>
      </w:r>
      <w:proofErr w:type="spellEnd"/>
      <w:r w:rsidRPr="00C769A7">
        <w:rPr>
          <w:rFonts w:ascii="Times New Roman" w:eastAsia="Times New Roman" w:hAnsi="Times New Roman" w:cs="Times New Roman"/>
          <w:sz w:val="24"/>
          <w:szCs w:val="24"/>
        </w:rPr>
        <w:t xml:space="preserve">, I. A. (2025). Knowledge, attitude, and practice levels of Fulani milk processors toward milk contamination and hygiene in Northern Oyo State, Nigeria. </w:t>
      </w:r>
      <w:r w:rsidRPr="00C769A7">
        <w:rPr>
          <w:rFonts w:ascii="Times New Roman" w:eastAsia="Times New Roman" w:hAnsi="Times New Roman" w:cs="Times New Roman"/>
          <w:i/>
          <w:iCs/>
          <w:sz w:val="24"/>
          <w:szCs w:val="24"/>
        </w:rPr>
        <w:t>Discover Food, 5</w:t>
      </w:r>
      <w:r w:rsidRPr="00C769A7">
        <w:rPr>
          <w:rFonts w:ascii="Times New Roman" w:eastAsia="Times New Roman" w:hAnsi="Times New Roman" w:cs="Times New Roman"/>
          <w:sz w:val="24"/>
          <w:szCs w:val="24"/>
        </w:rPr>
        <w:t xml:space="preserve">, Article 205. </w:t>
      </w:r>
      <w:hyperlink r:id="rId16" w:history="1">
        <w:r w:rsidRPr="00C769A7">
          <w:rPr>
            <w:rFonts w:ascii="Times New Roman" w:eastAsia="Times New Roman" w:hAnsi="Times New Roman" w:cs="Times New Roman"/>
            <w:color w:val="0000FF"/>
            <w:sz w:val="24"/>
            <w:szCs w:val="24"/>
            <w:u w:val="single"/>
          </w:rPr>
          <w:t>https://doi.org/10.1007/s44187-025-00506-3</w:t>
        </w:r>
      </w:hyperlink>
    </w:p>
    <w:p w14:paraId="192DC723"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Jost, C. C., Mariner, J. C., Roeder, P. L., </w:t>
      </w:r>
      <w:proofErr w:type="spellStart"/>
      <w:r w:rsidRPr="00C769A7">
        <w:rPr>
          <w:rFonts w:ascii="Times New Roman" w:eastAsia="Times New Roman" w:hAnsi="Times New Roman" w:cs="Times New Roman"/>
          <w:sz w:val="24"/>
          <w:szCs w:val="24"/>
        </w:rPr>
        <w:t>Sawitri</w:t>
      </w:r>
      <w:proofErr w:type="spellEnd"/>
      <w:r w:rsidRPr="00C769A7">
        <w:rPr>
          <w:rFonts w:ascii="Times New Roman" w:eastAsia="Times New Roman" w:hAnsi="Times New Roman" w:cs="Times New Roman"/>
          <w:sz w:val="24"/>
          <w:szCs w:val="24"/>
        </w:rPr>
        <w:t xml:space="preserve">, E., &amp; Macgregor-Skinner, G. J. (2007). Participatory epidemiology in disease surveillance and research. </w:t>
      </w:r>
      <w:r w:rsidRPr="00C769A7">
        <w:rPr>
          <w:rFonts w:ascii="Times New Roman" w:eastAsia="Times New Roman" w:hAnsi="Times New Roman" w:cs="Times New Roman"/>
          <w:i/>
          <w:iCs/>
          <w:sz w:val="24"/>
          <w:szCs w:val="24"/>
        </w:rPr>
        <w:t>Revue Scientifique et Technique, 26</w:t>
      </w:r>
      <w:r w:rsidRPr="00C769A7">
        <w:rPr>
          <w:rFonts w:ascii="Times New Roman" w:eastAsia="Times New Roman" w:hAnsi="Times New Roman" w:cs="Times New Roman"/>
          <w:sz w:val="24"/>
          <w:szCs w:val="24"/>
        </w:rPr>
        <w:t xml:space="preserve">(3), 537–549. </w:t>
      </w:r>
      <w:hyperlink r:id="rId17" w:history="1">
        <w:r w:rsidRPr="00C769A7">
          <w:rPr>
            <w:rFonts w:ascii="Times New Roman" w:eastAsia="Times New Roman" w:hAnsi="Times New Roman" w:cs="Times New Roman"/>
            <w:color w:val="0000FF"/>
            <w:sz w:val="24"/>
            <w:szCs w:val="24"/>
            <w:u w:val="single"/>
          </w:rPr>
          <w:t>https://doi.org/10.20506/rst.26.3.1765</w:t>
        </w:r>
      </w:hyperlink>
    </w:p>
    <w:p w14:paraId="0C3D3B9F"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lang w:val="nl-BE"/>
        </w:rPr>
        <w:lastRenderedPageBreak/>
        <w:t xml:space="preserve">Kapoor, S., Goel, A. D., &amp; Jain, V. (2023). </w:t>
      </w:r>
      <w:r w:rsidRPr="00C769A7">
        <w:rPr>
          <w:rFonts w:ascii="Times New Roman" w:eastAsia="Times New Roman" w:hAnsi="Times New Roman" w:cs="Times New Roman"/>
          <w:sz w:val="24"/>
          <w:szCs w:val="24"/>
        </w:rPr>
        <w:t xml:space="preserve">Milk-borne diseases through the lens of one health. </w:t>
      </w:r>
      <w:r w:rsidRPr="00C769A7">
        <w:rPr>
          <w:rFonts w:ascii="Times New Roman" w:eastAsia="Times New Roman" w:hAnsi="Times New Roman" w:cs="Times New Roman"/>
          <w:i/>
          <w:iCs/>
          <w:sz w:val="24"/>
          <w:szCs w:val="24"/>
        </w:rPr>
        <w:t>Frontiers in Microbiology, 14</w:t>
      </w:r>
      <w:r w:rsidRPr="00C769A7">
        <w:rPr>
          <w:rFonts w:ascii="Times New Roman" w:eastAsia="Times New Roman" w:hAnsi="Times New Roman" w:cs="Times New Roman"/>
          <w:sz w:val="24"/>
          <w:szCs w:val="24"/>
        </w:rPr>
        <w:t xml:space="preserve">, Article 1041051. </w:t>
      </w:r>
      <w:hyperlink r:id="rId18" w:history="1">
        <w:r w:rsidRPr="00C769A7">
          <w:rPr>
            <w:rFonts w:ascii="Times New Roman" w:eastAsia="Times New Roman" w:hAnsi="Times New Roman" w:cs="Times New Roman"/>
            <w:color w:val="0000FF"/>
            <w:sz w:val="24"/>
            <w:szCs w:val="24"/>
            <w:u w:val="single"/>
          </w:rPr>
          <w:t>https://doi.org/10.3389/fmicb.2023.1041051</w:t>
        </w:r>
      </w:hyperlink>
    </w:p>
    <w:p w14:paraId="2424F531"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Lucey, J. A. (2015). Raw milk consumption: Risks and benefits. </w:t>
      </w:r>
      <w:r w:rsidRPr="00C769A7">
        <w:rPr>
          <w:rFonts w:ascii="Times New Roman" w:eastAsia="Times New Roman" w:hAnsi="Times New Roman" w:cs="Times New Roman"/>
          <w:i/>
          <w:iCs/>
          <w:sz w:val="24"/>
          <w:szCs w:val="24"/>
        </w:rPr>
        <w:t>Nutrition Today, 50</w:t>
      </w:r>
      <w:r w:rsidRPr="00C769A7">
        <w:rPr>
          <w:rFonts w:ascii="Times New Roman" w:eastAsia="Times New Roman" w:hAnsi="Times New Roman" w:cs="Times New Roman"/>
          <w:sz w:val="24"/>
          <w:szCs w:val="24"/>
        </w:rPr>
        <w:t xml:space="preserve">(4), 189–193. </w:t>
      </w:r>
      <w:hyperlink r:id="rId19" w:history="1">
        <w:r w:rsidRPr="00C769A7">
          <w:rPr>
            <w:rFonts w:ascii="Times New Roman" w:eastAsia="Times New Roman" w:hAnsi="Times New Roman" w:cs="Times New Roman"/>
            <w:color w:val="0000FF"/>
            <w:sz w:val="24"/>
            <w:szCs w:val="24"/>
            <w:u w:val="single"/>
          </w:rPr>
          <w:t>https://doi.org/10.1097/NT.0000000000000108</w:t>
        </w:r>
      </w:hyperlink>
    </w:p>
    <w:p w14:paraId="38DF15A5"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769A7">
        <w:rPr>
          <w:rFonts w:ascii="Times New Roman" w:eastAsia="Times New Roman" w:hAnsi="Times New Roman" w:cs="Times New Roman"/>
          <w:sz w:val="24"/>
          <w:szCs w:val="24"/>
        </w:rPr>
        <w:t>Megersa</w:t>
      </w:r>
      <w:proofErr w:type="spellEnd"/>
      <w:r w:rsidRPr="00C769A7">
        <w:rPr>
          <w:rFonts w:ascii="Times New Roman" w:eastAsia="Times New Roman" w:hAnsi="Times New Roman" w:cs="Times New Roman"/>
          <w:sz w:val="24"/>
          <w:szCs w:val="24"/>
        </w:rPr>
        <w:t xml:space="preserve">, B., Biffa, D., </w:t>
      </w:r>
      <w:proofErr w:type="spellStart"/>
      <w:r w:rsidRPr="00C769A7">
        <w:rPr>
          <w:rFonts w:ascii="Times New Roman" w:eastAsia="Times New Roman" w:hAnsi="Times New Roman" w:cs="Times New Roman"/>
          <w:sz w:val="24"/>
          <w:szCs w:val="24"/>
        </w:rPr>
        <w:t>Abunna</w:t>
      </w:r>
      <w:proofErr w:type="spellEnd"/>
      <w:r w:rsidRPr="00C769A7">
        <w:rPr>
          <w:rFonts w:ascii="Times New Roman" w:eastAsia="Times New Roman" w:hAnsi="Times New Roman" w:cs="Times New Roman"/>
          <w:sz w:val="24"/>
          <w:szCs w:val="24"/>
        </w:rPr>
        <w:t xml:space="preserve">, F., Regassa, A., </w:t>
      </w:r>
      <w:proofErr w:type="spellStart"/>
      <w:r w:rsidRPr="00C769A7">
        <w:rPr>
          <w:rFonts w:ascii="Times New Roman" w:eastAsia="Times New Roman" w:hAnsi="Times New Roman" w:cs="Times New Roman"/>
          <w:sz w:val="24"/>
          <w:szCs w:val="24"/>
        </w:rPr>
        <w:t>Godfroid</w:t>
      </w:r>
      <w:proofErr w:type="spellEnd"/>
      <w:r w:rsidRPr="00C769A7">
        <w:rPr>
          <w:rFonts w:ascii="Times New Roman" w:eastAsia="Times New Roman" w:hAnsi="Times New Roman" w:cs="Times New Roman"/>
          <w:sz w:val="24"/>
          <w:szCs w:val="24"/>
        </w:rPr>
        <w:t xml:space="preserve">, J., &amp; Skjerve, E. (2011). Seroprevalence of brucellosis and its contribution to abortion in cattle, camel, and goat kept under pastoral management in Borana, Ethiopia. </w:t>
      </w:r>
      <w:r w:rsidRPr="00C769A7">
        <w:rPr>
          <w:rFonts w:ascii="Times New Roman" w:eastAsia="Times New Roman" w:hAnsi="Times New Roman" w:cs="Times New Roman"/>
          <w:i/>
          <w:iCs/>
          <w:sz w:val="24"/>
          <w:szCs w:val="24"/>
        </w:rPr>
        <w:t>Tropical Animal Health and Production, 43</w:t>
      </w:r>
      <w:r w:rsidRPr="00C769A7">
        <w:rPr>
          <w:rFonts w:ascii="Times New Roman" w:eastAsia="Times New Roman" w:hAnsi="Times New Roman" w:cs="Times New Roman"/>
          <w:sz w:val="24"/>
          <w:szCs w:val="24"/>
        </w:rPr>
        <w:t xml:space="preserve">(3), 651–656. </w:t>
      </w:r>
      <w:hyperlink r:id="rId20" w:history="1">
        <w:r w:rsidRPr="00C769A7">
          <w:rPr>
            <w:rFonts w:ascii="Times New Roman" w:eastAsia="Times New Roman" w:hAnsi="Times New Roman" w:cs="Times New Roman"/>
            <w:color w:val="0000FF"/>
            <w:sz w:val="24"/>
            <w:szCs w:val="24"/>
            <w:u w:val="single"/>
          </w:rPr>
          <w:t>https://doi.org/10.1007/s11250-010-9748-2</w:t>
        </w:r>
      </w:hyperlink>
    </w:p>
    <w:p w14:paraId="614E214C"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769A7">
        <w:rPr>
          <w:rFonts w:ascii="Times New Roman" w:eastAsia="Times New Roman" w:hAnsi="Times New Roman" w:cs="Times New Roman"/>
          <w:sz w:val="24"/>
          <w:szCs w:val="24"/>
        </w:rPr>
        <w:t>Mmuoegbulam</w:t>
      </w:r>
      <w:proofErr w:type="spellEnd"/>
      <w:r w:rsidRPr="00C769A7">
        <w:rPr>
          <w:rFonts w:ascii="Times New Roman" w:eastAsia="Times New Roman" w:hAnsi="Times New Roman" w:cs="Times New Roman"/>
          <w:sz w:val="24"/>
          <w:szCs w:val="24"/>
        </w:rPr>
        <w:t xml:space="preserve">, A. O., </w:t>
      </w:r>
      <w:proofErr w:type="spellStart"/>
      <w:r w:rsidRPr="00C769A7">
        <w:rPr>
          <w:rFonts w:ascii="Times New Roman" w:eastAsia="Times New Roman" w:hAnsi="Times New Roman" w:cs="Times New Roman"/>
          <w:sz w:val="24"/>
          <w:szCs w:val="24"/>
        </w:rPr>
        <w:t>Unimke</w:t>
      </w:r>
      <w:proofErr w:type="spellEnd"/>
      <w:r w:rsidRPr="00C769A7">
        <w:rPr>
          <w:rFonts w:ascii="Times New Roman" w:eastAsia="Times New Roman" w:hAnsi="Times New Roman" w:cs="Times New Roman"/>
          <w:sz w:val="24"/>
          <w:szCs w:val="24"/>
        </w:rPr>
        <w:t xml:space="preserve">, A. A., Okoro, C. U., </w:t>
      </w:r>
      <w:proofErr w:type="spellStart"/>
      <w:r w:rsidRPr="00C769A7">
        <w:rPr>
          <w:rFonts w:ascii="Times New Roman" w:eastAsia="Times New Roman" w:hAnsi="Times New Roman" w:cs="Times New Roman"/>
          <w:sz w:val="24"/>
          <w:szCs w:val="24"/>
        </w:rPr>
        <w:t>Onyemaechi</w:t>
      </w:r>
      <w:proofErr w:type="spellEnd"/>
      <w:r w:rsidRPr="00C769A7">
        <w:rPr>
          <w:rFonts w:ascii="Times New Roman" w:eastAsia="Times New Roman" w:hAnsi="Times New Roman" w:cs="Times New Roman"/>
          <w:sz w:val="24"/>
          <w:szCs w:val="24"/>
        </w:rPr>
        <w:t xml:space="preserve">, O., </w:t>
      </w:r>
      <w:proofErr w:type="spellStart"/>
      <w:r w:rsidRPr="00C769A7">
        <w:rPr>
          <w:rFonts w:ascii="Times New Roman" w:eastAsia="Times New Roman" w:hAnsi="Times New Roman" w:cs="Times New Roman"/>
          <w:sz w:val="24"/>
          <w:szCs w:val="24"/>
        </w:rPr>
        <w:t>Ugbadu</w:t>
      </w:r>
      <w:proofErr w:type="spellEnd"/>
      <w:r w:rsidRPr="00C769A7">
        <w:rPr>
          <w:rFonts w:ascii="Times New Roman" w:eastAsia="Times New Roman" w:hAnsi="Times New Roman" w:cs="Times New Roman"/>
          <w:sz w:val="24"/>
          <w:szCs w:val="24"/>
        </w:rPr>
        <w:t xml:space="preserve">, J. I., Ugwu, J. C., &amp; Okoh, F. U. (2022). Concordance of methylene blue reduction and microbiological techniques in the analysis of raw and processed milk quality: A comparative study. </w:t>
      </w:r>
      <w:r w:rsidRPr="00C769A7">
        <w:rPr>
          <w:rFonts w:ascii="Times New Roman" w:eastAsia="Times New Roman" w:hAnsi="Times New Roman" w:cs="Times New Roman"/>
          <w:i/>
          <w:iCs/>
          <w:sz w:val="24"/>
          <w:szCs w:val="24"/>
        </w:rPr>
        <w:t>Asian Journal of Microbiology and Biotechnology, 7</w:t>
      </w:r>
      <w:r w:rsidRPr="00C769A7">
        <w:rPr>
          <w:rFonts w:ascii="Times New Roman" w:eastAsia="Times New Roman" w:hAnsi="Times New Roman" w:cs="Times New Roman"/>
          <w:sz w:val="24"/>
          <w:szCs w:val="24"/>
        </w:rPr>
        <w:t xml:space="preserve">(1), 28–36. </w:t>
      </w:r>
      <w:hyperlink r:id="rId21" w:history="1">
        <w:r w:rsidRPr="00C769A7">
          <w:rPr>
            <w:rFonts w:ascii="Times New Roman" w:eastAsia="Times New Roman" w:hAnsi="Times New Roman" w:cs="Times New Roman"/>
            <w:color w:val="0000FF"/>
            <w:sz w:val="24"/>
            <w:szCs w:val="24"/>
            <w:u w:val="single"/>
          </w:rPr>
          <w:t>https://doi.org/10.56557/ajmab/2022/v7i17801</w:t>
        </w:r>
      </w:hyperlink>
    </w:p>
    <w:p w14:paraId="0D604FF5"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Mohammed, K., &amp; </w:t>
      </w:r>
      <w:proofErr w:type="spellStart"/>
      <w:r w:rsidRPr="00C769A7">
        <w:rPr>
          <w:rFonts w:ascii="Times New Roman" w:eastAsia="Times New Roman" w:hAnsi="Times New Roman" w:cs="Times New Roman"/>
          <w:sz w:val="24"/>
          <w:szCs w:val="24"/>
        </w:rPr>
        <w:t>Biyabra</w:t>
      </w:r>
      <w:proofErr w:type="spellEnd"/>
      <w:r w:rsidRPr="00C769A7">
        <w:rPr>
          <w:rFonts w:ascii="Times New Roman" w:eastAsia="Times New Roman" w:hAnsi="Times New Roman" w:cs="Times New Roman"/>
          <w:sz w:val="24"/>
          <w:szCs w:val="24"/>
        </w:rPr>
        <w:t>, M. I. (2024). Incidence of bacterial contaminants in fermented milk (</w:t>
      </w:r>
      <w:proofErr w:type="spellStart"/>
      <w:r w:rsidRPr="00C769A7">
        <w:rPr>
          <w:rFonts w:ascii="Times New Roman" w:eastAsia="Times New Roman" w:hAnsi="Times New Roman" w:cs="Times New Roman"/>
          <w:sz w:val="24"/>
          <w:szCs w:val="24"/>
        </w:rPr>
        <w:t>nono</w:t>
      </w:r>
      <w:proofErr w:type="spellEnd"/>
      <w:r w:rsidRPr="00C769A7">
        <w:rPr>
          <w:rFonts w:ascii="Times New Roman" w:eastAsia="Times New Roman" w:hAnsi="Times New Roman" w:cs="Times New Roman"/>
          <w:sz w:val="24"/>
          <w:szCs w:val="24"/>
        </w:rPr>
        <w:t>/</w:t>
      </w:r>
      <w:proofErr w:type="spellStart"/>
      <w:r w:rsidRPr="00C769A7">
        <w:rPr>
          <w:rFonts w:ascii="Times New Roman" w:eastAsia="Times New Roman" w:hAnsi="Times New Roman" w:cs="Times New Roman"/>
          <w:sz w:val="24"/>
          <w:szCs w:val="24"/>
        </w:rPr>
        <w:t>kindirmo</w:t>
      </w:r>
      <w:proofErr w:type="spellEnd"/>
      <w:r w:rsidRPr="00C769A7">
        <w:rPr>
          <w:rFonts w:ascii="Times New Roman" w:eastAsia="Times New Roman" w:hAnsi="Times New Roman" w:cs="Times New Roman"/>
          <w:sz w:val="24"/>
          <w:szCs w:val="24"/>
        </w:rPr>
        <w:t xml:space="preserve">) sold by Fulani women to consumers in </w:t>
      </w:r>
      <w:proofErr w:type="spellStart"/>
      <w:r w:rsidRPr="00C769A7">
        <w:rPr>
          <w:rFonts w:ascii="Times New Roman" w:eastAsia="Times New Roman" w:hAnsi="Times New Roman" w:cs="Times New Roman"/>
          <w:sz w:val="24"/>
          <w:szCs w:val="24"/>
        </w:rPr>
        <w:t>Wukari</w:t>
      </w:r>
      <w:proofErr w:type="spellEnd"/>
      <w:r w:rsidRPr="00C769A7">
        <w:rPr>
          <w:rFonts w:ascii="Times New Roman" w:eastAsia="Times New Roman" w:hAnsi="Times New Roman" w:cs="Times New Roman"/>
          <w:sz w:val="24"/>
          <w:szCs w:val="24"/>
        </w:rPr>
        <w:t xml:space="preserve"> Metropolis, Taraba State, Nigeria. </w:t>
      </w:r>
      <w:r w:rsidRPr="00C769A7">
        <w:rPr>
          <w:rFonts w:ascii="Times New Roman" w:eastAsia="Times New Roman" w:hAnsi="Times New Roman" w:cs="Times New Roman"/>
          <w:i/>
          <w:iCs/>
          <w:sz w:val="24"/>
          <w:szCs w:val="24"/>
        </w:rPr>
        <w:t>Sahel Journal of Life Sciences FUDMA, 2</w:t>
      </w:r>
      <w:r w:rsidRPr="00C769A7">
        <w:rPr>
          <w:rFonts w:ascii="Times New Roman" w:eastAsia="Times New Roman" w:hAnsi="Times New Roman" w:cs="Times New Roman"/>
          <w:sz w:val="24"/>
          <w:szCs w:val="24"/>
        </w:rPr>
        <w:t xml:space="preserve">(1), 195–203. </w:t>
      </w:r>
      <w:hyperlink r:id="rId22" w:history="1">
        <w:r w:rsidRPr="00C769A7">
          <w:rPr>
            <w:rFonts w:ascii="Times New Roman" w:eastAsia="Times New Roman" w:hAnsi="Times New Roman" w:cs="Times New Roman"/>
            <w:color w:val="0000FF"/>
            <w:sz w:val="24"/>
            <w:szCs w:val="24"/>
            <w:u w:val="single"/>
          </w:rPr>
          <w:t>https://doi.org/10.33003/sajols-2024-0201-024</w:t>
        </w:r>
      </w:hyperlink>
    </w:p>
    <w:p w14:paraId="42E81A55"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Muma, J. B., Samui, K. L., Oloya, J., </w:t>
      </w:r>
      <w:proofErr w:type="spellStart"/>
      <w:r w:rsidRPr="00C769A7">
        <w:rPr>
          <w:rFonts w:ascii="Times New Roman" w:eastAsia="Times New Roman" w:hAnsi="Times New Roman" w:cs="Times New Roman"/>
          <w:sz w:val="24"/>
          <w:szCs w:val="24"/>
        </w:rPr>
        <w:t>Munyeme</w:t>
      </w:r>
      <w:proofErr w:type="spellEnd"/>
      <w:r w:rsidRPr="00C769A7">
        <w:rPr>
          <w:rFonts w:ascii="Times New Roman" w:eastAsia="Times New Roman" w:hAnsi="Times New Roman" w:cs="Times New Roman"/>
          <w:sz w:val="24"/>
          <w:szCs w:val="24"/>
        </w:rPr>
        <w:t xml:space="preserve">, M., &amp; Skjerve, E. (2007). Risk factors for brucellosis in indigenous cattle reared in livestock-wildlife interface areas of Zambia. </w:t>
      </w:r>
      <w:r w:rsidRPr="00C769A7">
        <w:rPr>
          <w:rFonts w:ascii="Times New Roman" w:eastAsia="Times New Roman" w:hAnsi="Times New Roman" w:cs="Times New Roman"/>
          <w:i/>
          <w:iCs/>
          <w:sz w:val="24"/>
          <w:szCs w:val="24"/>
        </w:rPr>
        <w:t>Preventive Veterinary Medicine, 80</w:t>
      </w:r>
      <w:r w:rsidRPr="00C769A7">
        <w:rPr>
          <w:rFonts w:ascii="Times New Roman" w:eastAsia="Times New Roman" w:hAnsi="Times New Roman" w:cs="Times New Roman"/>
          <w:sz w:val="24"/>
          <w:szCs w:val="24"/>
        </w:rPr>
        <w:t xml:space="preserve">(4), 306–317. </w:t>
      </w:r>
      <w:hyperlink r:id="rId23" w:history="1">
        <w:r w:rsidRPr="00C769A7">
          <w:rPr>
            <w:rFonts w:ascii="Times New Roman" w:eastAsia="Times New Roman" w:hAnsi="Times New Roman" w:cs="Times New Roman"/>
            <w:color w:val="0000FF"/>
            <w:sz w:val="24"/>
            <w:szCs w:val="24"/>
            <w:u w:val="single"/>
          </w:rPr>
          <w:t>https://doi.org/10.1016/j.prevetmed.2007.03.003</w:t>
        </w:r>
      </w:hyperlink>
    </w:p>
    <w:p w14:paraId="5D470EC9"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769A7">
        <w:rPr>
          <w:rFonts w:ascii="Times New Roman" w:eastAsia="Times New Roman" w:hAnsi="Times New Roman" w:cs="Times New Roman"/>
          <w:sz w:val="24"/>
          <w:szCs w:val="24"/>
        </w:rPr>
        <w:t>Odetokun</w:t>
      </w:r>
      <w:proofErr w:type="spellEnd"/>
      <w:r w:rsidRPr="00C769A7">
        <w:rPr>
          <w:rFonts w:ascii="Times New Roman" w:eastAsia="Times New Roman" w:hAnsi="Times New Roman" w:cs="Times New Roman"/>
          <w:sz w:val="24"/>
          <w:szCs w:val="24"/>
        </w:rPr>
        <w:t xml:space="preserve">, I. A., Alhaji, N. B., Aminu, J., Lawan, M. K., Abdulkareem, M. A., &amp; Ghali-Mohammed, I. (2022). One Health risk challenges and preparedness regarding bovine tuberculosis at abattoirs in North-central Nigeria: Associated drivers and health belief. </w:t>
      </w:r>
      <w:proofErr w:type="spellStart"/>
      <w:r w:rsidRPr="00C769A7">
        <w:rPr>
          <w:rFonts w:ascii="Times New Roman" w:eastAsia="Times New Roman" w:hAnsi="Times New Roman" w:cs="Times New Roman"/>
          <w:i/>
          <w:iCs/>
          <w:sz w:val="24"/>
          <w:szCs w:val="24"/>
        </w:rPr>
        <w:t>PLoS</w:t>
      </w:r>
      <w:proofErr w:type="spellEnd"/>
      <w:r w:rsidRPr="00C769A7">
        <w:rPr>
          <w:rFonts w:ascii="Times New Roman" w:eastAsia="Times New Roman" w:hAnsi="Times New Roman" w:cs="Times New Roman"/>
          <w:i/>
          <w:iCs/>
          <w:sz w:val="24"/>
          <w:szCs w:val="24"/>
        </w:rPr>
        <w:t xml:space="preserve"> Neglected Tropical Diseases, 16</w:t>
      </w:r>
      <w:r w:rsidRPr="00C769A7">
        <w:rPr>
          <w:rFonts w:ascii="Times New Roman" w:eastAsia="Times New Roman" w:hAnsi="Times New Roman" w:cs="Times New Roman"/>
          <w:sz w:val="24"/>
          <w:szCs w:val="24"/>
        </w:rPr>
        <w:t xml:space="preserve">(9), Article e0010729. </w:t>
      </w:r>
      <w:hyperlink r:id="rId24" w:history="1">
        <w:r w:rsidRPr="00C769A7">
          <w:rPr>
            <w:rFonts w:ascii="Times New Roman" w:eastAsia="Times New Roman" w:hAnsi="Times New Roman" w:cs="Times New Roman"/>
            <w:color w:val="0000FF"/>
            <w:sz w:val="24"/>
            <w:szCs w:val="24"/>
            <w:u w:val="single"/>
          </w:rPr>
          <w:t>https://doi.org/10.1371/journal.pntd.0010729</w:t>
        </w:r>
      </w:hyperlink>
    </w:p>
    <w:p w14:paraId="0A0F220B"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O’Reilly, L. M., &amp; </w:t>
      </w:r>
      <w:proofErr w:type="spellStart"/>
      <w:r w:rsidRPr="00C769A7">
        <w:rPr>
          <w:rFonts w:ascii="Times New Roman" w:eastAsia="Times New Roman" w:hAnsi="Times New Roman" w:cs="Times New Roman"/>
          <w:sz w:val="24"/>
          <w:szCs w:val="24"/>
        </w:rPr>
        <w:t>Daborn</w:t>
      </w:r>
      <w:proofErr w:type="spellEnd"/>
      <w:r w:rsidRPr="00C769A7">
        <w:rPr>
          <w:rFonts w:ascii="Times New Roman" w:eastAsia="Times New Roman" w:hAnsi="Times New Roman" w:cs="Times New Roman"/>
          <w:sz w:val="24"/>
          <w:szCs w:val="24"/>
        </w:rPr>
        <w:t xml:space="preserve">, C. J. (1995). The epidemiology of </w:t>
      </w:r>
      <w:r w:rsidRPr="00C769A7">
        <w:rPr>
          <w:rFonts w:ascii="Times New Roman" w:eastAsia="Times New Roman" w:hAnsi="Times New Roman" w:cs="Times New Roman"/>
          <w:i/>
          <w:iCs/>
          <w:sz w:val="24"/>
          <w:szCs w:val="24"/>
        </w:rPr>
        <w:t xml:space="preserve">Mycobacterium </w:t>
      </w:r>
      <w:proofErr w:type="spellStart"/>
      <w:r w:rsidRPr="00C769A7">
        <w:rPr>
          <w:rFonts w:ascii="Times New Roman" w:eastAsia="Times New Roman" w:hAnsi="Times New Roman" w:cs="Times New Roman"/>
          <w:i/>
          <w:iCs/>
          <w:sz w:val="24"/>
          <w:szCs w:val="24"/>
        </w:rPr>
        <w:t>bovis</w:t>
      </w:r>
      <w:proofErr w:type="spellEnd"/>
      <w:r w:rsidRPr="00C769A7">
        <w:rPr>
          <w:rFonts w:ascii="Times New Roman" w:eastAsia="Times New Roman" w:hAnsi="Times New Roman" w:cs="Times New Roman"/>
          <w:sz w:val="24"/>
          <w:szCs w:val="24"/>
        </w:rPr>
        <w:t xml:space="preserve"> infections in animals and humans: A review. </w:t>
      </w:r>
      <w:r w:rsidRPr="00C769A7">
        <w:rPr>
          <w:rFonts w:ascii="Times New Roman" w:eastAsia="Times New Roman" w:hAnsi="Times New Roman" w:cs="Times New Roman"/>
          <w:i/>
          <w:iCs/>
          <w:sz w:val="24"/>
          <w:szCs w:val="24"/>
        </w:rPr>
        <w:t>Tubercle and Lung Disease, 76</w:t>
      </w:r>
      <w:r w:rsidRPr="00C769A7">
        <w:rPr>
          <w:rFonts w:ascii="Times New Roman" w:eastAsia="Times New Roman" w:hAnsi="Times New Roman" w:cs="Times New Roman"/>
          <w:sz w:val="24"/>
          <w:szCs w:val="24"/>
        </w:rPr>
        <w:t xml:space="preserve">(Suppl. 1), 1–46. </w:t>
      </w:r>
      <w:hyperlink r:id="rId25" w:history="1">
        <w:r w:rsidRPr="00C769A7">
          <w:rPr>
            <w:rFonts w:ascii="Times New Roman" w:eastAsia="Times New Roman" w:hAnsi="Times New Roman" w:cs="Times New Roman"/>
            <w:color w:val="0000FF"/>
            <w:sz w:val="24"/>
            <w:szCs w:val="24"/>
            <w:u w:val="single"/>
          </w:rPr>
          <w:t>https://doi.org/10.1016/0962-8479(95)90591-X</w:t>
        </w:r>
      </w:hyperlink>
    </w:p>
    <w:p w14:paraId="022D879F" w14:textId="070DB0A2"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Osbjer, K., </w:t>
      </w:r>
      <w:proofErr w:type="spellStart"/>
      <w:r w:rsidRPr="00C769A7">
        <w:rPr>
          <w:rFonts w:ascii="Times New Roman" w:eastAsia="Times New Roman" w:hAnsi="Times New Roman" w:cs="Times New Roman"/>
          <w:sz w:val="24"/>
          <w:szCs w:val="24"/>
        </w:rPr>
        <w:t>Boqvist</w:t>
      </w:r>
      <w:proofErr w:type="spellEnd"/>
      <w:r w:rsidRPr="00C769A7">
        <w:rPr>
          <w:rFonts w:ascii="Times New Roman" w:eastAsia="Times New Roman" w:hAnsi="Times New Roman" w:cs="Times New Roman"/>
          <w:sz w:val="24"/>
          <w:szCs w:val="24"/>
        </w:rPr>
        <w:t xml:space="preserve">, S., </w:t>
      </w:r>
      <w:proofErr w:type="spellStart"/>
      <w:r w:rsidRPr="00C769A7">
        <w:rPr>
          <w:rFonts w:ascii="Times New Roman" w:eastAsia="Times New Roman" w:hAnsi="Times New Roman" w:cs="Times New Roman"/>
          <w:sz w:val="24"/>
          <w:szCs w:val="24"/>
        </w:rPr>
        <w:t>Sokerya</w:t>
      </w:r>
      <w:proofErr w:type="spellEnd"/>
      <w:r w:rsidRPr="00C769A7">
        <w:rPr>
          <w:rFonts w:ascii="Times New Roman" w:eastAsia="Times New Roman" w:hAnsi="Times New Roman" w:cs="Times New Roman"/>
          <w:sz w:val="24"/>
          <w:szCs w:val="24"/>
        </w:rPr>
        <w:t xml:space="preserve">, S., </w:t>
      </w:r>
      <w:proofErr w:type="spellStart"/>
      <w:r w:rsidRPr="00C769A7">
        <w:rPr>
          <w:rFonts w:ascii="Times New Roman" w:eastAsia="Times New Roman" w:hAnsi="Times New Roman" w:cs="Times New Roman"/>
          <w:sz w:val="24"/>
          <w:szCs w:val="24"/>
        </w:rPr>
        <w:t>Kannarath</w:t>
      </w:r>
      <w:proofErr w:type="spellEnd"/>
      <w:r w:rsidRPr="00C769A7">
        <w:rPr>
          <w:rFonts w:ascii="Times New Roman" w:eastAsia="Times New Roman" w:hAnsi="Times New Roman" w:cs="Times New Roman"/>
          <w:sz w:val="24"/>
          <w:szCs w:val="24"/>
        </w:rPr>
        <w:t xml:space="preserve">, C., San, S., </w:t>
      </w:r>
      <w:proofErr w:type="spellStart"/>
      <w:r w:rsidRPr="00C769A7">
        <w:rPr>
          <w:rFonts w:ascii="Times New Roman" w:eastAsia="Times New Roman" w:hAnsi="Times New Roman" w:cs="Times New Roman"/>
          <w:sz w:val="24"/>
          <w:szCs w:val="24"/>
        </w:rPr>
        <w:t>Davun</w:t>
      </w:r>
      <w:proofErr w:type="spellEnd"/>
      <w:r w:rsidRPr="00C769A7">
        <w:rPr>
          <w:rFonts w:ascii="Times New Roman" w:eastAsia="Times New Roman" w:hAnsi="Times New Roman" w:cs="Times New Roman"/>
          <w:sz w:val="24"/>
          <w:szCs w:val="24"/>
        </w:rPr>
        <w:t xml:space="preserve">, H., &amp; Magnusson, U. (2015). Household practices related to disease transmission between animals and humans in rural Cambodia. BMC Public Health, 15, Article 476. </w:t>
      </w:r>
      <w:hyperlink r:id="rId26" w:history="1">
        <w:r w:rsidRPr="00C769A7">
          <w:rPr>
            <w:rFonts w:ascii="Times New Roman" w:eastAsia="Times New Roman" w:hAnsi="Times New Roman" w:cs="Times New Roman"/>
            <w:color w:val="0000FF"/>
            <w:sz w:val="24"/>
            <w:szCs w:val="24"/>
            <w:u w:val="single"/>
          </w:rPr>
          <w:t>https://doi.org/10.1186/s12889-015-1811-5</w:t>
        </w:r>
      </w:hyperlink>
    </w:p>
    <w:p w14:paraId="27B899CF"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Suthar, A. P., Sindhi, S. H., Kathiriya, J. B., Bhedi, K. R., Sharma, A. K., &amp; Thakre, B. J. (2026). Prevalence, virulence attributes and molecular detection of </w:t>
      </w:r>
      <w:r w:rsidRPr="00C769A7">
        <w:rPr>
          <w:rFonts w:ascii="Times New Roman" w:eastAsia="Times New Roman" w:hAnsi="Times New Roman" w:cs="Times New Roman"/>
          <w:i/>
          <w:iCs/>
          <w:sz w:val="24"/>
          <w:szCs w:val="24"/>
        </w:rPr>
        <w:t>Listeria</w:t>
      </w:r>
      <w:r w:rsidRPr="00C769A7">
        <w:rPr>
          <w:rFonts w:ascii="Times New Roman" w:eastAsia="Times New Roman" w:hAnsi="Times New Roman" w:cs="Times New Roman"/>
          <w:sz w:val="24"/>
          <w:szCs w:val="24"/>
        </w:rPr>
        <w:t xml:space="preserve"> spp. from dairy and animal clinical samples in Junagadh, Gujarat, India. </w:t>
      </w:r>
      <w:r w:rsidRPr="00C769A7">
        <w:rPr>
          <w:rFonts w:ascii="Times New Roman" w:eastAsia="Times New Roman" w:hAnsi="Times New Roman" w:cs="Times New Roman"/>
          <w:i/>
          <w:iCs/>
          <w:sz w:val="24"/>
          <w:szCs w:val="24"/>
        </w:rPr>
        <w:t>European Journal of Nutrition &amp; Food Safety, 18</w:t>
      </w:r>
      <w:r w:rsidRPr="00C769A7">
        <w:rPr>
          <w:rFonts w:ascii="Times New Roman" w:eastAsia="Times New Roman" w:hAnsi="Times New Roman" w:cs="Times New Roman"/>
          <w:sz w:val="24"/>
          <w:szCs w:val="24"/>
        </w:rPr>
        <w:t xml:space="preserve">(1), 138–150. </w:t>
      </w:r>
      <w:hyperlink r:id="rId27" w:history="1">
        <w:r w:rsidRPr="00C769A7">
          <w:rPr>
            <w:rFonts w:ascii="Times New Roman" w:eastAsia="Times New Roman" w:hAnsi="Times New Roman" w:cs="Times New Roman"/>
            <w:color w:val="0000FF"/>
            <w:sz w:val="24"/>
            <w:szCs w:val="24"/>
            <w:u w:val="single"/>
          </w:rPr>
          <w:t>https://doi.org/10.9734/ejnfs/2026/v18i11941</w:t>
        </w:r>
      </w:hyperlink>
    </w:p>
    <w:p w14:paraId="6FF15E44"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lang w:val="nl-BE"/>
        </w:rPr>
        <w:lastRenderedPageBreak/>
        <w:t xml:space="preserve">Van Der Zwan, A., Campbell, P. T., Shi, N., De Bortoli, N., &amp; Villanueva-Cabezas, J. P. (2024). </w:t>
      </w:r>
      <w:r w:rsidRPr="00C769A7">
        <w:rPr>
          <w:rFonts w:ascii="Times New Roman" w:eastAsia="Times New Roman" w:hAnsi="Times New Roman" w:cs="Times New Roman"/>
          <w:sz w:val="24"/>
          <w:szCs w:val="24"/>
        </w:rPr>
        <w:t xml:space="preserve">Systematic review of knowledge, attitudes, and practices of dairy farmers and consumers towards bovine tuberculosis in low- and middle-income countries. </w:t>
      </w:r>
      <w:r w:rsidRPr="00C769A7">
        <w:rPr>
          <w:rFonts w:ascii="Times New Roman" w:eastAsia="Times New Roman" w:hAnsi="Times New Roman" w:cs="Times New Roman"/>
          <w:i/>
          <w:iCs/>
          <w:sz w:val="24"/>
          <w:szCs w:val="24"/>
        </w:rPr>
        <w:t>Preventive Veterinary Medicine, 232</w:t>
      </w:r>
      <w:r w:rsidRPr="00C769A7">
        <w:rPr>
          <w:rFonts w:ascii="Times New Roman" w:eastAsia="Times New Roman" w:hAnsi="Times New Roman" w:cs="Times New Roman"/>
          <w:sz w:val="24"/>
          <w:szCs w:val="24"/>
        </w:rPr>
        <w:t xml:space="preserve">, Article 106314. </w:t>
      </w:r>
      <w:hyperlink r:id="rId28" w:history="1">
        <w:r w:rsidRPr="00C769A7">
          <w:rPr>
            <w:rFonts w:ascii="Times New Roman" w:eastAsia="Times New Roman" w:hAnsi="Times New Roman" w:cs="Times New Roman"/>
            <w:color w:val="0000FF"/>
            <w:sz w:val="24"/>
            <w:szCs w:val="24"/>
            <w:u w:val="single"/>
          </w:rPr>
          <w:t>https://doi.org/10.1016/j.prevetmed.2024.106314</w:t>
        </w:r>
      </w:hyperlink>
    </w:p>
    <w:p w14:paraId="1C30694E" w14:textId="77777777" w:rsidR="00C769A7" w:rsidRPr="00C769A7" w:rsidRDefault="00C769A7" w:rsidP="00C769A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769A7">
        <w:rPr>
          <w:rFonts w:ascii="Times New Roman" w:eastAsia="Times New Roman" w:hAnsi="Times New Roman" w:cs="Times New Roman"/>
          <w:sz w:val="24"/>
          <w:szCs w:val="24"/>
        </w:rPr>
        <w:t xml:space="preserve">World Health Organization. (2020, July 29). </w:t>
      </w:r>
      <w:r w:rsidRPr="00C769A7">
        <w:rPr>
          <w:rFonts w:ascii="Times New Roman" w:eastAsia="Times New Roman" w:hAnsi="Times New Roman" w:cs="Times New Roman"/>
          <w:i/>
          <w:iCs/>
          <w:sz w:val="24"/>
          <w:szCs w:val="24"/>
        </w:rPr>
        <w:t>Zoonoses</w:t>
      </w:r>
      <w:r w:rsidRPr="00C769A7">
        <w:rPr>
          <w:rFonts w:ascii="Times New Roman" w:eastAsia="Times New Roman" w:hAnsi="Times New Roman" w:cs="Times New Roman"/>
          <w:sz w:val="24"/>
          <w:szCs w:val="24"/>
        </w:rPr>
        <w:t xml:space="preserve">. </w:t>
      </w:r>
      <w:hyperlink r:id="rId29" w:history="1">
        <w:r w:rsidRPr="00C769A7">
          <w:rPr>
            <w:rFonts w:ascii="Times New Roman" w:eastAsia="Times New Roman" w:hAnsi="Times New Roman" w:cs="Times New Roman"/>
            <w:color w:val="0000FF"/>
            <w:sz w:val="24"/>
            <w:szCs w:val="24"/>
            <w:u w:val="single"/>
          </w:rPr>
          <w:t>https://www.who.int/news-room/fact-sheets/detail/zoonoses</w:t>
        </w:r>
      </w:hyperlink>
    </w:p>
    <w:p w14:paraId="3B79C92B" w14:textId="10BCE497" w:rsidR="00D83AD3" w:rsidRDefault="00D83AD3" w:rsidP="00C769A7">
      <w:pPr>
        <w:ind w:left="720" w:hanging="720"/>
      </w:pPr>
    </w:p>
    <w:sectPr w:rsidR="00D83AD3">
      <w:headerReference w:type="even" r:id="rId30"/>
      <w:headerReference w:type="default" r:id="rId31"/>
      <w:footerReference w:type="even" r:id="rId32"/>
      <w:footerReference w:type="default" r:id="rId33"/>
      <w:headerReference w:type="first" r:id="rId34"/>
      <w:footerReference w:type="first" r:id="rId35"/>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5CEB4" w14:textId="77777777" w:rsidR="00113A14" w:rsidRDefault="00113A14">
      <w:pPr>
        <w:spacing w:after="0" w:line="240" w:lineRule="auto"/>
      </w:pPr>
      <w:r>
        <w:separator/>
      </w:r>
    </w:p>
  </w:endnote>
  <w:endnote w:type="continuationSeparator" w:id="0">
    <w:p w14:paraId="73CA0E29" w14:textId="77777777" w:rsidR="00113A14" w:rsidRDefault="0011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B0ED" w14:textId="77777777" w:rsidR="004F029D" w:rsidRDefault="004F0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BAAC" w14:textId="77777777" w:rsidR="004F029D" w:rsidRDefault="004F029D">
    <w:pPr>
      <w:pStyle w:val="Footer"/>
      <w:jc w:val="center"/>
    </w:pPr>
    <w:r>
      <w:fldChar w:fldCharType="begin"/>
    </w:r>
    <w:r>
      <w:instrText xml:space="preserve"> PAGE   \* MERGEFORMAT </w:instrText>
    </w:r>
    <w:r>
      <w:fldChar w:fldCharType="separate"/>
    </w:r>
    <w:r w:rsidR="002F3B7F">
      <w:rPr>
        <w:noProof/>
      </w:rPr>
      <w:t>21</w:t>
    </w:r>
    <w:r>
      <w:rPr>
        <w:noProof/>
      </w:rPr>
      <w:fldChar w:fldCharType="end"/>
    </w:r>
  </w:p>
  <w:p w14:paraId="3C73432F" w14:textId="77777777" w:rsidR="004F029D" w:rsidRDefault="004F02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138F" w14:textId="77777777" w:rsidR="004F029D" w:rsidRDefault="004F0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261E3" w14:textId="77777777" w:rsidR="00113A14" w:rsidRDefault="00113A14">
      <w:pPr>
        <w:spacing w:after="0" w:line="240" w:lineRule="auto"/>
      </w:pPr>
      <w:r>
        <w:separator/>
      </w:r>
    </w:p>
  </w:footnote>
  <w:footnote w:type="continuationSeparator" w:id="0">
    <w:p w14:paraId="7629BFEF" w14:textId="77777777" w:rsidR="00113A14" w:rsidRDefault="00113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507D" w14:textId="77777777" w:rsidR="004F029D" w:rsidRDefault="00000000">
    <w:pPr>
      <w:pStyle w:val="Header"/>
    </w:pPr>
    <w:r>
      <w:rPr>
        <w:noProof/>
      </w:rPr>
      <w:pict w14:anchorId="33F64F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1"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1BAD" w14:textId="77777777" w:rsidR="004F029D" w:rsidRDefault="00000000">
    <w:pPr>
      <w:pStyle w:val="Header"/>
    </w:pPr>
    <w:r>
      <w:rPr>
        <w:noProof/>
      </w:rPr>
      <w:pict w14:anchorId="068D4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2"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6870" w14:textId="77777777" w:rsidR="004F029D" w:rsidRDefault="00000000">
    <w:pPr>
      <w:pStyle w:val="Header"/>
    </w:pPr>
    <w:r>
      <w:rPr>
        <w:noProof/>
      </w:rPr>
      <w:pict w14:anchorId="22FE1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0"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1" w15:restartNumberingAfterBreak="0">
    <w:nsid w:val="00000002"/>
    <w:multiLevelType w:val="singleLevel"/>
    <w:tmpl w:val="FB12693A"/>
    <w:lvl w:ilvl="0">
      <w:start w:val="1"/>
      <w:numFmt w:val="decimal"/>
      <w:pStyle w:val="ListNumber3"/>
      <w:lvlText w:val="%1."/>
      <w:lvlJc w:val="left"/>
      <w:pPr>
        <w:tabs>
          <w:tab w:val="left" w:pos="1080"/>
        </w:tabs>
        <w:ind w:left="1080" w:hanging="360"/>
      </w:pPr>
    </w:lvl>
  </w:abstractNum>
  <w:abstractNum w:abstractNumId="2" w15:restartNumberingAfterBreak="0">
    <w:nsid w:val="00000003"/>
    <w:multiLevelType w:val="singleLevel"/>
    <w:tmpl w:val="38441652"/>
    <w:lvl w:ilvl="0">
      <w:start w:val="1"/>
      <w:numFmt w:val="decimal"/>
      <w:pStyle w:val="ListNumber2"/>
      <w:lvlText w:val="%1."/>
      <w:lvlJc w:val="left"/>
      <w:pPr>
        <w:tabs>
          <w:tab w:val="left" w:pos="720"/>
        </w:tabs>
        <w:ind w:left="720" w:hanging="360"/>
      </w:pPr>
    </w:lvl>
  </w:abstractNum>
  <w:abstractNum w:abstractNumId="3"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4" w15:restartNumberingAfterBreak="0">
    <w:nsid w:val="00000005"/>
    <w:multiLevelType w:val="singleLevel"/>
    <w:tmpl w:val="F3EAFDEC"/>
    <w:lvl w:ilvl="0">
      <w:start w:val="1"/>
      <w:numFmt w:val="bullet"/>
      <w:pStyle w:val="ListBullet3"/>
      <w:lvlText w:val=""/>
      <w:lvlJc w:val="left"/>
      <w:pPr>
        <w:tabs>
          <w:tab w:val="left" w:pos="1080"/>
        </w:tabs>
        <w:ind w:left="1080" w:hanging="360"/>
      </w:pPr>
      <w:rPr>
        <w:rFonts w:ascii="Symbol" w:hAnsi="Symbol" w:hint="default"/>
      </w:rPr>
    </w:lvl>
  </w:abstractNum>
  <w:abstractNum w:abstractNumId="5" w15:restartNumberingAfterBreak="0">
    <w:nsid w:val="00000006"/>
    <w:multiLevelType w:val="singleLevel"/>
    <w:tmpl w:val="3D1EFFD4"/>
    <w:lvl w:ilvl="0">
      <w:start w:val="1"/>
      <w:numFmt w:val="bullet"/>
      <w:pStyle w:val="ListBullet2"/>
      <w:lvlText w:val=""/>
      <w:lvlJc w:val="left"/>
      <w:pPr>
        <w:tabs>
          <w:tab w:val="left" w:pos="720"/>
        </w:tabs>
        <w:ind w:left="720" w:hanging="360"/>
      </w:pPr>
      <w:rPr>
        <w:rFonts w:ascii="Symbol" w:hAnsi="Symbol" w:hint="default"/>
      </w:rPr>
    </w:lvl>
  </w:abstractNum>
  <w:abstractNum w:abstractNumId="6" w15:restartNumberingAfterBreak="0">
    <w:nsid w:val="00000007"/>
    <w:multiLevelType w:val="singleLevel"/>
    <w:tmpl w:val="D0A62B40"/>
    <w:lvl w:ilvl="0">
      <w:start w:val="1"/>
      <w:numFmt w:val="decimal"/>
      <w:pStyle w:val="ListNumber"/>
      <w:lvlText w:val="%1."/>
      <w:lvlJc w:val="left"/>
      <w:pPr>
        <w:tabs>
          <w:tab w:val="left" w:pos="360"/>
        </w:tabs>
        <w:ind w:left="360" w:hanging="360"/>
      </w:pPr>
    </w:lvl>
  </w:abstractNum>
  <w:abstractNum w:abstractNumId="7" w15:restartNumberingAfterBreak="0">
    <w:nsid w:val="00000008"/>
    <w:multiLevelType w:val="singleLevel"/>
    <w:tmpl w:val="29761A62"/>
    <w:lvl w:ilvl="0">
      <w:start w:val="1"/>
      <w:numFmt w:val="bullet"/>
      <w:pStyle w:val="ListBullet"/>
      <w:lvlText w:val=""/>
      <w:lvlJc w:val="left"/>
      <w:pPr>
        <w:tabs>
          <w:tab w:val="left" w:pos="360"/>
        </w:tabs>
        <w:ind w:left="360" w:hanging="360"/>
      </w:pPr>
      <w:rPr>
        <w:rFonts w:ascii="Symbol" w:hAnsi="Symbol" w:hint="default"/>
      </w:rPr>
    </w:lvl>
  </w:abstractNum>
  <w:abstractNum w:abstractNumId="8" w15:restartNumberingAfterBreak="0">
    <w:nsid w:val="347A75F5"/>
    <w:multiLevelType w:val="multilevel"/>
    <w:tmpl w:val="EFE49C1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8115F"/>
    <w:multiLevelType w:val="multilevel"/>
    <w:tmpl w:val="2A64C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6A291F"/>
    <w:multiLevelType w:val="multilevel"/>
    <w:tmpl w:val="922A02A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42191C"/>
    <w:multiLevelType w:val="hybridMultilevel"/>
    <w:tmpl w:val="0F188450"/>
    <w:lvl w:ilvl="0" w:tplc="8F40EC7A">
      <w:start w:val="1"/>
      <w:numFmt w:val="bullet"/>
      <w:lvlText w:val=""/>
      <w:lvlJc w:val="left"/>
      <w:pPr>
        <w:ind w:left="1080" w:hanging="360"/>
      </w:pPr>
      <w:rPr>
        <w:rFonts w:ascii="Symbol" w:hAnsi="Symbol"/>
      </w:rPr>
    </w:lvl>
    <w:lvl w:ilvl="1" w:tplc="8BB4170A">
      <w:start w:val="1"/>
      <w:numFmt w:val="bullet"/>
      <w:lvlText w:val=""/>
      <w:lvlJc w:val="left"/>
      <w:pPr>
        <w:ind w:left="1080" w:hanging="360"/>
      </w:pPr>
      <w:rPr>
        <w:rFonts w:ascii="Symbol" w:hAnsi="Symbol"/>
      </w:rPr>
    </w:lvl>
    <w:lvl w:ilvl="2" w:tplc="412A5834">
      <w:start w:val="1"/>
      <w:numFmt w:val="bullet"/>
      <w:lvlText w:val=""/>
      <w:lvlJc w:val="left"/>
      <w:pPr>
        <w:ind w:left="1080" w:hanging="360"/>
      </w:pPr>
      <w:rPr>
        <w:rFonts w:ascii="Symbol" w:hAnsi="Symbol"/>
      </w:rPr>
    </w:lvl>
    <w:lvl w:ilvl="3" w:tplc="4510F098">
      <w:start w:val="1"/>
      <w:numFmt w:val="bullet"/>
      <w:lvlText w:val=""/>
      <w:lvlJc w:val="left"/>
      <w:pPr>
        <w:ind w:left="1080" w:hanging="360"/>
      </w:pPr>
      <w:rPr>
        <w:rFonts w:ascii="Symbol" w:hAnsi="Symbol"/>
      </w:rPr>
    </w:lvl>
    <w:lvl w:ilvl="4" w:tplc="761EC6FE">
      <w:start w:val="1"/>
      <w:numFmt w:val="bullet"/>
      <w:lvlText w:val=""/>
      <w:lvlJc w:val="left"/>
      <w:pPr>
        <w:ind w:left="1080" w:hanging="360"/>
      </w:pPr>
      <w:rPr>
        <w:rFonts w:ascii="Symbol" w:hAnsi="Symbol"/>
      </w:rPr>
    </w:lvl>
    <w:lvl w:ilvl="5" w:tplc="93D61F5A">
      <w:start w:val="1"/>
      <w:numFmt w:val="bullet"/>
      <w:lvlText w:val=""/>
      <w:lvlJc w:val="left"/>
      <w:pPr>
        <w:ind w:left="1080" w:hanging="360"/>
      </w:pPr>
      <w:rPr>
        <w:rFonts w:ascii="Symbol" w:hAnsi="Symbol"/>
      </w:rPr>
    </w:lvl>
    <w:lvl w:ilvl="6" w:tplc="0A8606B6">
      <w:start w:val="1"/>
      <w:numFmt w:val="bullet"/>
      <w:lvlText w:val=""/>
      <w:lvlJc w:val="left"/>
      <w:pPr>
        <w:ind w:left="1080" w:hanging="360"/>
      </w:pPr>
      <w:rPr>
        <w:rFonts w:ascii="Symbol" w:hAnsi="Symbol"/>
      </w:rPr>
    </w:lvl>
    <w:lvl w:ilvl="7" w:tplc="EA9292DC">
      <w:start w:val="1"/>
      <w:numFmt w:val="bullet"/>
      <w:lvlText w:val=""/>
      <w:lvlJc w:val="left"/>
      <w:pPr>
        <w:ind w:left="1080" w:hanging="360"/>
      </w:pPr>
      <w:rPr>
        <w:rFonts w:ascii="Symbol" w:hAnsi="Symbol"/>
      </w:rPr>
    </w:lvl>
    <w:lvl w:ilvl="8" w:tplc="A946568E">
      <w:start w:val="1"/>
      <w:numFmt w:val="bullet"/>
      <w:lvlText w:val=""/>
      <w:lvlJc w:val="left"/>
      <w:pPr>
        <w:ind w:left="1080" w:hanging="360"/>
      </w:pPr>
      <w:rPr>
        <w:rFonts w:ascii="Symbol" w:hAnsi="Symbol"/>
      </w:rPr>
    </w:lvl>
  </w:abstractNum>
  <w:abstractNum w:abstractNumId="12" w15:restartNumberingAfterBreak="0">
    <w:nsid w:val="6C7646F6"/>
    <w:multiLevelType w:val="hybridMultilevel"/>
    <w:tmpl w:val="11600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B1AB6"/>
    <w:multiLevelType w:val="singleLevel"/>
    <w:tmpl w:val="C310EC42"/>
    <w:lvl w:ilvl="0">
      <w:start w:val="1"/>
      <w:numFmt w:val="decimal"/>
      <w:lvlText w:val="%1."/>
      <w:lvlJc w:val="left"/>
      <w:pPr>
        <w:tabs>
          <w:tab w:val="left" w:pos="1800"/>
        </w:tabs>
        <w:ind w:left="1800" w:hanging="360"/>
      </w:pPr>
    </w:lvl>
  </w:abstractNum>
  <w:num w:numId="1" w16cid:durableId="235283748">
    <w:abstractNumId w:val="7"/>
  </w:num>
  <w:num w:numId="2" w16cid:durableId="684138115">
    <w:abstractNumId w:val="5"/>
  </w:num>
  <w:num w:numId="3" w16cid:durableId="1236207417">
    <w:abstractNumId w:val="4"/>
  </w:num>
  <w:num w:numId="4" w16cid:durableId="1773013503">
    <w:abstractNumId w:val="6"/>
  </w:num>
  <w:num w:numId="5" w16cid:durableId="510947728">
    <w:abstractNumId w:val="2"/>
  </w:num>
  <w:num w:numId="6" w16cid:durableId="2101829948">
    <w:abstractNumId w:val="1"/>
  </w:num>
  <w:num w:numId="7" w16cid:durableId="659583319">
    <w:abstractNumId w:val="3"/>
  </w:num>
  <w:num w:numId="8" w16cid:durableId="1279876474">
    <w:abstractNumId w:val="0"/>
  </w:num>
  <w:num w:numId="9" w16cid:durableId="1598444033">
    <w:abstractNumId w:val="13"/>
  </w:num>
  <w:num w:numId="10" w16cid:durableId="1344280916">
    <w:abstractNumId w:val="11"/>
  </w:num>
  <w:num w:numId="11" w16cid:durableId="2037660903">
    <w:abstractNumId w:val="9"/>
  </w:num>
  <w:num w:numId="12" w16cid:durableId="2137211395">
    <w:abstractNumId w:val="8"/>
  </w:num>
  <w:num w:numId="13" w16cid:durableId="615864931">
    <w:abstractNumId w:val="10"/>
  </w:num>
  <w:num w:numId="14" w16cid:durableId="310211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18A8"/>
    <w:rsid w:val="00032DD1"/>
    <w:rsid w:val="000438BD"/>
    <w:rsid w:val="00055976"/>
    <w:rsid w:val="0009283D"/>
    <w:rsid w:val="000D6422"/>
    <w:rsid w:val="000F2E75"/>
    <w:rsid w:val="00113A14"/>
    <w:rsid w:val="00125DFB"/>
    <w:rsid w:val="001372E8"/>
    <w:rsid w:val="001B76A8"/>
    <w:rsid w:val="001E0F51"/>
    <w:rsid w:val="001F1BCA"/>
    <w:rsid w:val="0028270B"/>
    <w:rsid w:val="002F3B7F"/>
    <w:rsid w:val="003544D2"/>
    <w:rsid w:val="003C7816"/>
    <w:rsid w:val="004D0E9D"/>
    <w:rsid w:val="004D51A9"/>
    <w:rsid w:val="004F029D"/>
    <w:rsid w:val="00515A11"/>
    <w:rsid w:val="005319B2"/>
    <w:rsid w:val="005404F6"/>
    <w:rsid w:val="005F3352"/>
    <w:rsid w:val="006316A2"/>
    <w:rsid w:val="006A6A73"/>
    <w:rsid w:val="006B2CCE"/>
    <w:rsid w:val="007107AD"/>
    <w:rsid w:val="00715889"/>
    <w:rsid w:val="00716508"/>
    <w:rsid w:val="00770FFC"/>
    <w:rsid w:val="007726D7"/>
    <w:rsid w:val="007C427D"/>
    <w:rsid w:val="007C58A7"/>
    <w:rsid w:val="007E21CD"/>
    <w:rsid w:val="007F17CE"/>
    <w:rsid w:val="007F5322"/>
    <w:rsid w:val="008039A7"/>
    <w:rsid w:val="00807BA0"/>
    <w:rsid w:val="00824535"/>
    <w:rsid w:val="008F02A6"/>
    <w:rsid w:val="008F0955"/>
    <w:rsid w:val="0094549E"/>
    <w:rsid w:val="009547C5"/>
    <w:rsid w:val="00964A47"/>
    <w:rsid w:val="00995EC7"/>
    <w:rsid w:val="009F3D14"/>
    <w:rsid w:val="00A15670"/>
    <w:rsid w:val="00AF6BBB"/>
    <w:rsid w:val="00B35F5D"/>
    <w:rsid w:val="00B454C8"/>
    <w:rsid w:val="00B61ED3"/>
    <w:rsid w:val="00B97B2F"/>
    <w:rsid w:val="00BF5E2F"/>
    <w:rsid w:val="00C05EDA"/>
    <w:rsid w:val="00C769A7"/>
    <w:rsid w:val="00C9207E"/>
    <w:rsid w:val="00CB2FB5"/>
    <w:rsid w:val="00CC219A"/>
    <w:rsid w:val="00CF18D8"/>
    <w:rsid w:val="00D22E5F"/>
    <w:rsid w:val="00D7785C"/>
    <w:rsid w:val="00D82E08"/>
    <w:rsid w:val="00D83AD3"/>
    <w:rsid w:val="00DA2596"/>
    <w:rsid w:val="00DA26F5"/>
    <w:rsid w:val="00DE65FB"/>
    <w:rsid w:val="00E515F1"/>
    <w:rsid w:val="00E541AC"/>
    <w:rsid w:val="00E818A8"/>
    <w:rsid w:val="00E97F16"/>
    <w:rsid w:val="00F1074A"/>
    <w:rsid w:val="00F1686A"/>
    <w:rsid w:val="00F339EE"/>
    <w:rsid w:val="00F41AA6"/>
    <w:rsid w:val="00FC2E95"/>
    <w:rsid w:val="00FE5750"/>
    <w:rsid w:val="00FF3AFD"/>
    <w:rsid w:val="00FF4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54282"/>
  <w15:docId w15:val="{A119A464-3E8F-4FDE-A266-7999A096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qFormat/>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qFormat/>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qFormat/>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qFormat/>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qFormat/>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qFormat/>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Calibri" w:eastAsia="MS Gothic" w:hAnsi="Calibri" w:cs="SimSun"/>
      <w:b/>
      <w:bCs/>
      <w:color w:val="365F91"/>
      <w:sz w:val="28"/>
      <w:szCs w:val="28"/>
    </w:rPr>
  </w:style>
  <w:style w:type="character" w:customStyle="1" w:styleId="Heading2Char">
    <w:name w:val="Heading 2 Char"/>
    <w:basedOn w:val="DefaultParagraphFont"/>
    <w:link w:val="Heading2"/>
    <w:uiPriority w:val="9"/>
    <w:rPr>
      <w:rFonts w:ascii="Calibri" w:eastAsia="MS Gothic" w:hAnsi="Calibri" w:cs="SimSun"/>
      <w:b/>
      <w:bCs/>
      <w:color w:val="4F81BD"/>
      <w:sz w:val="26"/>
      <w:szCs w:val="26"/>
    </w:rPr>
  </w:style>
  <w:style w:type="character" w:customStyle="1" w:styleId="Heading3Char">
    <w:name w:val="Heading 3 Char"/>
    <w:basedOn w:val="DefaultParagraphFont"/>
    <w:link w:val="Heading3"/>
    <w:uiPriority w:val="9"/>
    <w:rPr>
      <w:rFonts w:ascii="Calibri" w:eastAsia="MS Gothic" w:hAnsi="Calibri" w:cs="SimSun"/>
      <w:b/>
      <w:bCs/>
      <w:color w:val="4F81BD"/>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10"/>
    <w:rPr>
      <w:rFonts w:ascii="Calibri" w:eastAsia="MS Gothic" w:hAnsi="Calibri" w:cs="SimSun"/>
      <w:color w:val="17365D"/>
      <w:spacing w:val="5"/>
      <w:kern w:val="28"/>
      <w:sz w:val="52"/>
      <w:szCs w:val="52"/>
    </w:rPr>
  </w:style>
  <w:style w:type="paragraph" w:styleId="Subtitle">
    <w:name w:val="Subtitle"/>
    <w:basedOn w:val="Normal"/>
    <w:next w:val="Normal"/>
    <w:link w:val="SubtitleChar"/>
    <w:uiPriority w:val="11"/>
    <w:qFormat/>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Pr>
      <w:rFonts w:ascii="Calibri" w:eastAsia="MS Gothic" w:hAnsi="Calibri" w:cs="SimSun"/>
      <w:i/>
      <w:iCs/>
      <w:color w:val="4F81BD"/>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Number">
    <w:name w:val="List Number"/>
    <w:basedOn w:val="Normal"/>
    <w:uiPriority w:val="99"/>
    <w:pPr>
      <w:numPr>
        <w:numId w:val="4"/>
      </w:numPr>
      <w:contextualSpacing/>
    </w:pPr>
  </w:style>
  <w:style w:type="paragraph" w:styleId="ListNumber2">
    <w:name w:val="List Number 2"/>
    <w:basedOn w:val="Normal"/>
    <w:uiPriority w:val="99"/>
    <w:pPr>
      <w:numPr>
        <w:numId w:val="5"/>
      </w:numPr>
      <w:contextualSpacing/>
    </w:pPr>
  </w:style>
  <w:style w:type="paragraph" w:styleId="ListNumber3">
    <w:name w:val="List Number 3"/>
    <w:basedOn w:val="Normal"/>
    <w:uiPriority w:val="99"/>
    <w:pPr>
      <w:numPr>
        <w:numId w:val="6"/>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MacroText">
    <w:name w:val="macro"/>
    <w:link w:val="MacroText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character" w:customStyle="1" w:styleId="Heading4Char">
    <w:name w:val="Heading 4 Char"/>
    <w:basedOn w:val="DefaultParagraphFont"/>
    <w:link w:val="Heading4"/>
    <w:uiPriority w:val="9"/>
    <w:rPr>
      <w:rFonts w:ascii="Calibri" w:eastAsia="MS Gothic" w:hAnsi="Calibri" w:cs="SimSun"/>
      <w:b/>
      <w:bCs/>
      <w:i/>
      <w:iCs/>
      <w:color w:val="4F81BD"/>
    </w:rPr>
  </w:style>
  <w:style w:type="character" w:customStyle="1" w:styleId="Heading5Char">
    <w:name w:val="Heading 5 Char"/>
    <w:basedOn w:val="DefaultParagraphFont"/>
    <w:link w:val="Heading5"/>
    <w:uiPriority w:val="9"/>
    <w:rPr>
      <w:rFonts w:ascii="Calibri" w:eastAsia="MS Gothic" w:hAnsi="Calibri" w:cs="SimSun"/>
      <w:color w:val="243F60"/>
    </w:rPr>
  </w:style>
  <w:style w:type="character" w:customStyle="1" w:styleId="Heading6Char">
    <w:name w:val="Heading 6 Char"/>
    <w:basedOn w:val="DefaultParagraphFont"/>
    <w:link w:val="Heading6"/>
    <w:uiPriority w:val="9"/>
    <w:rPr>
      <w:rFonts w:ascii="Calibri" w:eastAsia="MS Gothic" w:hAnsi="Calibri" w:cs="SimSun"/>
      <w:i/>
      <w:iCs/>
      <w:color w:val="243F60"/>
    </w:rPr>
  </w:style>
  <w:style w:type="character" w:customStyle="1" w:styleId="Heading7Char">
    <w:name w:val="Heading 7 Char"/>
    <w:basedOn w:val="DefaultParagraphFont"/>
    <w:link w:val="Heading7"/>
    <w:uiPriority w:val="9"/>
    <w:rPr>
      <w:rFonts w:ascii="Calibri" w:eastAsia="MS Gothic" w:hAnsi="Calibri" w:cs="SimSun"/>
      <w:i/>
      <w:iCs/>
      <w:color w:val="404040"/>
    </w:rPr>
  </w:style>
  <w:style w:type="character" w:customStyle="1" w:styleId="Heading8Char">
    <w:name w:val="Heading 8 Char"/>
    <w:basedOn w:val="DefaultParagraphFont"/>
    <w:link w:val="Heading8"/>
    <w:uiPriority w:val="9"/>
    <w:rPr>
      <w:rFonts w:ascii="Calibri" w:eastAsia="MS Gothic" w:hAnsi="Calibri" w:cs="SimSun"/>
      <w:color w:val="4F81BD"/>
      <w:sz w:val="20"/>
      <w:szCs w:val="20"/>
    </w:rPr>
  </w:style>
  <w:style w:type="character" w:customStyle="1" w:styleId="Heading9Char">
    <w:name w:val="Heading 9 Char"/>
    <w:basedOn w:val="DefaultParagraphFont"/>
    <w:link w:val="Heading9"/>
    <w:uiPriority w:val="9"/>
    <w:rPr>
      <w:rFonts w:ascii="Calibri" w:eastAsia="MS Gothic" w:hAnsi="Calibri" w:cs="SimSun"/>
      <w:i/>
      <w:iCs/>
      <w:color w:val="404040"/>
      <w:sz w:val="20"/>
      <w:szCs w:val="20"/>
    </w:rPr>
  </w:style>
  <w:style w:type="paragraph" w:styleId="Caption">
    <w:name w:val="caption"/>
    <w:basedOn w:val="Normal"/>
    <w:next w:val="Normal"/>
    <w:uiPriority w:val="35"/>
    <w:qFormat/>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rPr>
  </w:style>
  <w:style w:type="character" w:styleId="SubtleEmphasis">
    <w:name w:val="Subtle Emphasis"/>
    <w:basedOn w:val="DefaultParagraphFont"/>
    <w:uiPriority w:val="19"/>
    <w:qFormat/>
    <w:rPr>
      <w:i/>
      <w:iCs/>
      <w:color w:val="808080"/>
    </w:rPr>
  </w:style>
  <w:style w:type="character" w:styleId="IntenseEmphasis">
    <w:name w:val="Intense Emphasis"/>
    <w:basedOn w:val="DefaultParagraphFont"/>
    <w:uiPriority w:val="21"/>
    <w:qFormat/>
    <w:rPr>
      <w:b/>
      <w:bCs/>
      <w:i/>
      <w:iCs/>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bCs/>
      <w:smallCaps/>
      <w:color w:val="C0504D"/>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PageNumber">
    <w:name w:val="page number"/>
    <w:basedOn w:val="DefaultParagraphFont"/>
    <w:uiPriority w:val="99"/>
    <w:semiHidden/>
    <w:unhideWhenUsed/>
    <w:rsid w:val="001E0F51"/>
  </w:style>
  <w:style w:type="character" w:styleId="Hyperlink">
    <w:name w:val="Hyperlink"/>
    <w:basedOn w:val="DefaultParagraphFont"/>
    <w:uiPriority w:val="99"/>
    <w:unhideWhenUsed/>
    <w:rsid w:val="00D82E08"/>
    <w:rPr>
      <w:color w:val="0000FF" w:themeColor="hyperlink"/>
      <w:u w:val="single"/>
    </w:rPr>
  </w:style>
  <w:style w:type="character" w:customStyle="1" w:styleId="UnresolvedMention1">
    <w:name w:val="Unresolved Mention1"/>
    <w:basedOn w:val="DefaultParagraphFont"/>
    <w:uiPriority w:val="99"/>
    <w:semiHidden/>
    <w:unhideWhenUsed/>
    <w:rsid w:val="00D82E08"/>
    <w:rPr>
      <w:color w:val="605E5C"/>
      <w:shd w:val="clear" w:color="auto" w:fill="E1DFDD"/>
    </w:rPr>
  </w:style>
  <w:style w:type="character" w:styleId="CommentReference">
    <w:name w:val="annotation reference"/>
    <w:basedOn w:val="DefaultParagraphFont"/>
    <w:uiPriority w:val="99"/>
    <w:semiHidden/>
    <w:unhideWhenUsed/>
    <w:rsid w:val="005404F6"/>
    <w:rPr>
      <w:sz w:val="16"/>
      <w:szCs w:val="16"/>
    </w:rPr>
  </w:style>
  <w:style w:type="paragraph" w:styleId="CommentText">
    <w:name w:val="annotation text"/>
    <w:basedOn w:val="Normal"/>
    <w:link w:val="CommentTextChar"/>
    <w:uiPriority w:val="99"/>
    <w:unhideWhenUsed/>
    <w:rsid w:val="005404F6"/>
    <w:pPr>
      <w:spacing w:line="240" w:lineRule="auto"/>
    </w:pPr>
    <w:rPr>
      <w:sz w:val="20"/>
      <w:szCs w:val="20"/>
    </w:rPr>
  </w:style>
  <w:style w:type="character" w:customStyle="1" w:styleId="CommentTextChar">
    <w:name w:val="Comment Text Char"/>
    <w:basedOn w:val="DefaultParagraphFont"/>
    <w:link w:val="CommentText"/>
    <w:uiPriority w:val="99"/>
    <w:rsid w:val="005404F6"/>
    <w:rPr>
      <w:sz w:val="20"/>
      <w:szCs w:val="20"/>
    </w:rPr>
  </w:style>
  <w:style w:type="paragraph" w:styleId="CommentSubject">
    <w:name w:val="annotation subject"/>
    <w:basedOn w:val="CommentText"/>
    <w:next w:val="CommentText"/>
    <w:link w:val="CommentSubjectChar"/>
    <w:uiPriority w:val="99"/>
    <w:semiHidden/>
    <w:unhideWhenUsed/>
    <w:rsid w:val="005404F6"/>
    <w:rPr>
      <w:b/>
      <w:bCs/>
    </w:rPr>
  </w:style>
  <w:style w:type="character" w:customStyle="1" w:styleId="CommentSubjectChar">
    <w:name w:val="Comment Subject Char"/>
    <w:basedOn w:val="CommentTextChar"/>
    <w:link w:val="CommentSubject"/>
    <w:uiPriority w:val="99"/>
    <w:semiHidden/>
    <w:rsid w:val="005404F6"/>
    <w:rPr>
      <w:b/>
      <w:bCs/>
      <w:sz w:val="20"/>
      <w:szCs w:val="20"/>
    </w:rPr>
  </w:style>
  <w:style w:type="paragraph" w:styleId="BalloonText">
    <w:name w:val="Balloon Text"/>
    <w:basedOn w:val="Normal"/>
    <w:link w:val="BalloonTextChar"/>
    <w:uiPriority w:val="99"/>
    <w:semiHidden/>
    <w:unhideWhenUsed/>
    <w:rsid w:val="00BF5E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E2F"/>
    <w:rPr>
      <w:rFonts w:ascii="Tahoma" w:hAnsi="Tahoma" w:cs="Tahoma"/>
      <w:sz w:val="16"/>
      <w:szCs w:val="16"/>
    </w:rPr>
  </w:style>
  <w:style w:type="paragraph" w:customStyle="1" w:styleId="ds-markdown-paragraph">
    <w:name w:val="ds-markdown-paragraph"/>
    <w:basedOn w:val="Normal"/>
    <w:rsid w:val="00F339E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F4D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9067">
      <w:bodyDiv w:val="1"/>
      <w:marLeft w:val="0"/>
      <w:marRight w:val="0"/>
      <w:marTop w:val="0"/>
      <w:marBottom w:val="0"/>
      <w:divBdr>
        <w:top w:val="none" w:sz="0" w:space="0" w:color="auto"/>
        <w:left w:val="none" w:sz="0" w:space="0" w:color="auto"/>
        <w:bottom w:val="none" w:sz="0" w:space="0" w:color="auto"/>
        <w:right w:val="none" w:sz="0" w:space="0" w:color="auto"/>
      </w:divBdr>
      <w:divsChild>
        <w:div w:id="1913730155">
          <w:marLeft w:val="0"/>
          <w:marRight w:val="0"/>
          <w:marTop w:val="0"/>
          <w:marBottom w:val="0"/>
          <w:divBdr>
            <w:top w:val="none" w:sz="0" w:space="0" w:color="auto"/>
            <w:left w:val="none" w:sz="0" w:space="0" w:color="auto"/>
            <w:bottom w:val="none" w:sz="0" w:space="0" w:color="auto"/>
            <w:right w:val="none" w:sz="0" w:space="0" w:color="auto"/>
          </w:divBdr>
        </w:div>
      </w:divsChild>
    </w:div>
    <w:div w:id="670065250">
      <w:bodyDiv w:val="1"/>
      <w:marLeft w:val="0"/>
      <w:marRight w:val="0"/>
      <w:marTop w:val="0"/>
      <w:marBottom w:val="0"/>
      <w:divBdr>
        <w:top w:val="none" w:sz="0" w:space="0" w:color="auto"/>
        <w:left w:val="none" w:sz="0" w:space="0" w:color="auto"/>
        <w:bottom w:val="none" w:sz="0" w:space="0" w:color="auto"/>
        <w:right w:val="none" w:sz="0" w:space="0" w:color="auto"/>
      </w:divBdr>
      <w:divsChild>
        <w:div w:id="1582789347">
          <w:marLeft w:val="0"/>
          <w:marRight w:val="0"/>
          <w:marTop w:val="0"/>
          <w:marBottom w:val="0"/>
          <w:divBdr>
            <w:top w:val="none" w:sz="0" w:space="0" w:color="auto"/>
            <w:left w:val="none" w:sz="0" w:space="0" w:color="auto"/>
            <w:bottom w:val="none" w:sz="0" w:space="0" w:color="auto"/>
            <w:right w:val="none" w:sz="0" w:space="0" w:color="auto"/>
          </w:divBdr>
        </w:div>
      </w:divsChild>
    </w:div>
    <w:div w:id="772284282">
      <w:bodyDiv w:val="1"/>
      <w:marLeft w:val="0"/>
      <w:marRight w:val="0"/>
      <w:marTop w:val="0"/>
      <w:marBottom w:val="0"/>
      <w:divBdr>
        <w:top w:val="none" w:sz="0" w:space="0" w:color="auto"/>
        <w:left w:val="none" w:sz="0" w:space="0" w:color="auto"/>
        <w:bottom w:val="none" w:sz="0" w:space="0" w:color="auto"/>
        <w:right w:val="none" w:sz="0" w:space="0" w:color="auto"/>
      </w:divBdr>
    </w:div>
    <w:div w:id="1078283318">
      <w:bodyDiv w:val="1"/>
      <w:marLeft w:val="0"/>
      <w:marRight w:val="0"/>
      <w:marTop w:val="0"/>
      <w:marBottom w:val="0"/>
      <w:divBdr>
        <w:top w:val="none" w:sz="0" w:space="0" w:color="auto"/>
        <w:left w:val="none" w:sz="0" w:space="0" w:color="auto"/>
        <w:bottom w:val="none" w:sz="0" w:space="0" w:color="auto"/>
        <w:right w:val="none" w:sz="0" w:space="0" w:color="auto"/>
      </w:divBdr>
      <w:divsChild>
        <w:div w:id="1538469923">
          <w:marLeft w:val="0"/>
          <w:marRight w:val="0"/>
          <w:marTop w:val="0"/>
          <w:marBottom w:val="0"/>
          <w:divBdr>
            <w:top w:val="none" w:sz="0" w:space="0" w:color="auto"/>
            <w:left w:val="none" w:sz="0" w:space="0" w:color="auto"/>
            <w:bottom w:val="none" w:sz="0" w:space="0" w:color="auto"/>
            <w:right w:val="none" w:sz="0" w:space="0" w:color="auto"/>
          </w:divBdr>
        </w:div>
      </w:divsChild>
    </w:div>
    <w:div w:id="1147740178">
      <w:bodyDiv w:val="1"/>
      <w:marLeft w:val="0"/>
      <w:marRight w:val="0"/>
      <w:marTop w:val="0"/>
      <w:marBottom w:val="0"/>
      <w:divBdr>
        <w:top w:val="none" w:sz="0" w:space="0" w:color="auto"/>
        <w:left w:val="none" w:sz="0" w:space="0" w:color="auto"/>
        <w:bottom w:val="none" w:sz="0" w:space="0" w:color="auto"/>
        <w:right w:val="none" w:sz="0" w:space="0" w:color="auto"/>
      </w:divBdr>
      <w:divsChild>
        <w:div w:id="1569538888">
          <w:marLeft w:val="0"/>
          <w:marRight w:val="0"/>
          <w:marTop w:val="0"/>
          <w:marBottom w:val="0"/>
          <w:divBdr>
            <w:top w:val="none" w:sz="0" w:space="0" w:color="auto"/>
            <w:left w:val="none" w:sz="0" w:space="0" w:color="auto"/>
            <w:bottom w:val="none" w:sz="0" w:space="0" w:color="auto"/>
            <w:right w:val="none" w:sz="0" w:space="0" w:color="auto"/>
          </w:divBdr>
        </w:div>
      </w:divsChild>
    </w:div>
    <w:div w:id="1167017590">
      <w:bodyDiv w:val="1"/>
      <w:marLeft w:val="0"/>
      <w:marRight w:val="0"/>
      <w:marTop w:val="0"/>
      <w:marBottom w:val="0"/>
      <w:divBdr>
        <w:top w:val="none" w:sz="0" w:space="0" w:color="auto"/>
        <w:left w:val="none" w:sz="0" w:space="0" w:color="auto"/>
        <w:bottom w:val="none" w:sz="0" w:space="0" w:color="auto"/>
        <w:right w:val="none" w:sz="0" w:space="0" w:color="auto"/>
      </w:divBdr>
    </w:div>
    <w:div w:id="2024546633">
      <w:bodyDiv w:val="1"/>
      <w:marLeft w:val="0"/>
      <w:marRight w:val="0"/>
      <w:marTop w:val="0"/>
      <w:marBottom w:val="0"/>
      <w:divBdr>
        <w:top w:val="none" w:sz="0" w:space="0" w:color="auto"/>
        <w:left w:val="none" w:sz="0" w:space="0" w:color="auto"/>
        <w:bottom w:val="none" w:sz="0" w:space="0" w:color="auto"/>
        <w:right w:val="none" w:sz="0" w:space="0" w:color="auto"/>
      </w:divBdr>
      <w:divsChild>
        <w:div w:id="608582573">
          <w:marLeft w:val="0"/>
          <w:marRight w:val="0"/>
          <w:marTop w:val="0"/>
          <w:marBottom w:val="0"/>
          <w:divBdr>
            <w:top w:val="none" w:sz="0" w:space="0" w:color="auto"/>
            <w:left w:val="none" w:sz="0" w:space="0" w:color="auto"/>
            <w:bottom w:val="none" w:sz="0" w:space="0" w:color="auto"/>
            <w:right w:val="none" w:sz="0" w:space="0" w:color="auto"/>
          </w:divBdr>
        </w:div>
      </w:divsChild>
    </w:div>
    <w:div w:id="2087221536">
      <w:bodyDiv w:val="1"/>
      <w:marLeft w:val="0"/>
      <w:marRight w:val="0"/>
      <w:marTop w:val="0"/>
      <w:marBottom w:val="0"/>
      <w:divBdr>
        <w:top w:val="none" w:sz="0" w:space="0" w:color="auto"/>
        <w:left w:val="none" w:sz="0" w:space="0" w:color="auto"/>
        <w:bottom w:val="none" w:sz="0" w:space="0" w:color="auto"/>
        <w:right w:val="none" w:sz="0" w:space="0" w:color="auto"/>
      </w:divBdr>
      <w:divsChild>
        <w:div w:id="15089779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ntd.0001865" TargetMode="External"/><Relationship Id="rId18" Type="http://schemas.openxmlformats.org/officeDocument/2006/relationships/hyperlink" Target="https://doi.org/10.3389/fmicb.2023.1041051" TargetMode="External"/><Relationship Id="rId26" Type="http://schemas.openxmlformats.org/officeDocument/2006/relationships/hyperlink" Target="https://doi.org/10.1186/s12889-015-1811-5" TargetMode="External"/><Relationship Id="rId21" Type="http://schemas.openxmlformats.org/officeDocument/2006/relationships/hyperlink" Target="https://doi.org/10.56557/ajmab/2022/v7i17801"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who.int/publications/i/item/9789241547130" TargetMode="External"/><Relationship Id="rId17" Type="http://schemas.openxmlformats.org/officeDocument/2006/relationships/hyperlink" Target="https://doi.org/10.20506/rst.26.3.1765" TargetMode="External"/><Relationship Id="rId25" Type="http://schemas.openxmlformats.org/officeDocument/2006/relationships/hyperlink" Target="https://doi.org/10.1016/0962-8479(95)90591-X"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07/s44187-025-00506-3" TargetMode="External"/><Relationship Id="rId20" Type="http://schemas.openxmlformats.org/officeDocument/2006/relationships/hyperlink" Target="https://doi.org/10.1007/s11250-010-9748-2" TargetMode="External"/><Relationship Id="rId29" Type="http://schemas.openxmlformats.org/officeDocument/2006/relationships/hyperlink" Target="https://www.who.int/news-room/fact-sheets/detail/zoono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vetsci9080384" TargetMode="External"/><Relationship Id="rId24" Type="http://schemas.openxmlformats.org/officeDocument/2006/relationships/hyperlink" Target="https://doi.org/10.1371/journal.pntd.0010729"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86/s12889-017-5016-y" TargetMode="External"/><Relationship Id="rId23" Type="http://schemas.openxmlformats.org/officeDocument/2006/relationships/hyperlink" Target="https://doi.org/10.1016/j.prevetmed.2007.03.003" TargetMode="External"/><Relationship Id="rId28" Type="http://schemas.openxmlformats.org/officeDocument/2006/relationships/hyperlink" Target="https://doi.org/10.1016/j.prevetmed.2024.106314" TargetMode="External"/><Relationship Id="rId36" Type="http://schemas.openxmlformats.org/officeDocument/2006/relationships/fontTable" Target="fontTable.xml"/><Relationship Id="rId10" Type="http://schemas.openxmlformats.org/officeDocument/2006/relationships/hyperlink" Target="https://doi.org/10.1177/0253717620946111" TargetMode="External"/><Relationship Id="rId19" Type="http://schemas.openxmlformats.org/officeDocument/2006/relationships/hyperlink" Target="https://doi.org/10.1097/NT.0000000000000108"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016/j.ijid.2020.09.1195" TargetMode="External"/><Relationship Id="rId14" Type="http://schemas.openxmlformats.org/officeDocument/2006/relationships/hyperlink" Target="https://openknowledge.fao.org/handle/20.500.14283/i3396e" TargetMode="External"/><Relationship Id="rId22" Type="http://schemas.openxmlformats.org/officeDocument/2006/relationships/hyperlink" Target="https://doi.org/10.33003/sajols-2024-0201-024" TargetMode="External"/><Relationship Id="rId27" Type="http://schemas.openxmlformats.org/officeDocument/2006/relationships/hyperlink" Target="https://doi.org/10.9734/ejnfs/2026/v18i1194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doi.org/10.1186/s13570-023-00274-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0213-EC4F-4BFA-B976-C99101787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23</Pages>
  <Words>6080</Words>
  <Characters>34657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Editor-90</cp:lastModifiedBy>
  <cp:revision>18</cp:revision>
  <dcterms:created xsi:type="dcterms:W3CDTF">2026-07-15T14:34:00Z</dcterms:created>
  <dcterms:modified xsi:type="dcterms:W3CDTF">2026-07-20T04:21:00Z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d62c10b03aec4a0d9772ab6b757ed122</vt:lpwstr>
  </property>
  <property fmtid="{D5CDD505-2E9C-101B-9397-08002B2CF9AE}" pid="3" name="GrammarlyDocumentId">
    <vt:lpwstr>3e3274d0-edf1-4880-9c2c-42582bbe1170</vt:lpwstr>
  </property>
</Properties>
</file>