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BD994" w14:textId="77777777" w:rsidR="00CD0BFC" w:rsidRPr="001F616F" w:rsidRDefault="00CD0BFC" w:rsidP="00CD0BFC">
      <w:pPr>
        <w:spacing w:after="0" w:line="360" w:lineRule="auto"/>
        <w:jc w:val="center"/>
        <w:outlineLvl w:val="0"/>
        <w:rPr>
          <w:rFonts w:ascii="Times New Roman" w:eastAsia="Times New Roman" w:hAnsi="Times New Roman" w:cs="Times New Roman"/>
          <w:b/>
          <w:bCs/>
          <w:i/>
          <w:iCs/>
          <w:kern w:val="36"/>
          <w:sz w:val="24"/>
          <w:szCs w:val="24"/>
          <w:u w:val="single"/>
          <w:lang w:val="en-US" w:eastAsia="en-IN"/>
          <w14:ligatures w14:val="none"/>
        </w:rPr>
      </w:pPr>
      <w:r w:rsidRPr="001F616F">
        <w:rPr>
          <w:rFonts w:ascii="Times New Roman" w:eastAsia="Times New Roman" w:hAnsi="Times New Roman" w:cs="Times New Roman"/>
          <w:b/>
          <w:bCs/>
          <w:i/>
          <w:iCs/>
          <w:kern w:val="36"/>
          <w:sz w:val="24"/>
          <w:szCs w:val="24"/>
          <w:u w:val="single"/>
          <w:lang w:val="en-US" w:eastAsia="en-IN"/>
          <w14:ligatures w14:val="none"/>
        </w:rPr>
        <w:t>Case report</w:t>
      </w:r>
    </w:p>
    <w:p w14:paraId="51F6AD8D" w14:textId="77777777" w:rsidR="00CD0BFC" w:rsidRPr="001F616F" w:rsidRDefault="00CD0BFC" w:rsidP="00CD0BFC">
      <w:pPr>
        <w:spacing w:after="0" w:line="360" w:lineRule="auto"/>
        <w:jc w:val="center"/>
        <w:outlineLvl w:val="1"/>
        <w:rPr>
          <w:rFonts w:ascii="Times New Roman" w:eastAsia="Times New Roman" w:hAnsi="Times New Roman" w:cs="Times New Roman"/>
          <w:b/>
          <w:bCs/>
          <w:kern w:val="0"/>
          <w:sz w:val="24"/>
          <w:szCs w:val="24"/>
          <w:lang w:eastAsia="en-IN"/>
          <w14:ligatures w14:val="none"/>
        </w:rPr>
      </w:pPr>
      <w:r w:rsidRPr="001F616F">
        <w:rPr>
          <w:rFonts w:ascii="Times New Roman" w:hAnsi="Times New Roman" w:cs="Times New Roman"/>
          <w:b/>
          <w:bCs/>
          <w:sz w:val="24"/>
          <w:szCs w:val="24"/>
        </w:rPr>
        <w:t>Acute Cholecalciferol (Vitamin D₃) Toxicosis Following Accidental Ingestion of Cholecalciferol Capsules in a Kitten: A Case Report</w:t>
      </w:r>
    </w:p>
    <w:p w14:paraId="7F6CC932" w14:textId="77777777" w:rsidR="00CD0BFC" w:rsidRPr="001F616F" w:rsidRDefault="00CD0BFC" w:rsidP="00CD0BFC">
      <w:pPr>
        <w:spacing w:after="0" w:line="360" w:lineRule="auto"/>
        <w:jc w:val="both"/>
        <w:outlineLvl w:val="1"/>
        <w:rPr>
          <w:rFonts w:ascii="Times New Roman" w:eastAsia="Times New Roman" w:hAnsi="Times New Roman" w:cs="Times New Roman"/>
          <w:b/>
          <w:bCs/>
          <w:kern w:val="0"/>
          <w:sz w:val="24"/>
          <w:szCs w:val="24"/>
          <w:lang w:eastAsia="en-IN"/>
          <w14:ligatures w14:val="none"/>
        </w:rPr>
      </w:pPr>
      <w:r w:rsidRPr="001F616F">
        <w:rPr>
          <w:rFonts w:ascii="Times New Roman" w:eastAsia="Times New Roman" w:hAnsi="Times New Roman" w:cs="Times New Roman"/>
          <w:b/>
          <w:bCs/>
          <w:kern w:val="0"/>
          <w:sz w:val="24"/>
          <w:szCs w:val="24"/>
          <w:lang w:eastAsia="en-IN"/>
          <w14:ligatures w14:val="none"/>
        </w:rPr>
        <w:t>Abstract</w:t>
      </w:r>
    </w:p>
    <w:p w14:paraId="0B6F6E3D" w14:textId="77777777" w:rsidR="00CD0BFC" w:rsidRPr="001F616F" w:rsidRDefault="00CD0BFC" w:rsidP="00CD0BFC">
      <w:pPr>
        <w:spacing w:after="0" w:line="360" w:lineRule="auto"/>
        <w:jc w:val="both"/>
        <w:rPr>
          <w:rFonts w:ascii="Times New Roman" w:eastAsia="Times New Roman" w:hAnsi="Times New Roman" w:cs="Times New Roman"/>
          <w:kern w:val="0"/>
          <w:sz w:val="24"/>
          <w:szCs w:val="24"/>
          <w:lang w:eastAsia="en-IN"/>
          <w14:ligatures w14:val="none"/>
        </w:rPr>
      </w:pPr>
      <w:r w:rsidRPr="00072B47">
        <w:rPr>
          <w:rFonts w:ascii="Times New Roman" w:eastAsia="Times New Roman" w:hAnsi="Times New Roman" w:cs="Times New Roman"/>
          <w:kern w:val="0"/>
          <w:sz w:val="24"/>
          <w:szCs w:val="24"/>
          <w:lang w:eastAsia="en-IN"/>
          <w14:ligatures w14:val="none"/>
        </w:rPr>
        <w:t>Cholecalciferol (vitamin D₃) toxicosis is an uncommon but potentially life-threatening</w:t>
      </w:r>
      <w:r w:rsidRPr="001F616F">
        <w:rPr>
          <w:rFonts w:ascii="Times New Roman" w:eastAsia="Times New Roman" w:hAnsi="Times New Roman" w:cs="Times New Roman"/>
          <w:kern w:val="0"/>
          <w:sz w:val="24"/>
          <w:szCs w:val="24"/>
          <w:lang w:eastAsia="en-IN"/>
          <w14:ligatures w14:val="none"/>
        </w:rPr>
        <w:t xml:space="preserve"> intoxication in companion animals, characterised by persistent hypercalcaemia and </w:t>
      </w:r>
      <w:proofErr w:type="spellStart"/>
      <w:r w:rsidRPr="001F616F">
        <w:rPr>
          <w:rFonts w:ascii="Times New Roman" w:eastAsia="Times New Roman" w:hAnsi="Times New Roman" w:cs="Times New Roman"/>
          <w:kern w:val="0"/>
          <w:sz w:val="24"/>
          <w:szCs w:val="24"/>
          <w:lang w:eastAsia="en-IN"/>
          <w14:ligatures w14:val="none"/>
        </w:rPr>
        <w:t>hyperphosphataemia</w:t>
      </w:r>
      <w:proofErr w:type="spellEnd"/>
      <w:r w:rsidRPr="001F616F">
        <w:rPr>
          <w:rFonts w:ascii="Times New Roman" w:eastAsia="Times New Roman" w:hAnsi="Times New Roman" w:cs="Times New Roman"/>
          <w:kern w:val="0"/>
          <w:sz w:val="24"/>
          <w:szCs w:val="24"/>
          <w:lang w:eastAsia="en-IN"/>
          <w14:ligatures w14:val="none"/>
        </w:rPr>
        <w:t xml:space="preserve"> that may lead to metastatic soft tissue mineralisation, acute kidney injury, and cardiovascular complications. This report describes a two-month-old domestic long-haired kitten weighing approximately 1.0 kg that presented approximately 3 days after accidental ingestion of three cholecalciferol (vitamin D₃) capsules (60,000 IU each). The kitten exhibited repeated vomiting, anorexia, reduced water intake, lethargy, and constipation. Physical examination revealed mild dehydration, pale mucous membranes, and prolonged capillary refill time. Serum biochemical analysis demonstrated marked hypercalcaemia (17.1 mg/dL) and </w:t>
      </w:r>
      <w:proofErr w:type="spellStart"/>
      <w:r w:rsidRPr="001F616F">
        <w:rPr>
          <w:rFonts w:ascii="Times New Roman" w:eastAsia="Times New Roman" w:hAnsi="Times New Roman" w:cs="Times New Roman"/>
          <w:kern w:val="0"/>
          <w:sz w:val="24"/>
          <w:szCs w:val="24"/>
          <w:lang w:eastAsia="en-IN"/>
          <w14:ligatures w14:val="none"/>
        </w:rPr>
        <w:t>hyperphosphataemia</w:t>
      </w:r>
      <w:proofErr w:type="spellEnd"/>
      <w:r w:rsidRPr="001F616F">
        <w:rPr>
          <w:rFonts w:ascii="Times New Roman" w:eastAsia="Times New Roman" w:hAnsi="Times New Roman" w:cs="Times New Roman"/>
          <w:kern w:val="0"/>
          <w:sz w:val="24"/>
          <w:szCs w:val="24"/>
          <w:lang w:eastAsia="en-IN"/>
          <w14:ligatures w14:val="none"/>
        </w:rPr>
        <w:t xml:space="preserve"> (10.73 mg/dL). Together with the documented history of toxin exposure, these findings strongly supported a presumptive diagnosis of acute cholecalciferol toxicosis, although serum vitamin D metabolite concentrations were not measured. The kitten was managed with intravenous isotonic crystalloid fluid therapy, furosemide, prednisolone, antiemetic therapy, gastroprotective medication, and supportive care, resulting in progressive clinical improvement during hospitalisation. This case highlights the importance of obtaining a thorough exposure history, recognising the characteristic biochemical abnormalities, and initiating prompt treatment to reduce the risk of irreversible soft tissue mineralisation and other systemic complications. It also emphasises the need for serial biochemical monitoring to assess therapeutic response and detect delayed complications associated with vitamin D intoxication.</w:t>
      </w:r>
    </w:p>
    <w:p w14:paraId="4CE4E35D" w14:textId="6EC43278" w:rsidR="00CD0BFC" w:rsidRPr="001F616F" w:rsidRDefault="00CD0BFC" w:rsidP="00CD0BFC">
      <w:pPr>
        <w:spacing w:after="0" w:line="360" w:lineRule="auto"/>
        <w:rPr>
          <w:rFonts w:ascii="Times New Roman" w:eastAsia="Times New Roman" w:hAnsi="Times New Roman" w:cs="Times New Roman"/>
          <w:kern w:val="0"/>
          <w:sz w:val="24"/>
          <w:szCs w:val="24"/>
          <w:lang w:eastAsia="en-IN"/>
          <w14:ligatures w14:val="none"/>
        </w:rPr>
      </w:pPr>
      <w:r w:rsidRPr="001F616F">
        <w:rPr>
          <w:rFonts w:ascii="Times New Roman" w:eastAsia="Times New Roman" w:hAnsi="Times New Roman" w:cs="Times New Roman"/>
          <w:b/>
          <w:bCs/>
          <w:kern w:val="0"/>
          <w:sz w:val="24"/>
          <w:szCs w:val="24"/>
          <w:lang w:eastAsia="en-IN"/>
          <w14:ligatures w14:val="none"/>
        </w:rPr>
        <w:t>Keywords:</w:t>
      </w:r>
      <w:r w:rsidRPr="001F616F">
        <w:rPr>
          <w:rFonts w:ascii="Times New Roman" w:eastAsia="Times New Roman" w:hAnsi="Times New Roman" w:cs="Times New Roman"/>
          <w:kern w:val="0"/>
          <w:sz w:val="24"/>
          <w:szCs w:val="24"/>
          <w:lang w:eastAsia="en-IN"/>
          <w14:ligatures w14:val="none"/>
        </w:rPr>
        <w:t xml:space="preserve"> </w:t>
      </w:r>
      <w:r w:rsidR="00FE21D8">
        <w:t xml:space="preserve">Cholecalciferol; vitamin D₃ toxicosis; kitten; hypercalcaemia; </w:t>
      </w:r>
      <w:proofErr w:type="spellStart"/>
      <w:r w:rsidR="00FE21D8">
        <w:t>hyperphosphataemia</w:t>
      </w:r>
      <w:proofErr w:type="spellEnd"/>
      <w:r w:rsidR="00FE21D8">
        <w:t>; accidental ingestion; soft tissue mineralisation; feline toxicology; presumptive diagnosis; supportive therapy.</w:t>
      </w:r>
    </w:p>
    <w:p w14:paraId="03F35263" w14:textId="77777777" w:rsidR="00CD0BFC" w:rsidRPr="001F616F" w:rsidRDefault="00CD0BFC" w:rsidP="00CD0BFC">
      <w:pPr>
        <w:spacing w:after="0" w:line="360" w:lineRule="auto"/>
        <w:jc w:val="both"/>
        <w:outlineLvl w:val="1"/>
        <w:rPr>
          <w:rFonts w:ascii="Times New Roman" w:eastAsia="Times New Roman" w:hAnsi="Times New Roman" w:cs="Times New Roman"/>
          <w:b/>
          <w:bCs/>
          <w:kern w:val="0"/>
          <w:sz w:val="24"/>
          <w:szCs w:val="24"/>
          <w:lang w:eastAsia="en-IN"/>
          <w14:ligatures w14:val="none"/>
        </w:rPr>
      </w:pPr>
      <w:r w:rsidRPr="001F616F">
        <w:rPr>
          <w:rFonts w:ascii="Times New Roman" w:eastAsia="Times New Roman" w:hAnsi="Times New Roman" w:cs="Times New Roman"/>
          <w:b/>
          <w:bCs/>
          <w:kern w:val="0"/>
          <w:sz w:val="24"/>
          <w:szCs w:val="24"/>
          <w:lang w:eastAsia="en-IN"/>
          <w14:ligatures w14:val="none"/>
        </w:rPr>
        <w:t>Introduction</w:t>
      </w:r>
    </w:p>
    <w:p w14:paraId="28AC4D26" w14:textId="77777777" w:rsidR="00CD0BFC" w:rsidRPr="001F616F" w:rsidRDefault="00CD0BFC" w:rsidP="00CD0BFC">
      <w:pPr>
        <w:spacing w:after="0" w:line="360" w:lineRule="auto"/>
        <w:jc w:val="both"/>
        <w:rPr>
          <w:rFonts w:ascii="Times New Roman" w:eastAsia="Times New Roman" w:hAnsi="Times New Roman" w:cs="Times New Roman"/>
          <w:kern w:val="0"/>
          <w:sz w:val="24"/>
          <w:szCs w:val="24"/>
          <w:lang w:eastAsia="en-IN"/>
          <w14:ligatures w14:val="none"/>
        </w:rPr>
      </w:pPr>
      <w:r w:rsidRPr="001F616F">
        <w:rPr>
          <w:rFonts w:ascii="Times New Roman" w:hAnsi="Times New Roman" w:cs="Times New Roman"/>
          <w:sz w:val="24"/>
          <w:szCs w:val="24"/>
        </w:rPr>
        <w:t xml:space="preserve">Vitamin D is a fat-soluble </w:t>
      </w:r>
      <w:r w:rsidRPr="001F616F">
        <w:rPr>
          <w:rStyle w:val="Strong"/>
          <w:rFonts w:ascii="Times New Roman" w:hAnsi="Times New Roman" w:cs="Times New Roman"/>
          <w:b w:val="0"/>
          <w:bCs w:val="0"/>
          <w:sz w:val="24"/>
          <w:szCs w:val="24"/>
        </w:rPr>
        <w:t>prohormone</w:t>
      </w:r>
      <w:r w:rsidRPr="001F616F">
        <w:rPr>
          <w:rFonts w:ascii="Times New Roman" w:eastAsia="Times New Roman" w:hAnsi="Times New Roman" w:cs="Times New Roman"/>
          <w:kern w:val="0"/>
          <w:sz w:val="24"/>
          <w:szCs w:val="24"/>
          <w:lang w:eastAsia="en-IN"/>
          <w14:ligatures w14:val="none"/>
        </w:rPr>
        <w:t xml:space="preserve"> essential for maintaining calcium and phosphorus homeostasis, skeletal mineralisation, and normal neuromuscular function (Ettinger </w:t>
      </w:r>
      <w:r w:rsidRPr="001F616F">
        <w:rPr>
          <w:rFonts w:ascii="Times New Roman" w:eastAsia="Times New Roman" w:hAnsi="Times New Roman" w:cs="Times New Roman"/>
          <w:i/>
          <w:iCs/>
          <w:kern w:val="0"/>
          <w:sz w:val="24"/>
          <w:szCs w:val="24"/>
          <w:lang w:eastAsia="en-IN"/>
          <w14:ligatures w14:val="none"/>
        </w:rPr>
        <w:t>et al.,</w:t>
      </w:r>
      <w:r w:rsidRPr="001F616F">
        <w:rPr>
          <w:rFonts w:ascii="Times New Roman" w:eastAsia="Times New Roman" w:hAnsi="Times New Roman" w:cs="Times New Roman"/>
          <w:kern w:val="0"/>
          <w:sz w:val="24"/>
          <w:szCs w:val="24"/>
          <w:lang w:eastAsia="en-IN"/>
          <w14:ligatures w14:val="none"/>
        </w:rPr>
        <w:t xml:space="preserve"> 2024). Cholecalciferol (vitamin D₃), the major naturally occurring form of vitamin D used in nutritional supplements, pharmaceutical preparations, and rodenticides, is a precursor of the biologically active hormone rather than the active form itself. Following absorption, cholecalciferol undergoes sequential hydroxylation in the liver to form 25-hydroxyvitamin D (</w:t>
      </w:r>
      <w:proofErr w:type="spellStart"/>
      <w:r w:rsidRPr="001F616F">
        <w:rPr>
          <w:rFonts w:ascii="Times New Roman" w:eastAsia="Times New Roman" w:hAnsi="Times New Roman" w:cs="Times New Roman"/>
          <w:kern w:val="0"/>
          <w:sz w:val="24"/>
          <w:szCs w:val="24"/>
          <w:lang w:eastAsia="en-IN"/>
          <w14:ligatures w14:val="none"/>
        </w:rPr>
        <w:t>calcidiol</w:t>
      </w:r>
      <w:proofErr w:type="spellEnd"/>
      <w:r w:rsidRPr="001F616F">
        <w:rPr>
          <w:rFonts w:ascii="Times New Roman" w:eastAsia="Times New Roman" w:hAnsi="Times New Roman" w:cs="Times New Roman"/>
          <w:kern w:val="0"/>
          <w:sz w:val="24"/>
          <w:szCs w:val="24"/>
          <w:lang w:eastAsia="en-IN"/>
          <w14:ligatures w14:val="none"/>
        </w:rPr>
        <w:t xml:space="preserve">) and subsequently in the kidneys to form 1,25-dihydroxyvitamin D (calcitriol), the </w:t>
      </w:r>
      <w:r w:rsidRPr="001F616F">
        <w:rPr>
          <w:rFonts w:ascii="Times New Roman" w:eastAsia="Times New Roman" w:hAnsi="Times New Roman" w:cs="Times New Roman"/>
          <w:kern w:val="0"/>
          <w:sz w:val="24"/>
          <w:szCs w:val="24"/>
          <w:lang w:eastAsia="en-IN"/>
          <w14:ligatures w14:val="none"/>
        </w:rPr>
        <w:lastRenderedPageBreak/>
        <w:t>biologically active metabolite that regulates intestinal calcium absorption, bone remodelling, and renal calcium homeostasis (</w:t>
      </w:r>
      <w:proofErr w:type="spellStart"/>
      <w:r w:rsidRPr="001F616F">
        <w:rPr>
          <w:rFonts w:ascii="Times New Roman" w:eastAsia="Times New Roman" w:hAnsi="Times New Roman" w:cs="Times New Roman"/>
          <w:kern w:val="0"/>
          <w:sz w:val="24"/>
          <w:szCs w:val="24"/>
          <w:lang w:eastAsia="en-IN"/>
          <w14:ligatures w14:val="none"/>
        </w:rPr>
        <w:t>Rumbeiha</w:t>
      </w:r>
      <w:proofErr w:type="spellEnd"/>
      <w:r w:rsidRPr="001F616F">
        <w:rPr>
          <w:rFonts w:ascii="Times New Roman" w:eastAsia="Times New Roman" w:hAnsi="Times New Roman" w:cs="Times New Roman"/>
          <w:kern w:val="0"/>
          <w:sz w:val="24"/>
          <w:szCs w:val="24"/>
          <w:lang w:eastAsia="en-IN"/>
          <w14:ligatures w14:val="none"/>
        </w:rPr>
        <w:t>, 2013; Peterson &amp; Talcott, 2021; Plumb, 2024).</w:t>
      </w:r>
    </w:p>
    <w:p w14:paraId="75187295" w14:textId="77777777" w:rsidR="00CD0BFC" w:rsidRPr="001F616F" w:rsidRDefault="00CD0BFC" w:rsidP="00CD0BFC">
      <w:pPr>
        <w:spacing w:after="0" w:line="360" w:lineRule="auto"/>
        <w:jc w:val="both"/>
        <w:rPr>
          <w:rFonts w:ascii="Times New Roman" w:eastAsia="Times New Roman" w:hAnsi="Times New Roman" w:cs="Times New Roman"/>
          <w:kern w:val="0"/>
          <w:sz w:val="24"/>
          <w:szCs w:val="24"/>
          <w:lang w:eastAsia="en-IN"/>
          <w14:ligatures w14:val="none"/>
        </w:rPr>
      </w:pPr>
      <w:r w:rsidRPr="001F616F">
        <w:rPr>
          <w:rFonts w:ascii="Times New Roman" w:eastAsia="Times New Roman" w:hAnsi="Times New Roman" w:cs="Times New Roman"/>
          <w:kern w:val="0"/>
          <w:sz w:val="24"/>
          <w:szCs w:val="24"/>
          <w:lang w:eastAsia="en-IN"/>
          <w14:ligatures w14:val="none"/>
        </w:rPr>
        <w:t xml:space="preserve">Excessive ingestion of cholecalciferol disrupts normal calcium homeostasis, leading to sustained hypercalcaemia and </w:t>
      </w:r>
      <w:proofErr w:type="spellStart"/>
      <w:r w:rsidRPr="001F616F">
        <w:rPr>
          <w:rFonts w:ascii="Times New Roman" w:eastAsia="Times New Roman" w:hAnsi="Times New Roman" w:cs="Times New Roman"/>
          <w:kern w:val="0"/>
          <w:sz w:val="24"/>
          <w:szCs w:val="24"/>
          <w:lang w:eastAsia="en-IN"/>
          <w14:ligatures w14:val="none"/>
        </w:rPr>
        <w:t>hyperphosphataemia</w:t>
      </w:r>
      <w:proofErr w:type="spellEnd"/>
      <w:r w:rsidRPr="001F616F">
        <w:rPr>
          <w:rFonts w:ascii="Times New Roman" w:eastAsia="Times New Roman" w:hAnsi="Times New Roman" w:cs="Times New Roman"/>
          <w:kern w:val="0"/>
          <w:sz w:val="24"/>
          <w:szCs w:val="24"/>
          <w:lang w:eastAsia="en-IN"/>
          <w14:ligatures w14:val="none"/>
        </w:rPr>
        <w:t xml:space="preserve"> (</w:t>
      </w:r>
      <w:proofErr w:type="spellStart"/>
      <w:r w:rsidRPr="001F616F">
        <w:rPr>
          <w:rFonts w:ascii="Times New Roman" w:eastAsia="Times New Roman" w:hAnsi="Times New Roman" w:cs="Times New Roman"/>
          <w:kern w:val="0"/>
          <w:sz w:val="24"/>
          <w:szCs w:val="24"/>
          <w:lang w:eastAsia="en-IN"/>
          <w14:ligatures w14:val="none"/>
        </w:rPr>
        <w:t>Klainbart</w:t>
      </w:r>
      <w:proofErr w:type="spellEnd"/>
      <w:r w:rsidRPr="001F616F">
        <w:rPr>
          <w:rFonts w:ascii="Times New Roman" w:eastAsia="Times New Roman" w:hAnsi="Times New Roman" w:cs="Times New Roman"/>
          <w:kern w:val="0"/>
          <w:sz w:val="24"/>
          <w:szCs w:val="24"/>
          <w:lang w:eastAsia="en-IN"/>
          <w14:ligatures w14:val="none"/>
        </w:rPr>
        <w:t xml:space="preserve"> &amp; </w:t>
      </w:r>
      <w:proofErr w:type="spellStart"/>
      <w:r w:rsidRPr="001F616F">
        <w:rPr>
          <w:rFonts w:ascii="Times New Roman" w:eastAsia="Times New Roman" w:hAnsi="Times New Roman" w:cs="Times New Roman"/>
          <w:kern w:val="0"/>
          <w:sz w:val="24"/>
          <w:szCs w:val="24"/>
          <w:lang w:eastAsia="en-IN"/>
          <w14:ligatures w14:val="none"/>
        </w:rPr>
        <w:t>Aroch</w:t>
      </w:r>
      <w:proofErr w:type="spellEnd"/>
      <w:r w:rsidRPr="001F616F">
        <w:rPr>
          <w:rFonts w:ascii="Times New Roman" w:eastAsia="Times New Roman" w:hAnsi="Times New Roman" w:cs="Times New Roman"/>
          <w:kern w:val="0"/>
          <w:sz w:val="24"/>
          <w:szCs w:val="24"/>
          <w:lang w:eastAsia="en-IN"/>
          <w14:ligatures w14:val="none"/>
        </w:rPr>
        <w:t xml:space="preserve">, 2024). As the calcium-phosphorus product increases, mineralisation occurs in soft tissues, particularly the kidneys, myocardium, lungs, and blood vessels, predisposing affected animals to acute kidney injury, cardiac dysfunction, and multi-organ complications (Peterson &amp; Talcott, 2021; Ettinger </w:t>
      </w:r>
      <w:r w:rsidRPr="001F616F">
        <w:rPr>
          <w:rFonts w:ascii="Times New Roman" w:eastAsia="Times New Roman" w:hAnsi="Times New Roman" w:cs="Times New Roman"/>
          <w:i/>
          <w:iCs/>
          <w:kern w:val="0"/>
          <w:sz w:val="24"/>
          <w:szCs w:val="24"/>
          <w:lang w:eastAsia="en-IN"/>
          <w14:ligatures w14:val="none"/>
        </w:rPr>
        <w:t>et al.,</w:t>
      </w:r>
      <w:r w:rsidRPr="001F616F">
        <w:rPr>
          <w:rFonts w:ascii="Times New Roman" w:eastAsia="Times New Roman" w:hAnsi="Times New Roman" w:cs="Times New Roman"/>
          <w:kern w:val="0"/>
          <w:sz w:val="24"/>
          <w:szCs w:val="24"/>
          <w:lang w:eastAsia="en-IN"/>
          <w14:ligatures w14:val="none"/>
        </w:rPr>
        <w:t xml:space="preserve"> 2024). Clinical signs generally develop within 12–72 hours after exposure and commonly include vomiting, anorexia, lethargy, dehydration, constipation, polyuria, and polydipsia (Peterson &amp; Talcott, 2021).</w:t>
      </w:r>
    </w:p>
    <w:p w14:paraId="26B2A65F" w14:textId="1D63AD13" w:rsidR="00CD0BFC" w:rsidRPr="001F616F" w:rsidRDefault="00CD0BFC" w:rsidP="00CD0BFC">
      <w:pPr>
        <w:spacing w:after="0" w:line="360" w:lineRule="auto"/>
        <w:jc w:val="both"/>
        <w:rPr>
          <w:rFonts w:ascii="Times New Roman" w:eastAsia="Times New Roman" w:hAnsi="Times New Roman" w:cs="Times New Roman"/>
          <w:kern w:val="0"/>
          <w:sz w:val="24"/>
          <w:szCs w:val="24"/>
          <w:lang w:eastAsia="en-IN"/>
          <w14:ligatures w14:val="none"/>
        </w:rPr>
      </w:pPr>
      <w:r w:rsidRPr="001F616F">
        <w:rPr>
          <w:rFonts w:ascii="Times New Roman" w:eastAsia="Times New Roman" w:hAnsi="Times New Roman" w:cs="Times New Roman"/>
          <w:kern w:val="0"/>
          <w:sz w:val="24"/>
          <w:szCs w:val="24"/>
          <w:lang w:eastAsia="en-IN"/>
          <w14:ligatures w14:val="none"/>
        </w:rPr>
        <w:t xml:space="preserve">Accidental ingestion of cholecalciferol-containing rodenticides, human vitamin supplements, topical vitamin D analogues, and contaminated commercial pet foods are the principal causes of vitamin D intoxication in companion animals (Wehner </w:t>
      </w:r>
      <w:r w:rsidRPr="001F616F">
        <w:rPr>
          <w:rFonts w:ascii="Times New Roman" w:eastAsia="Times New Roman" w:hAnsi="Times New Roman" w:cs="Times New Roman"/>
          <w:i/>
          <w:iCs/>
          <w:kern w:val="0"/>
          <w:sz w:val="24"/>
          <w:szCs w:val="24"/>
          <w:lang w:eastAsia="en-IN"/>
          <w14:ligatures w14:val="none"/>
        </w:rPr>
        <w:t>et al.,</w:t>
      </w:r>
      <w:r w:rsidRPr="001F616F">
        <w:rPr>
          <w:rFonts w:ascii="Times New Roman" w:eastAsia="Times New Roman" w:hAnsi="Times New Roman" w:cs="Times New Roman"/>
          <w:kern w:val="0"/>
          <w:sz w:val="24"/>
          <w:szCs w:val="24"/>
          <w:lang w:eastAsia="en-IN"/>
          <w14:ligatures w14:val="none"/>
        </w:rPr>
        <w:t xml:space="preserve"> 2013; </w:t>
      </w:r>
      <w:proofErr w:type="spellStart"/>
      <w:r w:rsidRPr="001F616F">
        <w:rPr>
          <w:rFonts w:ascii="Times New Roman" w:eastAsia="Times New Roman" w:hAnsi="Times New Roman" w:cs="Times New Roman"/>
          <w:kern w:val="0"/>
          <w:sz w:val="24"/>
          <w:szCs w:val="24"/>
          <w:lang w:eastAsia="en-IN"/>
          <w14:ligatures w14:val="none"/>
        </w:rPr>
        <w:t>Vecchiato</w:t>
      </w:r>
      <w:proofErr w:type="spellEnd"/>
      <w:r w:rsidRPr="001F616F">
        <w:rPr>
          <w:rFonts w:ascii="Times New Roman" w:eastAsia="Times New Roman" w:hAnsi="Times New Roman" w:cs="Times New Roman"/>
          <w:kern w:val="0"/>
          <w:sz w:val="24"/>
          <w:szCs w:val="24"/>
          <w:lang w:eastAsia="en-IN"/>
          <w14:ligatures w14:val="none"/>
        </w:rPr>
        <w:t xml:space="preserve"> </w:t>
      </w:r>
      <w:r w:rsidRPr="001F616F">
        <w:rPr>
          <w:rFonts w:ascii="Times New Roman" w:eastAsia="Times New Roman" w:hAnsi="Times New Roman" w:cs="Times New Roman"/>
          <w:i/>
          <w:iCs/>
          <w:kern w:val="0"/>
          <w:sz w:val="24"/>
          <w:szCs w:val="24"/>
          <w:lang w:eastAsia="en-IN"/>
          <w14:ligatures w14:val="none"/>
        </w:rPr>
        <w:t>et al.,</w:t>
      </w:r>
      <w:r w:rsidRPr="001F616F">
        <w:rPr>
          <w:rFonts w:ascii="Times New Roman" w:eastAsia="Times New Roman" w:hAnsi="Times New Roman" w:cs="Times New Roman"/>
          <w:kern w:val="0"/>
          <w:sz w:val="24"/>
          <w:szCs w:val="24"/>
          <w:lang w:eastAsia="en-IN"/>
          <w14:ligatures w14:val="none"/>
        </w:rPr>
        <w:t xml:space="preserve"> 2021; Mellanby et al., 2005). Although the condition is well documented in dogs, naturally occurring cases in cats remain relatively uncommon, particularly those involving accidental ingestion of pharmaceutical vitamin D preparations. In the absence of serum vitamin D metabolite measurements, the diagnosis is generally based on a compatible history of exposure together with characteristic clinical and biochemical abnormalities. Therefore, the diagnosis is considered presumptive rather than definitive (Peterson &amp; Talcott, 2021). Early recognition based on a reliable exposure history and characteristic biochemical abnormalities is critical for successful management and favourable prognosis (Peterson &amp; Talcott, 2021). </w:t>
      </w:r>
      <w:r w:rsidRPr="001F616F">
        <w:rPr>
          <w:bCs/>
        </w:rPr>
        <w:t>Recent veterinary studies indicate that vitamin D metabolite concentrations may remain abnormal after clinical hypercalcaemia has resolved and that developmental age can complicate the interpretation of 25-hydroxyvitamin D concentrations in immature cats (Voss &amp; Chow, 2023; Backus &amp; Ueda, 2024; Ippolito et al., 2024).</w:t>
      </w:r>
      <w:r w:rsidRPr="001F616F">
        <w:rPr>
          <w:rFonts w:ascii="Times New Roman" w:eastAsia="Times New Roman" w:hAnsi="Times New Roman" w:cs="Times New Roman"/>
          <w:bCs/>
          <w:kern w:val="0"/>
          <w:sz w:val="24"/>
          <w:szCs w:val="24"/>
          <w:lang w:eastAsia="en-IN"/>
          <w14:ligatures w14:val="none"/>
        </w:rPr>
        <w:t xml:space="preserve"> </w:t>
      </w:r>
      <w:r w:rsidRPr="001F616F">
        <w:rPr>
          <w:bCs/>
        </w:rPr>
        <w:t>However, published clinical information remains limited on accidental ingestion of high-dose pharmaceutical cholecalciferol preparations in very young cats, especially when the diagnosis is based on exposure history and routine biochemical findings rather than measurement of vitamin D metabolites.</w:t>
      </w:r>
      <w:r w:rsidRPr="001F616F">
        <w:rPr>
          <w:rFonts w:ascii="Times New Roman" w:eastAsia="Times New Roman" w:hAnsi="Times New Roman" w:cs="Times New Roman"/>
          <w:kern w:val="0"/>
          <w:sz w:val="24"/>
          <w:szCs w:val="24"/>
          <w:lang w:eastAsia="en-IN"/>
          <w14:ligatures w14:val="none"/>
        </w:rPr>
        <w:t xml:space="preserve"> The present report describes the clinical presentation, presumptive diagnosis, and successful medical management of acute cholecalciferol toxicosis following accidental ingestion of vitamin D₃ capsules in a young kitten.</w:t>
      </w:r>
    </w:p>
    <w:p w14:paraId="2EA54183" w14:textId="77777777" w:rsidR="00CD0BFC" w:rsidRPr="001F616F" w:rsidRDefault="00CD0BFC" w:rsidP="00CD0BFC">
      <w:pPr>
        <w:spacing w:after="0" w:line="360" w:lineRule="auto"/>
        <w:jc w:val="both"/>
        <w:outlineLvl w:val="1"/>
        <w:rPr>
          <w:rFonts w:ascii="Times New Roman" w:eastAsia="Times New Roman" w:hAnsi="Times New Roman" w:cs="Times New Roman"/>
          <w:b/>
          <w:bCs/>
          <w:kern w:val="0"/>
          <w:sz w:val="24"/>
          <w:szCs w:val="24"/>
          <w:lang w:eastAsia="en-IN"/>
          <w14:ligatures w14:val="none"/>
        </w:rPr>
      </w:pPr>
      <w:r w:rsidRPr="001F616F">
        <w:rPr>
          <w:rFonts w:ascii="Times New Roman" w:eastAsia="Times New Roman" w:hAnsi="Times New Roman" w:cs="Times New Roman"/>
          <w:b/>
          <w:bCs/>
          <w:kern w:val="0"/>
          <w:sz w:val="24"/>
          <w:szCs w:val="24"/>
          <w:lang w:eastAsia="en-IN"/>
          <w14:ligatures w14:val="none"/>
        </w:rPr>
        <w:t xml:space="preserve">Case History and Clinical Findings </w:t>
      </w:r>
    </w:p>
    <w:p w14:paraId="14CEFE82" w14:textId="77777777" w:rsidR="00CD0BFC" w:rsidRPr="001F616F" w:rsidRDefault="00CD0BFC" w:rsidP="00CD0BFC">
      <w:pPr>
        <w:spacing w:after="0" w:line="360" w:lineRule="auto"/>
        <w:jc w:val="both"/>
        <w:rPr>
          <w:rFonts w:ascii="Times New Roman" w:eastAsia="Times New Roman" w:hAnsi="Times New Roman" w:cs="Times New Roman"/>
          <w:kern w:val="0"/>
          <w:sz w:val="24"/>
          <w:szCs w:val="24"/>
          <w:lang w:eastAsia="en-IN"/>
          <w14:ligatures w14:val="none"/>
        </w:rPr>
      </w:pPr>
      <w:r w:rsidRPr="001F616F">
        <w:rPr>
          <w:rFonts w:ascii="Times New Roman" w:eastAsia="Times New Roman" w:hAnsi="Times New Roman" w:cs="Times New Roman"/>
          <w:kern w:val="0"/>
          <w:sz w:val="24"/>
          <w:szCs w:val="24"/>
          <w:lang w:eastAsia="en-IN"/>
          <w14:ligatures w14:val="none"/>
        </w:rPr>
        <w:t xml:space="preserve">A two-month-old domestic long-haired kitten weighing approximately 1.0 kg was presented to the Veterinary Clinical Complex, College of Veterinary Science, </w:t>
      </w:r>
      <w:proofErr w:type="spellStart"/>
      <w:r w:rsidRPr="001F616F">
        <w:rPr>
          <w:rFonts w:ascii="Times New Roman" w:eastAsia="Times New Roman" w:hAnsi="Times New Roman" w:cs="Times New Roman"/>
          <w:kern w:val="0"/>
          <w:sz w:val="24"/>
          <w:szCs w:val="24"/>
          <w:lang w:eastAsia="en-IN"/>
          <w14:ligatures w14:val="none"/>
        </w:rPr>
        <w:t>Rajendranagar</w:t>
      </w:r>
      <w:proofErr w:type="spellEnd"/>
      <w:r w:rsidRPr="001F616F">
        <w:rPr>
          <w:rFonts w:ascii="Times New Roman" w:eastAsia="Times New Roman" w:hAnsi="Times New Roman" w:cs="Times New Roman"/>
          <w:kern w:val="0"/>
          <w:sz w:val="24"/>
          <w:szCs w:val="24"/>
          <w:lang w:eastAsia="en-IN"/>
          <w14:ligatures w14:val="none"/>
        </w:rPr>
        <w:t xml:space="preserve">, Hyderabad, with a history of accidental ingestion of three cholecalciferol (vitamin D₃) capsules (60,000 IU </w:t>
      </w:r>
      <w:r w:rsidRPr="001F616F">
        <w:rPr>
          <w:rFonts w:ascii="Times New Roman" w:eastAsia="Times New Roman" w:hAnsi="Times New Roman" w:cs="Times New Roman"/>
          <w:kern w:val="0"/>
          <w:sz w:val="24"/>
          <w:szCs w:val="24"/>
          <w:lang w:eastAsia="en-IN"/>
          <w14:ligatures w14:val="none"/>
        </w:rPr>
        <w:lastRenderedPageBreak/>
        <w:t xml:space="preserve">each) approximately three days before presentation. According to the owner, the kitten accidentally consumed the capsules while unattended. Based on a body weight of 1.0 kg, the estimated exposure was 180,000 IU (approximately 4.5 mg/kg) of cholecalciferol, which exceeds the reported toxic dose associated with severe hypercalcaemia and soft tissue mineralisation in companion animals (Peterson &amp; Talcott, 2021; </w:t>
      </w:r>
      <w:proofErr w:type="spellStart"/>
      <w:r w:rsidRPr="001F616F">
        <w:rPr>
          <w:rFonts w:ascii="Times New Roman" w:eastAsia="Times New Roman" w:hAnsi="Times New Roman" w:cs="Times New Roman"/>
          <w:kern w:val="0"/>
          <w:sz w:val="24"/>
          <w:szCs w:val="24"/>
          <w:lang w:eastAsia="en-IN"/>
          <w14:ligatures w14:val="none"/>
        </w:rPr>
        <w:t>Chasnick</w:t>
      </w:r>
      <w:proofErr w:type="spellEnd"/>
      <w:r w:rsidRPr="001F616F">
        <w:rPr>
          <w:rFonts w:ascii="Times New Roman" w:eastAsia="Times New Roman" w:hAnsi="Times New Roman" w:cs="Times New Roman"/>
          <w:kern w:val="0"/>
          <w:sz w:val="24"/>
          <w:szCs w:val="24"/>
          <w:lang w:eastAsia="en-IN"/>
          <w14:ligatures w14:val="none"/>
        </w:rPr>
        <w:t xml:space="preserve"> &amp; Levy, 2026).</w:t>
      </w:r>
    </w:p>
    <w:p w14:paraId="64067261" w14:textId="77777777" w:rsidR="00CD0BFC" w:rsidRPr="001F616F" w:rsidRDefault="00CD0BFC" w:rsidP="00CD0BFC">
      <w:pPr>
        <w:spacing w:after="0" w:line="360" w:lineRule="auto"/>
        <w:jc w:val="both"/>
        <w:rPr>
          <w:rFonts w:ascii="Times New Roman" w:eastAsia="Times New Roman" w:hAnsi="Times New Roman" w:cs="Times New Roman"/>
          <w:kern w:val="0"/>
          <w:sz w:val="24"/>
          <w:szCs w:val="24"/>
          <w:lang w:eastAsia="en-IN"/>
          <w14:ligatures w14:val="none"/>
        </w:rPr>
      </w:pPr>
      <w:r w:rsidRPr="001F616F">
        <w:rPr>
          <w:rFonts w:ascii="Times New Roman" w:eastAsia="Times New Roman" w:hAnsi="Times New Roman" w:cs="Times New Roman"/>
          <w:kern w:val="0"/>
          <w:sz w:val="24"/>
          <w:szCs w:val="24"/>
          <w:lang w:eastAsia="en-IN"/>
          <w14:ligatures w14:val="none"/>
        </w:rPr>
        <w:t>During the three days following ingestion, the kitten developed repeated episodes of vomiting, followed by anorexia, reduced water intake, lethargy, and absence of defecation for two days (Figures 1 and 2). No previous history of systemic illness, medication, or exposure to other known toxic substances was reported.</w:t>
      </w:r>
    </w:p>
    <w:p w14:paraId="665ED312" w14:textId="77777777" w:rsidR="00CD0BFC" w:rsidRPr="001F616F" w:rsidRDefault="00CD0BFC" w:rsidP="00CD0BFC">
      <w:pPr>
        <w:spacing w:after="0" w:line="360" w:lineRule="auto"/>
        <w:jc w:val="both"/>
        <w:rPr>
          <w:rFonts w:ascii="Times New Roman" w:eastAsia="Times New Roman" w:hAnsi="Times New Roman" w:cs="Times New Roman"/>
          <w:kern w:val="0"/>
          <w:sz w:val="24"/>
          <w:szCs w:val="24"/>
          <w:lang w:eastAsia="en-IN"/>
          <w14:ligatures w14:val="none"/>
        </w:rPr>
      </w:pPr>
      <w:r w:rsidRPr="001F616F">
        <w:rPr>
          <w:rFonts w:ascii="Times New Roman" w:eastAsia="Times New Roman" w:hAnsi="Times New Roman" w:cs="Times New Roman"/>
          <w:kern w:val="0"/>
          <w:sz w:val="24"/>
          <w:szCs w:val="24"/>
          <w:lang w:eastAsia="en-IN"/>
          <w14:ligatures w14:val="none"/>
        </w:rPr>
        <w:t>On physical examination, the kitten was depressed but responsive. Rectal temperature was 102.4°F at presentation and 101.1°F on the following day. Mild dehydration, pale mucous membranes, and a capillary refill time of 2–4 seconds were observed. Cardiovascular, respiratory, and neurological examinations were unremarkable.</w:t>
      </w:r>
    </w:p>
    <w:p w14:paraId="5ED43F97" w14:textId="77777777" w:rsidR="00CD0BFC" w:rsidRPr="001F616F" w:rsidRDefault="00CD0BFC" w:rsidP="00CD0BFC">
      <w:pPr>
        <w:spacing w:after="0" w:line="360" w:lineRule="auto"/>
        <w:jc w:val="both"/>
        <w:rPr>
          <w:rFonts w:ascii="Times New Roman" w:eastAsia="Times New Roman" w:hAnsi="Times New Roman" w:cs="Times New Roman"/>
          <w:kern w:val="0"/>
          <w:sz w:val="24"/>
          <w:szCs w:val="24"/>
          <w:lang w:eastAsia="en-IN"/>
          <w14:ligatures w14:val="none"/>
        </w:rPr>
      </w:pPr>
      <w:r w:rsidRPr="001F616F">
        <w:rPr>
          <w:rFonts w:ascii="Times New Roman" w:eastAsia="Times New Roman" w:hAnsi="Times New Roman" w:cs="Times New Roman"/>
          <w:kern w:val="0"/>
          <w:sz w:val="24"/>
          <w:szCs w:val="24"/>
          <w:lang w:eastAsia="en-IN"/>
          <w14:ligatures w14:val="none"/>
        </w:rPr>
        <w:t xml:space="preserve">Based on the exposure history and compatible clinical findings, acute cholecalciferol (vitamin D₃) toxicosis was considered the primary presumptive diagnosis. Differential diagnoses included acute kidney injury, ethylene glycol intoxication, pancreatitis, and severe gastroenteritis. However, these conditions were not definitively excluded because a complete blood count, serum renal biochemical profile, urinalysis, diagnostic imaging, and specific toxicological investigations were not performed. Serum biochemical analysis demonstrated marked hypercalcaemia (17.1 mg/dL; reference interval: 10.4–13.0 mg/dL) and </w:t>
      </w:r>
      <w:proofErr w:type="spellStart"/>
      <w:r w:rsidRPr="001F616F">
        <w:rPr>
          <w:rFonts w:ascii="Times New Roman" w:eastAsia="Times New Roman" w:hAnsi="Times New Roman" w:cs="Times New Roman"/>
          <w:kern w:val="0"/>
          <w:sz w:val="24"/>
          <w:szCs w:val="24"/>
          <w:lang w:eastAsia="en-IN"/>
          <w14:ligatures w14:val="none"/>
        </w:rPr>
        <w:t>hyperphosphataemia</w:t>
      </w:r>
      <w:proofErr w:type="spellEnd"/>
      <w:r w:rsidRPr="001F616F">
        <w:rPr>
          <w:rFonts w:ascii="Times New Roman" w:eastAsia="Times New Roman" w:hAnsi="Times New Roman" w:cs="Times New Roman"/>
          <w:kern w:val="0"/>
          <w:sz w:val="24"/>
          <w:szCs w:val="24"/>
          <w:lang w:eastAsia="en-IN"/>
          <w14:ligatures w14:val="none"/>
        </w:rPr>
        <w:t xml:space="preserve"> (10.73 mg/dL; reference interval: 5.0–7.3 mg/dL). These reference intervals were those used by the institutional clinical biochemistry laboratory for feline serum analysis (Figure 3). The combination of marked hypercalcaemia, </w:t>
      </w:r>
      <w:proofErr w:type="spellStart"/>
      <w:r w:rsidRPr="001F616F">
        <w:rPr>
          <w:rFonts w:ascii="Times New Roman" w:eastAsia="Times New Roman" w:hAnsi="Times New Roman" w:cs="Times New Roman"/>
          <w:kern w:val="0"/>
          <w:sz w:val="24"/>
          <w:szCs w:val="24"/>
          <w:lang w:eastAsia="en-IN"/>
          <w14:ligatures w14:val="none"/>
        </w:rPr>
        <w:t>hyperphosphataemia</w:t>
      </w:r>
      <w:proofErr w:type="spellEnd"/>
      <w:r w:rsidRPr="001F616F">
        <w:rPr>
          <w:rFonts w:ascii="Times New Roman" w:eastAsia="Times New Roman" w:hAnsi="Times New Roman" w:cs="Times New Roman"/>
          <w:kern w:val="0"/>
          <w:sz w:val="24"/>
          <w:szCs w:val="24"/>
          <w:lang w:eastAsia="en-IN"/>
          <w14:ligatures w14:val="none"/>
        </w:rPr>
        <w:t>, and a documented history of cholecalciferol ingestion strongly supported a presumptive diagnosis of acute cholecalciferol toxicosis. As serum 25-hydroxyvitamin D concentrations were not measured, definitive confirmation of vitamin D intoxication was not possible. Immediate treatment was therefore initiated to reduce the risk of progressive soft tissue mineralisation and renal injury.</w:t>
      </w:r>
    </w:p>
    <w:p w14:paraId="0F986CD5" w14:textId="77777777" w:rsidR="00CD0BFC" w:rsidRPr="001F616F" w:rsidRDefault="00CD0BFC" w:rsidP="00CD0BFC">
      <w:pPr>
        <w:spacing w:after="0" w:line="360" w:lineRule="auto"/>
        <w:jc w:val="both"/>
        <w:rPr>
          <w:rFonts w:ascii="Times New Roman" w:eastAsia="Times New Roman" w:hAnsi="Times New Roman" w:cs="Times New Roman"/>
          <w:kern w:val="0"/>
          <w:sz w:val="24"/>
          <w:szCs w:val="24"/>
          <w:lang w:eastAsia="en-IN"/>
          <w14:ligatures w14:val="none"/>
        </w:rPr>
      </w:pPr>
      <w:r w:rsidRPr="001F616F">
        <w:rPr>
          <w:rFonts w:ascii="Times New Roman" w:hAnsi="Times New Roman" w:cs="Times New Roman"/>
          <w:noProof/>
          <w:sz w:val="24"/>
          <w:szCs w:val="24"/>
          <w:lang w:val="en-US"/>
        </w:rPr>
        <w:lastRenderedPageBreak/>
        <w:drawing>
          <wp:inline distT="0" distB="0" distL="0" distR="0" wp14:anchorId="11EC56C8" wp14:editId="32CA028F">
            <wp:extent cx="2670464" cy="2462514"/>
            <wp:effectExtent l="38100" t="38100" r="34925" b="33655"/>
            <wp:docPr id="824078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9233" r="18219"/>
                    <a:stretch>
                      <a:fillRect/>
                    </a:stretch>
                  </pic:blipFill>
                  <pic:spPr bwMode="auto">
                    <a:xfrm>
                      <a:off x="0" y="0"/>
                      <a:ext cx="2677133" cy="2468664"/>
                    </a:xfrm>
                    <a:prstGeom prst="rect">
                      <a:avLst/>
                    </a:prstGeom>
                    <a:noFill/>
                    <a:ln w="28575">
                      <a:solidFill>
                        <a:schemeClr val="tx1"/>
                      </a:solidFill>
                    </a:ln>
                    <a:extLst>
                      <a:ext uri="{53640926-AAD7-44D8-BBD7-CCE9431645EC}">
                        <a14:shadowObscured xmlns:a14="http://schemas.microsoft.com/office/drawing/2010/main"/>
                      </a:ext>
                    </a:extLst>
                  </pic:spPr>
                </pic:pic>
              </a:graphicData>
            </a:graphic>
          </wp:inline>
        </w:drawing>
      </w:r>
      <w:r w:rsidRPr="001F616F">
        <w:rPr>
          <w:rFonts w:ascii="Times New Roman" w:eastAsia="Times New Roman" w:hAnsi="Times New Roman" w:cs="Times New Roman"/>
          <w:kern w:val="0"/>
          <w:sz w:val="24"/>
          <w:szCs w:val="24"/>
          <w:lang w:eastAsia="en-IN"/>
          <w14:ligatures w14:val="none"/>
        </w:rPr>
        <w:t xml:space="preserve">     </w:t>
      </w:r>
      <w:r w:rsidRPr="001F616F">
        <w:rPr>
          <w:rFonts w:ascii="Times New Roman" w:hAnsi="Times New Roman" w:cs="Times New Roman"/>
          <w:noProof/>
          <w:sz w:val="24"/>
          <w:szCs w:val="24"/>
          <w:lang w:val="en-US"/>
        </w:rPr>
        <w:drawing>
          <wp:inline distT="0" distB="0" distL="0" distR="0" wp14:anchorId="0AD101DE" wp14:editId="0F4153EE">
            <wp:extent cx="2658079" cy="2421255"/>
            <wp:effectExtent l="38100" t="38100" r="47625" b="36195"/>
            <wp:docPr id="1721732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1748" cy="2424597"/>
                    </a:xfrm>
                    <a:prstGeom prst="rect">
                      <a:avLst/>
                    </a:prstGeom>
                    <a:noFill/>
                    <a:ln w="28575">
                      <a:solidFill>
                        <a:schemeClr val="tx1"/>
                      </a:solidFill>
                    </a:ln>
                  </pic:spPr>
                </pic:pic>
              </a:graphicData>
            </a:graphic>
          </wp:inline>
        </w:drawing>
      </w:r>
    </w:p>
    <w:p w14:paraId="6593ED36" w14:textId="77777777" w:rsidR="00CD0BFC" w:rsidRPr="001F616F" w:rsidRDefault="00CD0BFC" w:rsidP="00CD0BFC">
      <w:pPr>
        <w:spacing w:after="0" w:line="360" w:lineRule="auto"/>
        <w:jc w:val="center"/>
        <w:rPr>
          <w:rFonts w:ascii="Times New Roman" w:eastAsia="Times New Roman" w:hAnsi="Times New Roman" w:cs="Times New Roman"/>
          <w:kern w:val="0"/>
          <w:sz w:val="24"/>
          <w:szCs w:val="24"/>
          <w:lang w:eastAsia="en-IN"/>
          <w14:ligatures w14:val="none"/>
        </w:rPr>
      </w:pPr>
      <w:r w:rsidRPr="001F616F">
        <w:rPr>
          <w:rFonts w:ascii="Times New Roman" w:eastAsia="Times New Roman" w:hAnsi="Times New Roman" w:cs="Times New Roman"/>
          <w:b/>
          <w:bCs/>
          <w:kern w:val="0"/>
          <w:sz w:val="24"/>
          <w:szCs w:val="24"/>
          <w:lang w:eastAsia="en-IN"/>
          <w14:ligatures w14:val="none"/>
        </w:rPr>
        <w:t xml:space="preserve">Figure 1&amp; 2 </w:t>
      </w:r>
      <w:r w:rsidRPr="001F616F">
        <w:rPr>
          <w:rFonts w:ascii="Times New Roman" w:eastAsia="Times New Roman" w:hAnsi="Times New Roman" w:cs="Times New Roman"/>
          <w:kern w:val="0"/>
          <w:sz w:val="24"/>
          <w:szCs w:val="24"/>
          <w:lang w:eastAsia="en-IN"/>
          <w14:ligatures w14:val="none"/>
        </w:rPr>
        <w:t>Clinical appearance of the kitten at presentation showing depression and reduced responsiveness.</w:t>
      </w:r>
    </w:p>
    <w:p w14:paraId="7700158B" w14:textId="77777777" w:rsidR="00CD0BFC" w:rsidRPr="001F616F" w:rsidRDefault="00CD0BFC" w:rsidP="00CD0BFC">
      <w:pPr>
        <w:spacing w:after="0" w:line="360" w:lineRule="auto"/>
        <w:jc w:val="center"/>
        <w:rPr>
          <w:rFonts w:ascii="Times New Roman" w:eastAsia="Times New Roman" w:hAnsi="Times New Roman" w:cs="Times New Roman"/>
          <w:kern w:val="0"/>
          <w:sz w:val="24"/>
          <w:szCs w:val="24"/>
          <w:lang w:eastAsia="en-IN"/>
          <w14:ligatures w14:val="none"/>
        </w:rPr>
      </w:pPr>
      <w:r w:rsidRPr="001F616F">
        <w:rPr>
          <w:rFonts w:ascii="Times New Roman" w:hAnsi="Times New Roman" w:cs="Times New Roman"/>
          <w:noProof/>
          <w:sz w:val="24"/>
          <w:szCs w:val="24"/>
          <w:lang w:val="en-US"/>
        </w:rPr>
        <w:drawing>
          <wp:inline distT="0" distB="0" distL="0" distR="0" wp14:anchorId="583D805D" wp14:editId="4A7264BF">
            <wp:extent cx="2749798" cy="1995042"/>
            <wp:effectExtent l="38100" t="38100" r="31750" b="43815"/>
            <wp:docPr id="488496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6951" t="20321" r="1769" b="8784"/>
                    <a:stretch>
                      <a:fillRect/>
                    </a:stretch>
                  </pic:blipFill>
                  <pic:spPr bwMode="auto">
                    <a:xfrm>
                      <a:off x="0" y="0"/>
                      <a:ext cx="2752054" cy="1996679"/>
                    </a:xfrm>
                    <a:prstGeom prst="rect">
                      <a:avLst/>
                    </a:prstGeom>
                    <a:noFill/>
                    <a:ln w="28575">
                      <a:solidFill>
                        <a:schemeClr val="tx1"/>
                      </a:solidFill>
                    </a:ln>
                    <a:extLst>
                      <a:ext uri="{53640926-AAD7-44D8-BBD7-CCE9431645EC}">
                        <a14:shadowObscured xmlns:a14="http://schemas.microsoft.com/office/drawing/2010/main"/>
                      </a:ext>
                    </a:extLst>
                  </pic:spPr>
                </pic:pic>
              </a:graphicData>
            </a:graphic>
          </wp:inline>
        </w:drawing>
      </w:r>
    </w:p>
    <w:p w14:paraId="59476909" w14:textId="77777777" w:rsidR="00CD0BFC" w:rsidRPr="001F616F" w:rsidRDefault="00CD0BFC" w:rsidP="00CD0BFC">
      <w:pPr>
        <w:spacing w:after="0" w:line="360" w:lineRule="auto"/>
        <w:jc w:val="center"/>
        <w:rPr>
          <w:rFonts w:ascii="Times New Roman" w:eastAsia="Times New Roman" w:hAnsi="Times New Roman" w:cs="Times New Roman"/>
          <w:kern w:val="0"/>
          <w:sz w:val="24"/>
          <w:szCs w:val="24"/>
          <w:lang w:eastAsia="en-IN"/>
          <w14:ligatures w14:val="none"/>
        </w:rPr>
      </w:pPr>
      <w:r w:rsidRPr="001F616F">
        <w:rPr>
          <w:rFonts w:ascii="Times New Roman" w:eastAsia="Times New Roman" w:hAnsi="Times New Roman" w:cs="Times New Roman"/>
          <w:b/>
          <w:bCs/>
          <w:kern w:val="0"/>
          <w:sz w:val="24"/>
          <w:szCs w:val="24"/>
          <w:lang w:eastAsia="en-IN"/>
          <w14:ligatures w14:val="none"/>
        </w:rPr>
        <w:t>Figure 3.</w:t>
      </w:r>
      <w:r w:rsidRPr="001F616F">
        <w:rPr>
          <w:rFonts w:ascii="Times New Roman" w:eastAsia="Times New Roman" w:hAnsi="Times New Roman" w:cs="Times New Roman"/>
          <w:kern w:val="0"/>
          <w:sz w:val="24"/>
          <w:szCs w:val="24"/>
          <w:lang w:eastAsia="en-IN"/>
          <w14:ligatures w14:val="none"/>
        </w:rPr>
        <w:t xml:space="preserve"> </w:t>
      </w:r>
      <w:r w:rsidRPr="001F616F">
        <w:rPr>
          <w:rFonts w:ascii="Times New Roman" w:hAnsi="Times New Roman" w:cs="Times New Roman"/>
          <w:sz w:val="24"/>
          <w:szCs w:val="24"/>
        </w:rPr>
        <w:t xml:space="preserve">Serum biochemical profile demonstrating marked hypercalcaemia (17.1 mg/dL) and </w:t>
      </w:r>
      <w:proofErr w:type="spellStart"/>
      <w:r w:rsidRPr="001F616F">
        <w:rPr>
          <w:rFonts w:ascii="Times New Roman" w:hAnsi="Times New Roman" w:cs="Times New Roman"/>
          <w:sz w:val="24"/>
          <w:szCs w:val="24"/>
        </w:rPr>
        <w:t>hyperphosphataemia</w:t>
      </w:r>
      <w:proofErr w:type="spellEnd"/>
      <w:r w:rsidRPr="001F616F">
        <w:rPr>
          <w:rFonts w:ascii="Times New Roman" w:hAnsi="Times New Roman" w:cs="Times New Roman"/>
          <w:sz w:val="24"/>
          <w:szCs w:val="24"/>
        </w:rPr>
        <w:t xml:space="preserve"> (10.73 mg/dL), strongly supporting a presumptive diagnosis of acute cholecalciferol toxicosis</w:t>
      </w:r>
      <w:r w:rsidRPr="001F616F">
        <w:rPr>
          <w:rFonts w:ascii="Times New Roman" w:eastAsia="Times New Roman" w:hAnsi="Times New Roman" w:cs="Times New Roman"/>
          <w:kern w:val="0"/>
          <w:sz w:val="24"/>
          <w:szCs w:val="24"/>
          <w:lang w:eastAsia="en-IN"/>
          <w14:ligatures w14:val="none"/>
        </w:rPr>
        <w:t>.</w:t>
      </w:r>
    </w:p>
    <w:p w14:paraId="23955BB5" w14:textId="77777777" w:rsidR="00CD0BFC" w:rsidRPr="001F616F" w:rsidRDefault="00CD0BFC" w:rsidP="00CD0BFC">
      <w:pPr>
        <w:spacing w:after="0" w:line="360" w:lineRule="auto"/>
        <w:jc w:val="both"/>
        <w:outlineLvl w:val="1"/>
        <w:rPr>
          <w:rFonts w:ascii="Times New Roman" w:eastAsia="Times New Roman" w:hAnsi="Times New Roman" w:cs="Times New Roman"/>
          <w:b/>
          <w:bCs/>
          <w:kern w:val="0"/>
          <w:sz w:val="24"/>
          <w:szCs w:val="24"/>
          <w:lang w:eastAsia="en-IN"/>
          <w14:ligatures w14:val="none"/>
        </w:rPr>
      </w:pPr>
      <w:r w:rsidRPr="001F616F">
        <w:rPr>
          <w:rFonts w:ascii="Times New Roman" w:eastAsia="Times New Roman" w:hAnsi="Times New Roman" w:cs="Times New Roman"/>
          <w:b/>
          <w:bCs/>
          <w:kern w:val="0"/>
          <w:sz w:val="24"/>
          <w:szCs w:val="24"/>
          <w:lang w:eastAsia="en-IN"/>
          <w14:ligatures w14:val="none"/>
        </w:rPr>
        <w:t>Diagnostic Evaluation and Therapeutic Management</w:t>
      </w:r>
    </w:p>
    <w:p w14:paraId="33EBF5A3" w14:textId="77777777" w:rsidR="00CD0BFC" w:rsidRPr="001F616F" w:rsidRDefault="00CD0BFC" w:rsidP="00CD0BFC">
      <w:pPr>
        <w:spacing w:after="0" w:line="360" w:lineRule="auto"/>
        <w:jc w:val="both"/>
        <w:rPr>
          <w:rFonts w:ascii="Times New Roman" w:eastAsia="Times New Roman" w:hAnsi="Times New Roman" w:cs="Times New Roman"/>
          <w:kern w:val="0"/>
          <w:sz w:val="24"/>
          <w:szCs w:val="24"/>
          <w:lang w:eastAsia="en-IN"/>
          <w14:ligatures w14:val="none"/>
        </w:rPr>
      </w:pPr>
      <w:r w:rsidRPr="001F616F">
        <w:rPr>
          <w:rFonts w:ascii="Times New Roman" w:eastAsia="Times New Roman" w:hAnsi="Times New Roman" w:cs="Times New Roman"/>
          <w:kern w:val="0"/>
          <w:sz w:val="24"/>
          <w:szCs w:val="24"/>
          <w:lang w:eastAsia="en-IN"/>
          <w14:ligatures w14:val="none"/>
        </w:rPr>
        <w:t xml:space="preserve">A presumptive diagnosis of acute cholecalciferol (vitamin D₃) toxicosis was established based on the documented history of accidental ingestion of cholecalciferol capsules, compatible clinical signs, and characteristic biochemical abnormalities. Serum biochemistry revealed marked hypercalcaemia (17.1 mg/dL) and </w:t>
      </w:r>
      <w:proofErr w:type="spellStart"/>
      <w:r w:rsidRPr="001F616F">
        <w:rPr>
          <w:rFonts w:ascii="Times New Roman" w:eastAsia="Times New Roman" w:hAnsi="Times New Roman" w:cs="Times New Roman"/>
          <w:kern w:val="0"/>
          <w:sz w:val="24"/>
          <w:szCs w:val="24"/>
          <w:lang w:eastAsia="en-IN"/>
          <w14:ligatures w14:val="none"/>
        </w:rPr>
        <w:t>hyperphosphataemia</w:t>
      </w:r>
      <w:proofErr w:type="spellEnd"/>
      <w:r w:rsidRPr="001F616F">
        <w:rPr>
          <w:rFonts w:ascii="Times New Roman" w:eastAsia="Times New Roman" w:hAnsi="Times New Roman" w:cs="Times New Roman"/>
          <w:kern w:val="0"/>
          <w:sz w:val="24"/>
          <w:szCs w:val="24"/>
          <w:lang w:eastAsia="en-IN"/>
          <w14:ligatures w14:val="none"/>
        </w:rPr>
        <w:t xml:space="preserve"> (10.73 mg/dL). The calculated calcium-phosphorus (Ca × P) product was 183.5 mg²/dL², substantially exceeding the threshold of 60–70 mg²/dL², indicating a high risk of metastatic soft tissue mineralisation (Peterson &amp; Talcott, 2021; Ettinger et al., 2024). Although measurement of the serum 25-hydroxyvitamin D concentration could have provided additional diagnostic confirmation, this assay was not </w:t>
      </w:r>
      <w:r w:rsidRPr="001F616F">
        <w:rPr>
          <w:rFonts w:ascii="Times New Roman" w:eastAsia="Times New Roman" w:hAnsi="Times New Roman" w:cs="Times New Roman"/>
          <w:kern w:val="0"/>
          <w:sz w:val="24"/>
          <w:szCs w:val="24"/>
          <w:lang w:eastAsia="en-IN"/>
          <w14:ligatures w14:val="none"/>
        </w:rPr>
        <w:lastRenderedPageBreak/>
        <w:t>available. Therefore, the diagnosis was based on the documented exposure history together with compatible clinical signs and characteristic biochemical abnormalities.</w:t>
      </w:r>
    </w:p>
    <w:p w14:paraId="7E3B419B" w14:textId="77777777" w:rsidR="00CD0BFC" w:rsidRPr="001F616F" w:rsidRDefault="00CD0BFC" w:rsidP="00CD0BFC">
      <w:pPr>
        <w:spacing w:after="0" w:line="360" w:lineRule="auto"/>
        <w:jc w:val="both"/>
        <w:rPr>
          <w:rFonts w:ascii="Times New Roman" w:eastAsia="Times New Roman" w:hAnsi="Times New Roman" w:cs="Times New Roman"/>
          <w:kern w:val="0"/>
          <w:sz w:val="24"/>
          <w:szCs w:val="24"/>
          <w:lang w:eastAsia="en-IN"/>
          <w14:ligatures w14:val="none"/>
        </w:rPr>
      </w:pPr>
      <w:r w:rsidRPr="001F616F">
        <w:rPr>
          <w:rFonts w:ascii="Times New Roman" w:eastAsia="Times New Roman" w:hAnsi="Times New Roman" w:cs="Times New Roman"/>
          <w:kern w:val="0"/>
          <w:sz w:val="24"/>
          <w:szCs w:val="24"/>
          <w:lang w:eastAsia="en-IN"/>
          <w14:ligatures w14:val="none"/>
        </w:rPr>
        <w:t xml:space="preserve">Considering the substantial toxic exposure and marked biochemical abnormalities, treatment was initiated immediately. Intravenous isotonic crystalloid fluid therapy was administered to correct dehydration, restore renal perfusion, and promote urinary calcium excretion. Following adequate rehydration, furosemide (1 mg/kg, IV) was administered to enhance </w:t>
      </w:r>
      <w:proofErr w:type="spellStart"/>
      <w:r w:rsidRPr="001F616F">
        <w:rPr>
          <w:rFonts w:ascii="Times New Roman" w:eastAsia="Times New Roman" w:hAnsi="Times New Roman" w:cs="Times New Roman"/>
          <w:kern w:val="0"/>
          <w:sz w:val="24"/>
          <w:szCs w:val="24"/>
          <w:lang w:eastAsia="en-IN"/>
          <w14:ligatures w14:val="none"/>
        </w:rPr>
        <w:t>calciuresis</w:t>
      </w:r>
      <w:proofErr w:type="spellEnd"/>
      <w:r w:rsidRPr="001F616F">
        <w:rPr>
          <w:rFonts w:ascii="Times New Roman" w:eastAsia="Times New Roman" w:hAnsi="Times New Roman" w:cs="Times New Roman"/>
          <w:kern w:val="0"/>
          <w:sz w:val="24"/>
          <w:szCs w:val="24"/>
          <w:lang w:eastAsia="en-IN"/>
          <w14:ligatures w14:val="none"/>
        </w:rPr>
        <w:t>. Prednisolone injection (0.5 mg/kg, IV) was administered to reduce intestinal calcium absorption and osteoclastic bone resorption. Supportive therapy included ondansetron (0.1 mg/kg, IV) to control vomiting and pantoprazole (0.5 mg/kg, IV) for gastric protection. Inj. N-acetylcysteine (50 mg/kg, IV) was administered as an adjunctive antioxidant therapy during systemic intoxication. The kitten was monitored closely throughout hospitalisation for hydration status, appetite, activity, urine output, and overall clinical response.</w:t>
      </w:r>
    </w:p>
    <w:p w14:paraId="4250DDE1" w14:textId="77777777" w:rsidR="00CD0BFC" w:rsidRPr="001F616F" w:rsidRDefault="00CD0BFC" w:rsidP="00CD0BFC">
      <w:pPr>
        <w:spacing w:after="0" w:line="360" w:lineRule="auto"/>
        <w:jc w:val="both"/>
        <w:rPr>
          <w:rFonts w:ascii="Times New Roman" w:eastAsia="Times New Roman" w:hAnsi="Times New Roman" w:cs="Times New Roman"/>
          <w:kern w:val="0"/>
          <w:sz w:val="24"/>
          <w:szCs w:val="24"/>
          <w:lang w:eastAsia="en-IN"/>
          <w14:ligatures w14:val="none"/>
        </w:rPr>
      </w:pPr>
      <w:r w:rsidRPr="001F616F">
        <w:rPr>
          <w:rFonts w:ascii="Times New Roman" w:eastAsia="Times New Roman" w:hAnsi="Times New Roman" w:cs="Times New Roman"/>
          <w:kern w:val="0"/>
          <w:sz w:val="24"/>
          <w:szCs w:val="24"/>
          <w:lang w:eastAsia="en-IN"/>
          <w14:ligatures w14:val="none"/>
        </w:rPr>
        <w:t>The kitten showed gradual clinical improvement during hospitalisation, with resolution of vomiting, improvement in appetite and activity, and correction of dehydration. Following discharge, the kitten has remained under regular clinical follow-up because the toxic effects of cholecalciferol may persist and delayed complications, particularly renal injury and soft tissue mineralisation, can develop. Periodic monitoring of serum calcium, phosphorus, renal function, and overall clinical status is ongoing to assess long-term recovery. At the time of writing, the kitten remains clinically stable and continues to improve; however, long-term follow-up is still in progress. Therefore, complete resolution of biochemical abnormalities and the absence of delayed complications cannot yet be definitively confirmed.</w:t>
      </w:r>
    </w:p>
    <w:p w14:paraId="335CE345" w14:textId="77777777" w:rsidR="00CD0BFC" w:rsidRPr="001F616F" w:rsidRDefault="00CD0BFC" w:rsidP="00CD0BFC">
      <w:pPr>
        <w:spacing w:after="0" w:line="360" w:lineRule="auto"/>
        <w:jc w:val="both"/>
        <w:outlineLvl w:val="0"/>
        <w:rPr>
          <w:rFonts w:ascii="Times New Roman" w:eastAsia="Times New Roman" w:hAnsi="Times New Roman" w:cs="Times New Roman"/>
          <w:b/>
          <w:bCs/>
          <w:kern w:val="36"/>
          <w:sz w:val="24"/>
          <w:szCs w:val="24"/>
          <w:lang w:eastAsia="en-IN"/>
          <w14:ligatures w14:val="none"/>
        </w:rPr>
      </w:pPr>
      <w:r w:rsidRPr="001F616F">
        <w:rPr>
          <w:rFonts w:ascii="Times New Roman" w:eastAsia="Times New Roman" w:hAnsi="Times New Roman" w:cs="Times New Roman"/>
          <w:b/>
          <w:bCs/>
          <w:kern w:val="36"/>
          <w:sz w:val="24"/>
          <w:szCs w:val="24"/>
          <w:lang w:eastAsia="en-IN"/>
          <w14:ligatures w14:val="none"/>
        </w:rPr>
        <w:t xml:space="preserve">Discussion </w:t>
      </w:r>
    </w:p>
    <w:p w14:paraId="0D87A270" w14:textId="77777777" w:rsidR="00CD0BFC" w:rsidRPr="001F616F" w:rsidRDefault="00CD0BFC" w:rsidP="00CD0BFC">
      <w:pPr>
        <w:spacing w:after="0" w:line="360" w:lineRule="auto"/>
        <w:jc w:val="both"/>
        <w:rPr>
          <w:rFonts w:ascii="Times New Roman" w:eastAsia="Times New Roman" w:hAnsi="Times New Roman" w:cs="Times New Roman"/>
          <w:kern w:val="0"/>
          <w:sz w:val="24"/>
          <w:szCs w:val="24"/>
          <w:lang w:eastAsia="en-IN"/>
          <w14:ligatures w14:val="none"/>
        </w:rPr>
      </w:pPr>
      <w:r w:rsidRPr="001F616F">
        <w:rPr>
          <w:rFonts w:ascii="Times New Roman" w:eastAsia="Times New Roman" w:hAnsi="Times New Roman" w:cs="Times New Roman"/>
          <w:kern w:val="0"/>
          <w:sz w:val="24"/>
          <w:szCs w:val="24"/>
          <w:lang w:eastAsia="en-IN"/>
          <w14:ligatures w14:val="none"/>
        </w:rPr>
        <w:t xml:space="preserve">The estimated ingestion of 180,000 IU (approximately 4.5 mg/kg) of cholecalciferol represented a substantial toxic exposure for a 1.0 kg kitten and was consistent with the development of marked hypercalcaemia, </w:t>
      </w:r>
      <w:proofErr w:type="spellStart"/>
      <w:r w:rsidRPr="001F616F">
        <w:rPr>
          <w:rFonts w:ascii="Times New Roman" w:eastAsia="Times New Roman" w:hAnsi="Times New Roman" w:cs="Times New Roman"/>
          <w:kern w:val="0"/>
          <w:sz w:val="24"/>
          <w:szCs w:val="24"/>
          <w:lang w:eastAsia="en-IN"/>
          <w14:ligatures w14:val="none"/>
        </w:rPr>
        <w:t>hyperphosphataemia</w:t>
      </w:r>
      <w:proofErr w:type="spellEnd"/>
      <w:r w:rsidRPr="001F616F">
        <w:rPr>
          <w:rFonts w:ascii="Times New Roman" w:eastAsia="Times New Roman" w:hAnsi="Times New Roman" w:cs="Times New Roman"/>
          <w:kern w:val="0"/>
          <w:sz w:val="24"/>
          <w:szCs w:val="24"/>
          <w:lang w:eastAsia="en-IN"/>
          <w14:ligatures w14:val="none"/>
        </w:rPr>
        <w:t xml:space="preserve">, and acute gastrointestinal signs observed in the present case. Similar clinical manifestations have been described in previous reports of feline cholecalciferol intoxication, in which vomiting, anorexia, lethargy, dehydration, and biochemical evidence of disturbed calcium-phosphorus homeostasis were the predominant findings (Wehner et al., 2013; </w:t>
      </w:r>
      <w:proofErr w:type="spellStart"/>
      <w:r w:rsidRPr="001F616F">
        <w:rPr>
          <w:rFonts w:ascii="Times New Roman" w:eastAsia="Times New Roman" w:hAnsi="Times New Roman" w:cs="Times New Roman"/>
          <w:kern w:val="0"/>
          <w:sz w:val="24"/>
          <w:szCs w:val="24"/>
          <w:lang w:eastAsia="en-IN"/>
          <w14:ligatures w14:val="none"/>
        </w:rPr>
        <w:t>Vecchiato</w:t>
      </w:r>
      <w:proofErr w:type="spellEnd"/>
      <w:r w:rsidRPr="001F616F">
        <w:rPr>
          <w:rFonts w:ascii="Times New Roman" w:eastAsia="Times New Roman" w:hAnsi="Times New Roman" w:cs="Times New Roman"/>
          <w:kern w:val="0"/>
          <w:sz w:val="24"/>
          <w:szCs w:val="24"/>
          <w:lang w:eastAsia="en-IN"/>
          <w14:ligatures w14:val="none"/>
        </w:rPr>
        <w:t xml:space="preserve"> et al., 2021; </w:t>
      </w:r>
      <w:proofErr w:type="spellStart"/>
      <w:r w:rsidRPr="001F616F">
        <w:rPr>
          <w:rFonts w:ascii="Times New Roman" w:eastAsia="Times New Roman" w:hAnsi="Times New Roman" w:cs="Times New Roman"/>
          <w:kern w:val="0"/>
          <w:sz w:val="24"/>
          <w:szCs w:val="24"/>
          <w:lang w:eastAsia="en-IN"/>
          <w14:ligatures w14:val="none"/>
        </w:rPr>
        <w:t>Chasnick</w:t>
      </w:r>
      <w:proofErr w:type="spellEnd"/>
      <w:r w:rsidRPr="001F616F">
        <w:rPr>
          <w:rFonts w:ascii="Times New Roman" w:eastAsia="Times New Roman" w:hAnsi="Times New Roman" w:cs="Times New Roman"/>
          <w:kern w:val="0"/>
          <w:sz w:val="24"/>
          <w:szCs w:val="24"/>
          <w:lang w:eastAsia="en-IN"/>
          <w14:ligatures w14:val="none"/>
        </w:rPr>
        <w:t xml:space="preserve"> &amp; Levy, 2026).</w:t>
      </w:r>
    </w:p>
    <w:p w14:paraId="276F6A65" w14:textId="77777777" w:rsidR="00CD0BFC" w:rsidRPr="001F616F" w:rsidRDefault="00CD0BFC" w:rsidP="00CD0BFC">
      <w:pPr>
        <w:spacing w:after="0" w:line="360" w:lineRule="auto"/>
        <w:jc w:val="both"/>
        <w:rPr>
          <w:rFonts w:ascii="Times New Roman" w:eastAsia="Times New Roman" w:hAnsi="Times New Roman" w:cs="Times New Roman"/>
          <w:kern w:val="0"/>
          <w:sz w:val="24"/>
          <w:szCs w:val="24"/>
          <w:lang w:eastAsia="en-IN"/>
          <w14:ligatures w14:val="none"/>
        </w:rPr>
      </w:pPr>
      <w:r w:rsidRPr="001F616F">
        <w:rPr>
          <w:rFonts w:ascii="Times New Roman" w:eastAsia="Times New Roman" w:hAnsi="Times New Roman" w:cs="Times New Roman"/>
          <w:kern w:val="0"/>
          <w:sz w:val="24"/>
          <w:szCs w:val="24"/>
          <w:lang w:eastAsia="en-IN"/>
          <w14:ligatures w14:val="none"/>
        </w:rPr>
        <w:t xml:space="preserve">Although cholecalciferol intoxication is well recognised in dogs, naturally occurring cases in cats remain comparatively uncommon, particularly those associated with accidental ingestion of pharmaceutical vitamin D preparations. Most published feline cases have been linked to contaminated commercial diets or cholecalciferol-containing rodenticides (Wehner et al., 2013; </w:t>
      </w:r>
      <w:proofErr w:type="spellStart"/>
      <w:r w:rsidRPr="001F616F">
        <w:rPr>
          <w:rFonts w:ascii="Times New Roman" w:eastAsia="Times New Roman" w:hAnsi="Times New Roman" w:cs="Times New Roman"/>
          <w:kern w:val="0"/>
          <w:sz w:val="24"/>
          <w:szCs w:val="24"/>
          <w:lang w:eastAsia="en-IN"/>
          <w14:ligatures w14:val="none"/>
        </w:rPr>
        <w:t>Vecchiato</w:t>
      </w:r>
      <w:proofErr w:type="spellEnd"/>
      <w:r w:rsidRPr="001F616F">
        <w:rPr>
          <w:rFonts w:ascii="Times New Roman" w:eastAsia="Times New Roman" w:hAnsi="Times New Roman" w:cs="Times New Roman"/>
          <w:kern w:val="0"/>
          <w:sz w:val="24"/>
          <w:szCs w:val="24"/>
          <w:lang w:eastAsia="en-IN"/>
          <w14:ligatures w14:val="none"/>
        </w:rPr>
        <w:t xml:space="preserve"> et al., 2021). The present case therefore contributes additional clinical </w:t>
      </w:r>
      <w:r w:rsidRPr="001F616F">
        <w:rPr>
          <w:rFonts w:ascii="Times New Roman" w:eastAsia="Times New Roman" w:hAnsi="Times New Roman" w:cs="Times New Roman"/>
          <w:kern w:val="0"/>
          <w:sz w:val="24"/>
          <w:szCs w:val="24"/>
          <w:lang w:eastAsia="en-IN"/>
          <w14:ligatures w14:val="none"/>
        </w:rPr>
        <w:lastRenderedPageBreak/>
        <w:t>information regarding accidental ingestion of pharmaceutical cholecalciferol capsules in a young kitten.</w:t>
      </w:r>
    </w:p>
    <w:p w14:paraId="78517802" w14:textId="77777777" w:rsidR="00CD0BFC" w:rsidRPr="001F616F" w:rsidRDefault="00CD0BFC" w:rsidP="00CD0BFC">
      <w:pPr>
        <w:spacing w:after="0" w:line="360" w:lineRule="auto"/>
        <w:jc w:val="both"/>
        <w:rPr>
          <w:rFonts w:ascii="Times New Roman" w:eastAsia="Times New Roman" w:hAnsi="Times New Roman" w:cs="Times New Roman"/>
          <w:kern w:val="0"/>
          <w:sz w:val="24"/>
          <w:szCs w:val="24"/>
          <w:lang w:eastAsia="en-IN"/>
          <w14:ligatures w14:val="none"/>
        </w:rPr>
      </w:pPr>
      <w:r w:rsidRPr="001F616F">
        <w:rPr>
          <w:rFonts w:ascii="Times New Roman" w:eastAsia="Times New Roman" w:hAnsi="Times New Roman" w:cs="Times New Roman"/>
          <w:kern w:val="0"/>
          <w:sz w:val="24"/>
          <w:szCs w:val="24"/>
          <w:lang w:eastAsia="en-IN"/>
          <w14:ligatures w14:val="none"/>
        </w:rPr>
        <w:t>In the present case, the diagnosis was presumptively established from the history of toxin exposure together with compatible clinical signs and characteristic biochemical abnormalities. Although determination of serum vitamin D metabolites would have strengthened the diagnosis, these assays were not available. Similar diagnostic approaches have been described in previous reports in which the diagnosis relied primarily on exposure history and clinicopathological findings (Peterson &amp; Talcott, 2021).</w:t>
      </w:r>
    </w:p>
    <w:p w14:paraId="6875E454" w14:textId="77777777" w:rsidR="00CD0BFC" w:rsidRPr="001F616F" w:rsidRDefault="00CD0BFC" w:rsidP="00CD0BFC">
      <w:pPr>
        <w:spacing w:after="0" w:line="360" w:lineRule="auto"/>
        <w:jc w:val="both"/>
        <w:rPr>
          <w:rFonts w:ascii="Times New Roman" w:eastAsia="Times New Roman" w:hAnsi="Times New Roman" w:cs="Times New Roman"/>
          <w:kern w:val="0"/>
          <w:sz w:val="24"/>
          <w:szCs w:val="24"/>
          <w:lang w:eastAsia="en-IN"/>
          <w14:ligatures w14:val="none"/>
        </w:rPr>
      </w:pPr>
      <w:r w:rsidRPr="001F616F">
        <w:rPr>
          <w:rFonts w:ascii="Times New Roman" w:eastAsia="Times New Roman" w:hAnsi="Times New Roman" w:cs="Times New Roman"/>
          <w:kern w:val="0"/>
          <w:sz w:val="24"/>
          <w:szCs w:val="24"/>
          <w:lang w:eastAsia="en-IN"/>
          <w14:ligatures w14:val="none"/>
        </w:rPr>
        <w:t>Early recognition of the exposure history and prompt initiation of intravenous fluid therapy, furosemide, prednisolone, antiemetic therapy, and supportive care were considered important factors contributing to the favourable short-term clinical response. Nevertheless, because serial biochemical monitoring and advanced diagnostic investigations were not available, complete resolution of hypercalcaemia, renal injury, or soft tissue mineralisation could not be objectively confirmed. The kitten remains under regular clinical follow-up, and periodic evaluation of serum calcium, phosphorus, renal function, and overall clinical status continues to monitor long-term recovery and identify any delayed complications associated with cholecalciferol toxicosis.</w:t>
      </w:r>
    </w:p>
    <w:p w14:paraId="0DC5513F" w14:textId="77777777" w:rsidR="00CD0BFC" w:rsidRPr="001F616F" w:rsidRDefault="00CD0BFC" w:rsidP="00CD0BFC">
      <w:pPr>
        <w:pStyle w:val="pdq2pgselectionanchorcontainer"/>
        <w:spacing w:before="0" w:beforeAutospacing="0" w:after="0" w:afterAutospacing="0" w:line="360" w:lineRule="auto"/>
        <w:jc w:val="both"/>
      </w:pPr>
      <w:r w:rsidRPr="001F616F">
        <w:t xml:space="preserve">Although the present case demonstrated a </w:t>
      </w:r>
      <w:r w:rsidRPr="001F616F">
        <w:rPr>
          <w:rStyle w:val="Strong"/>
          <w:b w:val="0"/>
          <w:bCs w:val="0"/>
        </w:rPr>
        <w:t>favourable short-term clinical response</w:t>
      </w:r>
      <w:r w:rsidRPr="001F616F">
        <w:t xml:space="preserve"> to medical management, continued follow-up and serial biochemical monitoring are necessary to evaluate long-term recovery and detect any delayed complications associated with cholecalciferol intoxication. Documentation of additional feline cases with long-term follow-up will further improve the understanding of the clinical course, prognosis, and optimal management of this uncommon intoxication in cats.</w:t>
      </w:r>
    </w:p>
    <w:p w14:paraId="65CA927C" w14:textId="77777777" w:rsidR="00CD0BFC" w:rsidRPr="001F616F" w:rsidRDefault="00CD0BFC" w:rsidP="00CD0BFC">
      <w:pPr>
        <w:pStyle w:val="NormalWeb"/>
        <w:spacing w:before="0" w:beforeAutospacing="0" w:after="0" w:afterAutospacing="0" w:line="360" w:lineRule="auto"/>
        <w:jc w:val="both"/>
      </w:pPr>
      <w:r w:rsidRPr="001F616F">
        <w:t xml:space="preserve">The favourable </w:t>
      </w:r>
      <w:r w:rsidRPr="001F616F">
        <w:rPr>
          <w:rStyle w:val="Strong"/>
          <w:b w:val="0"/>
          <w:bCs w:val="0"/>
        </w:rPr>
        <w:t>short-term clinical response</w:t>
      </w:r>
      <w:r w:rsidRPr="001F616F">
        <w:t xml:space="preserve"> observed in this kitten was likely associated with recognition of the toxic exposure, timely biochemical evaluation, and prompt initiation of appropriate therapy. However, because long-term follow-up is still ongoing, complete resolution of biochemical abnormalities and the absence of delayed renal or soft tissue complications cannot yet be confirmed. This case highlights the importance of obtaining a thorough exposure history in suspected poisoning cases and emphasises that early diagnosis and timely therapeutic intervention may improve the clinical outcome, particularly in young animals with acute cholecalciferol toxicosis.</w:t>
      </w:r>
    </w:p>
    <w:p w14:paraId="27628C85" w14:textId="77777777" w:rsidR="00CD0BFC" w:rsidRPr="001F616F" w:rsidRDefault="00CD0BFC" w:rsidP="00CD0BFC">
      <w:pPr>
        <w:spacing w:after="0" w:line="360" w:lineRule="auto"/>
        <w:jc w:val="both"/>
        <w:outlineLvl w:val="1"/>
        <w:rPr>
          <w:rFonts w:ascii="Times New Roman" w:eastAsia="Times New Roman" w:hAnsi="Times New Roman" w:cs="Times New Roman"/>
          <w:b/>
          <w:bCs/>
          <w:kern w:val="0"/>
          <w:sz w:val="24"/>
          <w:szCs w:val="24"/>
          <w:lang w:eastAsia="en-IN"/>
          <w14:ligatures w14:val="none"/>
        </w:rPr>
      </w:pPr>
      <w:r w:rsidRPr="001F616F">
        <w:rPr>
          <w:rFonts w:ascii="Times New Roman" w:eastAsia="Times New Roman" w:hAnsi="Times New Roman" w:cs="Times New Roman"/>
          <w:b/>
          <w:bCs/>
          <w:kern w:val="0"/>
          <w:sz w:val="24"/>
          <w:szCs w:val="24"/>
          <w:lang w:eastAsia="en-IN"/>
          <w14:ligatures w14:val="none"/>
        </w:rPr>
        <w:t xml:space="preserve">Conclusion </w:t>
      </w:r>
    </w:p>
    <w:p w14:paraId="71D26D75" w14:textId="5FA36D8B" w:rsidR="00CD0BFC" w:rsidRDefault="008117B8" w:rsidP="00CD0BFC">
      <w:pPr>
        <w:spacing w:after="0" w:line="360" w:lineRule="auto"/>
        <w:jc w:val="both"/>
        <w:outlineLvl w:val="1"/>
        <w:rPr>
          <w:rFonts w:ascii="Times New Roman" w:eastAsia="Times New Roman" w:hAnsi="Times New Roman" w:cs="Times New Roman"/>
          <w:kern w:val="0"/>
          <w:sz w:val="24"/>
          <w:szCs w:val="24"/>
          <w:lang w:eastAsia="en-IN"/>
          <w14:ligatures w14:val="none"/>
        </w:rPr>
      </w:pPr>
      <w:r w:rsidRPr="008117B8">
        <w:rPr>
          <w:rFonts w:ascii="Times New Roman" w:eastAsia="Times New Roman" w:hAnsi="Times New Roman" w:cs="Times New Roman"/>
          <w:kern w:val="0"/>
          <w:sz w:val="24"/>
          <w:szCs w:val="24"/>
          <w:lang w:eastAsia="en-IN"/>
          <w14:ligatures w14:val="none"/>
        </w:rPr>
        <w:t xml:space="preserve">Acute cholecalciferol (vitamin D₃) toxicosis should be considered in cats presenting with acute gastrointestinal signs after possible exposure to vitamin D-containing supplements or other </w:t>
      </w:r>
      <w:r w:rsidRPr="008117B8">
        <w:rPr>
          <w:rFonts w:ascii="Times New Roman" w:eastAsia="Times New Roman" w:hAnsi="Times New Roman" w:cs="Times New Roman"/>
          <w:kern w:val="0"/>
          <w:sz w:val="24"/>
          <w:szCs w:val="24"/>
          <w:lang w:eastAsia="en-IN"/>
          <w14:ligatures w14:val="none"/>
        </w:rPr>
        <w:lastRenderedPageBreak/>
        <w:t xml:space="preserve">cholecalciferol products. In this kitten, the reported ingestion of three 60,000 IU capsules, together with marked hypercalcaemia and </w:t>
      </w:r>
      <w:proofErr w:type="spellStart"/>
      <w:r w:rsidRPr="008117B8">
        <w:rPr>
          <w:rFonts w:ascii="Times New Roman" w:eastAsia="Times New Roman" w:hAnsi="Times New Roman" w:cs="Times New Roman"/>
          <w:kern w:val="0"/>
          <w:sz w:val="24"/>
          <w:szCs w:val="24"/>
          <w:lang w:eastAsia="en-IN"/>
          <w14:ligatures w14:val="none"/>
        </w:rPr>
        <w:t>hyperphosphataemia</w:t>
      </w:r>
      <w:proofErr w:type="spellEnd"/>
      <w:r w:rsidRPr="008117B8">
        <w:rPr>
          <w:rFonts w:ascii="Times New Roman" w:eastAsia="Times New Roman" w:hAnsi="Times New Roman" w:cs="Times New Roman"/>
          <w:kern w:val="0"/>
          <w:sz w:val="24"/>
          <w:szCs w:val="24"/>
          <w:lang w:eastAsia="en-IN"/>
          <w14:ligatures w14:val="none"/>
        </w:rPr>
        <w:t>, supported a presumptive diagnosis. Prompt management with intravenous isotonic crystalloid fluids, furosemide, prednisolone, antiemetic treatment, gastroprotective medication, N-acetylcysteine, and supportive care was associated with favourable short-term clinical improvement. Vomiting resolved, hydration improved, and appetite and activity gradually returned during hospitalisation. However, serum vitamin D metabolites were not measured, serial biochemical data were incomplete, and long-term follow-up remains ongoing. Consequently, complete biochemical recovery and the absence of delayed renal injury or soft tissue mineralisation cannot yet be confirmed. Continued monitoring of serum calcium, phosphorus, renal function, urine output, and overall clinical status is therefore warranted. The case demonstrates the clinical value of a detailed exposure history, early biochemical evaluation, and timely intervention in the management of suspected feline cholecalciferol intoxication.</w:t>
      </w:r>
    </w:p>
    <w:p w14:paraId="53BDDBEA" w14:textId="77777777" w:rsidR="00E95097" w:rsidRPr="001F616F" w:rsidRDefault="00E95097" w:rsidP="00CD0BFC">
      <w:pPr>
        <w:spacing w:after="0" w:line="360" w:lineRule="auto"/>
        <w:jc w:val="both"/>
        <w:outlineLvl w:val="1"/>
        <w:rPr>
          <w:rFonts w:ascii="Times New Roman" w:eastAsia="Times New Roman" w:hAnsi="Times New Roman" w:cs="Times New Roman"/>
          <w:b/>
          <w:bCs/>
          <w:kern w:val="0"/>
          <w:sz w:val="24"/>
          <w:szCs w:val="24"/>
          <w:lang w:val="en-GB" w:eastAsia="en-GB"/>
          <w14:ligatures w14:val="none"/>
        </w:rPr>
      </w:pPr>
    </w:p>
    <w:p w14:paraId="30BE0529" w14:textId="77777777" w:rsidR="00CD0BFC" w:rsidRPr="001F616F" w:rsidRDefault="00CD0BFC" w:rsidP="00CD0BFC">
      <w:pPr>
        <w:spacing w:after="0" w:line="360" w:lineRule="auto"/>
        <w:jc w:val="both"/>
        <w:outlineLvl w:val="1"/>
        <w:rPr>
          <w:rFonts w:ascii="Times New Roman" w:eastAsia="Times New Roman" w:hAnsi="Times New Roman" w:cs="Times New Roman"/>
          <w:b/>
          <w:bCs/>
          <w:kern w:val="0"/>
          <w:sz w:val="24"/>
          <w:szCs w:val="24"/>
          <w:lang w:val="en-GB" w:eastAsia="en-GB"/>
          <w14:ligatures w14:val="none"/>
        </w:rPr>
      </w:pPr>
    </w:p>
    <w:p w14:paraId="04D8BFDA" w14:textId="77777777" w:rsidR="00CD0BFC" w:rsidRPr="001F616F" w:rsidRDefault="00CD0BFC" w:rsidP="00CD0BFC">
      <w:pPr>
        <w:spacing w:after="0" w:line="360" w:lineRule="auto"/>
        <w:jc w:val="both"/>
        <w:outlineLvl w:val="1"/>
        <w:rPr>
          <w:rFonts w:ascii="Times New Roman" w:eastAsia="Times New Roman" w:hAnsi="Times New Roman" w:cs="Times New Roman"/>
          <w:b/>
          <w:bCs/>
          <w:kern w:val="0"/>
          <w:sz w:val="24"/>
          <w:szCs w:val="24"/>
          <w:lang w:val="en-GB" w:eastAsia="en-GB"/>
          <w14:ligatures w14:val="none"/>
        </w:rPr>
      </w:pPr>
      <w:r w:rsidRPr="001F616F">
        <w:rPr>
          <w:rFonts w:ascii="Times New Roman" w:eastAsia="Times New Roman" w:hAnsi="Times New Roman" w:cs="Times New Roman"/>
          <w:b/>
          <w:bCs/>
          <w:kern w:val="0"/>
          <w:sz w:val="24"/>
          <w:szCs w:val="24"/>
          <w:lang w:val="en-GB" w:eastAsia="en-GB"/>
          <w14:ligatures w14:val="none"/>
        </w:rPr>
        <w:t xml:space="preserve">Limitations </w:t>
      </w:r>
    </w:p>
    <w:p w14:paraId="580D8751" w14:textId="323237B6" w:rsidR="004338F9" w:rsidRDefault="004338F9" w:rsidP="004338F9">
      <w:pPr>
        <w:pStyle w:val="pdq2pgselectionanchorcontainer"/>
      </w:pPr>
      <w:r>
        <w:t>This report is limited by the absence of serum 25-hydroxyvitamin D measurement, ionised calcium assessment, complete renal and hepatic biochemical profiles, urinalysis, blood pressure measurement, electrocardiography, and diagnostic imaging. Serial biochemical results, the precise duration of hospitalisation, and complete follow-up laboratory data were unavailable. As long-term follow-up remains ongoing, complete biochemical recovery and the absence of delayed renal or soft tissue complications cannot yet be established.</w:t>
      </w:r>
    </w:p>
    <w:p w14:paraId="0C61C2AB" w14:textId="77777777" w:rsidR="00CD0BFC" w:rsidRPr="001F616F" w:rsidRDefault="00CD0BFC" w:rsidP="00CD0BFC">
      <w:pPr>
        <w:spacing w:after="0" w:line="360" w:lineRule="auto"/>
        <w:jc w:val="both"/>
        <w:rPr>
          <w:rFonts w:ascii="Times New Roman" w:eastAsia="Times New Roman" w:hAnsi="Times New Roman" w:cs="Times New Roman"/>
          <w:b/>
          <w:kern w:val="0"/>
          <w:sz w:val="24"/>
          <w:szCs w:val="24"/>
          <w:lang w:val="en-US"/>
          <w14:ligatures w14:val="none"/>
        </w:rPr>
      </w:pPr>
      <w:r w:rsidRPr="001F616F">
        <w:rPr>
          <w:rFonts w:ascii="Times New Roman" w:eastAsia="Times New Roman" w:hAnsi="Times New Roman" w:cs="Times New Roman"/>
          <w:b/>
          <w:kern w:val="0"/>
          <w:sz w:val="24"/>
          <w:szCs w:val="24"/>
          <w:lang w:val="en-US"/>
          <w14:ligatures w14:val="none"/>
        </w:rPr>
        <w:t>Declaration of AI Use</w:t>
      </w:r>
    </w:p>
    <w:p w14:paraId="1D75BF4A" w14:textId="77777777" w:rsidR="00CD0BFC" w:rsidRDefault="00CD0BFC" w:rsidP="00CD0BFC">
      <w:pPr>
        <w:spacing w:after="0" w:line="360" w:lineRule="auto"/>
        <w:jc w:val="both"/>
        <w:rPr>
          <w:rFonts w:ascii="Times New Roman" w:eastAsia="Times New Roman" w:hAnsi="Times New Roman" w:cs="Times New Roman"/>
          <w:kern w:val="0"/>
          <w:sz w:val="24"/>
          <w:szCs w:val="24"/>
          <w:lang w:val="en-US"/>
          <w14:ligatures w14:val="none"/>
        </w:rPr>
      </w:pPr>
      <w:r w:rsidRPr="001F616F">
        <w:rPr>
          <w:rFonts w:ascii="Times New Roman" w:eastAsia="Times New Roman" w:hAnsi="Times New Roman" w:cs="Times New Roman"/>
          <w:kern w:val="0"/>
          <w:sz w:val="24"/>
          <w:szCs w:val="24"/>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54A47D9" w14:textId="77777777" w:rsidR="00E373FB" w:rsidRDefault="00E373FB" w:rsidP="00CD0BFC">
      <w:pPr>
        <w:spacing w:after="0" w:line="360" w:lineRule="auto"/>
        <w:jc w:val="both"/>
        <w:rPr>
          <w:rFonts w:ascii="Times New Roman" w:eastAsia="Times New Roman" w:hAnsi="Times New Roman" w:cs="Times New Roman"/>
          <w:kern w:val="0"/>
          <w:sz w:val="24"/>
          <w:szCs w:val="24"/>
          <w:lang w:val="en-US"/>
          <w14:ligatures w14:val="none"/>
        </w:rPr>
      </w:pPr>
    </w:p>
    <w:p w14:paraId="7C07EC06" w14:textId="77777777" w:rsidR="00E373FB" w:rsidRDefault="00E373FB" w:rsidP="00CD0BFC">
      <w:pPr>
        <w:spacing w:after="0" w:line="360" w:lineRule="auto"/>
        <w:jc w:val="both"/>
        <w:rPr>
          <w:rFonts w:ascii="Times New Roman" w:eastAsia="Times New Roman" w:hAnsi="Times New Roman" w:cs="Times New Roman"/>
          <w:kern w:val="0"/>
          <w:sz w:val="24"/>
          <w:szCs w:val="24"/>
          <w:lang w:val="en-US"/>
          <w14:ligatures w14:val="none"/>
        </w:rPr>
      </w:pPr>
    </w:p>
    <w:p w14:paraId="50B764CA" w14:textId="77777777" w:rsidR="00E373FB" w:rsidRDefault="00E373FB" w:rsidP="00CD0BFC">
      <w:pPr>
        <w:spacing w:after="0" w:line="360" w:lineRule="auto"/>
        <w:jc w:val="both"/>
        <w:rPr>
          <w:rFonts w:ascii="Times New Roman" w:eastAsia="Times New Roman" w:hAnsi="Times New Roman" w:cs="Times New Roman"/>
          <w:kern w:val="0"/>
          <w:sz w:val="24"/>
          <w:szCs w:val="24"/>
          <w:lang w:val="en-US"/>
          <w14:ligatures w14:val="none"/>
        </w:rPr>
      </w:pPr>
    </w:p>
    <w:p w14:paraId="6CCB2565" w14:textId="77777777" w:rsidR="00E373FB" w:rsidRPr="00E373FB" w:rsidRDefault="00E373FB" w:rsidP="00E373FB">
      <w:pPr>
        <w:spacing w:after="0" w:line="360" w:lineRule="auto"/>
        <w:jc w:val="both"/>
        <w:rPr>
          <w:rFonts w:ascii="Times New Roman" w:eastAsia="Times New Roman" w:hAnsi="Times New Roman" w:cs="Times New Roman"/>
          <w:b/>
          <w:bCs/>
          <w:kern w:val="0"/>
          <w:sz w:val="24"/>
          <w:szCs w:val="24"/>
          <w:lang w:val="en-US"/>
          <w14:ligatures w14:val="none"/>
        </w:rPr>
      </w:pPr>
      <w:r w:rsidRPr="00E373FB">
        <w:rPr>
          <w:rFonts w:ascii="Times New Roman" w:eastAsia="Times New Roman" w:hAnsi="Times New Roman" w:cs="Times New Roman"/>
          <w:b/>
          <w:bCs/>
          <w:kern w:val="0"/>
          <w:sz w:val="24"/>
          <w:szCs w:val="24"/>
          <w:lang w:val="en-US"/>
          <w14:ligatures w14:val="none"/>
        </w:rPr>
        <w:lastRenderedPageBreak/>
        <w:t>Ethical Approval</w:t>
      </w:r>
    </w:p>
    <w:p w14:paraId="44589EC8" w14:textId="48667433" w:rsidR="00E373FB" w:rsidRDefault="00E373FB" w:rsidP="00E373FB">
      <w:pPr>
        <w:spacing w:after="0" w:line="360" w:lineRule="auto"/>
        <w:jc w:val="both"/>
        <w:rPr>
          <w:rFonts w:ascii="Times New Roman" w:eastAsia="Times New Roman" w:hAnsi="Times New Roman" w:cs="Times New Roman"/>
          <w:kern w:val="0"/>
          <w:sz w:val="24"/>
          <w:szCs w:val="24"/>
          <w:lang w:val="en-US"/>
          <w14:ligatures w14:val="none"/>
        </w:rPr>
      </w:pPr>
      <w:r w:rsidRPr="00E373FB">
        <w:rPr>
          <w:rFonts w:ascii="Times New Roman" w:eastAsia="Times New Roman" w:hAnsi="Times New Roman" w:cs="Times New Roman"/>
          <w:kern w:val="0"/>
          <w:sz w:val="24"/>
          <w:szCs w:val="24"/>
          <w:lang w:val="en-US"/>
          <w14:ligatures w14:val="none"/>
        </w:rPr>
        <w:t>Animal Ethic committee approval has been collected and preserved by the author(s)</w:t>
      </w:r>
    </w:p>
    <w:p w14:paraId="0410C4EE" w14:textId="77777777" w:rsidR="00E373FB" w:rsidRDefault="00E373FB" w:rsidP="00E373FB">
      <w:pPr>
        <w:spacing w:after="0" w:line="360" w:lineRule="auto"/>
        <w:jc w:val="both"/>
        <w:rPr>
          <w:rFonts w:ascii="Times New Roman" w:eastAsia="Times New Roman" w:hAnsi="Times New Roman" w:cs="Times New Roman"/>
          <w:kern w:val="0"/>
          <w:sz w:val="24"/>
          <w:szCs w:val="24"/>
          <w:lang w:val="en-US"/>
          <w14:ligatures w14:val="none"/>
        </w:rPr>
      </w:pPr>
    </w:p>
    <w:p w14:paraId="74F05291" w14:textId="77777777" w:rsidR="00E373FB" w:rsidRPr="001F616F" w:rsidRDefault="00E373FB" w:rsidP="00E373FB">
      <w:pPr>
        <w:spacing w:after="0" w:line="360" w:lineRule="auto"/>
        <w:jc w:val="both"/>
        <w:rPr>
          <w:rFonts w:ascii="Times New Roman" w:eastAsia="Times New Roman" w:hAnsi="Times New Roman" w:cs="Times New Roman"/>
          <w:kern w:val="0"/>
          <w:sz w:val="24"/>
          <w:szCs w:val="24"/>
          <w:lang w:val="en-US"/>
          <w14:ligatures w14:val="none"/>
        </w:rPr>
      </w:pPr>
    </w:p>
    <w:p w14:paraId="493830F4" w14:textId="77777777" w:rsidR="00CD0BFC" w:rsidRPr="001F616F" w:rsidRDefault="00CD0BFC" w:rsidP="00CD0BFC">
      <w:pPr>
        <w:spacing w:after="0" w:line="360" w:lineRule="auto"/>
        <w:jc w:val="both"/>
        <w:outlineLvl w:val="0"/>
        <w:rPr>
          <w:rFonts w:ascii="Times New Roman" w:eastAsia="Times New Roman" w:hAnsi="Times New Roman" w:cs="Times New Roman"/>
          <w:b/>
          <w:bCs/>
          <w:kern w:val="36"/>
          <w:sz w:val="24"/>
          <w:szCs w:val="24"/>
          <w:lang w:eastAsia="en-IN"/>
          <w14:ligatures w14:val="none"/>
        </w:rPr>
      </w:pPr>
      <w:r w:rsidRPr="001F616F">
        <w:rPr>
          <w:rFonts w:ascii="Times New Roman" w:eastAsia="Times New Roman" w:hAnsi="Times New Roman" w:cs="Times New Roman"/>
          <w:b/>
          <w:bCs/>
          <w:kern w:val="36"/>
          <w:sz w:val="24"/>
          <w:szCs w:val="24"/>
          <w:lang w:eastAsia="en-IN"/>
          <w14:ligatures w14:val="none"/>
        </w:rPr>
        <w:t>Conflict of Interest</w:t>
      </w:r>
    </w:p>
    <w:p w14:paraId="0BBAEDE4" w14:textId="77777777" w:rsidR="00CD0BFC" w:rsidRPr="001F616F" w:rsidRDefault="00CD0BFC" w:rsidP="00CD0BFC">
      <w:pPr>
        <w:spacing w:after="0" w:line="360" w:lineRule="auto"/>
        <w:jc w:val="both"/>
        <w:rPr>
          <w:rFonts w:ascii="Times New Roman" w:eastAsia="Times New Roman" w:hAnsi="Times New Roman" w:cs="Times New Roman"/>
          <w:kern w:val="0"/>
          <w:sz w:val="24"/>
          <w:szCs w:val="24"/>
          <w:lang w:eastAsia="en-IN"/>
          <w14:ligatures w14:val="none"/>
        </w:rPr>
      </w:pPr>
      <w:r w:rsidRPr="001F616F">
        <w:rPr>
          <w:rFonts w:ascii="Times New Roman" w:eastAsia="Times New Roman" w:hAnsi="Times New Roman" w:cs="Times New Roman"/>
          <w:kern w:val="0"/>
          <w:sz w:val="24"/>
          <w:szCs w:val="24"/>
          <w:lang w:eastAsia="en-IN"/>
          <w14:ligatures w14:val="none"/>
        </w:rPr>
        <w:t>The authors declare that there is no conflict of interest regarding the publication of this manuscript.</w:t>
      </w:r>
    </w:p>
    <w:p w14:paraId="1D44F0DD" w14:textId="77777777" w:rsidR="00CD0BFC" w:rsidRPr="001F616F" w:rsidRDefault="00CD0BFC" w:rsidP="00CD0BFC">
      <w:pPr>
        <w:spacing w:after="0" w:line="360" w:lineRule="auto"/>
        <w:jc w:val="both"/>
        <w:outlineLvl w:val="2"/>
        <w:rPr>
          <w:rFonts w:ascii="Times New Roman" w:eastAsia="Times New Roman" w:hAnsi="Times New Roman" w:cs="Times New Roman"/>
          <w:b/>
          <w:bCs/>
          <w:kern w:val="0"/>
          <w:sz w:val="24"/>
          <w:szCs w:val="24"/>
          <w:lang w:eastAsia="en-IN"/>
          <w14:ligatures w14:val="none"/>
        </w:rPr>
      </w:pPr>
      <w:r w:rsidRPr="001F616F">
        <w:rPr>
          <w:rFonts w:ascii="Times New Roman" w:eastAsia="Times New Roman" w:hAnsi="Times New Roman" w:cs="Times New Roman"/>
          <w:b/>
          <w:bCs/>
          <w:kern w:val="0"/>
          <w:sz w:val="24"/>
          <w:szCs w:val="24"/>
          <w:lang w:eastAsia="en-IN"/>
          <w14:ligatures w14:val="none"/>
        </w:rPr>
        <w:t>References</w:t>
      </w:r>
    </w:p>
    <w:p w14:paraId="08DE68EB" w14:textId="4C86BF7B" w:rsidR="00642F6D" w:rsidRPr="00642F6D" w:rsidRDefault="00642F6D" w:rsidP="00642F6D">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642F6D">
        <w:rPr>
          <w:rFonts w:ascii="Times New Roman" w:eastAsia="Times New Roman" w:hAnsi="Times New Roman" w:cs="Times New Roman"/>
          <w:kern w:val="0"/>
          <w:sz w:val="24"/>
          <w:szCs w:val="24"/>
          <w:lang w:val="en-US"/>
          <w14:ligatures w14:val="none"/>
        </w:rPr>
        <w:t xml:space="preserve">Backus, R. C., &amp; Ueda, D. C. (2024). Age-dependent changes in plasma concentrations of 25-hydroxyvitamin D may complicate vitamin D status assessment of immature cats. </w:t>
      </w:r>
      <w:r w:rsidRPr="00642F6D">
        <w:rPr>
          <w:rFonts w:ascii="Times New Roman" w:eastAsia="Times New Roman" w:hAnsi="Times New Roman" w:cs="Times New Roman"/>
          <w:i/>
          <w:iCs/>
          <w:kern w:val="0"/>
          <w:sz w:val="24"/>
          <w:szCs w:val="24"/>
          <w:lang w:val="en-US"/>
          <w14:ligatures w14:val="none"/>
        </w:rPr>
        <w:t>Frontiers in Veterinary Science, 11</w:t>
      </w:r>
      <w:r w:rsidRPr="00642F6D">
        <w:rPr>
          <w:rFonts w:ascii="Times New Roman" w:eastAsia="Times New Roman" w:hAnsi="Times New Roman" w:cs="Times New Roman"/>
          <w:kern w:val="0"/>
          <w:sz w:val="24"/>
          <w:szCs w:val="24"/>
          <w:lang w:val="en-US"/>
          <w14:ligatures w14:val="none"/>
        </w:rPr>
        <w:t xml:space="preserve">, Article 1365204. </w:t>
      </w:r>
      <w:hyperlink r:id="rId10" w:history="1">
        <w:r w:rsidRPr="00642F6D">
          <w:rPr>
            <w:rFonts w:ascii="Times New Roman" w:eastAsia="Times New Roman" w:hAnsi="Times New Roman" w:cs="Times New Roman"/>
            <w:color w:val="0000FF"/>
            <w:kern w:val="0"/>
            <w:sz w:val="24"/>
            <w:szCs w:val="24"/>
            <w:u w:val="single"/>
            <w:lang w:val="en-US"/>
            <w14:ligatures w14:val="none"/>
          </w:rPr>
          <w:t>https://doi.org/10.3389/fvets.2024.1365204</w:t>
        </w:r>
      </w:hyperlink>
    </w:p>
    <w:p w14:paraId="576BBB2A" w14:textId="5214FA4B" w:rsidR="00642F6D" w:rsidRPr="00642F6D" w:rsidRDefault="00642F6D" w:rsidP="00642F6D">
      <w:pPr>
        <w:spacing w:after="0" w:line="240" w:lineRule="auto"/>
        <w:ind w:left="540" w:hanging="540"/>
        <w:jc w:val="both"/>
        <w:rPr>
          <w:rFonts w:ascii="Times New Roman" w:eastAsia="Times New Roman" w:hAnsi="Times New Roman" w:cs="Times New Roman"/>
          <w:kern w:val="0"/>
          <w:sz w:val="24"/>
          <w:szCs w:val="24"/>
          <w:lang w:val="en-US"/>
          <w14:ligatures w14:val="none"/>
        </w:rPr>
      </w:pPr>
      <w:proofErr w:type="spellStart"/>
      <w:r w:rsidRPr="00642F6D">
        <w:rPr>
          <w:rFonts w:ascii="Times New Roman" w:eastAsia="Times New Roman" w:hAnsi="Times New Roman" w:cs="Times New Roman"/>
          <w:kern w:val="0"/>
          <w:sz w:val="24"/>
          <w:szCs w:val="24"/>
          <w:lang w:val="en-US"/>
          <w14:ligatures w14:val="none"/>
        </w:rPr>
        <w:t>Chasnick</w:t>
      </w:r>
      <w:proofErr w:type="spellEnd"/>
      <w:r w:rsidRPr="00642F6D">
        <w:rPr>
          <w:rFonts w:ascii="Times New Roman" w:eastAsia="Times New Roman" w:hAnsi="Times New Roman" w:cs="Times New Roman"/>
          <w:kern w:val="0"/>
          <w:sz w:val="24"/>
          <w:szCs w:val="24"/>
          <w:lang w:val="en-US"/>
          <w14:ligatures w14:val="none"/>
        </w:rPr>
        <w:t xml:space="preserve">, I. R., &amp; Levy, N. A. (2026). Acute vitamin D toxicosis in an adult cat. </w:t>
      </w:r>
      <w:r w:rsidRPr="00642F6D">
        <w:rPr>
          <w:rFonts w:ascii="Times New Roman" w:eastAsia="Times New Roman" w:hAnsi="Times New Roman" w:cs="Times New Roman"/>
          <w:i/>
          <w:iCs/>
          <w:kern w:val="0"/>
          <w:sz w:val="24"/>
          <w:szCs w:val="24"/>
          <w:lang w:val="en-US"/>
          <w14:ligatures w14:val="none"/>
        </w:rPr>
        <w:t>Journal of Feline Medicine and Surgery Open Reports, 12</w:t>
      </w:r>
      <w:r w:rsidRPr="00642F6D">
        <w:rPr>
          <w:rFonts w:ascii="Times New Roman" w:eastAsia="Times New Roman" w:hAnsi="Times New Roman" w:cs="Times New Roman"/>
          <w:kern w:val="0"/>
          <w:sz w:val="24"/>
          <w:szCs w:val="24"/>
          <w:lang w:val="en-US"/>
          <w14:ligatures w14:val="none"/>
        </w:rPr>
        <w:t xml:space="preserve">(1), Article 20551169261448248. </w:t>
      </w:r>
      <w:hyperlink r:id="rId11" w:history="1">
        <w:r w:rsidRPr="00642F6D">
          <w:rPr>
            <w:rFonts w:ascii="Times New Roman" w:eastAsia="Times New Roman" w:hAnsi="Times New Roman" w:cs="Times New Roman"/>
            <w:color w:val="0000FF"/>
            <w:kern w:val="0"/>
            <w:sz w:val="24"/>
            <w:szCs w:val="24"/>
            <w:u w:val="single"/>
            <w:lang w:val="en-US"/>
            <w14:ligatures w14:val="none"/>
          </w:rPr>
          <w:t>https://doi.org/10.1177/20551169261448248</w:t>
        </w:r>
      </w:hyperlink>
    </w:p>
    <w:p w14:paraId="5AF81226" w14:textId="3D3CB8E3" w:rsidR="00642F6D" w:rsidRPr="00642F6D" w:rsidRDefault="00642F6D" w:rsidP="00642F6D">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642F6D">
        <w:rPr>
          <w:rFonts w:ascii="Times New Roman" w:eastAsia="Times New Roman" w:hAnsi="Times New Roman" w:cs="Times New Roman"/>
          <w:kern w:val="0"/>
          <w:sz w:val="24"/>
          <w:szCs w:val="24"/>
          <w:lang w:val="en-US"/>
          <w14:ligatures w14:val="none"/>
        </w:rPr>
        <w:t xml:space="preserve">Ettinger, S. J., Feldman, E. C., &amp; Côté, E. (Eds.). (2024). </w:t>
      </w:r>
      <w:r w:rsidRPr="00642F6D">
        <w:rPr>
          <w:rFonts w:ascii="Times New Roman" w:eastAsia="Times New Roman" w:hAnsi="Times New Roman" w:cs="Times New Roman"/>
          <w:i/>
          <w:iCs/>
          <w:kern w:val="0"/>
          <w:sz w:val="24"/>
          <w:szCs w:val="24"/>
          <w:lang w:val="en-US"/>
          <w14:ligatures w14:val="none"/>
        </w:rPr>
        <w:t>Ettinger’s textbook of veterinary internal medicine: Diseases of the dog and the cat</w:t>
      </w:r>
      <w:r w:rsidRPr="00642F6D">
        <w:rPr>
          <w:rFonts w:ascii="Times New Roman" w:eastAsia="Times New Roman" w:hAnsi="Times New Roman" w:cs="Times New Roman"/>
          <w:kern w:val="0"/>
          <w:sz w:val="24"/>
          <w:szCs w:val="24"/>
          <w:lang w:val="en-US"/>
          <w14:ligatures w14:val="none"/>
        </w:rPr>
        <w:t xml:space="preserve"> (9th ed.). Elsevier. </w:t>
      </w:r>
      <w:hyperlink r:id="rId12" w:history="1">
        <w:r w:rsidRPr="00642F6D">
          <w:rPr>
            <w:rFonts w:ascii="Times New Roman" w:eastAsia="Times New Roman" w:hAnsi="Times New Roman" w:cs="Times New Roman"/>
            <w:color w:val="0000FF"/>
            <w:kern w:val="0"/>
            <w:sz w:val="24"/>
            <w:szCs w:val="24"/>
            <w:u w:val="single"/>
            <w:lang w:val="en-US"/>
            <w14:ligatures w14:val="none"/>
          </w:rPr>
          <w:t>https://www.us.elsevierhealth.com/ettingers-textbook-of-veterinary-internal-medicine-9780323775728.html</w:t>
        </w:r>
      </w:hyperlink>
    </w:p>
    <w:p w14:paraId="79DD181D" w14:textId="184F15E3" w:rsidR="00642F6D" w:rsidRPr="00642F6D" w:rsidRDefault="00642F6D" w:rsidP="00642F6D">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642F6D">
        <w:rPr>
          <w:rFonts w:ascii="Times New Roman" w:eastAsia="Times New Roman" w:hAnsi="Times New Roman" w:cs="Times New Roman"/>
          <w:kern w:val="0"/>
          <w:sz w:val="24"/>
          <w:szCs w:val="24"/>
          <w:lang w:val="en-US"/>
          <w14:ligatures w14:val="none"/>
        </w:rPr>
        <w:t xml:space="preserve">Ippolito, E., </w:t>
      </w:r>
      <w:proofErr w:type="spellStart"/>
      <w:r w:rsidRPr="00642F6D">
        <w:rPr>
          <w:rFonts w:ascii="Times New Roman" w:eastAsia="Times New Roman" w:hAnsi="Times New Roman" w:cs="Times New Roman"/>
          <w:kern w:val="0"/>
          <w:sz w:val="24"/>
          <w:szCs w:val="24"/>
          <w:lang w:val="en-US"/>
          <w14:ligatures w14:val="none"/>
        </w:rPr>
        <w:t>Merkhassine</w:t>
      </w:r>
      <w:proofErr w:type="spellEnd"/>
      <w:r w:rsidRPr="00642F6D">
        <w:rPr>
          <w:rFonts w:ascii="Times New Roman" w:eastAsia="Times New Roman" w:hAnsi="Times New Roman" w:cs="Times New Roman"/>
          <w:kern w:val="0"/>
          <w:sz w:val="24"/>
          <w:szCs w:val="24"/>
          <w:lang w:val="en-US"/>
          <w14:ligatures w14:val="none"/>
        </w:rPr>
        <w:t xml:space="preserve">, M., Forbes, J. M., &amp; Loftus, J. P. (2024). Elevated 24,25-dihydroxyvitamin D serum concentrations in two dogs with cholecalciferol toxicosis. </w:t>
      </w:r>
      <w:r w:rsidRPr="00642F6D">
        <w:rPr>
          <w:rFonts w:ascii="Times New Roman" w:eastAsia="Times New Roman" w:hAnsi="Times New Roman" w:cs="Times New Roman"/>
          <w:i/>
          <w:iCs/>
          <w:kern w:val="0"/>
          <w:sz w:val="24"/>
          <w:szCs w:val="24"/>
          <w:lang w:val="en-US"/>
          <w14:ligatures w14:val="none"/>
        </w:rPr>
        <w:t>Pets, 1</w:t>
      </w:r>
      <w:r w:rsidRPr="00642F6D">
        <w:rPr>
          <w:rFonts w:ascii="Times New Roman" w:eastAsia="Times New Roman" w:hAnsi="Times New Roman" w:cs="Times New Roman"/>
          <w:kern w:val="0"/>
          <w:sz w:val="24"/>
          <w:szCs w:val="24"/>
          <w:lang w:val="en-US"/>
          <w14:ligatures w14:val="none"/>
        </w:rPr>
        <w:t xml:space="preserve">(3), 420–426. </w:t>
      </w:r>
      <w:hyperlink r:id="rId13" w:history="1">
        <w:r w:rsidRPr="00642F6D">
          <w:rPr>
            <w:rFonts w:ascii="Times New Roman" w:eastAsia="Times New Roman" w:hAnsi="Times New Roman" w:cs="Times New Roman"/>
            <w:color w:val="0000FF"/>
            <w:kern w:val="0"/>
            <w:sz w:val="24"/>
            <w:szCs w:val="24"/>
            <w:u w:val="single"/>
            <w:lang w:val="en-US"/>
            <w14:ligatures w14:val="none"/>
          </w:rPr>
          <w:t>https://doi.org/10.3390/pets1030029</w:t>
        </w:r>
      </w:hyperlink>
    </w:p>
    <w:p w14:paraId="31F30859" w14:textId="46530ADA" w:rsidR="00642F6D" w:rsidRPr="00642F6D" w:rsidRDefault="00642F6D" w:rsidP="00642F6D">
      <w:pPr>
        <w:spacing w:after="0" w:line="240" w:lineRule="auto"/>
        <w:ind w:left="540" w:hanging="540"/>
        <w:jc w:val="both"/>
        <w:rPr>
          <w:rFonts w:ascii="Times New Roman" w:eastAsia="Times New Roman" w:hAnsi="Times New Roman" w:cs="Times New Roman"/>
          <w:kern w:val="0"/>
          <w:sz w:val="24"/>
          <w:szCs w:val="24"/>
          <w:lang w:val="en-US"/>
          <w14:ligatures w14:val="none"/>
        </w:rPr>
      </w:pPr>
      <w:proofErr w:type="spellStart"/>
      <w:r w:rsidRPr="00642F6D">
        <w:rPr>
          <w:rFonts w:ascii="Times New Roman" w:eastAsia="Times New Roman" w:hAnsi="Times New Roman" w:cs="Times New Roman"/>
          <w:kern w:val="0"/>
          <w:sz w:val="24"/>
          <w:szCs w:val="24"/>
          <w:lang w:val="en-US"/>
          <w14:ligatures w14:val="none"/>
        </w:rPr>
        <w:t>Klainbart</w:t>
      </w:r>
      <w:proofErr w:type="spellEnd"/>
      <w:r w:rsidRPr="00642F6D">
        <w:rPr>
          <w:rFonts w:ascii="Times New Roman" w:eastAsia="Times New Roman" w:hAnsi="Times New Roman" w:cs="Times New Roman"/>
          <w:kern w:val="0"/>
          <w:sz w:val="24"/>
          <w:szCs w:val="24"/>
          <w:lang w:val="en-US"/>
          <w14:ligatures w14:val="none"/>
        </w:rPr>
        <w:t xml:space="preserve">, S., &amp; </w:t>
      </w:r>
      <w:proofErr w:type="spellStart"/>
      <w:r w:rsidRPr="00642F6D">
        <w:rPr>
          <w:rFonts w:ascii="Times New Roman" w:eastAsia="Times New Roman" w:hAnsi="Times New Roman" w:cs="Times New Roman"/>
          <w:kern w:val="0"/>
          <w:sz w:val="24"/>
          <w:szCs w:val="24"/>
          <w:lang w:val="en-US"/>
          <w14:ligatures w14:val="none"/>
        </w:rPr>
        <w:t>Aroch</w:t>
      </w:r>
      <w:proofErr w:type="spellEnd"/>
      <w:r w:rsidRPr="00642F6D">
        <w:rPr>
          <w:rFonts w:ascii="Times New Roman" w:eastAsia="Times New Roman" w:hAnsi="Times New Roman" w:cs="Times New Roman"/>
          <w:kern w:val="0"/>
          <w:sz w:val="24"/>
          <w:szCs w:val="24"/>
          <w:lang w:val="en-US"/>
          <w14:ligatures w14:val="none"/>
        </w:rPr>
        <w:t xml:space="preserve">, I. (2024). Hypercalcemia. In S. J. Ettinger, E. C. Feldman, and E. Côté (Eds.), </w:t>
      </w:r>
      <w:r w:rsidRPr="00642F6D">
        <w:rPr>
          <w:rFonts w:ascii="Times New Roman" w:eastAsia="Times New Roman" w:hAnsi="Times New Roman" w:cs="Times New Roman"/>
          <w:i/>
          <w:iCs/>
          <w:kern w:val="0"/>
          <w:sz w:val="24"/>
          <w:szCs w:val="24"/>
          <w:lang w:val="en-US"/>
          <w14:ligatures w14:val="none"/>
        </w:rPr>
        <w:t>Ettinger’s textbook of veterinary internal medicine: Diseases of the dog and the cat</w:t>
      </w:r>
      <w:r w:rsidRPr="00642F6D">
        <w:rPr>
          <w:rFonts w:ascii="Times New Roman" w:eastAsia="Times New Roman" w:hAnsi="Times New Roman" w:cs="Times New Roman"/>
          <w:kern w:val="0"/>
          <w:sz w:val="24"/>
          <w:szCs w:val="24"/>
          <w:lang w:val="en-US"/>
          <w14:ligatures w14:val="none"/>
        </w:rPr>
        <w:t xml:space="preserve"> (9th ed.). Elsevier. </w:t>
      </w:r>
      <w:hyperlink r:id="rId14" w:history="1">
        <w:r w:rsidRPr="00642F6D">
          <w:rPr>
            <w:rFonts w:ascii="Times New Roman" w:eastAsia="Times New Roman" w:hAnsi="Times New Roman" w:cs="Times New Roman"/>
            <w:color w:val="0000FF"/>
            <w:kern w:val="0"/>
            <w:sz w:val="24"/>
            <w:szCs w:val="24"/>
            <w:u w:val="single"/>
            <w:lang w:val="en-US"/>
            <w14:ligatures w14:val="none"/>
          </w:rPr>
          <w:t>https://www.us.elsevierhealth.com/ettingers-textbook-of-veterinary-internal-medicine-9780323775728.html</w:t>
        </w:r>
      </w:hyperlink>
    </w:p>
    <w:p w14:paraId="539402E4" w14:textId="270DF16F" w:rsidR="00642F6D" w:rsidRPr="00642F6D" w:rsidRDefault="00642F6D" w:rsidP="00642F6D">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642F6D">
        <w:rPr>
          <w:rFonts w:ascii="Times New Roman" w:eastAsia="Times New Roman" w:hAnsi="Times New Roman" w:cs="Times New Roman"/>
          <w:kern w:val="0"/>
          <w:sz w:val="24"/>
          <w:szCs w:val="24"/>
          <w:lang w:val="en-US"/>
          <w14:ligatures w14:val="none"/>
        </w:rPr>
        <w:t xml:space="preserve">Mellanby, R. J., Mee, A. P., Berry, J. L., &amp; </w:t>
      </w:r>
      <w:proofErr w:type="spellStart"/>
      <w:r w:rsidRPr="00642F6D">
        <w:rPr>
          <w:rFonts w:ascii="Times New Roman" w:eastAsia="Times New Roman" w:hAnsi="Times New Roman" w:cs="Times New Roman"/>
          <w:kern w:val="0"/>
          <w:sz w:val="24"/>
          <w:szCs w:val="24"/>
          <w:lang w:val="en-US"/>
          <w14:ligatures w14:val="none"/>
        </w:rPr>
        <w:t>Herrtage</w:t>
      </w:r>
      <w:proofErr w:type="spellEnd"/>
      <w:r w:rsidRPr="00642F6D">
        <w:rPr>
          <w:rFonts w:ascii="Times New Roman" w:eastAsia="Times New Roman" w:hAnsi="Times New Roman" w:cs="Times New Roman"/>
          <w:kern w:val="0"/>
          <w:sz w:val="24"/>
          <w:szCs w:val="24"/>
          <w:lang w:val="en-US"/>
          <w14:ligatures w14:val="none"/>
        </w:rPr>
        <w:t xml:space="preserve">, M. E. (2005). </w:t>
      </w:r>
      <w:proofErr w:type="spellStart"/>
      <w:r w:rsidRPr="00642F6D">
        <w:rPr>
          <w:rFonts w:ascii="Times New Roman" w:eastAsia="Times New Roman" w:hAnsi="Times New Roman" w:cs="Times New Roman"/>
          <w:kern w:val="0"/>
          <w:sz w:val="24"/>
          <w:szCs w:val="24"/>
          <w:lang w:val="en-US"/>
          <w14:ligatures w14:val="none"/>
        </w:rPr>
        <w:t>Hypercalcaemia</w:t>
      </w:r>
      <w:proofErr w:type="spellEnd"/>
      <w:r w:rsidRPr="00642F6D">
        <w:rPr>
          <w:rFonts w:ascii="Times New Roman" w:eastAsia="Times New Roman" w:hAnsi="Times New Roman" w:cs="Times New Roman"/>
          <w:kern w:val="0"/>
          <w:sz w:val="24"/>
          <w:szCs w:val="24"/>
          <w:lang w:val="en-US"/>
          <w14:ligatures w14:val="none"/>
        </w:rPr>
        <w:t xml:space="preserve"> in two dogs caused by excessive dietary supplementation of vitamin D. </w:t>
      </w:r>
      <w:r w:rsidRPr="00642F6D">
        <w:rPr>
          <w:rFonts w:ascii="Times New Roman" w:eastAsia="Times New Roman" w:hAnsi="Times New Roman" w:cs="Times New Roman"/>
          <w:i/>
          <w:iCs/>
          <w:kern w:val="0"/>
          <w:sz w:val="24"/>
          <w:szCs w:val="24"/>
          <w:lang w:val="en-US"/>
          <w14:ligatures w14:val="none"/>
        </w:rPr>
        <w:t>Journal of Small Animal Practice, 46</w:t>
      </w:r>
      <w:r w:rsidRPr="00642F6D">
        <w:rPr>
          <w:rFonts w:ascii="Times New Roman" w:eastAsia="Times New Roman" w:hAnsi="Times New Roman" w:cs="Times New Roman"/>
          <w:kern w:val="0"/>
          <w:sz w:val="24"/>
          <w:szCs w:val="24"/>
          <w:lang w:val="en-US"/>
          <w14:ligatures w14:val="none"/>
        </w:rPr>
        <w:t xml:space="preserve">(7), 334–338. </w:t>
      </w:r>
      <w:hyperlink r:id="rId15" w:history="1">
        <w:r w:rsidRPr="00642F6D">
          <w:rPr>
            <w:rFonts w:ascii="Times New Roman" w:eastAsia="Times New Roman" w:hAnsi="Times New Roman" w:cs="Times New Roman"/>
            <w:color w:val="0000FF"/>
            <w:kern w:val="0"/>
            <w:sz w:val="24"/>
            <w:szCs w:val="24"/>
            <w:u w:val="single"/>
            <w:lang w:val="en-US"/>
            <w14:ligatures w14:val="none"/>
          </w:rPr>
          <w:t>https://doi.org/10.1111/j.1748-5827.2005.tb00329.x</w:t>
        </w:r>
      </w:hyperlink>
    </w:p>
    <w:p w14:paraId="703FC662" w14:textId="6D403FBA" w:rsidR="00642F6D" w:rsidRPr="00642F6D" w:rsidRDefault="00642F6D" w:rsidP="00642F6D">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642F6D">
        <w:rPr>
          <w:rFonts w:ascii="Times New Roman" w:eastAsia="Times New Roman" w:hAnsi="Times New Roman" w:cs="Times New Roman"/>
          <w:kern w:val="0"/>
          <w:sz w:val="24"/>
          <w:szCs w:val="24"/>
          <w:lang w:val="en-US"/>
          <w14:ligatures w14:val="none"/>
        </w:rPr>
        <w:t xml:space="preserve">Peterson, M. E., &amp; Talcott, P. A. (Eds.). (2021). </w:t>
      </w:r>
      <w:r w:rsidRPr="00642F6D">
        <w:rPr>
          <w:rFonts w:ascii="Times New Roman" w:eastAsia="Times New Roman" w:hAnsi="Times New Roman" w:cs="Times New Roman"/>
          <w:i/>
          <w:iCs/>
          <w:kern w:val="0"/>
          <w:sz w:val="24"/>
          <w:szCs w:val="24"/>
          <w:lang w:val="en-US"/>
          <w14:ligatures w14:val="none"/>
        </w:rPr>
        <w:t>Small animal toxicology</w:t>
      </w:r>
      <w:r w:rsidRPr="00642F6D">
        <w:rPr>
          <w:rFonts w:ascii="Times New Roman" w:eastAsia="Times New Roman" w:hAnsi="Times New Roman" w:cs="Times New Roman"/>
          <w:kern w:val="0"/>
          <w:sz w:val="24"/>
          <w:szCs w:val="24"/>
          <w:lang w:val="en-US"/>
          <w14:ligatures w14:val="none"/>
        </w:rPr>
        <w:t xml:space="preserve"> (4th ed.). Elsevier. </w:t>
      </w:r>
      <w:hyperlink r:id="rId16" w:history="1">
        <w:r w:rsidRPr="00642F6D">
          <w:rPr>
            <w:rFonts w:ascii="Times New Roman" w:eastAsia="Times New Roman" w:hAnsi="Times New Roman" w:cs="Times New Roman"/>
            <w:color w:val="0000FF"/>
            <w:kern w:val="0"/>
            <w:sz w:val="24"/>
            <w:szCs w:val="24"/>
            <w:u w:val="single"/>
            <w:lang w:val="en-US"/>
            <w14:ligatures w14:val="none"/>
          </w:rPr>
          <w:t>https://www.us.elsevierhealth.com/small-animal-toxicology-9780323851602.html</w:t>
        </w:r>
      </w:hyperlink>
    </w:p>
    <w:p w14:paraId="59AA8A79" w14:textId="026216E5" w:rsidR="00642F6D" w:rsidRPr="00642F6D" w:rsidRDefault="00642F6D" w:rsidP="00642F6D">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642F6D">
        <w:rPr>
          <w:rFonts w:ascii="Times New Roman" w:eastAsia="Times New Roman" w:hAnsi="Times New Roman" w:cs="Times New Roman"/>
          <w:kern w:val="0"/>
          <w:sz w:val="24"/>
          <w:szCs w:val="24"/>
          <w:lang w:val="en-US"/>
          <w14:ligatures w14:val="none"/>
        </w:rPr>
        <w:t xml:space="preserve">Plumb, D. C. (2024). </w:t>
      </w:r>
      <w:r w:rsidRPr="00642F6D">
        <w:rPr>
          <w:rFonts w:ascii="Times New Roman" w:eastAsia="Times New Roman" w:hAnsi="Times New Roman" w:cs="Times New Roman"/>
          <w:i/>
          <w:iCs/>
          <w:kern w:val="0"/>
          <w:sz w:val="24"/>
          <w:szCs w:val="24"/>
          <w:lang w:val="en-US"/>
          <w14:ligatures w14:val="none"/>
        </w:rPr>
        <w:t>Plumb’s veterinary drug handbook</w:t>
      </w:r>
      <w:r w:rsidRPr="00642F6D">
        <w:rPr>
          <w:rFonts w:ascii="Times New Roman" w:eastAsia="Times New Roman" w:hAnsi="Times New Roman" w:cs="Times New Roman"/>
          <w:kern w:val="0"/>
          <w:sz w:val="24"/>
          <w:szCs w:val="24"/>
          <w:lang w:val="en-US"/>
          <w14:ligatures w14:val="none"/>
        </w:rPr>
        <w:t xml:space="preserve"> (10th ed.). Wiley-Blackwell. </w:t>
      </w:r>
      <w:hyperlink r:id="rId17" w:history="1">
        <w:r w:rsidRPr="00642F6D">
          <w:rPr>
            <w:rFonts w:ascii="Times New Roman" w:eastAsia="Times New Roman" w:hAnsi="Times New Roman" w:cs="Times New Roman"/>
            <w:color w:val="0000FF"/>
            <w:kern w:val="0"/>
            <w:sz w:val="24"/>
            <w:szCs w:val="24"/>
            <w:u w:val="single"/>
            <w:lang w:val="en-US"/>
            <w14:ligatures w14:val="none"/>
          </w:rPr>
          <w:t>https://www.wiley.com/en-us/Plumb%27s+Veterinary+Drug+Handbook%2C+10th+Edition-p-9781119834458</w:t>
        </w:r>
      </w:hyperlink>
    </w:p>
    <w:p w14:paraId="7E8F1AF2" w14:textId="186C6F8A" w:rsidR="00642F6D" w:rsidRPr="00642F6D" w:rsidRDefault="00642F6D" w:rsidP="00642F6D">
      <w:pPr>
        <w:spacing w:after="0" w:line="240" w:lineRule="auto"/>
        <w:ind w:left="540" w:hanging="540"/>
        <w:jc w:val="both"/>
        <w:rPr>
          <w:rFonts w:ascii="Times New Roman" w:eastAsia="Times New Roman" w:hAnsi="Times New Roman" w:cs="Times New Roman"/>
          <w:kern w:val="0"/>
          <w:sz w:val="24"/>
          <w:szCs w:val="24"/>
          <w:lang w:val="en-US"/>
          <w14:ligatures w14:val="none"/>
        </w:rPr>
      </w:pPr>
      <w:proofErr w:type="spellStart"/>
      <w:r w:rsidRPr="00642F6D">
        <w:rPr>
          <w:rFonts w:ascii="Times New Roman" w:eastAsia="Times New Roman" w:hAnsi="Times New Roman" w:cs="Times New Roman"/>
          <w:kern w:val="0"/>
          <w:sz w:val="24"/>
          <w:szCs w:val="24"/>
          <w:lang w:val="en-US"/>
          <w14:ligatures w14:val="none"/>
        </w:rPr>
        <w:t>Rumbeiha</w:t>
      </w:r>
      <w:proofErr w:type="spellEnd"/>
      <w:r w:rsidRPr="00642F6D">
        <w:rPr>
          <w:rFonts w:ascii="Times New Roman" w:eastAsia="Times New Roman" w:hAnsi="Times New Roman" w:cs="Times New Roman"/>
          <w:kern w:val="0"/>
          <w:sz w:val="24"/>
          <w:szCs w:val="24"/>
          <w:lang w:val="en-US"/>
          <w14:ligatures w14:val="none"/>
        </w:rPr>
        <w:t xml:space="preserve">, W. K. (2013). Cholecalciferol. In M. E. Peterson &amp; P. A. Talcott (Eds.), </w:t>
      </w:r>
      <w:r w:rsidRPr="00642F6D">
        <w:rPr>
          <w:rFonts w:ascii="Times New Roman" w:eastAsia="Times New Roman" w:hAnsi="Times New Roman" w:cs="Times New Roman"/>
          <w:i/>
          <w:iCs/>
          <w:kern w:val="0"/>
          <w:sz w:val="24"/>
          <w:szCs w:val="24"/>
          <w:lang w:val="en-US"/>
          <w14:ligatures w14:val="none"/>
        </w:rPr>
        <w:t>Small animal toxicology</w:t>
      </w:r>
      <w:r w:rsidRPr="00642F6D">
        <w:rPr>
          <w:rFonts w:ascii="Times New Roman" w:eastAsia="Times New Roman" w:hAnsi="Times New Roman" w:cs="Times New Roman"/>
          <w:kern w:val="0"/>
          <w:sz w:val="24"/>
          <w:szCs w:val="24"/>
          <w:lang w:val="en-US"/>
          <w14:ligatures w14:val="none"/>
        </w:rPr>
        <w:t xml:space="preserve"> (3rd ed., pp. 489–498). Elsevier. </w:t>
      </w:r>
      <w:hyperlink r:id="rId18" w:history="1">
        <w:r w:rsidRPr="00642F6D">
          <w:rPr>
            <w:rFonts w:ascii="Times New Roman" w:eastAsia="Times New Roman" w:hAnsi="Times New Roman" w:cs="Times New Roman"/>
            <w:color w:val="0000FF"/>
            <w:kern w:val="0"/>
            <w:sz w:val="24"/>
            <w:szCs w:val="24"/>
            <w:u w:val="single"/>
            <w:lang w:val="en-US"/>
            <w14:ligatures w14:val="none"/>
          </w:rPr>
          <w:t>https://doi.org/10.1016/B978-1-4557-0717-1.00038-7</w:t>
        </w:r>
      </w:hyperlink>
    </w:p>
    <w:p w14:paraId="5309B1B2" w14:textId="172AA77F" w:rsidR="00642F6D" w:rsidRPr="00642F6D" w:rsidRDefault="00642F6D" w:rsidP="00642F6D">
      <w:pPr>
        <w:spacing w:after="0" w:line="240" w:lineRule="auto"/>
        <w:ind w:left="540" w:hanging="540"/>
        <w:jc w:val="both"/>
        <w:rPr>
          <w:rFonts w:ascii="Times New Roman" w:eastAsia="Times New Roman" w:hAnsi="Times New Roman" w:cs="Times New Roman"/>
          <w:kern w:val="0"/>
          <w:sz w:val="24"/>
          <w:szCs w:val="24"/>
          <w:lang w:val="en-US"/>
          <w14:ligatures w14:val="none"/>
        </w:rPr>
      </w:pPr>
      <w:proofErr w:type="spellStart"/>
      <w:r w:rsidRPr="00642F6D">
        <w:rPr>
          <w:rFonts w:ascii="Times New Roman" w:eastAsia="Times New Roman" w:hAnsi="Times New Roman" w:cs="Times New Roman"/>
          <w:kern w:val="0"/>
          <w:sz w:val="24"/>
          <w:szCs w:val="24"/>
          <w:lang w:val="en-US"/>
          <w14:ligatures w14:val="none"/>
        </w:rPr>
        <w:t>Vecchiato</w:t>
      </w:r>
      <w:proofErr w:type="spellEnd"/>
      <w:r w:rsidRPr="00642F6D">
        <w:rPr>
          <w:rFonts w:ascii="Times New Roman" w:eastAsia="Times New Roman" w:hAnsi="Times New Roman" w:cs="Times New Roman"/>
          <w:kern w:val="0"/>
          <w:sz w:val="24"/>
          <w:szCs w:val="24"/>
          <w:lang w:val="en-US"/>
          <w14:ligatures w14:val="none"/>
        </w:rPr>
        <w:t xml:space="preserve">, C. G., </w:t>
      </w:r>
      <w:proofErr w:type="spellStart"/>
      <w:r w:rsidRPr="00642F6D">
        <w:rPr>
          <w:rFonts w:ascii="Times New Roman" w:eastAsia="Times New Roman" w:hAnsi="Times New Roman" w:cs="Times New Roman"/>
          <w:kern w:val="0"/>
          <w:sz w:val="24"/>
          <w:szCs w:val="24"/>
          <w:lang w:val="en-US"/>
          <w14:ligatures w14:val="none"/>
        </w:rPr>
        <w:t>Delsante</w:t>
      </w:r>
      <w:proofErr w:type="spellEnd"/>
      <w:r w:rsidRPr="00642F6D">
        <w:rPr>
          <w:rFonts w:ascii="Times New Roman" w:eastAsia="Times New Roman" w:hAnsi="Times New Roman" w:cs="Times New Roman"/>
          <w:kern w:val="0"/>
          <w:sz w:val="24"/>
          <w:szCs w:val="24"/>
          <w:lang w:val="en-US"/>
          <w14:ligatures w14:val="none"/>
        </w:rPr>
        <w:t xml:space="preserve">, C., </w:t>
      </w:r>
      <w:proofErr w:type="spellStart"/>
      <w:r w:rsidRPr="00642F6D">
        <w:rPr>
          <w:rFonts w:ascii="Times New Roman" w:eastAsia="Times New Roman" w:hAnsi="Times New Roman" w:cs="Times New Roman"/>
          <w:kern w:val="0"/>
          <w:sz w:val="24"/>
          <w:szCs w:val="24"/>
          <w:lang w:val="en-US"/>
          <w14:ligatures w14:val="none"/>
        </w:rPr>
        <w:t>Galiazzo</w:t>
      </w:r>
      <w:proofErr w:type="spellEnd"/>
      <w:r w:rsidRPr="00642F6D">
        <w:rPr>
          <w:rFonts w:ascii="Times New Roman" w:eastAsia="Times New Roman" w:hAnsi="Times New Roman" w:cs="Times New Roman"/>
          <w:kern w:val="0"/>
          <w:sz w:val="24"/>
          <w:szCs w:val="24"/>
          <w:lang w:val="en-US"/>
          <w14:ligatures w14:val="none"/>
        </w:rPr>
        <w:t xml:space="preserve">, G., Perfetti, S., Pinna, C., Sabetti, M. C., </w:t>
      </w:r>
      <w:proofErr w:type="spellStart"/>
      <w:r w:rsidRPr="00642F6D">
        <w:rPr>
          <w:rFonts w:ascii="Times New Roman" w:eastAsia="Times New Roman" w:hAnsi="Times New Roman" w:cs="Times New Roman"/>
          <w:kern w:val="0"/>
          <w:sz w:val="24"/>
          <w:szCs w:val="24"/>
          <w:lang w:val="en-US"/>
          <w14:ligatures w14:val="none"/>
        </w:rPr>
        <w:t>Zagnoli</w:t>
      </w:r>
      <w:proofErr w:type="spellEnd"/>
      <w:r w:rsidRPr="00642F6D">
        <w:rPr>
          <w:rFonts w:ascii="Times New Roman" w:eastAsia="Times New Roman" w:hAnsi="Times New Roman" w:cs="Times New Roman"/>
          <w:kern w:val="0"/>
          <w:sz w:val="24"/>
          <w:szCs w:val="24"/>
          <w:lang w:val="en-US"/>
          <w14:ligatures w14:val="none"/>
        </w:rPr>
        <w:t xml:space="preserve">, L., Biagi, G., &amp; Pietra, M. (2021). Case report: A case series linked to vitamin D excess in pet food: Cholecalciferol (vitamin D₃) toxicity observed in five cats. </w:t>
      </w:r>
      <w:r w:rsidRPr="00642F6D">
        <w:rPr>
          <w:rFonts w:ascii="Times New Roman" w:eastAsia="Times New Roman" w:hAnsi="Times New Roman" w:cs="Times New Roman"/>
          <w:i/>
          <w:iCs/>
          <w:kern w:val="0"/>
          <w:sz w:val="24"/>
          <w:szCs w:val="24"/>
          <w:lang w:val="en-US"/>
          <w14:ligatures w14:val="none"/>
        </w:rPr>
        <w:t>Frontiers in Veterinary Science, 8</w:t>
      </w:r>
      <w:r w:rsidRPr="00642F6D">
        <w:rPr>
          <w:rFonts w:ascii="Times New Roman" w:eastAsia="Times New Roman" w:hAnsi="Times New Roman" w:cs="Times New Roman"/>
          <w:kern w:val="0"/>
          <w:sz w:val="24"/>
          <w:szCs w:val="24"/>
          <w:lang w:val="en-US"/>
          <w14:ligatures w14:val="none"/>
        </w:rPr>
        <w:t xml:space="preserve">, Article 707741. </w:t>
      </w:r>
      <w:hyperlink r:id="rId19" w:history="1">
        <w:r w:rsidRPr="00642F6D">
          <w:rPr>
            <w:rFonts w:ascii="Times New Roman" w:eastAsia="Times New Roman" w:hAnsi="Times New Roman" w:cs="Times New Roman"/>
            <w:color w:val="0000FF"/>
            <w:kern w:val="0"/>
            <w:sz w:val="24"/>
            <w:szCs w:val="24"/>
            <w:u w:val="single"/>
            <w:lang w:val="en-US"/>
            <w14:ligatures w14:val="none"/>
          </w:rPr>
          <w:t>https://doi.org/10.3389/fvets.2021.707741</w:t>
        </w:r>
      </w:hyperlink>
    </w:p>
    <w:p w14:paraId="35F2D634" w14:textId="37A0CB45" w:rsidR="00642F6D" w:rsidRPr="00642F6D" w:rsidRDefault="00642F6D" w:rsidP="00642F6D">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642F6D">
        <w:rPr>
          <w:rFonts w:ascii="Times New Roman" w:eastAsia="Times New Roman" w:hAnsi="Times New Roman" w:cs="Times New Roman"/>
          <w:kern w:val="0"/>
          <w:sz w:val="24"/>
          <w:szCs w:val="24"/>
          <w:lang w:val="en-US"/>
          <w14:ligatures w14:val="none"/>
        </w:rPr>
        <w:t xml:space="preserve">Voss, A., &amp; Chow, R. (2023). Intravenous lipid emulsion therapy in 2 dogs and 2 cats with vitamin D toxicosis. </w:t>
      </w:r>
      <w:r w:rsidRPr="00642F6D">
        <w:rPr>
          <w:rFonts w:ascii="Times New Roman" w:eastAsia="Times New Roman" w:hAnsi="Times New Roman" w:cs="Times New Roman"/>
          <w:i/>
          <w:iCs/>
          <w:kern w:val="0"/>
          <w:sz w:val="24"/>
          <w:szCs w:val="24"/>
          <w:lang w:val="en-US"/>
          <w14:ligatures w14:val="none"/>
        </w:rPr>
        <w:t>The Canadian Veterinary Journal, 64</w:t>
      </w:r>
      <w:r w:rsidRPr="00642F6D">
        <w:rPr>
          <w:rFonts w:ascii="Times New Roman" w:eastAsia="Times New Roman" w:hAnsi="Times New Roman" w:cs="Times New Roman"/>
          <w:kern w:val="0"/>
          <w:sz w:val="24"/>
          <w:szCs w:val="24"/>
          <w:lang w:val="en-US"/>
          <w14:ligatures w14:val="none"/>
        </w:rPr>
        <w:t xml:space="preserve">(12), 1119–1124. </w:t>
      </w:r>
      <w:hyperlink r:id="rId20" w:history="1">
        <w:r w:rsidRPr="00642F6D">
          <w:rPr>
            <w:rFonts w:ascii="Times New Roman" w:eastAsia="Times New Roman" w:hAnsi="Times New Roman" w:cs="Times New Roman"/>
            <w:color w:val="0000FF"/>
            <w:kern w:val="0"/>
            <w:sz w:val="24"/>
            <w:szCs w:val="24"/>
            <w:u w:val="single"/>
            <w:lang w:val="en-US"/>
            <w14:ligatures w14:val="none"/>
          </w:rPr>
          <w:t>https://pmc.ncbi.nlm.nih.gov/articles/PMC10637706/</w:t>
        </w:r>
      </w:hyperlink>
    </w:p>
    <w:p w14:paraId="5705C54F" w14:textId="744FA74D" w:rsidR="001F6D43" w:rsidRPr="00642F6D" w:rsidRDefault="00642F6D" w:rsidP="00642F6D">
      <w:pPr>
        <w:spacing w:after="0" w:line="360" w:lineRule="auto"/>
        <w:ind w:left="540" w:hanging="540"/>
        <w:jc w:val="both"/>
        <w:rPr>
          <w:rFonts w:ascii="Times New Roman" w:eastAsia="Times New Roman" w:hAnsi="Times New Roman" w:cs="Times New Roman"/>
          <w:kern w:val="0"/>
          <w:sz w:val="24"/>
          <w:szCs w:val="24"/>
          <w:lang w:eastAsia="en-IN"/>
          <w14:ligatures w14:val="none"/>
        </w:rPr>
      </w:pPr>
      <w:r w:rsidRPr="00642F6D">
        <w:rPr>
          <w:rFonts w:ascii="Times New Roman" w:eastAsia="Times New Roman" w:hAnsi="Times New Roman" w:cs="Times New Roman"/>
          <w:kern w:val="0"/>
          <w:sz w:val="24"/>
          <w:szCs w:val="24"/>
          <w:lang w:val="en-US"/>
          <w14:ligatures w14:val="none"/>
        </w:rPr>
        <w:lastRenderedPageBreak/>
        <w:t xml:space="preserve">Wehner, A., Hartmann, K., &amp; Hirschberger, J. (2013). Vitamin D intoxication caused by ingestion of commercial cat food in three cats. </w:t>
      </w:r>
      <w:r w:rsidRPr="00642F6D">
        <w:rPr>
          <w:rFonts w:ascii="Times New Roman" w:eastAsia="Times New Roman" w:hAnsi="Times New Roman" w:cs="Times New Roman"/>
          <w:i/>
          <w:iCs/>
          <w:kern w:val="0"/>
          <w:sz w:val="24"/>
          <w:szCs w:val="24"/>
          <w:lang w:val="en-US"/>
          <w14:ligatures w14:val="none"/>
        </w:rPr>
        <w:t>Journal of Feline Medicine and Surgery, 15</w:t>
      </w:r>
      <w:r w:rsidRPr="00642F6D">
        <w:rPr>
          <w:rFonts w:ascii="Times New Roman" w:eastAsia="Times New Roman" w:hAnsi="Times New Roman" w:cs="Times New Roman"/>
          <w:kern w:val="0"/>
          <w:sz w:val="24"/>
          <w:szCs w:val="24"/>
          <w:lang w:val="en-US"/>
          <w14:ligatures w14:val="none"/>
        </w:rPr>
        <w:t xml:space="preserve">(9), 730–736. </w:t>
      </w:r>
      <w:hyperlink r:id="rId21" w:history="1">
        <w:r w:rsidRPr="00642F6D">
          <w:rPr>
            <w:rFonts w:ascii="Times New Roman" w:eastAsia="Times New Roman" w:hAnsi="Times New Roman" w:cs="Times New Roman"/>
            <w:color w:val="0000FF"/>
            <w:kern w:val="0"/>
            <w:sz w:val="24"/>
            <w:szCs w:val="24"/>
            <w:u w:val="single"/>
            <w:lang w:val="en-US"/>
            <w14:ligatures w14:val="none"/>
          </w:rPr>
          <w:t>https://doi.org/10.1177/1098612X13489298</w:t>
        </w:r>
      </w:hyperlink>
    </w:p>
    <w:sectPr w:rsidR="001F6D43" w:rsidRPr="00642F6D">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1C754" w14:textId="77777777" w:rsidR="00D07487" w:rsidRDefault="00D07487" w:rsidP="00BB725C">
      <w:pPr>
        <w:spacing w:after="0" w:line="240" w:lineRule="auto"/>
      </w:pPr>
      <w:r>
        <w:separator/>
      </w:r>
    </w:p>
  </w:endnote>
  <w:endnote w:type="continuationSeparator" w:id="0">
    <w:p w14:paraId="303D924A" w14:textId="77777777" w:rsidR="00D07487" w:rsidRDefault="00D07487" w:rsidP="00BB7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D3B84" w14:textId="77777777" w:rsidR="00BB725C" w:rsidRDefault="00BB72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16DEB" w14:textId="77777777" w:rsidR="00BB725C" w:rsidRDefault="00BB72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CC7E0" w14:textId="77777777" w:rsidR="00BB725C" w:rsidRDefault="00BB72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96591" w14:textId="77777777" w:rsidR="00D07487" w:rsidRDefault="00D07487" w:rsidP="00BB725C">
      <w:pPr>
        <w:spacing w:after="0" w:line="240" w:lineRule="auto"/>
      </w:pPr>
      <w:r>
        <w:separator/>
      </w:r>
    </w:p>
  </w:footnote>
  <w:footnote w:type="continuationSeparator" w:id="0">
    <w:p w14:paraId="65534925" w14:textId="77777777" w:rsidR="00D07487" w:rsidRDefault="00D07487" w:rsidP="00BB7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D634" w14:textId="77777777" w:rsidR="00BB725C" w:rsidRDefault="00000000">
    <w:pPr>
      <w:pStyle w:val="Header"/>
    </w:pPr>
    <w:r>
      <w:rPr>
        <w:noProof/>
      </w:rPr>
      <w:pict w14:anchorId="7664FC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83745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8B3E1" w14:textId="77777777" w:rsidR="00BB725C" w:rsidRDefault="00000000">
    <w:pPr>
      <w:pStyle w:val="Header"/>
    </w:pPr>
    <w:r>
      <w:rPr>
        <w:noProof/>
      </w:rPr>
      <w:pict w14:anchorId="7E161D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83745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FFB1F" w14:textId="77777777" w:rsidR="00BB725C" w:rsidRDefault="00000000">
    <w:pPr>
      <w:pStyle w:val="Header"/>
    </w:pPr>
    <w:r>
      <w:rPr>
        <w:noProof/>
      </w:rPr>
      <w:pict w14:anchorId="21CC58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83745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CA7"/>
    <w:multiLevelType w:val="multilevel"/>
    <w:tmpl w:val="11DA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FF5EAD"/>
    <w:multiLevelType w:val="hybridMultilevel"/>
    <w:tmpl w:val="EA6AA0DE"/>
    <w:lvl w:ilvl="0" w:tplc="7194BB3E">
      <w:start w:val="1"/>
      <w:numFmt w:val="decimal"/>
      <w:lvlText w:val="%1."/>
      <w:lvlJc w:val="left"/>
      <w:pPr>
        <w:ind w:left="720" w:hanging="360"/>
      </w:pPr>
      <w:rPr>
        <w:rFonts w:eastAsiaTheme="minorEastAsia"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D414282"/>
    <w:multiLevelType w:val="hybridMultilevel"/>
    <w:tmpl w:val="F1FE34B6"/>
    <w:lvl w:ilvl="0" w:tplc="729A2196">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3DA6C09"/>
    <w:multiLevelType w:val="hybridMultilevel"/>
    <w:tmpl w:val="97CE32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E07555"/>
    <w:multiLevelType w:val="hybridMultilevel"/>
    <w:tmpl w:val="FCFE6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AD3AD0"/>
    <w:multiLevelType w:val="hybridMultilevel"/>
    <w:tmpl w:val="1996D16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44332632"/>
    <w:multiLevelType w:val="hybridMultilevel"/>
    <w:tmpl w:val="238C04CA"/>
    <w:lvl w:ilvl="0" w:tplc="729A2196">
      <w:start w:val="1"/>
      <w:numFmt w:val="decimal"/>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4748474B"/>
    <w:multiLevelType w:val="multilevel"/>
    <w:tmpl w:val="744E4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5B4BDB"/>
    <w:multiLevelType w:val="multilevel"/>
    <w:tmpl w:val="D0BC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292602"/>
    <w:multiLevelType w:val="multilevel"/>
    <w:tmpl w:val="B1BA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56763E"/>
    <w:multiLevelType w:val="hybridMultilevel"/>
    <w:tmpl w:val="F984C3C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 w15:restartNumberingAfterBreak="0">
    <w:nsid w:val="74C1684B"/>
    <w:multiLevelType w:val="multilevel"/>
    <w:tmpl w:val="C1AA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5864357">
    <w:abstractNumId w:val="7"/>
  </w:num>
  <w:num w:numId="2" w16cid:durableId="311258447">
    <w:abstractNumId w:val="9"/>
  </w:num>
  <w:num w:numId="3" w16cid:durableId="362634633">
    <w:abstractNumId w:val="0"/>
  </w:num>
  <w:num w:numId="4" w16cid:durableId="1788625214">
    <w:abstractNumId w:val="1"/>
  </w:num>
  <w:num w:numId="5" w16cid:durableId="837116242">
    <w:abstractNumId w:val="10"/>
  </w:num>
  <w:num w:numId="6" w16cid:durableId="52512982">
    <w:abstractNumId w:val="11"/>
  </w:num>
  <w:num w:numId="7" w16cid:durableId="247347221">
    <w:abstractNumId w:val="8"/>
  </w:num>
  <w:num w:numId="8" w16cid:durableId="1766338270">
    <w:abstractNumId w:val="5"/>
  </w:num>
  <w:num w:numId="9" w16cid:durableId="503666561">
    <w:abstractNumId w:val="2"/>
  </w:num>
  <w:num w:numId="10" w16cid:durableId="1897282341">
    <w:abstractNumId w:val="6"/>
  </w:num>
  <w:num w:numId="11" w16cid:durableId="85081930">
    <w:abstractNumId w:val="4"/>
  </w:num>
  <w:num w:numId="12" w16cid:durableId="625431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CF1"/>
    <w:rsid w:val="00001D0D"/>
    <w:rsid w:val="0001007B"/>
    <w:rsid w:val="00011195"/>
    <w:rsid w:val="000227F7"/>
    <w:rsid w:val="00042FE8"/>
    <w:rsid w:val="00072B47"/>
    <w:rsid w:val="00073966"/>
    <w:rsid w:val="00087B2A"/>
    <w:rsid w:val="000A4321"/>
    <w:rsid w:val="000A7FAC"/>
    <w:rsid w:val="000B6F12"/>
    <w:rsid w:val="000C7609"/>
    <w:rsid w:val="000F2E93"/>
    <w:rsid w:val="00135812"/>
    <w:rsid w:val="00143266"/>
    <w:rsid w:val="00147862"/>
    <w:rsid w:val="001A47FD"/>
    <w:rsid w:val="001A4A3E"/>
    <w:rsid w:val="001F616F"/>
    <w:rsid w:val="001F6D43"/>
    <w:rsid w:val="00272342"/>
    <w:rsid w:val="002810BC"/>
    <w:rsid w:val="002826F4"/>
    <w:rsid w:val="00290AFD"/>
    <w:rsid w:val="0029486F"/>
    <w:rsid w:val="00322E39"/>
    <w:rsid w:val="003952CD"/>
    <w:rsid w:val="003B01A0"/>
    <w:rsid w:val="003B1ED8"/>
    <w:rsid w:val="004062B5"/>
    <w:rsid w:val="00414858"/>
    <w:rsid w:val="00414F32"/>
    <w:rsid w:val="004179F3"/>
    <w:rsid w:val="004338F9"/>
    <w:rsid w:val="00451E4D"/>
    <w:rsid w:val="0046247F"/>
    <w:rsid w:val="00506F49"/>
    <w:rsid w:val="00513CBC"/>
    <w:rsid w:val="00544384"/>
    <w:rsid w:val="005672F8"/>
    <w:rsid w:val="005A638F"/>
    <w:rsid w:val="005C187B"/>
    <w:rsid w:val="006056A6"/>
    <w:rsid w:val="00611608"/>
    <w:rsid w:val="00642F6D"/>
    <w:rsid w:val="00661075"/>
    <w:rsid w:val="006752C3"/>
    <w:rsid w:val="00697698"/>
    <w:rsid w:val="006F1F00"/>
    <w:rsid w:val="006F6F59"/>
    <w:rsid w:val="00737366"/>
    <w:rsid w:val="0075488B"/>
    <w:rsid w:val="00756E70"/>
    <w:rsid w:val="007F7FEA"/>
    <w:rsid w:val="0080118F"/>
    <w:rsid w:val="008117B8"/>
    <w:rsid w:val="00837CF1"/>
    <w:rsid w:val="00871981"/>
    <w:rsid w:val="008745E6"/>
    <w:rsid w:val="008B42BD"/>
    <w:rsid w:val="008D52CC"/>
    <w:rsid w:val="008E7152"/>
    <w:rsid w:val="008F02A6"/>
    <w:rsid w:val="009244F1"/>
    <w:rsid w:val="009402FB"/>
    <w:rsid w:val="00945628"/>
    <w:rsid w:val="00983F48"/>
    <w:rsid w:val="00994885"/>
    <w:rsid w:val="009B2171"/>
    <w:rsid w:val="009C174E"/>
    <w:rsid w:val="009C2228"/>
    <w:rsid w:val="00A01F64"/>
    <w:rsid w:val="00A130C1"/>
    <w:rsid w:val="00A23F22"/>
    <w:rsid w:val="00A31BA4"/>
    <w:rsid w:val="00A3689C"/>
    <w:rsid w:val="00AB1765"/>
    <w:rsid w:val="00B459DB"/>
    <w:rsid w:val="00B534E1"/>
    <w:rsid w:val="00B73D2D"/>
    <w:rsid w:val="00B90BCC"/>
    <w:rsid w:val="00BB1B50"/>
    <w:rsid w:val="00BB725C"/>
    <w:rsid w:val="00BE2C3A"/>
    <w:rsid w:val="00BE3683"/>
    <w:rsid w:val="00C7357E"/>
    <w:rsid w:val="00CD0BFC"/>
    <w:rsid w:val="00CF41D0"/>
    <w:rsid w:val="00CF57D1"/>
    <w:rsid w:val="00D07487"/>
    <w:rsid w:val="00D13364"/>
    <w:rsid w:val="00D2580E"/>
    <w:rsid w:val="00D301B1"/>
    <w:rsid w:val="00D30227"/>
    <w:rsid w:val="00D47208"/>
    <w:rsid w:val="00D66AB5"/>
    <w:rsid w:val="00D748B7"/>
    <w:rsid w:val="00DB3478"/>
    <w:rsid w:val="00DC2C24"/>
    <w:rsid w:val="00DC72AF"/>
    <w:rsid w:val="00E00CCC"/>
    <w:rsid w:val="00E373FB"/>
    <w:rsid w:val="00E61310"/>
    <w:rsid w:val="00E866D8"/>
    <w:rsid w:val="00E95097"/>
    <w:rsid w:val="00E97F16"/>
    <w:rsid w:val="00EF6BC0"/>
    <w:rsid w:val="00F14F28"/>
    <w:rsid w:val="00F53D5F"/>
    <w:rsid w:val="00F709C7"/>
    <w:rsid w:val="00F70E17"/>
    <w:rsid w:val="00F8248B"/>
    <w:rsid w:val="00F83673"/>
    <w:rsid w:val="00F86812"/>
    <w:rsid w:val="00F917F9"/>
    <w:rsid w:val="00FB076D"/>
    <w:rsid w:val="00FE21D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52089"/>
  <w15:chartTrackingRefBased/>
  <w15:docId w15:val="{9182E60B-429D-4319-9925-57103E890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BFC"/>
  </w:style>
  <w:style w:type="paragraph" w:styleId="Heading1">
    <w:name w:val="heading 1"/>
    <w:basedOn w:val="Normal"/>
    <w:next w:val="Normal"/>
    <w:link w:val="Heading1Char"/>
    <w:uiPriority w:val="9"/>
    <w:qFormat/>
    <w:rsid w:val="00837C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7C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7C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7C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7C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7C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C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C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C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C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7C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7C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7C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7C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7C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C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C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CF1"/>
    <w:rPr>
      <w:rFonts w:eastAsiaTheme="majorEastAsia" w:cstheme="majorBidi"/>
      <w:color w:val="272727" w:themeColor="text1" w:themeTint="D8"/>
    </w:rPr>
  </w:style>
  <w:style w:type="paragraph" w:styleId="Title">
    <w:name w:val="Title"/>
    <w:basedOn w:val="Normal"/>
    <w:next w:val="Normal"/>
    <w:link w:val="TitleChar"/>
    <w:uiPriority w:val="10"/>
    <w:qFormat/>
    <w:rsid w:val="00837C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C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C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CF1"/>
    <w:pPr>
      <w:spacing w:before="160"/>
      <w:jc w:val="center"/>
    </w:pPr>
    <w:rPr>
      <w:i/>
      <w:iCs/>
      <w:color w:val="404040" w:themeColor="text1" w:themeTint="BF"/>
    </w:rPr>
  </w:style>
  <w:style w:type="character" w:customStyle="1" w:styleId="QuoteChar">
    <w:name w:val="Quote Char"/>
    <w:basedOn w:val="DefaultParagraphFont"/>
    <w:link w:val="Quote"/>
    <w:uiPriority w:val="29"/>
    <w:rsid w:val="00837CF1"/>
    <w:rPr>
      <w:i/>
      <w:iCs/>
      <w:color w:val="404040" w:themeColor="text1" w:themeTint="BF"/>
    </w:rPr>
  </w:style>
  <w:style w:type="paragraph" w:styleId="ListParagraph">
    <w:name w:val="List Paragraph"/>
    <w:basedOn w:val="Normal"/>
    <w:uiPriority w:val="34"/>
    <w:qFormat/>
    <w:rsid w:val="00837CF1"/>
    <w:pPr>
      <w:ind w:left="720"/>
      <w:contextualSpacing/>
    </w:pPr>
  </w:style>
  <w:style w:type="character" w:styleId="IntenseEmphasis">
    <w:name w:val="Intense Emphasis"/>
    <w:basedOn w:val="DefaultParagraphFont"/>
    <w:uiPriority w:val="21"/>
    <w:qFormat/>
    <w:rsid w:val="00837CF1"/>
    <w:rPr>
      <w:i/>
      <w:iCs/>
      <w:color w:val="0F4761" w:themeColor="accent1" w:themeShade="BF"/>
    </w:rPr>
  </w:style>
  <w:style w:type="paragraph" w:styleId="IntenseQuote">
    <w:name w:val="Intense Quote"/>
    <w:basedOn w:val="Normal"/>
    <w:next w:val="Normal"/>
    <w:link w:val="IntenseQuoteChar"/>
    <w:uiPriority w:val="30"/>
    <w:qFormat/>
    <w:rsid w:val="00837C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7CF1"/>
    <w:rPr>
      <w:i/>
      <w:iCs/>
      <w:color w:val="0F4761" w:themeColor="accent1" w:themeShade="BF"/>
    </w:rPr>
  </w:style>
  <w:style w:type="character" w:styleId="IntenseReference">
    <w:name w:val="Intense Reference"/>
    <w:basedOn w:val="DefaultParagraphFont"/>
    <w:uiPriority w:val="32"/>
    <w:qFormat/>
    <w:rsid w:val="00837CF1"/>
    <w:rPr>
      <w:b/>
      <w:bCs/>
      <w:smallCaps/>
      <w:color w:val="0F4761" w:themeColor="accent1" w:themeShade="BF"/>
      <w:spacing w:val="5"/>
    </w:rPr>
  </w:style>
  <w:style w:type="character" w:styleId="Strong">
    <w:name w:val="Strong"/>
    <w:basedOn w:val="DefaultParagraphFont"/>
    <w:uiPriority w:val="22"/>
    <w:qFormat/>
    <w:rsid w:val="00B73D2D"/>
    <w:rPr>
      <w:b/>
      <w:bCs/>
    </w:rPr>
  </w:style>
  <w:style w:type="paragraph" w:customStyle="1" w:styleId="pdq2pgselectionanchorcontainer">
    <w:name w:val="pdq2pg_selectionanchorcontainer"/>
    <w:basedOn w:val="Normal"/>
    <w:rsid w:val="00611608"/>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Emphasis">
    <w:name w:val="Emphasis"/>
    <w:basedOn w:val="DefaultParagraphFont"/>
    <w:uiPriority w:val="20"/>
    <w:qFormat/>
    <w:rsid w:val="00611608"/>
    <w:rPr>
      <w:i/>
      <w:iCs/>
    </w:rPr>
  </w:style>
  <w:style w:type="paragraph" w:styleId="NormalWeb">
    <w:name w:val="Normal (Web)"/>
    <w:basedOn w:val="Normal"/>
    <w:uiPriority w:val="99"/>
    <w:unhideWhenUsed/>
    <w:rsid w:val="00611608"/>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unhideWhenUsed/>
    <w:rsid w:val="005A638F"/>
    <w:rPr>
      <w:color w:val="467886" w:themeColor="hyperlink"/>
      <w:u w:val="single"/>
    </w:rPr>
  </w:style>
  <w:style w:type="character" w:styleId="UnresolvedMention">
    <w:name w:val="Unresolved Mention"/>
    <w:basedOn w:val="DefaultParagraphFont"/>
    <w:uiPriority w:val="99"/>
    <w:semiHidden/>
    <w:unhideWhenUsed/>
    <w:rsid w:val="005A638F"/>
    <w:rPr>
      <w:color w:val="605E5C"/>
      <w:shd w:val="clear" w:color="auto" w:fill="E1DFDD"/>
    </w:rPr>
  </w:style>
  <w:style w:type="paragraph" w:styleId="Header">
    <w:name w:val="header"/>
    <w:basedOn w:val="Normal"/>
    <w:link w:val="HeaderChar"/>
    <w:uiPriority w:val="99"/>
    <w:unhideWhenUsed/>
    <w:rsid w:val="00BB7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25C"/>
  </w:style>
  <w:style w:type="paragraph" w:styleId="Footer">
    <w:name w:val="footer"/>
    <w:basedOn w:val="Normal"/>
    <w:link w:val="FooterChar"/>
    <w:uiPriority w:val="99"/>
    <w:unhideWhenUsed/>
    <w:rsid w:val="00BB7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i.org/10.3390/pets1030029" TargetMode="External"/><Relationship Id="rId18" Type="http://schemas.openxmlformats.org/officeDocument/2006/relationships/hyperlink" Target="https://doi.org/10.1016/B978-1-4557-0717-1.00038-7"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doi.org/10.1177/1098612X13489298" TargetMode="External"/><Relationship Id="rId7" Type="http://schemas.openxmlformats.org/officeDocument/2006/relationships/image" Target="media/image1.jpeg"/><Relationship Id="rId12" Type="http://schemas.openxmlformats.org/officeDocument/2006/relationships/hyperlink" Target="https://www.us.elsevierhealth.com/ettingers-textbook-of-veterinary-internal-medicine-9780323775728.html" TargetMode="External"/><Relationship Id="rId17" Type="http://schemas.openxmlformats.org/officeDocument/2006/relationships/hyperlink" Target="https://www.wiley.com/en-us/Plumb%27s+Veterinary+Drug+Handbook%2C+10th+Edition-p-9781119834458"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us.elsevierhealth.com/small-animal-toxicology-9780323851602.html" TargetMode="External"/><Relationship Id="rId20" Type="http://schemas.openxmlformats.org/officeDocument/2006/relationships/hyperlink" Target="https://pmc.ncbi.nlm.nih.gov/articles/PMC1063770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77/20551169261448248"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1111/j.1748-5827.2005.tb00329.x"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doi.org/10.3389/fvets.2024.1365204" TargetMode="External"/><Relationship Id="rId19" Type="http://schemas.openxmlformats.org/officeDocument/2006/relationships/hyperlink" Target="https://doi.org/10.3389/fvets.2021.707741"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us.elsevierhealth.com/ettingers-textbook-of-veterinary-internal-medicine-9780323775728.html"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9</Pages>
  <Words>3191</Words>
  <Characters>18190</Characters>
  <Application>Microsoft Office Word</Application>
  <DocSecurity>0</DocSecurity>
  <Lines>151</Lines>
  <Paragraphs>42</Paragraphs>
  <ScaleCrop>false</ScaleCrop>
  <Company/>
  <LinksUpToDate>false</LinksUpToDate>
  <CharactersWithSpaces>21339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sureshrasamalla_pnr@outlook.com</dc:creator>
  <cp:keywords/>
  <dc:description/>
  <cp:lastModifiedBy>Editor-90</cp:lastModifiedBy>
  <cp:revision>103</cp:revision>
  <dcterms:created xsi:type="dcterms:W3CDTF">2026-06-30T10:10:00Z</dcterms:created>
  <dcterms:modified xsi:type="dcterms:W3CDTF">2026-07-21T07:35:00Z</dcterms:modified>
</cp:coreProperties>
</file>