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9E43" w14:textId="77777777" w:rsidR="00F6125D" w:rsidRPr="00F6125D" w:rsidRDefault="00F6125D" w:rsidP="003F1345">
      <w:pPr>
        <w:spacing w:before="100" w:beforeAutospacing="1" w:after="100" w:afterAutospacing="1" w:line="240" w:lineRule="auto"/>
        <w:jc w:val="both"/>
        <w:outlineLvl w:val="1"/>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Invasive Insect Pests and Global Trade: Emerging Threats to Food Security in the 21st Century</w:t>
      </w:r>
    </w:p>
    <w:p w14:paraId="40C229E3"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Abstract</w:t>
      </w:r>
    </w:p>
    <w:p w14:paraId="73CDB01F" w14:textId="5A72C8C1"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International trade has become the principal engine driving the redistribution of insect pests across the planet, and the resulting invasions now rank among the most consequential threats to global food security. </w:t>
      </w:r>
      <w:r w:rsidR="00656D46" w:rsidRPr="00656D46">
        <w:rPr>
          <w:rFonts w:ascii="Arial" w:eastAsia="Times New Roman" w:hAnsi="Arial" w:cs="Arial"/>
          <w:kern w:val="0"/>
          <w:sz w:val="20"/>
          <w:szCs w:val="20"/>
          <w:lang w:eastAsia="en-IN"/>
          <w14:ligatures w14:val="none"/>
        </w:rPr>
        <w:t>Using a narrative review approach, this article integrates evidence from invasion ecology, agricultural economics, entomology and phytosanitary policy to examine how trade-mediated insect invasions emerge, spread and affect food-security systems.</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This review synthesises evidence on the relationship between trade-mediated pest introductions and agricultural vulnerability, drawing on economics, ecology, entomology and phytosanitary policy. It traces the main pathways through which insects cross biogeographic barriers, including commodity shipments, wood packaging material, live plant trade and the rapidly expanding e-commerce sector, and examines how climate change interacts with these pathways to widen the geographic range over which introduced insects can establish. Case evidence from high-impact invaders, including the fall armyworm and the Oriental fruit fly, shows how genetic, phenological and behavioural traits combine with trade connectivity to produce rapid, often unpredictable spread across continents</w:t>
      </w:r>
      <w:r w:rsidR="00960F7E">
        <w:rPr>
          <w:rFonts w:ascii="Arial" w:eastAsia="Times New Roman" w:hAnsi="Arial" w:cs="Arial"/>
          <w:kern w:val="0"/>
          <w:sz w:val="20"/>
          <w:szCs w:val="20"/>
          <w:lang w:eastAsia="en-IN"/>
          <w14:ligatures w14:val="none"/>
        </w:rPr>
        <w:t xml:space="preserve">. </w:t>
      </w:r>
      <w:r w:rsidR="00656D46" w:rsidRPr="00656D46">
        <w:rPr>
          <w:rFonts w:ascii="Arial" w:eastAsia="Times New Roman" w:hAnsi="Arial" w:cs="Arial"/>
          <w:kern w:val="0"/>
          <w:sz w:val="20"/>
          <w:szCs w:val="20"/>
          <w:lang w:eastAsia="en-IN"/>
          <w14:ligatures w14:val="none"/>
        </w:rPr>
        <w:t>The economic burden of biological invasions is large and rising, with global damage and management costs estimated at very high levels, while invasive insects constitute a major component of these impacts and impose especially serious risks on smallholder farming systems in low- and middle-income countries.</w:t>
      </w:r>
      <w:r w:rsidRPr="00F6125D">
        <w:rPr>
          <w:rFonts w:ascii="Arial" w:eastAsia="Times New Roman" w:hAnsi="Arial" w:cs="Arial"/>
          <w:kern w:val="0"/>
          <w:sz w:val="20"/>
          <w:szCs w:val="20"/>
          <w:lang w:eastAsia="en-IN"/>
          <w14:ligatures w14:val="none"/>
        </w:rPr>
        <w:t xml:space="preserve"> </w:t>
      </w:r>
      <w:r w:rsidR="00656D46" w:rsidRPr="00656D46">
        <w:rPr>
          <w:rFonts w:ascii="Arial" w:eastAsia="Times New Roman" w:hAnsi="Arial" w:cs="Arial"/>
          <w:kern w:val="0"/>
          <w:sz w:val="20"/>
          <w:szCs w:val="20"/>
          <w:lang w:eastAsia="en-IN"/>
          <w14:ligatures w14:val="none"/>
        </w:rPr>
        <w:t>Because the largest available global estimates often refer to biological invasions across multiple taxa rather than insects alone, these figures should be interpreted as evidence of the broader economic scale of invasion impacts, within which invasive insects represent a major and well-documented component.</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The review then evaluates the governance architecture built around the International Plant Protection Convention and its International Standards for Phytosanitary Measures, alongside emerging tools such as environmental DNA metabarcoding and predictive spread modelling that promise earlier detection and more targeted intervention. Classical biological control, integrated pest management and coordinated international surveillance are discussed as complementary strategies that can reduce, though not eliminate, invasion risk. </w:t>
      </w:r>
      <w:r w:rsidR="006772DD" w:rsidRPr="006772DD">
        <w:rPr>
          <w:rFonts w:ascii="Arial" w:eastAsia="Times New Roman" w:hAnsi="Arial" w:cs="Arial"/>
          <w:kern w:val="0"/>
          <w:sz w:val="20"/>
          <w:szCs w:val="20"/>
          <w:lang w:eastAsia="en-IN"/>
          <w14:ligatures w14:val="none"/>
        </w:rPr>
        <w:t>The review concludes that a primarily reactive approach to pest introductions is increasingly inadequate given the scale and speed of contemporary trade flows, and that sustained investment in prevention, harmonised international standards and equitable technology transfer offers a more realistic path toward safeguarding global food supplies over the coming decades</w:t>
      </w:r>
      <w:r w:rsidRPr="00F6125D">
        <w:rPr>
          <w:rFonts w:ascii="Arial" w:eastAsia="Times New Roman" w:hAnsi="Arial" w:cs="Arial"/>
          <w:kern w:val="0"/>
          <w:sz w:val="20"/>
          <w:szCs w:val="20"/>
          <w:lang w:eastAsia="en-IN"/>
          <w14:ligatures w14:val="none"/>
        </w:rPr>
        <w:t>.</w:t>
      </w:r>
    </w:p>
    <w:p w14:paraId="34EA7A1E"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Keywords:</w:t>
      </w:r>
      <w:r w:rsidRPr="00F6125D">
        <w:rPr>
          <w:rFonts w:ascii="Arial" w:eastAsia="Times New Roman" w:hAnsi="Arial" w:cs="Arial"/>
          <w:kern w:val="0"/>
          <w:sz w:val="20"/>
          <w:szCs w:val="20"/>
          <w:lang w:eastAsia="en-IN"/>
          <w14:ligatures w14:val="none"/>
        </w:rPr>
        <w:t xml:space="preserve"> invasive insects, international trade, food security, phytosanitary measures, biological invasions, climate change, biosecurity</w:t>
      </w:r>
    </w:p>
    <w:p w14:paraId="225B9742"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 Introduction</w:t>
      </w:r>
    </w:p>
    <w:p w14:paraId="2EC687F5"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1.1 Insect pests, agriculture and the stakes for food security</w:t>
      </w:r>
    </w:p>
    <w:p w14:paraId="115A98B3"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Agricultural production has always coexisted with insect herbivory, but the scale of loss attributable to insect pests has grown as global food systems have become more interconnected and more intensively managed. Insects already destroy a substantial share of the world's staple grain harvests each year, and modelling work shows that yield losses to insect pests in wheat, rice and maize will increase markedly for every additional degree of warming, with temperate grain-producing regions bearing a disproportionate share of future losses (Deutsch et al., 2018). These losses fall on a global population that continues to place growing demands on a finite and increasingly stressed agricultural resource base, so even modest proportional increases in pest-related crop loss translate into significant absolute reductions in available food supply. Insect pests are not static in their distribution. A substantial fraction of agriculturally important species have already reached, or are approaching, the full extent of the geographic range permitted by their host plants, a pattern consistent with a long-term process of global pest saturation rather than a series of isolated regional events (Bebber et al., 2014).</w:t>
      </w:r>
    </w:p>
    <w:p w14:paraId="5BA0C492" w14:textId="6BAB41A2"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Historically, evolutionary and biogeographic constraints kept most herbivorous insects confined to the regions in which they had coevolved with their host plants and natural enemies. That constraint has eroded steadily since the nineteenth century, and particularly since the mid-twentieth century, as the volume, speed and geographic reach of international trade have expanded far beyond anything seen </w:t>
      </w:r>
      <w:r w:rsidRPr="00F6125D">
        <w:rPr>
          <w:rFonts w:ascii="Arial" w:eastAsia="Times New Roman" w:hAnsi="Arial" w:cs="Arial"/>
          <w:kern w:val="0"/>
          <w:sz w:val="20"/>
          <w:szCs w:val="20"/>
          <w:lang w:eastAsia="en-IN"/>
          <w14:ligatures w14:val="none"/>
        </w:rPr>
        <w:lastRenderedPageBreak/>
        <w:t xml:space="preserve">in earlier eras. The consequences show up in the accumulating record of new alien species establishments, which continues to rise globally with no sign of levelling off (Seebens et al., 2017). </w:t>
      </w:r>
      <w:r w:rsidR="006772DD" w:rsidRPr="006772DD">
        <w:rPr>
          <w:rFonts w:ascii="Arial" w:eastAsia="Times New Roman" w:hAnsi="Arial" w:cs="Arial"/>
          <w:kern w:val="0"/>
          <w:sz w:val="20"/>
          <w:szCs w:val="20"/>
          <w:lang w:eastAsia="en-IN"/>
          <w14:ligatures w14:val="none"/>
        </w:rPr>
        <w:t>Insects, together with vascular plants, are especially well represented among newly established alien taxa, and their introduction dynamics show a close association with long-run fluctuations in global trade openness, supporting the view that commerce has played an important role in shaping contemporary invasion patterns (Bonnamour et al., 2021).</w:t>
      </w:r>
    </w:p>
    <w:p w14:paraId="41A2020F"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1.2 Global trade as a driver of insect invasion</w:t>
      </w:r>
    </w:p>
    <w:p w14:paraId="7F35DE4D"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International trade functions as an invasion pathway in several interlocking ways. Commodities themselves, particularly fresh fruit, vegetables, cut flowers and nursery stock, can carry live insects, eggs or larvae that escape inspection at the point of export and again at the point of import (Lichtenberg &amp; Olson, 2018). Wood packaging material, including pallets, crates and dunnage, has historically been one of the highest-risk pathways for wood-boring beetles and other forest pests, because such material is rarely inspected with the same rigour applied to the primary commodity it accompanies (Haack et al., 2014). Maritime shipping containers, air cargo and, increasingly, small parcels moved through international e-commerce platforms add further routes by which insects can travel far beyond their native range in a fraction of the time natural dispersal would require. Once a species establishes in one country, it often becomes a secondary, or bridgehead, source population from which further introductions radiate outward through regional trade networks, a dynamic that has been explicitly modelled for pests including the spotted lanternfly (Montgomery et al., 2023).</w:t>
      </w:r>
    </w:p>
    <w:p w14:paraId="509E1C8B" w14:textId="57CCB1DA"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economic geography of trade also shapes which countries carry the greatest invasion risk. </w:t>
      </w:r>
      <w:r w:rsidR="006772DD" w:rsidRPr="006772DD">
        <w:rPr>
          <w:rFonts w:ascii="Arial" w:eastAsia="Times New Roman" w:hAnsi="Arial" w:cs="Arial"/>
          <w:kern w:val="0"/>
          <w:sz w:val="20"/>
          <w:szCs w:val="20"/>
          <w:lang w:eastAsia="en-IN"/>
          <w14:ligatures w14:val="none"/>
        </w:rPr>
        <w:t>Major agricultural exporters, with correspondingly large outbound commodity flows, may contribute substantially to global invasion risk, while countries heavily dependent on food imports and operating with more limited biosecurity, diagnostic or inspection capacity may be disproportionately vulnerable to pest introductions associated with international trade</w:t>
      </w:r>
      <w:r w:rsidR="00066FE1" w:rsidRPr="00066FE1">
        <w:rPr>
          <w:rFonts w:ascii="Arial" w:eastAsia="Times New Roman" w:hAnsi="Arial" w:cs="Arial"/>
          <w:kern w:val="0"/>
          <w:sz w:val="20"/>
          <w:szCs w:val="20"/>
          <w:lang w:eastAsia="en-IN"/>
          <w14:ligatures w14:val="none"/>
        </w:rPr>
        <w:t xml:space="preserve"> (Paini et al., 2016).</w:t>
      </w:r>
      <w:r w:rsidR="00066FE1">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This asymmetry matters for food security, because countries with comparatively limited diagnostic, extension and financial-response capacity may face greater difficulty absorbing the shock of a new pest introduction.</w:t>
      </w:r>
    </w:p>
    <w:p w14:paraId="5CB9E1FA"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1.3 Scope, research gap and objectives</w:t>
      </w:r>
    </w:p>
    <w:p w14:paraId="621F19B9" w14:textId="63EEE5BD"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Despite a substantial and growing body of research on individual invasive insect species, on the economics of biological invasions, and on the mechanics of phytosanitary regulation, few syntheses have drawn these strands together into a single, integrated account of how global trade structures insect invasion risk and how that risk threatens food security. Much of the existing literature treats trade pathways, climate change effects and economic consequences as separate research programmes, each with its own methodological traditions and specialist audiences, which limits the extent to which policymakers and practitioners can draw a coherent set of lessons across the full chain from trade flow to crop loss. </w:t>
      </w:r>
      <w:r w:rsidR="00656D46" w:rsidRPr="00656D46">
        <w:rPr>
          <w:rFonts w:ascii="Arial" w:eastAsia="Times New Roman" w:hAnsi="Arial" w:cs="Arial"/>
          <w:kern w:val="0"/>
          <w:sz w:val="20"/>
          <w:szCs w:val="20"/>
          <w:lang w:eastAsia="en-IN"/>
          <w14:ligatures w14:val="none"/>
        </w:rPr>
        <w:t>The distinctive contribution of this review is therefore to treat invasive insect pests not only as biological or phytosanitary problems, but as outcomes of interacting trade networks, climatic suitability, governance capacity and food-system vulnerability.</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There has also been limited synthesis of how phytosanitary governance interacts with newer trade pathways such as e-commerce, and of how surveillance technologies might be built into that governance architecture in resource-constrained settings.</w:t>
      </w:r>
      <w:r w:rsidR="00656D46">
        <w:rPr>
          <w:rFonts w:ascii="Arial" w:eastAsia="Times New Roman" w:hAnsi="Arial" w:cs="Arial"/>
          <w:kern w:val="0"/>
          <w:sz w:val="20"/>
          <w:szCs w:val="20"/>
          <w:lang w:eastAsia="en-IN"/>
          <w14:ligatures w14:val="none"/>
        </w:rPr>
        <w:t xml:space="preserve"> </w:t>
      </w:r>
      <w:r w:rsidR="00960F7E">
        <w:rPr>
          <w:rFonts w:ascii="Arial" w:eastAsia="Times New Roman" w:hAnsi="Arial" w:cs="Arial"/>
          <w:kern w:val="0"/>
          <w:sz w:val="20"/>
          <w:szCs w:val="20"/>
          <w:lang w:eastAsia="en-IN"/>
          <w14:ligatures w14:val="none"/>
        </w:rPr>
        <w:t>B</w:t>
      </w:r>
      <w:r w:rsidR="00656D46" w:rsidRPr="00656D46">
        <w:rPr>
          <w:rFonts w:ascii="Arial" w:eastAsia="Times New Roman" w:hAnsi="Arial" w:cs="Arial"/>
          <w:kern w:val="0"/>
          <w:sz w:val="20"/>
          <w:szCs w:val="20"/>
          <w:lang w:eastAsia="en-IN"/>
          <w14:ligatures w14:val="none"/>
        </w:rPr>
        <w:t>y linking these emerging pathways with advances in molecular surveillance, predictive spread modelling and integrated pest management, the review offers a more policy-oriented synthesis than reviews that focus mainly on individual pest species, climate-driven range shifts or border inspection measures in isolation.</w:t>
      </w:r>
    </w:p>
    <w:p w14:paraId="5E2AA93E" w14:textId="30D69FE5"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This review addresses that gap by bringing together evidence from invasion ecology, agricultural economics, phytosanitary policy and pest surveillance technology to construct an integrated account of the trade–invasion–food security relationship. </w:t>
      </w:r>
      <w:r w:rsidR="00656D46" w:rsidRPr="00656D46">
        <w:rPr>
          <w:rFonts w:ascii="Arial" w:eastAsia="Times New Roman" w:hAnsi="Arial" w:cs="Arial"/>
          <w:kern w:val="0"/>
          <w:sz w:val="20"/>
          <w:szCs w:val="20"/>
          <w:lang w:eastAsia="en-IN"/>
          <w14:ligatures w14:val="none"/>
        </w:rPr>
        <w:t>In doing so, it places particular emphasis on the links between pathway-specific introduction risk, uneven economic exposure, and the practical feasibility of prevention and early detection in countries with different levels of biosecurity capacity.</w:t>
      </w:r>
      <w:r w:rsidR="00656D46">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The scope is global, with particular attention to case evidence from pests whose recent spread illustrates the mechanisms under discussion, including the fall armyworm and the Oriental fruit fly. The specific objectives are threefold: first, to characterise the principal trade-related pathways through which insect pests cross international borders and to assess how climate change modifies the risk associated with those pathways; second, to quantify, insofar as the available evidence permits, the </w:t>
      </w:r>
      <w:r w:rsidRPr="00F6125D">
        <w:rPr>
          <w:rFonts w:ascii="Arial" w:eastAsia="Times New Roman" w:hAnsi="Arial" w:cs="Arial"/>
          <w:kern w:val="0"/>
          <w:sz w:val="20"/>
          <w:szCs w:val="20"/>
          <w:lang w:eastAsia="en-IN"/>
          <w14:ligatures w14:val="none"/>
        </w:rPr>
        <w:lastRenderedPageBreak/>
        <w:t>economic and food security consequences of trade-mediated insect invasions, with attention to their uneven distribution across regions and income groups; and third, to evaluate the governance and technological toolkit currently available for managing this risk and to identify priorities for strengthening it over the coming decade.</w:t>
      </w:r>
    </w:p>
    <w:p w14:paraId="25ABA3F7"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 Methods for Literature Selection</w:t>
      </w:r>
    </w:p>
    <w:p w14:paraId="44BDF88C"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2.1 Rationale for a narrative review approach</w:t>
      </w:r>
    </w:p>
    <w:p w14:paraId="46F4E714"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 narrative rather than systematic review methodology was adopted for this synthesis. The subject matter spans several distinct disciplinary literatures, including invasion ecology, agricultural economics, entomology, phytosanitary law and molecular diagnostics, each using different terminology, study designs and reporting conventions that do not lend themselves easily to the standardised eligibility criteria and quantitative synthesis characteristic of systematic reviews. Narrative reviews are considered appropriate for this kind of cross-disciplinary integration because they allow inclusion of heterogeneous evidence, from econometric cost analyses to genomic population studies, within a single interpretive framework, provided the search and selection process is conducted transparently and appraisal criteria such as those set out in the SANRA framework are applied to guide balanced, comprehensive coverage of the literature (Baethge et al., 2019).</w:t>
      </w:r>
    </w:p>
    <w:p w14:paraId="3C51CA66"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2.2 Databases searched</w:t>
      </w:r>
    </w:p>
    <w:p w14:paraId="28CE869E"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Literature was identified through structured searches of Web of Science, Scopus, Google Scholar and PubMed, supplemented by six field-specific indexing resources selected for their relevance to agricultural entomology, invasion biology and international trade policy: CAB Abstracts, AGRICOLA, the FAO AGRIS database, the International Plant Protection Convention's phytosanitary resource repository, EconLit, and the Global Biodiversity Information Facility's literature-linked occurrence records. This combination was intended to capture both the core entomological and ecological literature and the economics and policy literature that is less consistently indexed in the mainstream biomedical and life-science databases.</w:t>
      </w:r>
    </w:p>
    <w:p w14:paraId="160F33E4"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2.3 Search strings and date range</w:t>
      </w:r>
    </w:p>
    <w:p w14:paraId="60467929"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Search strings combined controlled vocabulary and free-text terms across three conceptual blocks connected by Boolean operators: an invasion/pest block (for example, "invasive insect*" OR "alien species" OR "biological invasion*" OR "pest introduction*"), a trade block (for example, "international trade" OR "global trade" OR "trade pathway*" OR "phytosanitary" OR "biosecurity"), and a consequence block (for example, "food security" OR "crop loss*" OR "economic cost*" OR "agricultural impact"). These blocks were combined as (invasion block) AND (trade block) AND (consequence block), with additional targeted searches run for named case-study taxa, including </w:t>
      </w:r>
      <w:r w:rsidRPr="00F6125D">
        <w:rPr>
          <w:rFonts w:ascii="Arial" w:eastAsia="Times New Roman" w:hAnsi="Arial" w:cs="Arial"/>
          <w:i/>
          <w:iCs/>
          <w:kern w:val="0"/>
          <w:sz w:val="20"/>
          <w:szCs w:val="20"/>
          <w:lang w:eastAsia="en-IN"/>
          <w14:ligatures w14:val="none"/>
        </w:rPr>
        <w:t>Spodoptera frugiperda</w:t>
      </w:r>
      <w:r w:rsidRPr="00F6125D">
        <w:rPr>
          <w:rFonts w:ascii="Arial" w:eastAsia="Times New Roman" w:hAnsi="Arial" w:cs="Arial"/>
          <w:kern w:val="0"/>
          <w:sz w:val="20"/>
          <w:szCs w:val="20"/>
          <w:lang w:eastAsia="en-IN"/>
          <w14:ligatures w14:val="none"/>
        </w:rPr>
        <w:t xml:space="preserve">, </w:t>
      </w:r>
      <w:r w:rsidRPr="00F6125D">
        <w:rPr>
          <w:rFonts w:ascii="Arial" w:eastAsia="Times New Roman" w:hAnsi="Arial" w:cs="Arial"/>
          <w:i/>
          <w:iCs/>
          <w:kern w:val="0"/>
          <w:sz w:val="20"/>
          <w:szCs w:val="20"/>
          <w:lang w:eastAsia="en-IN"/>
          <w14:ligatures w14:val="none"/>
        </w:rPr>
        <w:t>Bactrocera dorsalis</w:t>
      </w:r>
      <w:r w:rsidRPr="00F6125D">
        <w:rPr>
          <w:rFonts w:ascii="Arial" w:eastAsia="Times New Roman" w:hAnsi="Arial" w:cs="Arial"/>
          <w:kern w:val="0"/>
          <w:sz w:val="20"/>
          <w:szCs w:val="20"/>
          <w:lang w:eastAsia="en-IN"/>
          <w14:ligatures w14:val="none"/>
        </w:rPr>
        <w:t xml:space="preserve">, </w:t>
      </w:r>
      <w:r w:rsidRPr="00F6125D">
        <w:rPr>
          <w:rFonts w:ascii="Arial" w:eastAsia="Times New Roman" w:hAnsi="Arial" w:cs="Arial"/>
          <w:i/>
          <w:iCs/>
          <w:kern w:val="0"/>
          <w:sz w:val="20"/>
          <w:szCs w:val="20"/>
          <w:lang w:eastAsia="en-IN"/>
          <w14:ligatures w14:val="none"/>
        </w:rPr>
        <w:t>Lycorma delicatula</w:t>
      </w:r>
      <w:r w:rsidRPr="00F6125D">
        <w:rPr>
          <w:rFonts w:ascii="Arial" w:eastAsia="Times New Roman" w:hAnsi="Arial" w:cs="Arial"/>
          <w:kern w:val="0"/>
          <w:sz w:val="20"/>
          <w:szCs w:val="20"/>
          <w:lang w:eastAsia="en-IN"/>
          <w14:ligatures w14:val="none"/>
        </w:rPr>
        <w:t xml:space="preserve"> and </w:t>
      </w:r>
      <w:r w:rsidRPr="00F6125D">
        <w:rPr>
          <w:rFonts w:ascii="Arial" w:eastAsia="Times New Roman" w:hAnsi="Arial" w:cs="Arial"/>
          <w:i/>
          <w:iCs/>
          <w:kern w:val="0"/>
          <w:sz w:val="20"/>
          <w:szCs w:val="20"/>
          <w:lang w:eastAsia="en-IN"/>
          <w14:ligatures w14:val="none"/>
        </w:rPr>
        <w:t>Halyomorpha halys</w:t>
      </w:r>
      <w:r w:rsidRPr="00F6125D">
        <w:rPr>
          <w:rFonts w:ascii="Arial" w:eastAsia="Times New Roman" w:hAnsi="Arial" w:cs="Arial"/>
          <w:kern w:val="0"/>
          <w:sz w:val="20"/>
          <w:szCs w:val="20"/>
          <w:lang w:eastAsia="en-IN"/>
          <w14:ligatures w14:val="none"/>
        </w:rPr>
        <w:t>. The search covered material published between January 2005 and 26 March 2026, a period chosen to capture the modern era of intensified trade liberalisation, the implementation of International Standards for Phytosanitary Measures No. 15 for wood packaging material, and the acceleration of molecular and genomic tools for pest surveillance, while retaining a small number of foundational older studies where these remain the primary reference point for a concept or methodology.</w:t>
      </w:r>
    </w:p>
    <w:p w14:paraId="0AA2F0BD"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2.4 Inclusion and exclusion criteria</w:t>
      </w:r>
    </w:p>
    <w:p w14:paraId="27FA4A25" w14:textId="4FB2DBE1"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Studies were included if they were published in peer-reviewed academic journals, reported primary research, meta-analysis or authoritative synthesis relevant to insect invasions, international trade pathways, phytosanitary governance, or the economic and food security consequences of biological invasions, and were available in English. Authoritative institutional reports from bodies such as the Food and Agriculture Organization of the United Nations and the International Plant Protection Convention were included where they provided regulatory or standard-setting content not otherwise available in peer-reviewed literature, provided a verifiable uniform resource locator was available. Books, unpublished theses, conference proceedings, trade magazines, preprints and patents were excluded, as were peer-reviewed studies whose relevance to the trade–invasion–food security </w:t>
      </w:r>
      <w:r w:rsidRPr="00F6125D">
        <w:rPr>
          <w:rFonts w:ascii="Arial" w:eastAsia="Times New Roman" w:hAnsi="Arial" w:cs="Arial"/>
          <w:kern w:val="0"/>
          <w:sz w:val="20"/>
          <w:szCs w:val="20"/>
          <w:lang w:eastAsia="en-IN"/>
          <w14:ligatures w14:val="none"/>
        </w:rPr>
        <w:lastRenderedPageBreak/>
        <w:t>relationship was judged marginal after full-text screening.</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Selected institutional documents from organisations such as the FAO and the International Plant Protection Convention were retained as exceptions to this exclusion rule because they provide regulatory, standard-setting and implementation information that is not always available in peer-reviewed journal articles. These documents were used only to support discussion of phytosanitary standards and governance arrangements, rather than to replace peer-reviewed evidence on ecological, economic or management outcomes.</w:t>
      </w:r>
    </w:p>
    <w:p w14:paraId="47FB2BDB"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2.5 Screening workflow and duplicate handling</w:t>
      </w:r>
    </w:p>
    <w:p w14:paraId="09CE562A" w14:textId="0F581CB5" w:rsidR="00F6125D" w:rsidRPr="00F6125D" w:rsidRDefault="0089643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89643D">
        <w:rPr>
          <w:rFonts w:ascii="Arial" w:eastAsia="Times New Roman" w:hAnsi="Arial" w:cs="Arial"/>
          <w:kern w:val="0"/>
          <w:sz w:val="20"/>
          <w:szCs w:val="20"/>
          <w:highlight w:val="yellow"/>
          <w:lang w:eastAsia="en-IN"/>
          <w14:ligatures w14:val="none"/>
        </w:rPr>
        <w:t>Search results from each database were exported and combined into a single working library, and duplicate records arising from overlapping database coverage were removed before screening. Because this review followed a narrative rather than systematic protocol, records were not counted at each stage of a formal screening pipeline, and no PRISMA-style flow diagram with exact figures at the identification, screening, eligibility and inclusion stages was generated; instead, sources were evaluated for relevance on a rolling basis as the search progressed across the databases and search blocks described above. The selection process was conducted by one reviewer, with borderline records reassessed against the stated inclusion criteria before a final decision was made. Titles and abstracts were screened for topical relevance against the inclusion criteria above, after which full texts of retained records were examined to confirm eligibility and extract data relevant to the review's three objectives. Where a source was relevant to invasive insects but only indirectly connected to international trade or food security, it was included only if it helped explain a major pathway, mechanism, policy response or management implication central to the review. Studies with weak relevance to the trade–invasion–food security relationship were excluded at the full-text stage, even when they addressed invasive species more generally. Priority was given to identifying influential and highly cited studies within each thematic area, supplemented by more recent work reflecting developments not yet captured in earlier syntheses. Reference lists of key retrieved articles were also checked for additional relevant sources, a form of citation chaining commonly used to improve the comprehensiveness of narrative reviews on interdisciplinary topics. The 52 sources retained as core references were those judged, on this basis, to directly address trade-mediated insect invasions, phytosanitary governance, economic impacts, food-security consequences, or surveillance and management technologies.</w:t>
      </w:r>
    </w:p>
    <w:p w14:paraId="4BCC486C"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Table 1 summarises the overall search strategy applied across this review.</w:t>
      </w:r>
    </w:p>
    <w:p w14:paraId="770335CA"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1. Summary of the literature search strategy</w:t>
      </w:r>
    </w:p>
    <w:tbl>
      <w:tblPr>
        <w:tblStyle w:val="TableGrid"/>
        <w:tblW w:w="0" w:type="auto"/>
        <w:tblLook w:val="04A0" w:firstRow="1" w:lastRow="0" w:firstColumn="1" w:lastColumn="0" w:noHBand="0" w:noVBand="1"/>
      </w:tblPr>
      <w:tblGrid>
        <w:gridCol w:w="2201"/>
        <w:gridCol w:w="7041"/>
      </w:tblGrid>
      <w:tr w:rsidR="00F6125D" w:rsidRPr="00F6125D" w14:paraId="4E07A59E" w14:textId="77777777" w:rsidTr="00D817F0">
        <w:tc>
          <w:tcPr>
            <w:tcW w:w="0" w:type="auto"/>
            <w:hideMark/>
          </w:tcPr>
          <w:p w14:paraId="51338F6D"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Element</w:t>
            </w:r>
          </w:p>
        </w:tc>
        <w:tc>
          <w:tcPr>
            <w:tcW w:w="0" w:type="auto"/>
            <w:hideMark/>
          </w:tcPr>
          <w:p w14:paraId="42122AFB"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Specification</w:t>
            </w:r>
          </w:p>
        </w:tc>
      </w:tr>
      <w:tr w:rsidR="00F6125D" w:rsidRPr="00F6125D" w14:paraId="569D6433" w14:textId="77777777" w:rsidTr="00D817F0">
        <w:tc>
          <w:tcPr>
            <w:tcW w:w="0" w:type="auto"/>
            <w:hideMark/>
          </w:tcPr>
          <w:p w14:paraId="16696E5A"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Databases searched</w:t>
            </w:r>
          </w:p>
        </w:tc>
        <w:tc>
          <w:tcPr>
            <w:tcW w:w="0" w:type="auto"/>
            <w:hideMark/>
          </w:tcPr>
          <w:p w14:paraId="65BB1EE7"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Web of Science, Scopus, Google Scholar, PubMed, CAB Abstracts, AGRICOLA, FAO AGRIS, IPPC phytosanitary repository, EconLit, GBIF literature records</w:t>
            </w:r>
          </w:p>
        </w:tc>
      </w:tr>
      <w:tr w:rsidR="00F6125D" w:rsidRPr="00F6125D" w14:paraId="730891E6" w14:textId="77777777" w:rsidTr="00D817F0">
        <w:tc>
          <w:tcPr>
            <w:tcW w:w="0" w:type="auto"/>
            <w:hideMark/>
          </w:tcPr>
          <w:p w14:paraId="6F19E206"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Date range</w:t>
            </w:r>
          </w:p>
        </w:tc>
        <w:tc>
          <w:tcPr>
            <w:tcW w:w="0" w:type="auto"/>
            <w:hideMark/>
          </w:tcPr>
          <w:p w14:paraId="4F00F6CA"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January 2005 to 26 March 2026</w:t>
            </w:r>
          </w:p>
        </w:tc>
      </w:tr>
      <w:tr w:rsidR="00F6125D" w:rsidRPr="00F6125D" w14:paraId="27736D6C" w14:textId="77777777" w:rsidTr="00D817F0">
        <w:tc>
          <w:tcPr>
            <w:tcW w:w="0" w:type="auto"/>
            <w:hideMark/>
          </w:tcPr>
          <w:p w14:paraId="2AD221B0"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Core search blocks</w:t>
            </w:r>
          </w:p>
        </w:tc>
        <w:tc>
          <w:tcPr>
            <w:tcW w:w="0" w:type="auto"/>
            <w:hideMark/>
          </w:tcPr>
          <w:p w14:paraId="5A631D9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Invasion/pest terms; trade/biosecurity terms; food security/economic consequence terms</w:t>
            </w:r>
          </w:p>
        </w:tc>
      </w:tr>
      <w:tr w:rsidR="00F6125D" w:rsidRPr="00F6125D" w14:paraId="07A36C2F" w14:textId="77777777" w:rsidTr="00D817F0">
        <w:tc>
          <w:tcPr>
            <w:tcW w:w="0" w:type="auto"/>
            <w:hideMark/>
          </w:tcPr>
          <w:p w14:paraId="12397ED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Case-study taxa searched individually</w:t>
            </w:r>
          </w:p>
        </w:tc>
        <w:tc>
          <w:tcPr>
            <w:tcW w:w="0" w:type="auto"/>
            <w:hideMark/>
          </w:tcPr>
          <w:p w14:paraId="42C4815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Spodoptera frugiperda</w:t>
            </w:r>
            <w:r w:rsidRPr="00F6125D">
              <w:rPr>
                <w:rFonts w:ascii="Arial" w:eastAsia="Times New Roman" w:hAnsi="Arial" w:cs="Arial"/>
                <w:kern w:val="0"/>
                <w:sz w:val="20"/>
                <w:szCs w:val="20"/>
                <w:lang w:eastAsia="en-IN"/>
                <w14:ligatures w14:val="none"/>
              </w:rPr>
              <w:t xml:space="preserve">, </w:t>
            </w:r>
            <w:r w:rsidRPr="00F6125D">
              <w:rPr>
                <w:rFonts w:ascii="Arial" w:eastAsia="Times New Roman" w:hAnsi="Arial" w:cs="Arial"/>
                <w:i/>
                <w:iCs/>
                <w:kern w:val="0"/>
                <w:sz w:val="20"/>
                <w:szCs w:val="20"/>
                <w:lang w:eastAsia="en-IN"/>
                <w14:ligatures w14:val="none"/>
              </w:rPr>
              <w:t>Bactrocera dorsalis</w:t>
            </w:r>
            <w:r w:rsidRPr="00F6125D">
              <w:rPr>
                <w:rFonts w:ascii="Arial" w:eastAsia="Times New Roman" w:hAnsi="Arial" w:cs="Arial"/>
                <w:kern w:val="0"/>
                <w:sz w:val="20"/>
                <w:szCs w:val="20"/>
                <w:lang w:eastAsia="en-IN"/>
                <w14:ligatures w14:val="none"/>
              </w:rPr>
              <w:t xml:space="preserve">, </w:t>
            </w:r>
            <w:r w:rsidRPr="00F6125D">
              <w:rPr>
                <w:rFonts w:ascii="Arial" w:eastAsia="Times New Roman" w:hAnsi="Arial" w:cs="Arial"/>
                <w:i/>
                <w:iCs/>
                <w:kern w:val="0"/>
                <w:sz w:val="20"/>
                <w:szCs w:val="20"/>
                <w:lang w:eastAsia="en-IN"/>
                <w14:ligatures w14:val="none"/>
              </w:rPr>
              <w:t>Lycorma delicatula</w:t>
            </w:r>
            <w:r w:rsidRPr="00F6125D">
              <w:rPr>
                <w:rFonts w:ascii="Arial" w:eastAsia="Times New Roman" w:hAnsi="Arial" w:cs="Arial"/>
                <w:kern w:val="0"/>
                <w:sz w:val="20"/>
                <w:szCs w:val="20"/>
                <w:lang w:eastAsia="en-IN"/>
                <w14:ligatures w14:val="none"/>
              </w:rPr>
              <w:t xml:space="preserve">, </w:t>
            </w:r>
            <w:r w:rsidRPr="00F6125D">
              <w:rPr>
                <w:rFonts w:ascii="Arial" w:eastAsia="Times New Roman" w:hAnsi="Arial" w:cs="Arial"/>
                <w:i/>
                <w:iCs/>
                <w:kern w:val="0"/>
                <w:sz w:val="20"/>
                <w:szCs w:val="20"/>
                <w:lang w:eastAsia="en-IN"/>
                <w14:ligatures w14:val="none"/>
              </w:rPr>
              <w:t>Halyomorpha halys</w:t>
            </w:r>
          </w:p>
        </w:tc>
      </w:tr>
      <w:tr w:rsidR="00F6125D" w:rsidRPr="00F6125D" w14:paraId="1FE81E92" w14:textId="77777777" w:rsidTr="00D817F0">
        <w:tc>
          <w:tcPr>
            <w:tcW w:w="0" w:type="auto"/>
            <w:hideMark/>
          </w:tcPr>
          <w:p w14:paraId="2379FEA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Inclusion criteria</w:t>
            </w:r>
          </w:p>
        </w:tc>
        <w:tc>
          <w:tcPr>
            <w:tcW w:w="0" w:type="auto"/>
            <w:hideMark/>
          </w:tcPr>
          <w:p w14:paraId="1A2BDDC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Peer-reviewed primary research, meta-analyses and authoritative reviews; institutional reports with verifiable URL</w:t>
            </w:r>
          </w:p>
        </w:tc>
      </w:tr>
      <w:tr w:rsidR="00F6125D" w:rsidRPr="00F6125D" w14:paraId="7016D564" w14:textId="77777777" w:rsidTr="00D817F0">
        <w:tc>
          <w:tcPr>
            <w:tcW w:w="0" w:type="auto"/>
            <w:hideMark/>
          </w:tcPr>
          <w:p w14:paraId="26E98382"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Exclusion criteria</w:t>
            </w:r>
          </w:p>
        </w:tc>
        <w:tc>
          <w:tcPr>
            <w:tcW w:w="0" w:type="auto"/>
            <w:hideMark/>
          </w:tcPr>
          <w:p w14:paraId="6766DC1B"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Books, grey literature, conference proceedings, trade magazines, preprints, patents, non-English sources</w:t>
            </w:r>
          </w:p>
        </w:tc>
      </w:tr>
      <w:tr w:rsidR="00F6125D" w:rsidRPr="00F6125D" w14:paraId="1322ADFC" w14:textId="77777777" w:rsidTr="00D817F0">
        <w:tc>
          <w:tcPr>
            <w:tcW w:w="0" w:type="auto"/>
            <w:hideMark/>
          </w:tcPr>
          <w:p w14:paraId="3705588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Review type</w:t>
            </w:r>
          </w:p>
        </w:tc>
        <w:tc>
          <w:tcPr>
            <w:tcW w:w="0" w:type="auto"/>
            <w:hideMark/>
          </w:tcPr>
          <w:p w14:paraId="632164BE"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Narrative review, following SANRA-informed reporting principles</w:t>
            </w:r>
          </w:p>
        </w:tc>
      </w:tr>
    </w:tbl>
    <w:p w14:paraId="347951AC"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Source: search strategy informed by methodological guidance in Baethge et al. (2019).</w:t>
      </w:r>
    </w:p>
    <w:p w14:paraId="2D3F0502"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 Pathways of Introduction: Trade, Transport and the Architecture of Invasion</w:t>
      </w:r>
    </w:p>
    <w:p w14:paraId="65AFE92D"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3.1 Commodity trade and propagule pressure</w:t>
      </w:r>
    </w:p>
    <w:p w14:paraId="2891602E" w14:textId="52E98B3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lastRenderedPageBreak/>
        <w:t>The most direct pathway by which insects cross international borders is concealment within traded commodities themselves. Fresh fruit and vegetable imports are a particularly high-risk category, because perishable produce cannot be subjected to prolonged fumigation or heat treatment without ruining its market value, leaving live insect stages a realistic chance of surviving transit and inspection. Empirical work using actual arrival data, rather than aggregate trade volume as a proxy, confirms that propagule pressure through the fruit and vegetable pathway is closely linked to the probability of pest arrival, which fits the intuitive expectation that greater and more frequent commodity flows create correspondingly greater opportunities for insect introduction (Lichtenberg &amp; Olson, 2018). Propagule pressure is not simply a function of trade volume. It also reflects the diversity of exporting countries and commodities involved, since each additional origin and product category is an independent opportunity for a novel pest to enter the shipment stream. The historical association between waves of global trade openness and pulses in insect and plant invasion rates supports the view that overall trade intensity, rather than any single commodity category, is the main macro-level determinant of introduction risk (Bonnamour et al., 2021).</w:t>
      </w:r>
      <w:r w:rsidR="00F33780">
        <w:rPr>
          <w:rFonts w:ascii="Arial" w:eastAsia="Times New Roman" w:hAnsi="Arial" w:cs="Arial"/>
          <w:kern w:val="0"/>
          <w:sz w:val="20"/>
          <w:szCs w:val="20"/>
          <w:lang w:eastAsia="en-IN"/>
          <w14:ligatures w14:val="none"/>
        </w:rPr>
        <w:t xml:space="preserve"> </w:t>
      </w:r>
      <w:r w:rsidR="00F33780" w:rsidRPr="00F33780">
        <w:rPr>
          <w:rFonts w:ascii="Arial" w:eastAsia="Times New Roman" w:hAnsi="Arial" w:cs="Arial"/>
          <w:kern w:val="0"/>
          <w:sz w:val="20"/>
          <w:szCs w:val="20"/>
          <w:highlight w:val="yellow"/>
          <w:lang w:eastAsia="en-IN"/>
          <w14:ligatures w14:val="none"/>
        </w:rPr>
        <w:t>This picture is reinforced by pathway-specific evidence from the United States, where retrospective analysis attributes close to seventy per cent of the damaging forest insects and pathogens established between 1860 and 2006 to imports of live plants rather than to any other single commodity category, a finding that led the study's authors to conclude that the regulatory framework governing plant imports had not kept pace with the scale of the trade it was meant to police (Liebhold et al., 2012). Such a finding invites a more critical reading of pathway-specific risk than a simple ranking of commodity categories can provide, since it suggests that the live plant trade has functioned less as one pathway among several and more as the dominant historical conduit for forest pest introduction, a distinction with direct implications for where limited inspection resources ought to be concentrated.</w:t>
      </w:r>
    </w:p>
    <w:p w14:paraId="6C238FB6"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3.2 Wood packaging material and the ISPM 15 experience</w:t>
      </w:r>
    </w:p>
    <w:p w14:paraId="2B4D3281"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Wood packaging material has long been recognised as an especially problematic pathway because pallets, crates and dunnage frequently come from unknown or poorly documented sources and are used across almost every category of traded goods, so the pathway is essentially ubiquitous rather than confined to a particular commodity sector. Concern over introductions such as the Asian longhorned beetle and the pinewood nematode prompted the International Plant Protection Convention to adopt International Standard for Phytosanitary Measures No. 15 in 2002, which requires heat treatment or fumigation of wood packaging material used in international trade (Haack et al., 2014; International Plant Protection Convention, 2016). Evaluations of interception data collected before and after implementation in the United States indicate that wood borer infestation rates in packaging material fell by roughly a third to a half following adoption of the standard, although the estimated effect size depends somewhat on the analytical assumptions used and the period compared (Haack et al., 2014). This experience shows both the potential of harmonised international standards to reduce introduction risk substantially and the practical difficulty of eliminating risk entirely through a single measure applied to an extraordinarily heterogeneous and voluminous commodity category.</w:t>
      </w:r>
    </w:p>
    <w:p w14:paraId="4B973C3B"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3.3 E-commerce, live plant trade and emerging pathways</w:t>
      </w:r>
    </w:p>
    <w:p w14:paraId="03EE7436" w14:textId="05ED7AB5" w:rsid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pathways described above were largely established as categories of concern during the twentieth century, but the structure of global trade keeps evolving, and newer channels are placing additional strain on existing biosecurity infrastructure. The growth of direct-to-consumer e-commerce has created a pathway in which small parcels containing plant material move from grower to buyer with little opportunity for the kind of consolidated, port-based inspection that has historically anchored border biosecurity systems, since consignments arrive individually, often through postal networks rather than commercial freight channels. </w:t>
      </w:r>
      <w:r w:rsidR="00580632" w:rsidRPr="00580632">
        <w:rPr>
          <w:rFonts w:ascii="Arial" w:eastAsia="Times New Roman" w:hAnsi="Arial" w:cs="Arial"/>
          <w:kern w:val="0"/>
          <w:sz w:val="20"/>
          <w:szCs w:val="20"/>
          <w:lang w:eastAsia="en-IN"/>
          <w14:ligatures w14:val="none"/>
        </w:rPr>
        <w:t>Recent evidence from online-marketplace monitoring confirms that internet-based plant sales can include prohibited or invasive plant taxa, indicating that e-commerce does not merely accelerate legal trade but may also create a poorly visible pathway for regulated organisms and their associated pests to move across jurisdictions (Maher et al., 2023).</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This diffusion of the trade pathway across countless small shipments, rather than concentration within a manageable number of large consignments, complicates risk-based inspection targeting, which depends on being able to direct limited inspection resources toward the highest-risk fraction of overall trade flow. </w:t>
      </w:r>
      <w:r w:rsidR="00580632" w:rsidRPr="00580632">
        <w:rPr>
          <w:rFonts w:ascii="Arial" w:eastAsia="Times New Roman" w:hAnsi="Arial" w:cs="Arial"/>
          <w:kern w:val="0"/>
          <w:sz w:val="20"/>
          <w:szCs w:val="20"/>
          <w:lang w:eastAsia="en-IN"/>
          <w14:ligatures w14:val="none"/>
        </w:rPr>
        <w:t xml:space="preserve">This problem is particularly important because high-risk trade may be shaped more by the number and diversity of trade connections than by shipment volume alone; recent global analysis of </w:t>
      </w:r>
      <w:r w:rsidR="00580632" w:rsidRPr="00580632">
        <w:rPr>
          <w:rFonts w:ascii="Arial" w:eastAsia="Times New Roman" w:hAnsi="Arial" w:cs="Arial"/>
          <w:kern w:val="0"/>
          <w:sz w:val="20"/>
          <w:szCs w:val="20"/>
          <w:lang w:eastAsia="en-IN"/>
          <w14:ligatures w14:val="none"/>
        </w:rPr>
        <w:lastRenderedPageBreak/>
        <w:t>alien plant pest introductions found that the number of import partners was a major predictor of plant-pest introductions across pathways (Nardi et al., 2025).</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Live plant and ornamental trade more broadly remains a persistent route for insect introduction because host material is, by definition, exactly the substrate many phytophagous insects need to survive transit, and intentional introductions of ornamental or agricultural plant species can carry unintentional hitchhiking pests regardless of the regulatory status of the plant itself.</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The international ornamental plant trade is therefore a biosecurity concern not only because plants are moved alive, but also because expanding and increasingly complex supply chains can transport contaminant organisms, soil-associated biota and cryptic pests that are difficult to detect before distribution to retailers or consumers (Hinsley et al., 2025).</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Pathway-based evidence from plant-pest introduction records further supports this concern, showing that host plants, plant products and other human-mediated movements remain important routes through which alien plant pests can enter new regions (Rosace et al., 2023).</w:t>
      </w:r>
    </w:p>
    <w:p w14:paraId="651ADAF0" w14:textId="1452FD7F" w:rsidR="00F33780" w:rsidRPr="00F6125D" w:rsidRDefault="00F33780"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33780">
        <w:rPr>
          <w:rFonts w:ascii="Arial" w:eastAsia="Times New Roman" w:hAnsi="Arial" w:cs="Arial"/>
          <w:kern w:val="0"/>
          <w:sz w:val="20"/>
          <w:szCs w:val="20"/>
          <w:highlight w:val="yellow"/>
          <w:lang w:eastAsia="en-IN"/>
          <w14:ligatures w14:val="none"/>
        </w:rPr>
        <w:t>Empirical evidence on the scale of this problem remains limited, but the available data are troubling: a systematic fifty-day survey of ten major online auction platforms found that a substantial share of recognised invasive plant species, in some plant families thirty to eighty per cent, were being offered for sale daily somewhere in the world, leading the study's authors to conclude that existing biosecurity measures were not effectively regulating online plant trade (Humair et al., 2015). This finding is a useful corrective to any assumption that phytosanitary oversight has simply lagged behind e-commerce growth in a passive sense; it points to an active, ongoing mismatch between the volume of unregulated online plant trade and the surveillance capacity currently deployed against it, a gap that shows little sign of narrowing on its own.</w:t>
      </w:r>
    </w:p>
    <w:p w14:paraId="6DECE7BF"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Table 2 draws together the pathways discussed in this section alongside representative pest examples and the mitigation measure most commonly applied to each.</w:t>
      </w:r>
    </w:p>
    <w:p w14:paraId="34838A11"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2. Principal trade-related pathways for insect introduction and representative pest examples</w:t>
      </w:r>
    </w:p>
    <w:tbl>
      <w:tblPr>
        <w:tblStyle w:val="TableGrid"/>
        <w:tblW w:w="0" w:type="auto"/>
        <w:tblLook w:val="04A0" w:firstRow="1" w:lastRow="0" w:firstColumn="1" w:lastColumn="0" w:noHBand="0" w:noVBand="1"/>
      </w:tblPr>
      <w:tblGrid>
        <w:gridCol w:w="1620"/>
        <w:gridCol w:w="2535"/>
        <w:gridCol w:w="2333"/>
        <w:gridCol w:w="2754"/>
      </w:tblGrid>
      <w:tr w:rsidR="00F6125D" w:rsidRPr="00F6125D" w14:paraId="23C05274" w14:textId="77777777" w:rsidTr="00D817F0">
        <w:tc>
          <w:tcPr>
            <w:tcW w:w="0" w:type="auto"/>
            <w:hideMark/>
          </w:tcPr>
          <w:p w14:paraId="3554756F"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Pathway</w:t>
            </w:r>
          </w:p>
        </w:tc>
        <w:tc>
          <w:tcPr>
            <w:tcW w:w="0" w:type="auto"/>
            <w:hideMark/>
          </w:tcPr>
          <w:p w14:paraId="0429F334"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Mechanism</w:t>
            </w:r>
          </w:p>
        </w:tc>
        <w:tc>
          <w:tcPr>
            <w:tcW w:w="0" w:type="auto"/>
            <w:hideMark/>
          </w:tcPr>
          <w:p w14:paraId="5863B721"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Representative pest example</w:t>
            </w:r>
          </w:p>
        </w:tc>
        <w:tc>
          <w:tcPr>
            <w:tcW w:w="0" w:type="auto"/>
            <w:hideMark/>
          </w:tcPr>
          <w:p w14:paraId="04755165"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Primary mitigation measure</w:t>
            </w:r>
          </w:p>
        </w:tc>
      </w:tr>
      <w:tr w:rsidR="00F6125D" w:rsidRPr="00F6125D" w14:paraId="6B6508BA" w14:textId="77777777" w:rsidTr="00D817F0">
        <w:tc>
          <w:tcPr>
            <w:tcW w:w="0" w:type="auto"/>
            <w:hideMark/>
          </w:tcPr>
          <w:p w14:paraId="2427FFEA"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Fresh fruit and vegetable trade</w:t>
            </w:r>
          </w:p>
        </w:tc>
        <w:tc>
          <w:tcPr>
            <w:tcW w:w="0" w:type="auto"/>
            <w:hideMark/>
          </w:tcPr>
          <w:p w14:paraId="2D916A5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Live insect stages concealed in perishable produce</w:t>
            </w:r>
          </w:p>
        </w:tc>
        <w:tc>
          <w:tcPr>
            <w:tcW w:w="0" w:type="auto"/>
            <w:hideMark/>
          </w:tcPr>
          <w:p w14:paraId="3EA90CCE"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Bactrocera dorsalis</w:t>
            </w:r>
          </w:p>
        </w:tc>
        <w:tc>
          <w:tcPr>
            <w:tcW w:w="0" w:type="auto"/>
            <w:hideMark/>
          </w:tcPr>
          <w:p w14:paraId="765D111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Cold treatment, fumigation, systems approaches</w:t>
            </w:r>
          </w:p>
        </w:tc>
      </w:tr>
      <w:tr w:rsidR="00F6125D" w:rsidRPr="00F6125D" w14:paraId="724194BD" w14:textId="77777777" w:rsidTr="00D817F0">
        <w:tc>
          <w:tcPr>
            <w:tcW w:w="0" w:type="auto"/>
            <w:hideMark/>
          </w:tcPr>
          <w:p w14:paraId="1E0CA71B"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Wood packaging material</w:t>
            </w:r>
          </w:p>
        </w:tc>
        <w:tc>
          <w:tcPr>
            <w:tcW w:w="0" w:type="auto"/>
            <w:hideMark/>
          </w:tcPr>
          <w:p w14:paraId="6673810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Larvae and eggs within untreated or under-treated wood</w:t>
            </w:r>
          </w:p>
        </w:tc>
        <w:tc>
          <w:tcPr>
            <w:tcW w:w="0" w:type="auto"/>
            <w:hideMark/>
          </w:tcPr>
          <w:p w14:paraId="782B1CE0"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Asian longhorned beetle, pinewood nematode</w:t>
            </w:r>
          </w:p>
        </w:tc>
        <w:tc>
          <w:tcPr>
            <w:tcW w:w="0" w:type="auto"/>
            <w:hideMark/>
          </w:tcPr>
          <w:p w14:paraId="28FFA3F4"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ISPM 15 heat treatment/fumigation and marking</w:t>
            </w:r>
          </w:p>
        </w:tc>
      </w:tr>
      <w:tr w:rsidR="00F6125D" w:rsidRPr="00F6125D" w14:paraId="3F6659C9" w14:textId="77777777" w:rsidTr="00D817F0">
        <w:tc>
          <w:tcPr>
            <w:tcW w:w="0" w:type="auto"/>
            <w:hideMark/>
          </w:tcPr>
          <w:p w14:paraId="58F41357"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Maritime shipping and containers</w:t>
            </w:r>
          </w:p>
        </w:tc>
        <w:tc>
          <w:tcPr>
            <w:tcW w:w="0" w:type="auto"/>
            <w:hideMark/>
          </w:tcPr>
          <w:p w14:paraId="2696D40A"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Stowaway adults and soil-associated life stages</w:t>
            </w:r>
          </w:p>
        </w:tc>
        <w:tc>
          <w:tcPr>
            <w:tcW w:w="0" w:type="auto"/>
            <w:hideMark/>
          </w:tcPr>
          <w:p w14:paraId="0351388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Halyomorpha halys</w:t>
            </w:r>
          </w:p>
        </w:tc>
        <w:tc>
          <w:tcPr>
            <w:tcW w:w="0" w:type="auto"/>
            <w:hideMark/>
          </w:tcPr>
          <w:p w14:paraId="5DF29C6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Container inspection, soil sampling protocols</w:t>
            </w:r>
          </w:p>
        </w:tc>
      </w:tr>
      <w:tr w:rsidR="00F6125D" w:rsidRPr="00F6125D" w14:paraId="3EA77286" w14:textId="77777777" w:rsidTr="00D817F0">
        <w:tc>
          <w:tcPr>
            <w:tcW w:w="0" w:type="auto"/>
            <w:hideMark/>
          </w:tcPr>
          <w:p w14:paraId="548F3A00"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Live plant and nursery trade</w:t>
            </w:r>
          </w:p>
        </w:tc>
        <w:tc>
          <w:tcPr>
            <w:tcW w:w="0" w:type="auto"/>
            <w:hideMark/>
          </w:tcPr>
          <w:p w14:paraId="15B104DE"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Host material carrying pests directly on planting stock</w:t>
            </w:r>
          </w:p>
        </w:tc>
        <w:tc>
          <w:tcPr>
            <w:tcW w:w="0" w:type="auto"/>
            <w:hideMark/>
          </w:tcPr>
          <w:p w14:paraId="43147D9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Various polyphagous Lepidoptera and Hemiptera</w:t>
            </w:r>
          </w:p>
        </w:tc>
        <w:tc>
          <w:tcPr>
            <w:tcW w:w="0" w:type="auto"/>
            <w:hideMark/>
          </w:tcPr>
          <w:p w14:paraId="04229B2B"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Certification schemes, pest-free area designation</w:t>
            </w:r>
          </w:p>
        </w:tc>
      </w:tr>
      <w:tr w:rsidR="00F6125D" w:rsidRPr="00F6125D" w14:paraId="293F4F44" w14:textId="77777777" w:rsidTr="00D817F0">
        <w:tc>
          <w:tcPr>
            <w:tcW w:w="0" w:type="auto"/>
            <w:hideMark/>
          </w:tcPr>
          <w:p w14:paraId="38E15778"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E-commerce and postal parcels</w:t>
            </w:r>
          </w:p>
        </w:tc>
        <w:tc>
          <w:tcPr>
            <w:tcW w:w="0" w:type="auto"/>
            <w:hideMark/>
          </w:tcPr>
          <w:p w14:paraId="37E579CD"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Small, dispersed consignments bypassing consolidated inspection</w:t>
            </w:r>
          </w:p>
        </w:tc>
        <w:tc>
          <w:tcPr>
            <w:tcW w:w="0" w:type="auto"/>
            <w:hideMark/>
          </w:tcPr>
          <w:p w14:paraId="797E73D4"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Emerging concern across multiple taxa</w:t>
            </w:r>
          </w:p>
        </w:tc>
        <w:tc>
          <w:tcPr>
            <w:tcW w:w="0" w:type="auto"/>
            <w:hideMark/>
          </w:tcPr>
          <w:p w14:paraId="032E7B5D"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Risk-based targeting, consumer awareness campaigns</w:t>
            </w:r>
          </w:p>
        </w:tc>
      </w:tr>
    </w:tbl>
    <w:p w14:paraId="7CD0AB2F"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Sources: Haack et al. (2014); Lichtenberg and Olson (2018); Bonnamour et al. (2021); Montgomery et al. (2023).</w:t>
      </w:r>
    </w:p>
    <w:p w14:paraId="6C4425DA" w14:textId="2CB85160"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As Table 2 indicates, no single mitigation measure covers the full range of trade-related introduction pathways, and the relative importance of each pathway keeps shifting as global commerce diversifies away from the large, consolidated shipments that historically anchored border inspection regimes.</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For this reason, emerging-pathway governance should be complemented by horizon-scanning systems that integrate web signals, trade data, pest reports and other early-warning sources, allowing phytosanitary authorities to identify changing risks before they appear as repeated border interceptions or established outbreaks (Antoniou et al., 2024).</w:t>
      </w:r>
    </w:p>
    <w:p w14:paraId="0D6D1F19"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lastRenderedPageBreak/>
        <w:t>4. Case Studies of High-Impact Invasive Insect Pests Linked to Trade</w:t>
      </w:r>
    </w:p>
    <w:p w14:paraId="2E4EC226"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4.1 The fall armyworm invasion of Africa and Asia</w:t>
      </w:r>
    </w:p>
    <w:p w14:paraId="1E7AEAE6"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fall armyworm, </w:t>
      </w:r>
      <w:r w:rsidRPr="00F6125D">
        <w:rPr>
          <w:rFonts w:ascii="Arial" w:eastAsia="Times New Roman" w:hAnsi="Arial" w:cs="Arial"/>
          <w:i/>
          <w:iCs/>
          <w:kern w:val="0"/>
          <w:sz w:val="20"/>
          <w:szCs w:val="20"/>
          <w:lang w:eastAsia="en-IN"/>
          <w14:ligatures w14:val="none"/>
        </w:rPr>
        <w:t>Spodoptera frugiperda</w:t>
      </w:r>
      <w:r w:rsidRPr="00F6125D">
        <w:rPr>
          <w:rFonts w:ascii="Arial" w:eastAsia="Times New Roman" w:hAnsi="Arial" w:cs="Arial"/>
          <w:kern w:val="0"/>
          <w:sz w:val="20"/>
          <w:szCs w:val="20"/>
          <w:lang w:eastAsia="en-IN"/>
          <w14:ligatures w14:val="none"/>
        </w:rPr>
        <w:t>, native to the tropical and subtropical Americas, gives one of the clearest recent illustrations of how quickly a trade-connected world can disperse a highly polyphagous agricultural pest across continents. The species was first confirmed outside the Americas in West Africa in early 2016, and within roughly two years had spread across most of sub-Saharan Africa before being detected in India in May 2018 and across South, Southeast and East Asia by early 2019 (Acharya et al., 2021). Genetic analyses of invading populations find that most individuals sampled across Africa and Asia are heterogeneous hybrids between the corn-preferring and rice-preferring host strains recognised in the native range, a pattern consistent with rapid, human-mediated long-distance dispersal rather than a slow, stepwise natural range expansion (Acharya et al., 2021). Later genomic work covering a much larger set of populations across South Asia, Southeast Asia, East Asia and the Pacific/Australia region reveals a considerably more complex invasion history than the simple west-to-east narrative first proposed, with evidence for multiple, largely independent introduction events into different parts of Asia, several of which are best explained by trade in live or fresh plant material rather than a single wave of natural dispersal radiating outward from the initial African introduction (Rane et al., 2023). This finding matters for biosecurity policy because it means preventing further international spread of the fall armyworm cannot rely on interrupting a single dispersal front. It requires attention to the full network of trade relationships connecting already-invaded countries to as-yet uninvaded ones, since each of these relationships appears capable of generating an independent bridgehead introduction. The speed and breadth of the fall armyworm's spread have translated directly into food security consequences for the smallholder maize-producing systems of sub-Saharan Africa and South and Southeast Asia, where the pest threatens the production and livelihood goals of millions of subsistence farming households and has prompted urgent calls for coordinated integrated pest management research across the newly invaded range (Mendesil et al., 2023).</w:t>
      </w:r>
    </w:p>
    <w:p w14:paraId="6C922AC8"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4.2 The Oriental fruit fly and the fruit trade nexus</w:t>
      </w:r>
    </w:p>
    <w:p w14:paraId="3E802175"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Oriental fruit fly, </w:t>
      </w:r>
      <w:r w:rsidRPr="00F6125D">
        <w:rPr>
          <w:rFonts w:ascii="Arial" w:eastAsia="Times New Roman" w:hAnsi="Arial" w:cs="Arial"/>
          <w:i/>
          <w:iCs/>
          <w:kern w:val="0"/>
          <w:sz w:val="20"/>
          <w:szCs w:val="20"/>
          <w:lang w:eastAsia="en-IN"/>
          <w14:ligatures w14:val="none"/>
        </w:rPr>
        <w:t>Bactrocera dorsalis</w:t>
      </w:r>
      <w:r w:rsidRPr="00F6125D">
        <w:rPr>
          <w:rFonts w:ascii="Arial" w:eastAsia="Times New Roman" w:hAnsi="Arial" w:cs="Arial"/>
          <w:kern w:val="0"/>
          <w:sz w:val="20"/>
          <w:szCs w:val="20"/>
          <w:lang w:eastAsia="en-IN"/>
          <w14:ligatures w14:val="none"/>
        </w:rPr>
        <w:t xml:space="preserve">, illustrates a parallel but mechanistically distinct trade-invasion dynamic centred on the international fresh fruit trade. As one of the world's most economically destructive tephritid pests, with a host range spanning more than 250 fruit and vegetable species, </w:t>
      </w:r>
      <w:r w:rsidRPr="00F6125D">
        <w:rPr>
          <w:rFonts w:ascii="Arial" w:eastAsia="Times New Roman" w:hAnsi="Arial" w:cs="Arial"/>
          <w:i/>
          <w:iCs/>
          <w:kern w:val="0"/>
          <w:sz w:val="20"/>
          <w:szCs w:val="20"/>
          <w:lang w:eastAsia="en-IN"/>
          <w14:ligatures w14:val="none"/>
        </w:rPr>
        <w:t>B. dorsalis</w:t>
      </w:r>
      <w:r w:rsidRPr="00F6125D">
        <w:rPr>
          <w:rFonts w:ascii="Arial" w:eastAsia="Times New Roman" w:hAnsi="Arial" w:cs="Arial"/>
          <w:kern w:val="0"/>
          <w:sz w:val="20"/>
          <w:szCs w:val="20"/>
          <w:lang w:eastAsia="en-IN"/>
          <w14:ligatures w14:val="none"/>
        </w:rPr>
        <w:t xml:space="preserve"> poses a quarantine risk severe enough to interrupt fresh commodity trade outright in importing jurisdictions that maintain pest-free status. Population genetic analysis across the species' full geographic range shows weak population structure and high genetic diversity across Asian populations, consistent with extensive gene flow facilitated by regional trade, while invasive populations established in Africa and Hawaii appear to derive from separate, single introduction events originating in South Asia (Qin et al., 2018). The continuing northward expansion of the species into temperate regions of China, occurring with comparatively little associated genetic differentiation from source populations, has been interpreted as the product of multiple, repeated dispersal events most plausibly linked to the fruit trade rather than a single unrepeated colonisation. This again underlines how ongoing commercial exchange, rather than a discrete historical introduction event, sustains and expands the invaded range of high-impact trade-associated pests (Qin et al., 2018).</w:t>
      </w:r>
    </w:p>
    <w:p w14:paraId="5490676F"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4.3 Additional notable invaders and the bridgehead phenomenon</w:t>
      </w:r>
    </w:p>
    <w:p w14:paraId="42DCF6AC"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Beyond these two extensively studied cases, a wider set of species illustrates the recurring theme of trade-facilitated, bridgehead-mediated spread. Modelling work using a global spatiotemporal network framework that couples international trade connectivity with climate suitability and host availability has shown the capacity of established invasive populations to act as secondary source points from which further introductions accelerate global spread, using the spotted lanternfly as a demonstration case. The same modelling architecture is explicitly designed to be adaptable to other pests capable of dispersing along human-mediated pathways (Montgomery et al., 2023). Table 3 brings together the case evidence discussed in this section, showing how invasion pattern and food security relevance vary across species while sharing a common trade-linked mechanism.</w:t>
      </w:r>
    </w:p>
    <w:p w14:paraId="31F00D29"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lastRenderedPageBreak/>
        <w:t>Table 3. Selected trade-associated invasive insect pests: invasion pattern and food security relevance</w:t>
      </w:r>
    </w:p>
    <w:tbl>
      <w:tblPr>
        <w:tblStyle w:val="TableGrid"/>
        <w:tblW w:w="0" w:type="auto"/>
        <w:tblLook w:val="04A0" w:firstRow="1" w:lastRow="0" w:firstColumn="1" w:lastColumn="0" w:noHBand="0" w:noVBand="1"/>
      </w:tblPr>
      <w:tblGrid>
        <w:gridCol w:w="1828"/>
        <w:gridCol w:w="2067"/>
        <w:gridCol w:w="2238"/>
        <w:gridCol w:w="3109"/>
      </w:tblGrid>
      <w:tr w:rsidR="00F6125D" w:rsidRPr="00F6125D" w14:paraId="45D11B52" w14:textId="77777777" w:rsidTr="00D817F0">
        <w:tc>
          <w:tcPr>
            <w:tcW w:w="0" w:type="auto"/>
            <w:hideMark/>
          </w:tcPr>
          <w:p w14:paraId="6135AE37"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Species</w:t>
            </w:r>
          </w:p>
        </w:tc>
        <w:tc>
          <w:tcPr>
            <w:tcW w:w="0" w:type="auto"/>
            <w:hideMark/>
          </w:tcPr>
          <w:p w14:paraId="63696964"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Native range</w:t>
            </w:r>
          </w:p>
        </w:tc>
        <w:tc>
          <w:tcPr>
            <w:tcW w:w="0" w:type="auto"/>
            <w:hideMark/>
          </w:tcPr>
          <w:p w14:paraId="5DFD135E"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Invasion pattern</w:t>
            </w:r>
          </w:p>
        </w:tc>
        <w:tc>
          <w:tcPr>
            <w:tcW w:w="0" w:type="auto"/>
            <w:hideMark/>
          </w:tcPr>
          <w:p w14:paraId="50DCE885"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Principal food security concern</w:t>
            </w:r>
          </w:p>
        </w:tc>
      </w:tr>
      <w:tr w:rsidR="00F6125D" w:rsidRPr="00F6125D" w14:paraId="51EC576B" w14:textId="77777777" w:rsidTr="00D817F0">
        <w:tc>
          <w:tcPr>
            <w:tcW w:w="0" w:type="auto"/>
            <w:hideMark/>
          </w:tcPr>
          <w:p w14:paraId="0211ECF0"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Spodoptera frugiperda</w:t>
            </w:r>
            <w:r w:rsidRPr="00F6125D">
              <w:rPr>
                <w:rFonts w:ascii="Arial" w:eastAsia="Times New Roman" w:hAnsi="Arial" w:cs="Arial"/>
                <w:kern w:val="0"/>
                <w:sz w:val="20"/>
                <w:szCs w:val="20"/>
                <w:lang w:eastAsia="en-IN"/>
                <w14:ligatures w14:val="none"/>
              </w:rPr>
              <w:t xml:space="preserve"> (fall armyworm)</w:t>
            </w:r>
          </w:p>
        </w:tc>
        <w:tc>
          <w:tcPr>
            <w:tcW w:w="0" w:type="auto"/>
            <w:hideMark/>
          </w:tcPr>
          <w:p w14:paraId="04BB65FE"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Tropical/subtropical Americas</w:t>
            </w:r>
          </w:p>
        </w:tc>
        <w:tc>
          <w:tcPr>
            <w:tcW w:w="0" w:type="auto"/>
            <w:hideMark/>
          </w:tcPr>
          <w:p w14:paraId="24447A9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Multiple independent introductions into Africa and Asia via trade in live/fresh plant material</w:t>
            </w:r>
          </w:p>
        </w:tc>
        <w:tc>
          <w:tcPr>
            <w:tcW w:w="0" w:type="auto"/>
            <w:hideMark/>
          </w:tcPr>
          <w:p w14:paraId="7220085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Threatens smallholder maize production across Africa and South/Southeast Asia</w:t>
            </w:r>
          </w:p>
        </w:tc>
      </w:tr>
      <w:tr w:rsidR="00F6125D" w:rsidRPr="00F6125D" w14:paraId="6FDC73D7" w14:textId="77777777" w:rsidTr="00D817F0">
        <w:tc>
          <w:tcPr>
            <w:tcW w:w="0" w:type="auto"/>
            <w:hideMark/>
          </w:tcPr>
          <w:p w14:paraId="72E27E7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Bactrocera dorsalis</w:t>
            </w:r>
            <w:r w:rsidRPr="00F6125D">
              <w:rPr>
                <w:rFonts w:ascii="Arial" w:eastAsia="Times New Roman" w:hAnsi="Arial" w:cs="Arial"/>
                <w:kern w:val="0"/>
                <w:sz w:val="20"/>
                <w:szCs w:val="20"/>
                <w:lang w:eastAsia="en-IN"/>
                <w14:ligatures w14:val="none"/>
              </w:rPr>
              <w:t xml:space="preserve"> (Oriental fruit fly)</w:t>
            </w:r>
          </w:p>
        </w:tc>
        <w:tc>
          <w:tcPr>
            <w:tcW w:w="0" w:type="auto"/>
            <w:hideMark/>
          </w:tcPr>
          <w:p w14:paraId="761A3F7E"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South and Southeast Asia</w:t>
            </w:r>
          </w:p>
        </w:tc>
        <w:tc>
          <w:tcPr>
            <w:tcW w:w="0" w:type="auto"/>
            <w:hideMark/>
          </w:tcPr>
          <w:p w14:paraId="6802C1AD"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Repeated introductions via fresh fruit trade; northward expansion into temperate China</w:t>
            </w:r>
          </w:p>
        </w:tc>
        <w:tc>
          <w:tcPr>
            <w:tcW w:w="0" w:type="auto"/>
            <w:hideMark/>
          </w:tcPr>
          <w:p w14:paraId="4CCD0242" w14:textId="14C0355D" w:rsidR="00F6125D" w:rsidRPr="00F6125D" w:rsidRDefault="006772DD" w:rsidP="003F1345">
            <w:pPr>
              <w:jc w:val="both"/>
              <w:rPr>
                <w:rFonts w:ascii="Arial" w:eastAsia="Times New Roman" w:hAnsi="Arial" w:cs="Arial"/>
                <w:kern w:val="0"/>
                <w:sz w:val="20"/>
                <w:szCs w:val="20"/>
                <w:lang w:eastAsia="en-IN"/>
                <w14:ligatures w14:val="none"/>
              </w:rPr>
            </w:pPr>
            <w:r w:rsidRPr="006772DD">
              <w:rPr>
                <w:rFonts w:ascii="Arial" w:eastAsia="Times New Roman" w:hAnsi="Arial" w:cs="Arial"/>
                <w:kern w:val="0"/>
                <w:sz w:val="20"/>
                <w:szCs w:val="20"/>
                <w:lang w:eastAsia="en-IN"/>
                <w14:ligatures w14:val="none"/>
              </w:rPr>
              <w:t>Disrupts fresh fruit and vegetable trade through quarantine restrictions and can cause severe crop losses where management is inadequate</w:t>
            </w:r>
          </w:p>
        </w:tc>
      </w:tr>
      <w:tr w:rsidR="00F6125D" w:rsidRPr="00F6125D" w14:paraId="49E93D8B" w14:textId="77777777" w:rsidTr="00D817F0">
        <w:tc>
          <w:tcPr>
            <w:tcW w:w="0" w:type="auto"/>
            <w:hideMark/>
          </w:tcPr>
          <w:p w14:paraId="7755057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Lycorma delicatula</w:t>
            </w:r>
            <w:r w:rsidRPr="00F6125D">
              <w:rPr>
                <w:rFonts w:ascii="Arial" w:eastAsia="Times New Roman" w:hAnsi="Arial" w:cs="Arial"/>
                <w:kern w:val="0"/>
                <w:sz w:val="20"/>
                <w:szCs w:val="20"/>
                <w:lang w:eastAsia="en-IN"/>
                <w14:ligatures w14:val="none"/>
              </w:rPr>
              <w:t xml:space="preserve"> (spotted lanternfly)</w:t>
            </w:r>
          </w:p>
        </w:tc>
        <w:tc>
          <w:tcPr>
            <w:tcW w:w="0" w:type="auto"/>
            <w:hideMark/>
          </w:tcPr>
          <w:p w14:paraId="13BF00D8"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China, Vietnam</w:t>
            </w:r>
          </w:p>
        </w:tc>
        <w:tc>
          <w:tcPr>
            <w:tcW w:w="0" w:type="auto"/>
            <w:hideMark/>
          </w:tcPr>
          <w:p w14:paraId="21901FE2"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Bridgehead-mediated spread modelled through global trade networks</w:t>
            </w:r>
          </w:p>
        </w:tc>
        <w:tc>
          <w:tcPr>
            <w:tcW w:w="0" w:type="auto"/>
            <w:hideMark/>
          </w:tcPr>
          <w:p w14:paraId="3123EA88"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Threatens fruit, timber and viticultural production in newly invaded regions</w:t>
            </w:r>
          </w:p>
        </w:tc>
      </w:tr>
      <w:tr w:rsidR="00F6125D" w:rsidRPr="00F6125D" w14:paraId="54AEF807" w14:textId="77777777" w:rsidTr="00D817F0">
        <w:tc>
          <w:tcPr>
            <w:tcW w:w="0" w:type="auto"/>
            <w:hideMark/>
          </w:tcPr>
          <w:p w14:paraId="13EAEB0B"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Halyomorpha halys</w:t>
            </w:r>
            <w:r w:rsidRPr="00F6125D">
              <w:rPr>
                <w:rFonts w:ascii="Arial" w:eastAsia="Times New Roman" w:hAnsi="Arial" w:cs="Arial"/>
                <w:kern w:val="0"/>
                <w:sz w:val="20"/>
                <w:szCs w:val="20"/>
                <w:lang w:eastAsia="en-IN"/>
                <w14:ligatures w14:val="none"/>
              </w:rPr>
              <w:t xml:space="preserve"> (brown marmorated stink bug)</w:t>
            </w:r>
          </w:p>
        </w:tc>
        <w:tc>
          <w:tcPr>
            <w:tcW w:w="0" w:type="auto"/>
            <w:hideMark/>
          </w:tcPr>
          <w:p w14:paraId="3647CDE7"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East Asia</w:t>
            </w:r>
          </w:p>
        </w:tc>
        <w:tc>
          <w:tcPr>
            <w:tcW w:w="0" w:type="auto"/>
            <w:hideMark/>
          </w:tcPr>
          <w:p w14:paraId="7BB2E6A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Container and produce-associated spread to North America and Europe</w:t>
            </w:r>
          </w:p>
        </w:tc>
        <w:tc>
          <w:tcPr>
            <w:tcW w:w="0" w:type="auto"/>
            <w:hideMark/>
          </w:tcPr>
          <w:p w14:paraId="1947059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Broad host range across tree fruit and vegetable crops</w:t>
            </w:r>
          </w:p>
        </w:tc>
      </w:tr>
    </w:tbl>
    <w:p w14:paraId="576E13E3"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Sources: Acharya et al. (2021); Qin et al. (2018); Rane et al. (2023); Montgomery et al. (2023); Mendesil et al. (2023).</w:t>
      </w:r>
    </w:p>
    <w:p w14:paraId="34FDC228"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Taken together, the four cases summarised in Table 3 show that contemporary invasions rarely follow a simple, single-origin diffusion pattern. Instead, they typically involve a lattice of interconnected trade relationships, any one of which can generate an independent introduction event, which has direct implications for how biosecurity resources should be allocated across a country's full portfolio of trading partners rather than concentrated narrowly on the presumed point of original introduction.</w:t>
      </w:r>
    </w:p>
    <w:p w14:paraId="060E5871"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 Climate Change as an Amplifier of Trade-Mediated Invasion Risk</w:t>
      </w:r>
    </w:p>
    <w:p w14:paraId="6F63ADB5"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5.1 Range expansion and the erosion of climatic barriers</w:t>
      </w:r>
    </w:p>
    <w:p w14:paraId="5E0BDD9B"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Trade provides the transport mechanism for insect introduction, but climate conditions in the recipient country ultimately determine whether an introduced insect can establish a lasting population. Climate change is gradually removing a barrier that has historically limited the establishment success of many trade-introduced pests in temperate regions, because rising baseline temperatures and milder winters extend the geographic zone within which tropical and subtropical species can complete their life cycle and survive the cold season. A poleward shift in the distribution of crop-damaging pests and pathogens has already been documented as global temperatures rise (Bebber et al., 2013). Warmer conditions are also linked to expansion of insect geographic distributions, improved overwintering survival, more generations per year, and altered synchrony between pest emergence and host plant phenology, all of which increase the chance that a species introduced through trade will successfully establish outside its historical climatic envelope (Skendžić et al., 2021a). Continental-scale review evidence indicates that in Europe alone, biological invasions of economically important insects have been shaped by the joint operation of climate change and intensifying international trade, with each factor amplifying the establishment potential created by the other rather than operating as independent, additive risks (Skendžić et al., 2021b).</w:t>
      </w:r>
    </w:p>
    <w:p w14:paraId="08417009"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5.2 Interaction between range shift and pesticide resistance</w:t>
      </w:r>
    </w:p>
    <w:p w14:paraId="5173ABE3"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A particularly consequential interaction between climate change and pest management concerns the relationship between expanding overwintering range and the evolution of pesticide resistance. Detailed modelling of the diamondback moth, a globally significant pest of cruciferous crops, shows </w:t>
      </w:r>
      <w:r w:rsidRPr="00F6125D">
        <w:rPr>
          <w:rFonts w:ascii="Arial" w:eastAsia="Times New Roman" w:hAnsi="Arial" w:cs="Arial"/>
          <w:kern w:val="0"/>
          <w:sz w:val="20"/>
          <w:szCs w:val="20"/>
          <w:lang w:eastAsia="en-IN"/>
          <w14:ligatures w14:val="none"/>
        </w:rPr>
        <w:lastRenderedPageBreak/>
        <w:t>that climate change over the past half-century has already expanded the species' overwintering range by roughly 2.4 million square kilometres worldwide, and that mean pesticide resistance levels are substantially higher, by two orders of magnitude, in locations where the species can now persist year-round compared with locations where it occurs only seasonally (Ma et al., 2021). This finding shows that the food security threat posed by climate-driven range expansion is not limited to the simple geographic spread of pest populations. It extends to a real deterioration in the effectiveness of the chemical control measures that many farming systems currently depend on, because year-round local persistence provides the continuous selection pressure needed for resistance to build up and stabilise within a population.</w:t>
      </w:r>
    </w:p>
    <w:p w14:paraId="5D95FA28"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5.3 Projected yield losses under continued warming</w:t>
      </w:r>
    </w:p>
    <w:p w14:paraId="5DAAB070"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Model-based projections combining established relationships between temperature and insect metabolic and population growth rates with future warming scenarios indicate that, for the three most important global staple grains, wheat, rice and maize, yield losses to insect pests will increase by an additional 10 to 25 per cent for each further degree Celsius of warming, with the largest absolute losses concentrated in temperate grain-producing regions where insect population growth is currently most constrained by cold temperatures (Deutsch et al., 2018). These projections carry direct implications for the trade-invasion relationship discussed throughout this review, because temperate regions that have historically served as major grain exporters, and therefore as significant sources of outbound agricultural trade, are simultaneously projected to see the largest relative increases in pest pressure. That combination could reduce global export volumes and increase pest-associated trade risk from precisely the countries on which food-importing regions depend most heavily.</w:t>
      </w:r>
    </w:p>
    <w:p w14:paraId="783FA5B4"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 Economic and Food Security Consequences</w:t>
      </w:r>
    </w:p>
    <w:p w14:paraId="3CC4F59C"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6.1 Global cost estimates</w:t>
      </w:r>
    </w:p>
    <w:p w14:paraId="28228F6D" w14:textId="362A44FB" w:rsidR="00F33780"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Quantifying the economic burden of invasive insects at a global scale has historically been hampered by fragmented, inconsistent reporting across countries and sectors, a gap that the InvaCost database was specifically built to address by compiling and standardising published cost estimates for biological invasions worldwide (Diagne et al., 2020). Analysis of this database indicates that the total reported cost of biological invasions across all taxa reached a minimum of approximately 1.288 trillion United States dollars over the period from 1970 to 2017, with an annual mean cost of roughly 26.8 billion dollars, and that the annual cost trajectory has risen sharply enough that the true annual mean cost by 2017 may have reached as much as 162.7 billion dollars once reporting lags and data gaps are accounted for (Diagne et al., 2021). Earlier work focused specifically on invasive insects had already flagged that available economic estimates were sporadic and spatially incomplete, particularly outside Europe and North America, leading to the conclusion that the costs of invasive insects to human society are systematically underestimated in the available literature and are likely to escalate further as international trade keeps expanding and the climate keeps warming (Bradshaw et al., 2016). </w:t>
      </w:r>
      <w:r w:rsidR="00580632" w:rsidRPr="00580632">
        <w:rPr>
          <w:rFonts w:ascii="Arial" w:eastAsia="Times New Roman" w:hAnsi="Arial" w:cs="Arial"/>
          <w:kern w:val="0"/>
          <w:sz w:val="20"/>
          <w:szCs w:val="20"/>
          <w:lang w:eastAsia="en-IN"/>
          <w14:ligatures w14:val="none"/>
        </w:rPr>
        <w:t>More recent synthesis of invasive terrestrial invertebrates provides further support for this interpretation, showing that arthropod-dominated invader groups impose substantial and geographically uneven costs across agriculture, forestry, public health and management sectors (Renault et al., 2022). This evidence is particularly relevant to trade-mediated insect invasions because it confirms that the economic burden is not limited to a few high-profile pests but is distributed across many taxa, regions and affected sectors.</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More recent synthesis work using the expanded InvaCost database confirms that this pattern of underestimation persists, while also documenting substantial growth in the volume, geographic coverage and taxonomic breadth of the cost estimates now available for analysis (Ahmed et al., 2023).</w:t>
      </w:r>
      <w:r w:rsidR="00580632">
        <w:rPr>
          <w:rFonts w:ascii="Arial" w:eastAsia="Times New Roman" w:hAnsi="Arial" w:cs="Arial"/>
          <w:kern w:val="0"/>
          <w:sz w:val="20"/>
          <w:szCs w:val="20"/>
          <w:lang w:eastAsia="en-IN"/>
          <w14:ligatures w14:val="none"/>
        </w:rPr>
        <w:t xml:space="preserve"> </w:t>
      </w:r>
      <w:r w:rsidR="00F33780" w:rsidRPr="00F33780">
        <w:rPr>
          <w:rFonts w:ascii="Arial" w:eastAsia="Times New Roman" w:hAnsi="Arial" w:cs="Arial"/>
          <w:kern w:val="0"/>
          <w:sz w:val="20"/>
          <w:szCs w:val="20"/>
          <w:lang w:eastAsia="en-IN"/>
          <w14:ligatures w14:val="none"/>
        </w:rPr>
        <w:t>T</w:t>
      </w:r>
      <w:r w:rsidR="00F33780" w:rsidRPr="00F33780">
        <w:rPr>
          <w:rFonts w:ascii="Arial" w:eastAsia="Times New Roman" w:hAnsi="Arial" w:cs="Arial"/>
          <w:kern w:val="0"/>
          <w:sz w:val="20"/>
          <w:szCs w:val="20"/>
          <w:highlight w:val="yellow"/>
          <w:lang w:eastAsia="en-IN"/>
          <w14:ligatures w14:val="none"/>
        </w:rPr>
        <w:t>hese headline figures nonetheless warrant a degree of caution regarding their internal precision, quite apart from the separate question of overall completeness. A forensic audit of the InvaCost database using Benford's Law, a statistical test widely applied to detect irregularities in financial reporting, found that reported cost entries depart from the distribution expected of naturally occurring financial data to a degree comparable with known cases of imprecise or inflated accounting, with a marked tendency toward rounded values and a heavy concentration of estimates at conveniently round figures such as one million units of currency (Hulme et al., 2024). This does not undermine the broad conclusion that invasion costs are large and rising, but it does suggest that individual cost entries, and by extension some of the more granular breakdowns drawn from them, are better read as approximate orders of magnitude than as precise accounting figures.</w:t>
      </w:r>
    </w:p>
    <w:p w14:paraId="6B0F2807" w14:textId="4ED3A30A" w:rsidR="00F6125D" w:rsidRPr="00F6125D" w:rsidRDefault="00580632"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580632">
        <w:rPr>
          <w:rFonts w:ascii="Arial" w:eastAsia="Times New Roman" w:hAnsi="Arial" w:cs="Arial"/>
          <w:kern w:val="0"/>
          <w:sz w:val="20"/>
          <w:szCs w:val="20"/>
          <w:lang w:eastAsia="en-IN"/>
          <w14:ligatures w14:val="none"/>
        </w:rPr>
        <w:lastRenderedPageBreak/>
        <w:t>At the same time, invasion-cost estimates require careful interpretation because reported values may include direct production losses, management expenditure, research and monitoring costs, and wider social or environmental damages that are not always measured using comparable methods (Vaissière et al., 2022). Distinguishing these cost categories is important in the present review because food-security implications depend not only on the total monetary burden, but also on whether costs arise from crop damage, control expenditure, market disruption or delayed prevention.</w:t>
      </w:r>
    </w:p>
    <w:p w14:paraId="3F7F83E3"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6.2 National-level costs and sectoral distribution</w:t>
      </w:r>
    </w:p>
    <w:p w14:paraId="19F3724F" w14:textId="0C81559B"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Country-level analyses show the scale at which these global figures translate into national economic burdens. In the United States alone, reported invasion costs across all taxa between 1960 and 2020 totalled at least 1.22 trillion dollars in highly reliable, observed cost terms, with annual costs rising from approximately 2 billion dollars per year in the 1960s to more than 21 billion dollars per year by the 2010–2020 period (Fantle-Lepczyk et al., 2022). Within this total, agriculture was the single most heavily affected economic sector, and insects as a taxonomic group accounted for a substantial share of total costs, second only to mammals among the taxa examined (Fantle-Lepczyk et al., 2022). </w:t>
      </w:r>
      <w:r w:rsidR="00580632" w:rsidRPr="00580632">
        <w:rPr>
          <w:rFonts w:ascii="Arial" w:eastAsia="Times New Roman" w:hAnsi="Arial" w:cs="Arial"/>
          <w:kern w:val="0"/>
          <w:sz w:val="20"/>
          <w:szCs w:val="20"/>
          <w:lang w:eastAsia="en-IN"/>
          <w14:ligatures w14:val="none"/>
        </w:rPr>
        <w:t>A recent sectoral analysis confirms the special relevance of biological invasions to primary production, estimating that agriculture, forestry and fisheries together have incurred hundreds of billions of dollars in reported invasion-related costs, with agriculture representing the largest share of these losses (Turbelin et al., 2024). This supports the present review’s focus on food security, since trade-mediated pest introductions affect not only ecological systems but also the productive sectors on which food availability, rural income and commodity trade depend.</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These figures sit alongside earlier estimates, reported within Paini et al. (2016), that crop and forest production losses from invasive insects and pathogens in the United States alone approach forty billion dollars annually, and that the threat from invasive species arriving in countries where they were previously absent is expected to grow further as globalisation and trade connectivity continue to intensify (Paini et al., 2016).</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Evidence linking monetary impacts to introduction pathways also shows that economically costly invasions are frequently associated with human-mediated transport routes, including stowaway, contaminant and commodity-related pathways (Turbelin et al., 2022). This finding reinforces the argument that economic losses from invasive pests cannot be separated from the trade and transport systems that create repeated opportunities for establishment</w:t>
      </w:r>
      <w:r w:rsidR="00580632">
        <w:rPr>
          <w:rFonts w:ascii="Arial" w:eastAsia="Times New Roman" w:hAnsi="Arial" w:cs="Arial"/>
          <w:kern w:val="0"/>
          <w:sz w:val="20"/>
          <w:szCs w:val="20"/>
          <w:lang w:eastAsia="en-IN"/>
          <w14:ligatures w14:val="none"/>
        </w:rPr>
        <w:t>.</w:t>
      </w:r>
    </w:p>
    <w:p w14:paraId="2B75082F"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6.3 Distributional dimensions and vulnerability</w:t>
      </w:r>
    </w:p>
    <w:p w14:paraId="43C7B17D" w14:textId="4AE50E13"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economic burden of trade-mediated insect invasions is not spread evenly across countries, and the pattern of that unevenness has direct food security implications. </w:t>
      </w:r>
      <w:r w:rsidR="00580632" w:rsidRPr="00580632">
        <w:rPr>
          <w:rFonts w:ascii="Arial" w:eastAsia="Times New Roman" w:hAnsi="Arial" w:cs="Arial"/>
          <w:kern w:val="0"/>
          <w:sz w:val="20"/>
          <w:szCs w:val="20"/>
          <w:lang w:eastAsia="en-IN"/>
          <w14:ligatures w14:val="none"/>
        </w:rPr>
        <w:t>Recent global analysis of invasion costs among origin and recipient regions further demonstrates that the economic impacts of biological invasions are unevenly distributed, reflecting differences in trade connectivity, recipient-region exposure, reporting capacity and socio-economic vulnerability (Hudgins et al., 2023). This unevenness is central to the food-security problem because the same pest introduction may generate very different consequences depending on the affected country’s dependence on agriculture, diagnostic infrastructure and capacity for rapid response.</w:t>
      </w:r>
      <w:r w:rsidR="00580632">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Analysis of global invasion and trade data suggests that large agricultural producers may contribute substantially to absolute invasion risk because of the scale and connectivity of their agricultural exports, whereas countries with comparatively limited response capacity may be more vulnerable in relative terms once invasion risk is weighed against their ability to absorb economic and food-security shocks</w:t>
      </w:r>
      <w:r w:rsidR="006772DD">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(Paini et al., 2016</w:t>
      </w:r>
      <w:r w:rsidR="00632DE0">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This asymmetry may intensify existing vulnerabilities in food-insecure regions, since smallholder farming systems exposed to new pest introductions often have comparatively limited access to extension services, diagnostic infrastructure and financial reserves needed for an effective response once an invasion is under way</w:t>
      </w:r>
      <w:r w:rsidRPr="00F6125D">
        <w:rPr>
          <w:rFonts w:ascii="Arial" w:eastAsia="Times New Roman" w:hAnsi="Arial" w:cs="Arial"/>
          <w:kern w:val="0"/>
          <w:sz w:val="20"/>
          <w:szCs w:val="20"/>
          <w:lang w:eastAsia="en-IN"/>
          <w14:ligatures w14:val="none"/>
        </w:rPr>
        <w:t xml:space="preserve">. This dynamic is illustrated clearly by the fall armyworm's disproportionate impact on subsistence maize producers across Africa and South Asia (Mendesil et al., 2023). </w:t>
      </w:r>
      <w:r w:rsidR="00580632" w:rsidRPr="00580632">
        <w:rPr>
          <w:rFonts w:ascii="Arial" w:eastAsia="Times New Roman" w:hAnsi="Arial" w:cs="Arial"/>
          <w:kern w:val="0"/>
          <w:sz w:val="20"/>
          <w:szCs w:val="20"/>
          <w:lang w:eastAsia="en-IN"/>
          <w14:ligatures w14:val="none"/>
        </w:rPr>
        <w:t>Country-level assessments from emerging economies also indicate that invasion costs may remain poorly documented even where biological invasions impose substantial economic burdens, as shown by recent evidence from India (Bang et al., 2022). Predictive modelling approaches that combine species distributions, macroeconomic data and documented cost records similarly suggest that global invasion costs are likely to be far higher than reported values, especially in regions where cost data are sparse despite known species presence (Soto et al., 2025).</w:t>
      </w:r>
      <w:r w:rsidR="00580632">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Table 4 draws together the cost figures discussed across this section.</w:t>
      </w:r>
    </w:p>
    <w:p w14:paraId="5EF0EE03"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lastRenderedPageBreak/>
        <w:t>Table 4. Global and national economic cost estimates for biological invasions</w:t>
      </w:r>
    </w:p>
    <w:tbl>
      <w:tblPr>
        <w:tblStyle w:val="TableGrid"/>
        <w:tblW w:w="0" w:type="auto"/>
        <w:tblLook w:val="04A0" w:firstRow="1" w:lastRow="0" w:firstColumn="1" w:lastColumn="0" w:noHBand="0" w:noVBand="1"/>
      </w:tblPr>
      <w:tblGrid>
        <w:gridCol w:w="2517"/>
        <w:gridCol w:w="1688"/>
        <w:gridCol w:w="3534"/>
        <w:gridCol w:w="1503"/>
      </w:tblGrid>
      <w:tr w:rsidR="00F6125D" w:rsidRPr="00F6125D" w14:paraId="16BB7292" w14:textId="77777777" w:rsidTr="00D817F0">
        <w:tc>
          <w:tcPr>
            <w:tcW w:w="0" w:type="auto"/>
            <w:hideMark/>
          </w:tcPr>
          <w:p w14:paraId="5BE7CE9E"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Scope</w:t>
            </w:r>
          </w:p>
        </w:tc>
        <w:tc>
          <w:tcPr>
            <w:tcW w:w="0" w:type="auto"/>
            <w:hideMark/>
          </w:tcPr>
          <w:p w14:paraId="66EE61F5"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Period</w:t>
            </w:r>
          </w:p>
        </w:tc>
        <w:tc>
          <w:tcPr>
            <w:tcW w:w="0" w:type="auto"/>
            <w:hideMark/>
          </w:tcPr>
          <w:p w14:paraId="6230D6AF"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Reported cost (observed, reliable estimates)</w:t>
            </w:r>
          </w:p>
        </w:tc>
        <w:tc>
          <w:tcPr>
            <w:tcW w:w="0" w:type="auto"/>
            <w:hideMark/>
          </w:tcPr>
          <w:p w14:paraId="06A8D9E2"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Source</w:t>
            </w:r>
          </w:p>
        </w:tc>
      </w:tr>
      <w:tr w:rsidR="00F6125D" w:rsidRPr="00F6125D" w14:paraId="14B06D0E" w14:textId="77777777" w:rsidTr="00D817F0">
        <w:tc>
          <w:tcPr>
            <w:tcW w:w="0" w:type="auto"/>
            <w:hideMark/>
          </w:tcPr>
          <w:p w14:paraId="3026F8B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Global, all taxa</w:t>
            </w:r>
          </w:p>
        </w:tc>
        <w:tc>
          <w:tcPr>
            <w:tcW w:w="0" w:type="auto"/>
            <w:hideMark/>
          </w:tcPr>
          <w:p w14:paraId="6221899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1970–2017</w:t>
            </w:r>
          </w:p>
        </w:tc>
        <w:tc>
          <w:tcPr>
            <w:tcW w:w="0" w:type="auto"/>
            <w:hideMark/>
          </w:tcPr>
          <w:p w14:paraId="3BA7FCE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At least US$1.288 trillion; annual mean US$26.8 billion, rising to an estimated US$162.7 billion by 2017</w:t>
            </w:r>
          </w:p>
        </w:tc>
        <w:tc>
          <w:tcPr>
            <w:tcW w:w="0" w:type="auto"/>
            <w:hideMark/>
          </w:tcPr>
          <w:p w14:paraId="369F3491"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Diagne et al. (2021)</w:t>
            </w:r>
          </w:p>
        </w:tc>
      </w:tr>
      <w:tr w:rsidR="00F6125D" w:rsidRPr="00F6125D" w14:paraId="45D95A65" w14:textId="77777777" w:rsidTr="00D817F0">
        <w:tc>
          <w:tcPr>
            <w:tcW w:w="0" w:type="auto"/>
            <w:hideMark/>
          </w:tcPr>
          <w:p w14:paraId="4F54656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United States, all taxa</w:t>
            </w:r>
          </w:p>
        </w:tc>
        <w:tc>
          <w:tcPr>
            <w:tcW w:w="0" w:type="auto"/>
            <w:hideMark/>
          </w:tcPr>
          <w:p w14:paraId="73C3573D"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1960–2020</w:t>
            </w:r>
          </w:p>
        </w:tc>
        <w:tc>
          <w:tcPr>
            <w:tcW w:w="0" w:type="auto"/>
            <w:hideMark/>
          </w:tcPr>
          <w:p w14:paraId="27F6C728"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At least US$1.22 trillion; annual costs rose from ~US$2 billion (1960s) to ~US$21 billion (2010–2020)</w:t>
            </w:r>
          </w:p>
        </w:tc>
        <w:tc>
          <w:tcPr>
            <w:tcW w:w="0" w:type="auto"/>
            <w:hideMark/>
          </w:tcPr>
          <w:p w14:paraId="4143171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Fantle-Lepczyk et al. (2022)</w:t>
            </w:r>
          </w:p>
        </w:tc>
      </w:tr>
      <w:tr w:rsidR="00F6125D" w:rsidRPr="00F6125D" w14:paraId="532E9331" w14:textId="77777777" w:rsidTr="00D817F0">
        <w:tc>
          <w:tcPr>
            <w:tcW w:w="0" w:type="auto"/>
            <w:hideMark/>
          </w:tcPr>
          <w:p w14:paraId="3E6D9F6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United States, invasive insects and pathogens (crop and forest sectors)</w:t>
            </w:r>
          </w:p>
        </w:tc>
        <w:tc>
          <w:tcPr>
            <w:tcW w:w="0" w:type="auto"/>
            <w:hideMark/>
          </w:tcPr>
          <w:p w14:paraId="0E88C335"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Annual estimate</w:t>
            </w:r>
          </w:p>
        </w:tc>
        <w:tc>
          <w:tcPr>
            <w:tcW w:w="0" w:type="auto"/>
            <w:hideMark/>
          </w:tcPr>
          <w:p w14:paraId="2FB56FBE"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Approximately US$40 billion per year</w:t>
            </w:r>
          </w:p>
        </w:tc>
        <w:tc>
          <w:tcPr>
            <w:tcW w:w="0" w:type="auto"/>
            <w:hideMark/>
          </w:tcPr>
          <w:p w14:paraId="5E8C9B4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Paini et al. (2016)</w:t>
            </w:r>
          </w:p>
        </w:tc>
      </w:tr>
      <w:tr w:rsidR="00F6125D" w:rsidRPr="00F6125D" w14:paraId="2BB5F50D" w14:textId="77777777" w:rsidTr="00D817F0">
        <w:tc>
          <w:tcPr>
            <w:tcW w:w="0" w:type="auto"/>
            <w:hideMark/>
          </w:tcPr>
          <w:p w14:paraId="3CD19DC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Global, invasive insects specifically</w:t>
            </w:r>
          </w:p>
        </w:tc>
        <w:tc>
          <w:tcPr>
            <w:tcW w:w="0" w:type="auto"/>
            <w:hideMark/>
          </w:tcPr>
          <w:p w14:paraId="509FF453"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Cumulative, pre-2016 estimate</w:t>
            </w:r>
          </w:p>
        </w:tc>
        <w:tc>
          <w:tcPr>
            <w:tcW w:w="0" w:type="auto"/>
            <w:hideMark/>
          </w:tcPr>
          <w:p w14:paraId="236D041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Substantial and judged systematically underestimated</w:t>
            </w:r>
          </w:p>
        </w:tc>
        <w:tc>
          <w:tcPr>
            <w:tcW w:w="0" w:type="auto"/>
            <w:hideMark/>
          </w:tcPr>
          <w:p w14:paraId="2842F4C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Bradshaw et al. (2016)</w:t>
            </w:r>
          </w:p>
        </w:tc>
      </w:tr>
    </w:tbl>
    <w:p w14:paraId="7E86BD60"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i/>
          <w:iCs/>
          <w:kern w:val="0"/>
          <w:sz w:val="20"/>
          <w:szCs w:val="20"/>
          <w:lang w:eastAsia="en-IN"/>
          <w14:ligatures w14:val="none"/>
        </w:rPr>
        <w:t>Sources as indicated in table; database underpinning global estimates is InvaCost (Diagne et al., 2020).</w:t>
      </w:r>
    </w:p>
    <w:p w14:paraId="121BFAEC"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The figures in Table 4 point to a consistent conclusion across independent studies and databases: reported costs are already very large, and every synthesis effort to date treats these figures as a lower bound rather than a complete accounting.</w:t>
      </w:r>
    </w:p>
    <w:p w14:paraId="5675EAB4"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 Governance, Phytosanitary Standards and Policy Responses</w:t>
      </w:r>
    </w:p>
    <w:p w14:paraId="04B9D35C"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7.1 The International Plant Protection Convention and the ISPM framework</w:t>
      </w:r>
    </w:p>
    <w:p w14:paraId="67EE2D56" w14:textId="1EB4B8F3"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The principal international governance architecture addressing trade-mediated pest introduction is built around the International Plant Protection Convention, under whose auspices member countries negotiate and adopt International Standards for Phytosanitary Measures. These standards cover a wide range of concerns, including pest risk analysis methodology, requirements for establishing and maintaining pest-free areas, export certification procedures, inspection and reporting protocols, and specific commodity or pathway measures such as those governing wood packaging material (International Plant Protection Convention, 2024). The wood packaging material standard, ISPM 15, remains the most heavily studied example of this governance approach in the empirical literature, and the available evidence shows that its adoption produced a measurable, though incomplete, reduction in wood borer interception rates in treated material entering the United States (Haack et al., 2014). Because ISPM 15 affects a larger share of global merchandise trade by volume than any other single phytosanitary measure, given that wood packaging accompanies goods across virtually every trade sector, its partial effectiveness illustrates both the value and the limits of harmonised, pathway-specific international standards as a governance tool.</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 xml:space="preserve">The effectiveness of such standards also depends on national implementation capacity, including the availability of trained inspectors, diagnostic laboratories, surveillance systems and stable funding for enforcement. </w:t>
      </w:r>
      <w:r w:rsidR="006772DD" w:rsidRPr="006772DD">
        <w:rPr>
          <w:rFonts w:ascii="Arial" w:eastAsia="Times New Roman" w:hAnsi="Arial" w:cs="Arial"/>
          <w:kern w:val="0"/>
          <w:sz w:val="20"/>
          <w:szCs w:val="20"/>
          <w:lang w:eastAsia="en-IN"/>
          <w14:ligatures w14:val="none"/>
        </w:rPr>
        <w:t>Recent plant-health literature indicates that surveillance, diagnostic and deployment capacity can vary substantially among countries, particularly where technical and institutional resources are constrained; such implementation gaps should therefore be understood in terms of resource availability rather than regulatory commitment</w:t>
      </w:r>
      <w:r w:rsidR="00580632" w:rsidRPr="00580632">
        <w:rPr>
          <w:rFonts w:ascii="Arial" w:eastAsia="Times New Roman" w:hAnsi="Arial" w:cs="Arial"/>
          <w:kern w:val="0"/>
          <w:sz w:val="20"/>
          <w:szCs w:val="20"/>
          <w:lang w:eastAsia="en-IN"/>
          <w14:ligatures w14:val="none"/>
        </w:rPr>
        <w:t xml:space="preserve"> (Prasanna et al., 2022).</w:t>
      </w:r>
    </w:p>
    <w:p w14:paraId="374E2FEF"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7.2 Border biosecurity, risk analysis and the economics of inspection</w:t>
      </w:r>
    </w:p>
    <w:p w14:paraId="4D91A8AF" w14:textId="23B88AF3"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Economic analysis of biosecurity policy highlights structural limitations that constrain even well-designed inspection regimes. Because comprehensive inspection of every unit of every traded commodity is prohibitively costly, most countries examine only a subset of imported consignments, and exporters have been shown to respond strategically to differential inspection intensity, for example by directing shipments toward less rigorously inspected ports of entry or timing arrivals to periods of reduced inspection capacity (Epanchin-Niell et al., 2021). This strategic behaviour on the part of trading partners means biosecurity effectiveness cannot be judged solely on the formal stringency of a country's phytosanitary rules. It also depends on the incentive structures those rules </w:t>
      </w:r>
      <w:r w:rsidRPr="00F6125D">
        <w:rPr>
          <w:rFonts w:ascii="Arial" w:eastAsia="Times New Roman" w:hAnsi="Arial" w:cs="Arial"/>
          <w:kern w:val="0"/>
          <w:sz w:val="20"/>
          <w:szCs w:val="20"/>
          <w:lang w:eastAsia="en-IN"/>
          <w14:ligatures w14:val="none"/>
        </w:rPr>
        <w:lastRenderedPageBreak/>
        <w:t>create for exporters and on the practical constraints on enforcement capacity, particularly in countries with limited inspection infrastructure. Future economic research priorities identified in this literature include expanding analysis across the full biosecurity continuum from pre-border prevention through post-border eradication, using emerging real-time data systems to allocate inspection effort more efficiently, and improving understanding of how exporters and consumers respond behaviourally to policy interventions so unintended consequences can be anticipated and reduced (Epanchin-Niell et al., 2021).</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From a governance perspective, this implies that inspection policy should be linked to capacity-building mechanisms that strengthen pre-border certification, laboratory confirmation, data sharing and rapid response in exporting as well as importing countries. Evidence from recent SPS-policy analysis suggests that technical assistance can simultaneously support agricultural trade and improve biosecurity when it reduces information asymmetry and helps countries comply with science-based phytosanitary requirements (Fernandez &amp; Das, 2024).</w:t>
      </w:r>
    </w:p>
    <w:p w14:paraId="680118A4"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7.3 Emerging pathway governance challenges</w:t>
      </w:r>
    </w:p>
    <w:p w14:paraId="0D1B27F8" w14:textId="5A4E33BD"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The governance framework built around traditional commodity and packaging pathways is increasingly being tested by newer trade channels that do not map neatly onto existing inspection infrastructure. The growth of e-commerce, in particular, has created a pathway in which very large numbers of small, individually addressed parcels move directly between growers or sellers and end consumers, frequently through postal rather than commercial freight networks, which substantially complicates risk-based targeting approaches that depend on concentrating inspection resources on a manageable number of high-volume consignments. Addressing this challenge is likely to require governance instruments distinct from those developed for traditional bulk trade, potentially including closer collaboration between phytosanitary authorities and postal and courier operators, consumer-facing awareness campaigns aimed at reducing demand for unregulated live plant material purchased online, and continued development of the kind of predictive, trade-network-informed spread modelling described in Section 3, which can help identify which trading relationships warrant the closest scrutiny even when individual consignment volumes are small (Montgomery et al., 2023).</w:t>
      </w:r>
      <w:r w:rsidR="00580632">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Such measures will be most effective if they are embedded in modernized plant-health surveillance systems that combine risk assessment, early detection, molecular or imaging-based diagnostics, interoperable data platforms and multi-actor collaboration (Soubeyrand et al., 2024). At the same time, governance responses should recognise that heterogeneous SPS requirements can increase transaction and compliance costs, particularly for exporters with limited technical and financial capacity, so harmonisation and targeted capacity support are essential for balancing safe trade with equitable market access (Liu &amp; Qiu, 2024; Mabunda et al., 2025).</w:t>
      </w:r>
    </w:p>
    <w:p w14:paraId="65D90725"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 Detection, Surveillance and Management Innovations</w:t>
      </w:r>
    </w:p>
    <w:p w14:paraId="51F3FD2B"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8.1 Molecular and environmental DNA-based surveillance</w:t>
      </w:r>
    </w:p>
    <w:p w14:paraId="18443596" w14:textId="57E00422"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Traditional surveillance for invasive insects has relied heavily on visual inspection, pheromone-baited trapping and morphological identification, methods that remain indispensable but face inherent limitations when target species are cryptic, present at very low density during the early stages of an invasion, or hard to distinguish morphologically from closely related native taxa. Environmental DNA-based approaches have emerged as a promising complement to these traditional methods, offering the ability to detect the genetic trace of a target species from environmental substrates such as wash water, dust or air samples without needing to capture the organism itself. Proof-of-concept work using rinse water from washed produce successfully detected the invasive brown marmorated stink bug with substantially higher sensitivity than conventional trap-based monitoring, demonstrating the feasibility of adapting environmental DNA methodology, long established in aquatic invasion ecology, to terrestrial insect surveillance</w:t>
      </w:r>
      <w:r w:rsidR="00B75E50">
        <w:rPr>
          <w:rFonts w:ascii="Arial" w:eastAsia="Times New Roman" w:hAnsi="Arial" w:cs="Arial"/>
          <w:kern w:val="0"/>
          <w:sz w:val="20"/>
          <w:szCs w:val="20"/>
          <w:lang w:eastAsia="en-IN"/>
          <w14:ligatures w14:val="none"/>
        </w:rPr>
        <w:t xml:space="preserve"> </w:t>
      </w:r>
      <w:r w:rsidR="00B75E50" w:rsidRPr="00B75E50">
        <w:rPr>
          <w:rFonts w:ascii="Arial" w:eastAsia="Times New Roman" w:hAnsi="Arial" w:cs="Arial"/>
          <w:kern w:val="0"/>
          <w:sz w:val="20"/>
          <w:szCs w:val="20"/>
          <w:lang w:eastAsia="en-IN"/>
          <w14:ligatures w14:val="none"/>
        </w:rPr>
        <w:t>(Valentin et al., 2018)</w:t>
      </w:r>
      <w:r w:rsidRPr="00F6125D">
        <w:rPr>
          <w:rFonts w:ascii="Arial" w:eastAsia="Times New Roman" w:hAnsi="Arial" w:cs="Arial"/>
          <w:kern w:val="0"/>
          <w:sz w:val="20"/>
          <w:szCs w:val="20"/>
          <w:lang w:eastAsia="en-IN"/>
          <w14:ligatures w14:val="none"/>
        </w:rPr>
        <w:t>. Complementing single-species environmental DNA assays, high-throughput DNA metabarcoding methods offer the prospect of simultaneous, multi-species identification from bulk insect trap samples, a capability that could substantially reduce the specimen-sorting bottleneck currently constraining the scale at which surveillance programmes can operate. Realising this potential in an operational biosecurity context still requires resolving technical and regulatory challenges around false-positive and false-negative error rates, reference database completeness, and standardisation of sampling protocols across laboratories (Piper et al., 2019).</w:t>
      </w:r>
    </w:p>
    <w:p w14:paraId="0BC8829A"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8.2 Predictive spread modelling</w:t>
      </w:r>
    </w:p>
    <w:p w14:paraId="26470FE2" w14:textId="5059BFE6" w:rsid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lastRenderedPageBreak/>
        <w:t xml:space="preserve">Alongside advances in detection technology, computational modelling approaches have matured considerably in their capacity to forecast the likely trajectory of a pest invasion once initial introduction has occurred. Network-based spatiotemporal models that explicitly couple international trade connectivity with climate suitability, host plant availability and propagule pressure now allow biosecurity authorities to identify not only where an introduced pest is likely to spread next, but also which established populations are functioning as bridgehead sources for onward spread. This information can guide the prioritisation of surveillance and rapid-response resources toward the trade relationships posing the greatest forward risk (Montgomery et al., 2023). </w:t>
      </w:r>
      <w:r w:rsidR="006772DD" w:rsidRPr="006772DD">
        <w:rPr>
          <w:rFonts w:ascii="Arial" w:eastAsia="Times New Roman" w:hAnsi="Arial" w:cs="Arial"/>
          <w:kern w:val="0"/>
          <w:sz w:val="20"/>
          <w:szCs w:val="20"/>
          <w:lang w:eastAsia="en-IN"/>
          <w14:ligatures w14:val="none"/>
        </w:rPr>
        <w:t>Such models are explicitly designed to be adaptable across pest taxa and may support proactive biosecurity responses in settings where historical occurrence records are limited, including regions where surveillance datasets remain less complete than those available for well-studied pests</w:t>
      </w:r>
      <w:r w:rsidRPr="00F6125D">
        <w:rPr>
          <w:rFonts w:ascii="Arial" w:eastAsia="Times New Roman" w:hAnsi="Arial" w:cs="Arial"/>
          <w:kern w:val="0"/>
          <w:sz w:val="20"/>
          <w:szCs w:val="20"/>
          <w:lang w:eastAsia="en-IN"/>
          <w14:ligatures w14:val="none"/>
        </w:rPr>
        <w:t>.</w:t>
      </w:r>
    </w:p>
    <w:p w14:paraId="6F486FAE" w14:textId="26A34916" w:rsidR="00F33780" w:rsidRPr="00F6125D" w:rsidRDefault="00F33780"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33780">
        <w:rPr>
          <w:rFonts w:ascii="Arial" w:eastAsia="Times New Roman" w:hAnsi="Arial" w:cs="Arial"/>
          <w:kern w:val="0"/>
          <w:sz w:val="20"/>
          <w:szCs w:val="20"/>
          <w:highlight w:val="yellow"/>
          <w:lang w:eastAsia="en-IN"/>
          <w14:ligatures w14:val="none"/>
        </w:rPr>
        <w:t>This promise should be weighed against a well-documented source of uncertainty in the broader class of correlative models on which such forecasts typically rely. Work applying multiple modelling algorithms and climate scenarios to a widespread invasive agricultural mite found that predicted range shifts varied considerably depending on modelling method and on the prevalence of occurrence records used to fit the model, to the point that different, individually reasonable modelling choices produced materially different maps of future invasion risk for the same species (Meynard et al., 2013). Predictive spread models coupling trade and climate data therefore offer a genuinely useful prioritisation tool, but their outputs are best treated as one line of evidence to be weighed alongside field surveillance and expert judgement rather than as a definitive forecast, particularly in regions where the underlying occurrence data are sparse.</w:t>
      </w:r>
    </w:p>
    <w:p w14:paraId="0F3924F3"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8.3 Classical biological control as a management complement</w:t>
      </w:r>
    </w:p>
    <w:p w14:paraId="1E4B3B92" w14:textId="00C007D3" w:rsid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Where prevention fails and an insect pest becomes established, classical biological control, the deliberate introduction of a natural enemy from the pest's native range, remains one of the few management strategies capable of delivering permanent, self-sustaining suppression across large geographic areas without ongoing chemical input. Comprehensive retrospective analysis of the global record of classical biological control introductions against insect pests indicates an overall agent establishment rate on the order of thirty per cent and a rate of complete pest control succeeding in roughly one in ten programmes. These figures are modest in absolute terms but understate the practical value of the approach, because even partial suppression can meaningfully reduce the frequency and intensity of chemical control required (</w:t>
      </w:r>
      <w:r w:rsidR="00B75E50">
        <w:rPr>
          <w:rFonts w:ascii="Arial" w:eastAsia="Times New Roman" w:hAnsi="Arial" w:cs="Arial"/>
          <w:kern w:val="0"/>
          <w:sz w:val="20"/>
          <w:szCs w:val="20"/>
          <w:lang w:eastAsia="en-IN"/>
          <w14:ligatures w14:val="none"/>
        </w:rPr>
        <w:t xml:space="preserve">Cock et al., 2016; </w:t>
      </w:r>
      <w:r w:rsidRPr="00F6125D">
        <w:rPr>
          <w:rFonts w:ascii="Arial" w:eastAsia="Times New Roman" w:hAnsi="Arial" w:cs="Arial"/>
          <w:kern w:val="0"/>
          <w:sz w:val="20"/>
          <w:szCs w:val="20"/>
          <w:lang w:eastAsia="en-IN"/>
          <w14:ligatures w14:val="none"/>
        </w:rPr>
        <w:t>Naranjo, 2018). Programmes specifically targeting pests of woody plants and forest trees have historically achieved somewhat higher establishment and success rates than the average across all target types, a pattern attributed in part to the greater habitat stability and lower disturbance frequency characteristic of tree-based cropping and forest systems compared with annual field crops (Kenis et al., 2017). Classical biological control nonetheless carries its own risks. Introduced natural enemies must be rigorously screened for host specificity before release to avoid non-target impacts on native or beneficial insect populations, and the multi-year time horizon typically required to establish and evaluate a biological control programme means it cannot substitute for more immediate management responses during the acute early phase of a new invasion.</w:t>
      </w:r>
    </w:p>
    <w:p w14:paraId="2E6B0D05" w14:textId="4FD08300" w:rsidR="00F33780" w:rsidRPr="00F6125D" w:rsidRDefault="00F33780"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33780">
        <w:rPr>
          <w:rFonts w:ascii="Arial" w:eastAsia="Times New Roman" w:hAnsi="Arial" w:cs="Arial"/>
          <w:kern w:val="0"/>
          <w:sz w:val="20"/>
          <w:szCs w:val="20"/>
          <w:highlight w:val="yellow"/>
          <w:lang w:eastAsia="en-IN"/>
          <w14:ligatures w14:val="none"/>
        </w:rPr>
        <w:t>The non-target risks associated with classical biological control are not always fully captured by the host-specificity testing conducted before an agent is released. Field research on Trissolcus japonicus, the exotic egg parasitoid introduced against the brown marmorated stink bug discussed in Section 4, found that a molecular diagnostic assay detected substantial parasitoid-induced mortality in non-target pentatomid eggs that showed no visible evidence of successful parasitism under conventional rearing-based assessment, with such hidden mortality reaching over forty per cent in some non-target species (Hepler et al., 2020). This finding indicates that conventional post-release monitoring, which typically relies on visible signs of parasitism, may itself understate the ecological footprint of an introduced agent, a methodological gap that complicates any straightforward comparison between the benefits of classical biological control and its risks to native non-target species.</w:t>
      </w:r>
    </w:p>
    <w:p w14:paraId="473919D8" w14:textId="77777777" w:rsidR="00F6125D" w:rsidRPr="00F6125D" w:rsidRDefault="00F6125D" w:rsidP="003F1345">
      <w:pPr>
        <w:spacing w:before="100" w:beforeAutospacing="1" w:after="100" w:afterAutospacing="1" w:line="240" w:lineRule="auto"/>
        <w:jc w:val="both"/>
        <w:outlineLvl w:val="3"/>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8.4 Integrated pest management under conditions of continued globalisation</w:t>
      </w:r>
    </w:p>
    <w:p w14:paraId="74A14A15"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cumulative implication of the evidence reviewed in this and preceding sections is that no single management instrument, whether phytosanitary regulation, molecular surveillance, predictive </w:t>
      </w:r>
      <w:r w:rsidRPr="00F6125D">
        <w:rPr>
          <w:rFonts w:ascii="Arial" w:eastAsia="Times New Roman" w:hAnsi="Arial" w:cs="Arial"/>
          <w:kern w:val="0"/>
          <w:sz w:val="20"/>
          <w:szCs w:val="20"/>
          <w:lang w:eastAsia="en-IN"/>
          <w14:ligatures w14:val="none"/>
        </w:rPr>
        <w:lastRenderedPageBreak/>
        <w:t>modelling or biological control, is enough on its own to manage the invasion risk generated by contemporary global trade. Integrated pest management frameworks that combine early detection technology, risk-informed border inspection, rapid-response eradication capacity and, where establishment cannot be prevented, biologically based long-term suppression, represent the most defensible operational model given the diversity of pathways and the pace of pest spread documented throughout this review. Such integration matters particularly in the climate-change context discussed in Section 5, since the interaction between expanding thermal suitability and the build-up of pesticide resistance documented for the diamondback moth suggests that chemical control alone is likely to become progressively less reliable as a stand-alone management strategy over the coming decades (Ma et al., 2021). Table 5 summarises the four detection and management approaches discussed in this section.</w:t>
      </w:r>
    </w:p>
    <w:p w14:paraId="6AA406EE" w14:textId="77777777"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b/>
          <w:bCs/>
          <w:kern w:val="0"/>
          <w:sz w:val="20"/>
          <w:szCs w:val="20"/>
          <w:lang w:eastAsia="en-IN"/>
          <w14:ligatures w14:val="none"/>
        </w:rPr>
        <w:t>Table 5. Detection and management technologies relevant to trade-mediated insect invasions</w:t>
      </w:r>
    </w:p>
    <w:tbl>
      <w:tblPr>
        <w:tblStyle w:val="TableGrid"/>
        <w:tblW w:w="0" w:type="auto"/>
        <w:tblLook w:val="04A0" w:firstRow="1" w:lastRow="0" w:firstColumn="1" w:lastColumn="0" w:noHBand="0" w:noVBand="1"/>
      </w:tblPr>
      <w:tblGrid>
        <w:gridCol w:w="1793"/>
        <w:gridCol w:w="2198"/>
        <w:gridCol w:w="2350"/>
        <w:gridCol w:w="2901"/>
      </w:tblGrid>
      <w:tr w:rsidR="00F6125D" w:rsidRPr="00F6125D" w14:paraId="16936354" w14:textId="77777777" w:rsidTr="00D817F0">
        <w:tc>
          <w:tcPr>
            <w:tcW w:w="0" w:type="auto"/>
            <w:hideMark/>
          </w:tcPr>
          <w:p w14:paraId="31AAC9AE"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Technology or approach</w:t>
            </w:r>
          </w:p>
        </w:tc>
        <w:tc>
          <w:tcPr>
            <w:tcW w:w="0" w:type="auto"/>
            <w:hideMark/>
          </w:tcPr>
          <w:p w14:paraId="0007DD4D"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Function</w:t>
            </w:r>
          </w:p>
        </w:tc>
        <w:tc>
          <w:tcPr>
            <w:tcW w:w="0" w:type="auto"/>
            <w:hideMark/>
          </w:tcPr>
          <w:p w14:paraId="48C17238"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Key advantage</w:t>
            </w:r>
          </w:p>
        </w:tc>
        <w:tc>
          <w:tcPr>
            <w:tcW w:w="0" w:type="auto"/>
            <w:hideMark/>
          </w:tcPr>
          <w:p w14:paraId="40479E5E" w14:textId="77777777" w:rsidR="00F6125D" w:rsidRPr="00F6125D" w:rsidRDefault="00F6125D" w:rsidP="003F1345">
            <w:pPr>
              <w:jc w:val="both"/>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Key limitation</w:t>
            </w:r>
          </w:p>
        </w:tc>
      </w:tr>
      <w:tr w:rsidR="00F6125D" w:rsidRPr="00F6125D" w14:paraId="7CF8E192" w14:textId="77777777" w:rsidTr="00D817F0">
        <w:tc>
          <w:tcPr>
            <w:tcW w:w="0" w:type="auto"/>
            <w:hideMark/>
          </w:tcPr>
          <w:p w14:paraId="2F564590"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Environmental DNA sampling</w:t>
            </w:r>
          </w:p>
        </w:tc>
        <w:tc>
          <w:tcPr>
            <w:tcW w:w="0" w:type="auto"/>
            <w:hideMark/>
          </w:tcPr>
          <w:p w14:paraId="1BB77A0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Detects target species genetic trace from wash water, dust or air</w:t>
            </w:r>
          </w:p>
        </w:tc>
        <w:tc>
          <w:tcPr>
            <w:tcW w:w="0" w:type="auto"/>
            <w:hideMark/>
          </w:tcPr>
          <w:p w14:paraId="68D255A2"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High sensitivity for cryptic or low-density populations</w:t>
            </w:r>
          </w:p>
        </w:tc>
        <w:tc>
          <w:tcPr>
            <w:tcW w:w="0" w:type="auto"/>
            <w:hideMark/>
          </w:tcPr>
          <w:p w14:paraId="682C0CED"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Requires species-specific assay development; interpretation of positive detections can be uncertain</w:t>
            </w:r>
          </w:p>
        </w:tc>
      </w:tr>
      <w:tr w:rsidR="00F6125D" w:rsidRPr="00F6125D" w14:paraId="162F53CC" w14:textId="77777777" w:rsidTr="00D817F0">
        <w:tc>
          <w:tcPr>
            <w:tcW w:w="0" w:type="auto"/>
            <w:hideMark/>
          </w:tcPr>
          <w:p w14:paraId="72F29971"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DNA metabarcoding</w:t>
            </w:r>
          </w:p>
        </w:tc>
        <w:tc>
          <w:tcPr>
            <w:tcW w:w="0" w:type="auto"/>
            <w:hideMark/>
          </w:tcPr>
          <w:p w14:paraId="5FF58A8C"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Simultaneous multi-species identification from bulk trap samples</w:t>
            </w:r>
          </w:p>
        </w:tc>
        <w:tc>
          <w:tcPr>
            <w:tcW w:w="0" w:type="auto"/>
            <w:hideMark/>
          </w:tcPr>
          <w:p w14:paraId="69D0F87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Reduces specimen-sorting bottleneck; scalable across large surveillance networks</w:t>
            </w:r>
          </w:p>
        </w:tc>
        <w:tc>
          <w:tcPr>
            <w:tcW w:w="0" w:type="auto"/>
            <w:hideMark/>
          </w:tcPr>
          <w:p w14:paraId="10D9FF99"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False-positive/negative error rates; reference database and standardisation gaps</w:t>
            </w:r>
          </w:p>
        </w:tc>
      </w:tr>
      <w:tr w:rsidR="00F6125D" w:rsidRPr="00F6125D" w14:paraId="122DDD3F" w14:textId="77777777" w:rsidTr="00D817F0">
        <w:tc>
          <w:tcPr>
            <w:tcW w:w="0" w:type="auto"/>
            <w:hideMark/>
          </w:tcPr>
          <w:p w14:paraId="30AE69F7"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Trade-network spread modelling</w:t>
            </w:r>
          </w:p>
        </w:tc>
        <w:tc>
          <w:tcPr>
            <w:tcW w:w="0" w:type="auto"/>
            <w:hideMark/>
          </w:tcPr>
          <w:p w14:paraId="2E23ECB1"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Forecasts pest spread trajectory using trade, climate and host data</w:t>
            </w:r>
          </w:p>
        </w:tc>
        <w:tc>
          <w:tcPr>
            <w:tcW w:w="0" w:type="auto"/>
            <w:hideMark/>
          </w:tcPr>
          <w:p w14:paraId="333C127A"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Identifies bridgehead populations and priority trade relationships</w:t>
            </w:r>
          </w:p>
        </w:tc>
        <w:tc>
          <w:tcPr>
            <w:tcW w:w="0" w:type="auto"/>
            <w:hideMark/>
          </w:tcPr>
          <w:p w14:paraId="229D936F"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Data-intensive; predictive accuracy depends on quality of underlying trade and occurrence data</w:t>
            </w:r>
          </w:p>
        </w:tc>
      </w:tr>
      <w:tr w:rsidR="00F6125D" w:rsidRPr="00F6125D" w14:paraId="1DA77548" w14:textId="77777777" w:rsidTr="00D817F0">
        <w:tc>
          <w:tcPr>
            <w:tcW w:w="0" w:type="auto"/>
            <w:hideMark/>
          </w:tcPr>
          <w:p w14:paraId="048D7E26"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Classical biological control</w:t>
            </w:r>
          </w:p>
        </w:tc>
        <w:tc>
          <w:tcPr>
            <w:tcW w:w="0" w:type="auto"/>
            <w:hideMark/>
          </w:tcPr>
          <w:p w14:paraId="432D3D7D"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Introduces host-specific natural enemies for long-term suppression</w:t>
            </w:r>
          </w:p>
        </w:tc>
        <w:tc>
          <w:tcPr>
            <w:tcW w:w="0" w:type="auto"/>
            <w:hideMark/>
          </w:tcPr>
          <w:p w14:paraId="399CBB67"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Self-sustaining; reduces reliance on chemical inputs</w:t>
            </w:r>
          </w:p>
        </w:tc>
        <w:tc>
          <w:tcPr>
            <w:tcW w:w="0" w:type="auto"/>
            <w:hideMark/>
          </w:tcPr>
          <w:p w14:paraId="4CCE33D6" w14:textId="77777777" w:rsidR="00F6125D" w:rsidRPr="00F6125D" w:rsidRDefault="00F6125D" w:rsidP="003F1345">
            <w:pPr>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Multi-year establishment horizon; risk of non-target impacts if screening is inadequate</w:t>
            </w:r>
          </w:p>
        </w:tc>
      </w:tr>
    </w:tbl>
    <w:p w14:paraId="0E5D7046" w14:textId="77777777" w:rsidR="00066FE1" w:rsidRDefault="00066FE1" w:rsidP="003F1345">
      <w:pPr>
        <w:spacing w:before="100" w:beforeAutospacing="1" w:after="100" w:afterAutospacing="1" w:line="240" w:lineRule="auto"/>
        <w:jc w:val="both"/>
        <w:rPr>
          <w:rFonts w:ascii="Arial" w:eastAsia="Times New Roman" w:hAnsi="Arial" w:cs="Arial"/>
          <w:i/>
          <w:iCs/>
          <w:kern w:val="0"/>
          <w:sz w:val="20"/>
          <w:szCs w:val="20"/>
          <w:lang w:eastAsia="en-IN"/>
          <w14:ligatures w14:val="none"/>
        </w:rPr>
      </w:pPr>
      <w:r w:rsidRPr="00066FE1">
        <w:rPr>
          <w:rFonts w:ascii="Arial" w:eastAsia="Times New Roman" w:hAnsi="Arial" w:cs="Arial"/>
          <w:i/>
          <w:iCs/>
          <w:kern w:val="0"/>
          <w:sz w:val="20"/>
          <w:szCs w:val="20"/>
          <w:lang w:eastAsia="en-IN"/>
          <w14:ligatures w14:val="none"/>
        </w:rPr>
        <w:t>Sources: Piper et al. (2019); Montgomery et al. (2023); Cock et al. (2016); Naranjo (2018); Kenis et al. (2017).</w:t>
      </w:r>
    </w:p>
    <w:p w14:paraId="25F768EE" w14:textId="0589B124" w:rsidR="00F6125D" w:rsidRP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As Table 5 shows, each of these approaches addresses a different point in the invasion timeline, from early detection through to long-term suppression, and their combined rather than individual use is what gives integrated pest management its practical advantage.</w:t>
      </w:r>
    </w:p>
    <w:p w14:paraId="1F8127D0" w14:textId="77777777"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9. Future Directions</w:t>
      </w:r>
    </w:p>
    <w:p w14:paraId="38E116A0" w14:textId="5DAB686C" w:rsidR="00F6125D" w:rsidRDefault="00F6125D"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The evidence gathered in this review points to several priorities for the coming decade. Strengthening the empirical base for economic cost estimation remains pressing, since the InvaCost database and related synthesis work have themselves identified substantial gaps in geographic and taxonomic coverage, particularly outside Europe and North America, meaning the true scale of food security risk in the most vulnerable regions is likely to stay underestimated until reporting infrastructure there improves (Ahmed et al., 2023). </w:t>
      </w:r>
      <w:r w:rsidR="00F33780" w:rsidRPr="00F33780">
        <w:rPr>
          <w:rFonts w:ascii="Arial" w:eastAsia="Times New Roman" w:hAnsi="Arial" w:cs="Arial"/>
          <w:kern w:val="0"/>
          <w:sz w:val="20"/>
          <w:szCs w:val="20"/>
          <w:highlight w:val="yellow"/>
          <w:lang w:eastAsia="en-IN"/>
          <w14:ligatures w14:val="none"/>
        </w:rPr>
        <w:t>Closing this gap will likely depend less on further global synthesis exercises than on building standing regional cost-reporting nodes, for instance through partnerships between national plant protection organisations and existing FAO regional offices, so that damage and management expenditure data are captured routinely rather than reconstructed retrospectively from scattered sources long after an invasion has run its course.</w:t>
      </w:r>
      <w:r w:rsidR="00F33780">
        <w:rPr>
          <w:rFonts w:ascii="Arial" w:eastAsia="Times New Roman" w:hAnsi="Arial" w:cs="Arial"/>
          <w:kern w:val="0"/>
          <w:sz w:val="20"/>
          <w:szCs w:val="20"/>
          <w:lang w:eastAsia="en-IN"/>
          <w14:ligatures w14:val="none"/>
        </w:rPr>
        <w:t xml:space="preserve"> </w:t>
      </w:r>
      <w:r w:rsidR="006772DD" w:rsidRPr="006772DD">
        <w:rPr>
          <w:rFonts w:ascii="Arial" w:eastAsia="Times New Roman" w:hAnsi="Arial" w:cs="Arial"/>
          <w:kern w:val="0"/>
          <w:sz w:val="20"/>
          <w:szCs w:val="20"/>
          <w:lang w:eastAsia="en-IN"/>
          <w14:ligatures w14:val="none"/>
        </w:rPr>
        <w:t>Expanding molecular and environmental DNA-based surveillance capacity in food-insecure and resource-constrained settings would help reduce biosecurity gaps by improving the early detection of new introductions before they become established and difficult to manage</w:t>
      </w:r>
      <w:r w:rsidR="006772DD">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(Piper et al., 2019). </w:t>
      </w:r>
      <w:r w:rsidR="00F33780" w:rsidRPr="00F33780">
        <w:rPr>
          <w:rFonts w:ascii="Arial" w:eastAsia="Times New Roman" w:hAnsi="Arial" w:cs="Arial"/>
          <w:kern w:val="0"/>
          <w:sz w:val="20"/>
          <w:szCs w:val="20"/>
          <w:highlight w:val="yellow"/>
          <w:lang w:eastAsia="en-IN"/>
          <w14:ligatures w14:val="none"/>
        </w:rPr>
        <w:t xml:space="preserve">A useful near-term step would be to pilot low-cost, field-deployable environmental DNA assays specifically within the trade corridors already identified as fall armyworm and fruit fly hotspots, since these corridors combine high documented invasion risk with comparatively limited existing surveillance infrastructure, offering a realistic test bed for assessing whether such tools can be operated reliably outside well-resourced </w:t>
      </w:r>
      <w:r w:rsidR="00F33780" w:rsidRPr="00F33780">
        <w:rPr>
          <w:rFonts w:ascii="Arial" w:eastAsia="Times New Roman" w:hAnsi="Arial" w:cs="Arial"/>
          <w:kern w:val="0"/>
          <w:sz w:val="20"/>
          <w:szCs w:val="20"/>
          <w:highlight w:val="yellow"/>
          <w:lang w:eastAsia="en-IN"/>
          <w14:ligatures w14:val="none"/>
        </w:rPr>
        <w:lastRenderedPageBreak/>
        <w:t>reference laboratories.</w:t>
      </w:r>
      <w:r w:rsidR="00F33780">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Predictive spread modelling frameworks that couple trade network data with climate suitability projections should be developed further and, critically, made accessible to national plant protection organisations in resource-constrained settings, rather than remaining primarily a research tool applied retrospectively to well-documented invasions in wealthier regions (Montgomery et al., 2023). </w:t>
      </w:r>
      <w:r w:rsidR="00F33780" w:rsidRPr="00F33780">
        <w:rPr>
          <w:rFonts w:ascii="Arial" w:eastAsia="Times New Roman" w:hAnsi="Arial" w:cs="Arial"/>
          <w:kern w:val="0"/>
          <w:sz w:val="20"/>
          <w:szCs w:val="20"/>
          <w:highlight w:val="yellow"/>
          <w:lang w:eastAsia="en-IN"/>
          <w14:ligatures w14:val="none"/>
        </w:rPr>
        <w:t>Achieving this will require a shared, regularly updated data infrastructure linking trade flow records with pest occurrence reports across national plant protection organisations, since the predictive value of network-based models depends directly on the completeness and timeliness of the underlying trade and occurrence data feeding them.</w:t>
      </w:r>
      <w:r w:rsidR="00F33780">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 xml:space="preserve">Given the demonstrated interaction between climate-driven range expansion and the evolution of pesticide resistance, future integrated pest management research should place greater weight on management strategies that stay effective, or become more effective, as chemical control options are progressively eroded by resistance, including expanded investment in classical and augmentative biological control programmes tailored to the specific pest complexes now spreading into newly suitable climatic zones (Ma et al., 2021; Kenis et al., 2017). </w:t>
      </w:r>
      <w:r w:rsidR="00F33780" w:rsidRPr="00F33780">
        <w:rPr>
          <w:rFonts w:ascii="Arial" w:eastAsia="Times New Roman" w:hAnsi="Arial" w:cs="Arial"/>
          <w:kern w:val="0"/>
          <w:sz w:val="20"/>
          <w:szCs w:val="20"/>
          <w:highlight w:val="yellow"/>
          <w:lang w:eastAsia="en-IN"/>
          <w14:ligatures w14:val="none"/>
        </w:rPr>
        <w:t>Comparative field trials that measure how biological control establishment and efficacy rates hold up under the warmer, less predictable seasonal conditions now affecting many invaded regions would help determine whether existing agent-selection criteria, largely developed under historical climatic baselines, remain fit for purpose as those baselines continue to shift.</w:t>
      </w:r>
      <w:r w:rsidR="00F33780">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Governance frameworks built around the International Plant Protection Convention and its associated standards should also be extended more explicitly to address emerging pathways, particularly e-commerce-driven live plant trade, for which existing pathway-specific standards developed for bulk commodity and packaging trade were not originally designed (International Plant Protection Convention, 2024).</w:t>
      </w:r>
    </w:p>
    <w:p w14:paraId="77E362CE" w14:textId="77D526F1" w:rsidR="00F33780" w:rsidRPr="00F6125D" w:rsidRDefault="00F33780"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33780">
        <w:rPr>
          <w:rFonts w:ascii="Arial" w:eastAsia="Times New Roman" w:hAnsi="Arial" w:cs="Arial"/>
          <w:kern w:val="0"/>
          <w:sz w:val="20"/>
          <w:szCs w:val="20"/>
          <w:highlight w:val="yellow"/>
          <w:lang w:eastAsia="en-IN"/>
          <w14:ligatures w14:val="none"/>
        </w:rPr>
        <w:t>A specific and achievable step in this direction would be the development of a dedicated phytosanitary annex, or an equivalent supplementary standard, addressing small-parcel and postal consignments directly, paired with harmonised customs coding for live plant material sold through online platforms, so that this rapidly growing pathway is brought within a recognisable regulatory category rather than continuing to fall between the categories the current standard framework was built to address.</w:t>
      </w:r>
    </w:p>
    <w:p w14:paraId="34FA7897" w14:textId="5888B3CC" w:rsidR="00730207" w:rsidRPr="00F6125D" w:rsidRDefault="00730207"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w:t>
      </w:r>
      <w:r>
        <w:rPr>
          <w:rFonts w:ascii="Arial" w:eastAsia="Times New Roman" w:hAnsi="Arial" w:cs="Arial"/>
          <w:b/>
          <w:bCs/>
          <w:kern w:val="0"/>
          <w:sz w:val="20"/>
          <w:szCs w:val="20"/>
          <w:lang w:eastAsia="en-IN"/>
          <w14:ligatures w14:val="none"/>
        </w:rPr>
        <w:t>0</w:t>
      </w:r>
      <w:r w:rsidRPr="00F6125D">
        <w:rPr>
          <w:rFonts w:ascii="Arial" w:eastAsia="Times New Roman" w:hAnsi="Arial" w:cs="Arial"/>
          <w:b/>
          <w:bCs/>
          <w:kern w:val="0"/>
          <w:sz w:val="20"/>
          <w:szCs w:val="20"/>
          <w:lang w:eastAsia="en-IN"/>
          <w14:ligatures w14:val="none"/>
        </w:rPr>
        <w:t>. Limitations</w:t>
      </w:r>
    </w:p>
    <w:p w14:paraId="2C53073A" w14:textId="79D0CA72" w:rsidR="00F33780" w:rsidRDefault="00730207"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 xml:space="preserve">This review is subject to </w:t>
      </w:r>
      <w:r>
        <w:rPr>
          <w:rFonts w:ascii="Arial" w:eastAsia="Times New Roman" w:hAnsi="Arial" w:cs="Arial"/>
          <w:kern w:val="0"/>
          <w:sz w:val="20"/>
          <w:szCs w:val="20"/>
          <w:lang w:eastAsia="en-IN"/>
          <w14:ligatures w14:val="none"/>
        </w:rPr>
        <w:t>some</w:t>
      </w:r>
      <w:r w:rsidRPr="00F6125D">
        <w:rPr>
          <w:rFonts w:ascii="Arial" w:eastAsia="Times New Roman" w:hAnsi="Arial" w:cs="Arial"/>
          <w:kern w:val="0"/>
          <w:sz w:val="20"/>
          <w:szCs w:val="20"/>
          <w:lang w:eastAsia="en-IN"/>
          <w14:ligatures w14:val="none"/>
        </w:rPr>
        <w:t xml:space="preserve"> limitations that should inform how its conclusions are read. As a narrative rather than systematic review, the selection and weighting of evidence, while guided by a structured and transparently reported search strategy, necessarily involved a degree of interpretive judgement that a fully systematic protocol with predefined, exhaustive inclusion criteria would have constrained more tightly, and a different reviewer applying the same broad search strategy might reasonably have emphasised a somewhat different set of case studies or economic estimates. </w:t>
      </w:r>
      <w:r w:rsidR="00F33780" w:rsidRPr="00F33780">
        <w:rPr>
          <w:rFonts w:ascii="Arial" w:eastAsia="Times New Roman" w:hAnsi="Arial" w:cs="Arial"/>
          <w:kern w:val="0"/>
          <w:sz w:val="20"/>
          <w:szCs w:val="20"/>
          <w:highlight w:val="yellow"/>
          <w:lang w:eastAsia="en-IN"/>
          <w14:ligatures w14:val="none"/>
        </w:rPr>
        <w:t>A related consequence of this approach is that no formal quality-appraisal score was assigned to individual studies before inclusion, in contrast to the standardised risk-of-bias tools associated with systematic reviews; while the SANRA-informed screening process described in Section 2 provided a consistent basis for judging relevance and rigour, it cannot fully substitute for such quantitative appraisal, and readers should weigh the strength of individual claims accordingly. The restriction of eligible sources to English-language publications is a further constraint worth noting explicitly, since a meaningful share of primary research on regionally important pests, particularly in parts of East Asia, Latin America and Francophone Africa, is published in other languages and may therefore be underrepresented in the evidence synthesised here, even where the trade and invasion dynamics it describes are directly relevant to the review's global scope</w:t>
      </w:r>
      <w:r w:rsidR="00F33780">
        <w:rPr>
          <w:rFonts w:ascii="Arial" w:eastAsia="Times New Roman" w:hAnsi="Arial" w:cs="Arial"/>
          <w:kern w:val="0"/>
          <w:sz w:val="20"/>
          <w:szCs w:val="20"/>
          <w:lang w:eastAsia="en-IN"/>
          <w14:ligatures w14:val="none"/>
        </w:rPr>
        <w:t xml:space="preserve">. </w:t>
      </w:r>
      <w:r w:rsidRPr="00820F4A">
        <w:rPr>
          <w:rFonts w:ascii="Arial" w:eastAsia="Times New Roman" w:hAnsi="Arial" w:cs="Arial"/>
          <w:kern w:val="0"/>
          <w:sz w:val="20"/>
          <w:szCs w:val="20"/>
          <w:lang w:eastAsia="en-IN"/>
          <w14:ligatures w14:val="none"/>
        </w:rPr>
        <w:t>The review may also be affected by English-language bias, because studies published in other languages were not included even though invasive pest introductions and their agricultural consequences are often documented first in regional or national literature. In addition, database-access bias may have influenced the evidence base, as studies indexed in major international databases are more likely to be retrieved than locally published plant-health reports or journals with limited digital visibility.</w:t>
      </w:r>
      <w:r>
        <w:rPr>
          <w:rFonts w:ascii="Arial" w:eastAsia="Times New Roman" w:hAnsi="Arial" w:cs="Arial"/>
          <w:kern w:val="0"/>
          <w:sz w:val="20"/>
          <w:szCs w:val="20"/>
          <w:lang w:eastAsia="en-IN"/>
          <w14:ligatures w14:val="none"/>
        </w:rPr>
        <w:t xml:space="preserve"> </w:t>
      </w:r>
      <w:r w:rsidRPr="00F6125D">
        <w:rPr>
          <w:rFonts w:ascii="Arial" w:eastAsia="Times New Roman" w:hAnsi="Arial" w:cs="Arial"/>
          <w:kern w:val="0"/>
          <w:sz w:val="20"/>
          <w:szCs w:val="20"/>
          <w:lang w:eastAsia="en-IN"/>
          <w14:ligatures w14:val="none"/>
        </w:rPr>
        <w:t>The economic cost figures discussed throughout the review, while drawn from the most comprehensive currently available synthesis efforts, are themselves acknowledged within the underlying source literature to represent substantial underestimates of true global costs, owing to persistent gaps in reporting coverage across many regions and economic sectors, so the absolute figures cited here should be treated as conservative lower bounds rather than definitive totals.</w:t>
      </w:r>
      <w:r>
        <w:rPr>
          <w:rFonts w:ascii="Arial" w:eastAsia="Times New Roman" w:hAnsi="Arial" w:cs="Arial"/>
          <w:kern w:val="0"/>
          <w:sz w:val="20"/>
          <w:szCs w:val="20"/>
          <w:lang w:eastAsia="en-IN"/>
          <w14:ligatures w14:val="none"/>
        </w:rPr>
        <w:t xml:space="preserve"> </w:t>
      </w:r>
      <w:r w:rsidRPr="00820F4A">
        <w:rPr>
          <w:rFonts w:ascii="Arial" w:eastAsia="Times New Roman" w:hAnsi="Arial" w:cs="Arial"/>
          <w:kern w:val="0"/>
          <w:sz w:val="20"/>
          <w:szCs w:val="20"/>
          <w:lang w:eastAsia="en-IN"/>
          <w14:ligatures w14:val="none"/>
        </w:rPr>
        <w:t xml:space="preserve">A related limitation is publication bias, since severe or economically visible invasions are more likely to appear in peer-reviewed literature than smaller, recent or locally managed outbreaks. Because unpublished reports, conference proceedings and most grey literature were excluded, the review may underrepresent early-stage pest incursions, </w:t>
      </w:r>
      <w:r w:rsidRPr="00820F4A">
        <w:rPr>
          <w:rFonts w:ascii="Arial" w:eastAsia="Times New Roman" w:hAnsi="Arial" w:cs="Arial"/>
          <w:kern w:val="0"/>
          <w:sz w:val="20"/>
          <w:szCs w:val="20"/>
          <w:lang w:eastAsia="en-IN"/>
          <w14:ligatures w14:val="none"/>
        </w:rPr>
        <w:lastRenderedPageBreak/>
        <w:t>negative surveillance findings and management experiences from regions where formal journal publication is less common.</w:t>
      </w:r>
      <w:r w:rsidRPr="00F6125D">
        <w:rPr>
          <w:rFonts w:ascii="Arial" w:eastAsia="Times New Roman" w:hAnsi="Arial" w:cs="Arial"/>
          <w:kern w:val="0"/>
          <w:sz w:val="20"/>
          <w:szCs w:val="20"/>
          <w:lang w:eastAsia="en-IN"/>
          <w14:ligatures w14:val="none"/>
        </w:rPr>
        <w:t xml:space="preserve"> The case studies chosen for detailed discussion, while selected for their evidentiary depth and clear illustration of trade-mediated invasion mechanisms, cannot capture the full diversity of invasive insect pests currently affecting global agriculture, and pests affecting regions or crop systems with less developed research infrastructure may be systematically underrepresented in the literature this review was able to draw upon.</w:t>
      </w:r>
      <w:r w:rsidR="00F33780">
        <w:rPr>
          <w:rFonts w:ascii="Arial" w:eastAsia="Times New Roman" w:hAnsi="Arial" w:cs="Arial"/>
          <w:kern w:val="0"/>
          <w:sz w:val="20"/>
          <w:szCs w:val="20"/>
          <w:lang w:eastAsia="en-IN"/>
          <w14:ligatures w14:val="none"/>
        </w:rPr>
        <w:t xml:space="preserve"> </w:t>
      </w:r>
      <w:r w:rsidR="00F33780" w:rsidRPr="00F33780">
        <w:rPr>
          <w:rFonts w:ascii="Arial" w:eastAsia="Times New Roman" w:hAnsi="Arial" w:cs="Arial"/>
          <w:kern w:val="0"/>
          <w:sz w:val="20"/>
          <w:szCs w:val="20"/>
          <w:highlight w:val="yellow"/>
          <w:lang w:eastAsia="en-IN"/>
          <w14:ligatures w14:val="none"/>
        </w:rPr>
        <w:t>This imbalance is compounded by the tendency of the peer-reviewed literature to concentrate disproportionately on a small number of high-profile, economically damaging species, so that pests of comparable regional importance but lower international visibility, such as several stored-product and minor fruit-fly pests affecting food-insecure regions, are correspondingly harder to evaluate within a review of this kind.</w:t>
      </w:r>
      <w:r w:rsidRPr="00F6125D">
        <w:rPr>
          <w:rFonts w:ascii="Arial" w:eastAsia="Times New Roman" w:hAnsi="Arial" w:cs="Arial"/>
          <w:kern w:val="0"/>
          <w:sz w:val="20"/>
          <w:szCs w:val="20"/>
          <w:lang w:eastAsia="en-IN"/>
          <w14:ligatures w14:val="none"/>
        </w:rPr>
        <w:t xml:space="preserve"> </w:t>
      </w:r>
    </w:p>
    <w:p w14:paraId="7744B887" w14:textId="77777777" w:rsidR="00F33780" w:rsidRDefault="00F33780"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p>
    <w:p w14:paraId="07F106EF" w14:textId="084918AF" w:rsidR="00730207" w:rsidRPr="00F6125D" w:rsidRDefault="00730207"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F6125D">
        <w:rPr>
          <w:rFonts w:ascii="Arial" w:eastAsia="Times New Roman" w:hAnsi="Arial" w:cs="Arial"/>
          <w:kern w:val="0"/>
          <w:sz w:val="20"/>
          <w:szCs w:val="20"/>
          <w:lang w:eastAsia="en-IN"/>
          <w14:ligatures w14:val="none"/>
        </w:rPr>
        <w:t>Finally, because the field addressed by this review is evolving rapidly, particularly with respect to surveillance technology and predictive modelling, some of the specific technical capabilities described here are likely to be superseded by further methodological advances within a relatively short period following publication.</w:t>
      </w:r>
      <w:r>
        <w:rPr>
          <w:rFonts w:ascii="Arial" w:eastAsia="Times New Roman" w:hAnsi="Arial" w:cs="Arial"/>
          <w:kern w:val="0"/>
          <w:sz w:val="20"/>
          <w:szCs w:val="20"/>
          <w:lang w:eastAsia="en-IN"/>
          <w14:ligatures w14:val="none"/>
        </w:rPr>
        <w:t xml:space="preserve"> </w:t>
      </w:r>
      <w:r w:rsidRPr="00820F4A">
        <w:rPr>
          <w:rFonts w:ascii="Arial" w:eastAsia="Times New Roman" w:hAnsi="Arial" w:cs="Arial"/>
          <w:kern w:val="0"/>
          <w:sz w:val="20"/>
          <w:szCs w:val="20"/>
          <w:lang w:eastAsia="en-IN"/>
          <w14:ligatures w14:val="none"/>
        </w:rPr>
        <w:t>These language, access and publication-related limitations do not invalidate the overall synthesis, but they indicate that the patterns discussed here should be interpreted as a conservative representation of the available evidence rather than a complete account of all trade-mediated insect invasions worldwide.</w:t>
      </w:r>
    </w:p>
    <w:p w14:paraId="2E2DDD94" w14:textId="215780F2" w:rsidR="00F6125D" w:rsidRP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1</w:t>
      </w:r>
      <w:r w:rsidR="00730207">
        <w:rPr>
          <w:rFonts w:ascii="Arial" w:eastAsia="Times New Roman" w:hAnsi="Arial" w:cs="Arial"/>
          <w:b/>
          <w:bCs/>
          <w:kern w:val="0"/>
          <w:sz w:val="20"/>
          <w:szCs w:val="20"/>
          <w:lang w:eastAsia="en-IN"/>
          <w14:ligatures w14:val="none"/>
        </w:rPr>
        <w:t>1</w:t>
      </w:r>
      <w:r w:rsidRPr="00F6125D">
        <w:rPr>
          <w:rFonts w:ascii="Arial" w:eastAsia="Times New Roman" w:hAnsi="Arial" w:cs="Arial"/>
          <w:b/>
          <w:bCs/>
          <w:kern w:val="0"/>
          <w:sz w:val="20"/>
          <w:szCs w:val="20"/>
          <w:lang w:eastAsia="en-IN"/>
          <w14:ligatures w14:val="none"/>
        </w:rPr>
        <w:t>. Conclusions</w:t>
      </w:r>
    </w:p>
    <w:p w14:paraId="309A4E5C" w14:textId="52815E19" w:rsidR="00F6125D" w:rsidRDefault="00960F7E"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960F7E">
        <w:rPr>
          <w:rFonts w:ascii="Arial" w:eastAsia="Times New Roman" w:hAnsi="Arial" w:cs="Arial"/>
          <w:kern w:val="0"/>
          <w:sz w:val="20"/>
          <w:szCs w:val="20"/>
          <w:lang w:eastAsia="en-IN"/>
          <w14:ligatures w14:val="none"/>
        </w:rPr>
        <w:t>Global trade has become one of the major forces shaping the contemporary redistribution of insect pests, while the resulting invasions interact with climate change, host availability, land-use patterns and biosecurity capacity to create rising risks for agricultural production and food security</w:t>
      </w:r>
      <w:r w:rsidR="00F6125D" w:rsidRPr="00F6125D">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At the same time, trade should not be viewed as the only driver of pest redistribution, because establishment and impact are also shaped by climate suitability, host availability, land-use change, production systems and the strength of national biosecurity capacity. A balanced interpretation is therefore that international trade creates repeated opportunities for pest movement, while environmental and institutional conditions determine whether those introductions become damaging invasions.</w:t>
      </w:r>
      <w:r w:rsidR="00580632">
        <w:rPr>
          <w:rFonts w:ascii="Arial" w:eastAsia="Times New Roman" w:hAnsi="Arial" w:cs="Arial"/>
          <w:kern w:val="0"/>
          <w:sz w:val="20"/>
          <w:szCs w:val="20"/>
          <w:lang w:eastAsia="en-IN"/>
          <w14:ligatures w14:val="none"/>
        </w:rPr>
        <w:t xml:space="preserve"> </w:t>
      </w:r>
      <w:r w:rsidR="00F6125D" w:rsidRPr="00F6125D">
        <w:rPr>
          <w:rFonts w:ascii="Arial" w:eastAsia="Times New Roman" w:hAnsi="Arial" w:cs="Arial"/>
          <w:kern w:val="0"/>
          <w:sz w:val="20"/>
          <w:szCs w:val="20"/>
          <w:lang w:eastAsia="en-IN"/>
          <w14:ligatures w14:val="none"/>
        </w:rPr>
        <w:t xml:space="preserve">The case evidence examined in this review, spanning the rapid multi-continent spread of the fall armyworm to the repeated, trade-sustained expansion of the Oriental fruit fly, shows that contemporary invasions typically involve complex, multi-source introduction networks rather than simple, single-origin dispersal, a structural feature with direct implications for how biosecurity resources should be allocated. </w:t>
      </w:r>
      <w:r w:rsidR="006772DD" w:rsidRPr="006772DD">
        <w:rPr>
          <w:rFonts w:ascii="Arial" w:eastAsia="Times New Roman" w:hAnsi="Arial" w:cs="Arial"/>
          <w:kern w:val="0"/>
          <w:sz w:val="20"/>
          <w:szCs w:val="20"/>
          <w:lang w:eastAsia="en-IN"/>
          <w14:ligatures w14:val="none"/>
        </w:rPr>
        <w:t>Existing governance instruments, most notably the International Standards for Phytosanitary Measures administered under the International Plant Protection Convention, have shown real but partial effectiveness in reducing introduction risk along the pathways they were designed for, although newer trade channels such as e-commerce-facilitated plant sales require further adaptation of the current governance architecture</w:t>
      </w:r>
      <w:r w:rsidR="00F6125D" w:rsidRPr="00F6125D">
        <w:rPr>
          <w:rFonts w:ascii="Arial" w:eastAsia="Times New Roman" w:hAnsi="Arial" w:cs="Arial"/>
          <w:kern w:val="0"/>
          <w:sz w:val="20"/>
          <w:szCs w:val="20"/>
          <w:lang w:eastAsia="en-IN"/>
          <w14:ligatures w14:val="none"/>
        </w:rPr>
        <w:t xml:space="preserve">. </w:t>
      </w:r>
      <w:r w:rsidR="00580632" w:rsidRPr="00580632">
        <w:rPr>
          <w:rFonts w:ascii="Arial" w:eastAsia="Times New Roman" w:hAnsi="Arial" w:cs="Arial"/>
          <w:kern w:val="0"/>
          <w:sz w:val="20"/>
          <w:szCs w:val="20"/>
          <w:lang w:eastAsia="en-IN"/>
          <w14:ligatures w14:val="none"/>
        </w:rPr>
        <w:t>This does not mean that current phytosanitary systems have failed, but rather that their effectiveness depends on continuous updating, stronger implementation capacity and closer coordination across exporting, transit and importing countries. Prevention, early detection and rapid information exchange remain especially important because eradication becomes technically difficult and economically costly once an introduced pest has established and spread.</w:t>
      </w:r>
      <w:r w:rsidR="00580632">
        <w:rPr>
          <w:rFonts w:ascii="Arial" w:eastAsia="Times New Roman" w:hAnsi="Arial" w:cs="Arial"/>
          <w:kern w:val="0"/>
          <w:sz w:val="20"/>
          <w:szCs w:val="20"/>
          <w:lang w:eastAsia="en-IN"/>
          <w14:ligatures w14:val="none"/>
        </w:rPr>
        <w:t xml:space="preserve"> </w:t>
      </w:r>
      <w:r w:rsidR="00F6125D" w:rsidRPr="00F6125D">
        <w:rPr>
          <w:rFonts w:ascii="Arial" w:eastAsia="Times New Roman" w:hAnsi="Arial" w:cs="Arial"/>
          <w:kern w:val="0"/>
          <w:sz w:val="20"/>
          <w:szCs w:val="20"/>
          <w:lang w:eastAsia="en-IN"/>
          <w14:ligatures w14:val="none"/>
        </w:rPr>
        <w:t xml:space="preserve">Emerging surveillance technologies, including environmental DNA sampling, high-throughput metabarcoding and trade-network-informed predictive modelling, offer genuine promise for earlier detection and more precisely targeted intervention, but their benefits will accrue unevenly unless deliberate effort is made to extend access to these tools beyond the well-resourced research institutions where they have mostly been developed and validated. </w:t>
      </w:r>
      <w:r w:rsidR="00580632" w:rsidRPr="00580632">
        <w:rPr>
          <w:rFonts w:ascii="Arial" w:eastAsia="Times New Roman" w:hAnsi="Arial" w:cs="Arial"/>
          <w:kern w:val="0"/>
          <w:sz w:val="20"/>
          <w:szCs w:val="20"/>
          <w:lang w:eastAsia="en-IN"/>
          <w14:ligatures w14:val="none"/>
        </w:rPr>
        <w:t>For these tools to contribute meaningfully to global food security, they should be integrated with field-based surveillance, farmer and extension networks, classical diagnostic expertise and practical integrated pest management programmes. Such integration is particularly important in regions where smallholder production systems are highly exposed to pest shocks but have limited access to advanced detection technologies.</w:t>
      </w:r>
      <w:r w:rsidR="00580632">
        <w:rPr>
          <w:rFonts w:ascii="Arial" w:eastAsia="Times New Roman" w:hAnsi="Arial" w:cs="Arial"/>
          <w:kern w:val="0"/>
          <w:sz w:val="20"/>
          <w:szCs w:val="20"/>
          <w:lang w:eastAsia="en-IN"/>
          <w14:ligatures w14:val="none"/>
        </w:rPr>
        <w:t xml:space="preserve"> </w:t>
      </w:r>
      <w:r w:rsidR="00F6125D" w:rsidRPr="00F6125D">
        <w:rPr>
          <w:rFonts w:ascii="Arial" w:eastAsia="Times New Roman" w:hAnsi="Arial" w:cs="Arial"/>
          <w:kern w:val="0"/>
          <w:sz w:val="20"/>
          <w:szCs w:val="20"/>
          <w:lang w:eastAsia="en-IN"/>
          <w14:ligatures w14:val="none"/>
        </w:rPr>
        <w:t>Addressing the threat that trade-mediated insect invasions pose to global food security in the decades ahead will require sustained investment across the full continuum from prevention through detection to management, coordinated at an international scale that matches the genuinely global nature of the trade networks now connecting almost every agricultural system on the planet.</w:t>
      </w:r>
    </w:p>
    <w:p w14:paraId="619D5CAE" w14:textId="77777777" w:rsidR="002C05E4" w:rsidRDefault="002C05E4" w:rsidP="003F1345">
      <w:pPr>
        <w:spacing w:before="100" w:beforeAutospacing="1" w:after="100" w:afterAutospacing="1" w:line="240" w:lineRule="auto"/>
        <w:jc w:val="both"/>
        <w:rPr>
          <w:rFonts w:ascii="Arial" w:eastAsia="Times New Roman" w:hAnsi="Arial" w:cs="Arial"/>
          <w:kern w:val="0"/>
          <w:sz w:val="20"/>
          <w:szCs w:val="20"/>
          <w:lang w:eastAsia="en-IN"/>
          <w14:ligatures w14:val="none"/>
        </w:rPr>
      </w:pPr>
    </w:p>
    <w:p w14:paraId="02CFE2BF" w14:textId="77777777" w:rsidR="002C05E4" w:rsidRPr="002C05E4" w:rsidRDefault="002C05E4" w:rsidP="002C05E4">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2C05E4">
        <w:rPr>
          <w:rFonts w:ascii="Arial" w:eastAsia="Times New Roman" w:hAnsi="Arial" w:cs="Arial"/>
          <w:kern w:val="0"/>
          <w:sz w:val="20"/>
          <w:szCs w:val="20"/>
          <w:lang w:eastAsia="en-IN"/>
          <w14:ligatures w14:val="none"/>
        </w:rPr>
        <w:t>Declaration of AI Use</w:t>
      </w:r>
    </w:p>
    <w:p w14:paraId="3815F426" w14:textId="7C3A7028" w:rsidR="002C05E4" w:rsidRDefault="002C05E4" w:rsidP="002C05E4">
      <w:pPr>
        <w:spacing w:before="100" w:beforeAutospacing="1" w:after="100" w:afterAutospacing="1" w:line="240" w:lineRule="auto"/>
        <w:jc w:val="both"/>
        <w:rPr>
          <w:rFonts w:ascii="Arial" w:eastAsia="Times New Roman" w:hAnsi="Arial" w:cs="Arial"/>
          <w:kern w:val="0"/>
          <w:sz w:val="20"/>
          <w:szCs w:val="20"/>
          <w:lang w:eastAsia="en-IN"/>
          <w14:ligatures w14:val="none"/>
        </w:rPr>
      </w:pPr>
      <w:r w:rsidRPr="002C05E4">
        <w:rPr>
          <w:rFonts w:ascii="Arial" w:eastAsia="Times New Roman" w:hAnsi="Arial" w:cs="Arial"/>
          <w:kern w:val="0"/>
          <w:sz w:val="20"/>
          <w:szCs w:val="20"/>
          <w:lang w:eastAsia="en-IN"/>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1079AA" w14:textId="77777777" w:rsidR="002C05E4" w:rsidRDefault="002C05E4" w:rsidP="002C05E4">
      <w:pPr>
        <w:spacing w:before="100" w:beforeAutospacing="1" w:after="100" w:afterAutospacing="1" w:line="240" w:lineRule="auto"/>
        <w:jc w:val="both"/>
        <w:rPr>
          <w:rFonts w:ascii="Arial" w:eastAsia="Times New Roman" w:hAnsi="Arial" w:cs="Arial"/>
          <w:kern w:val="0"/>
          <w:sz w:val="20"/>
          <w:szCs w:val="20"/>
          <w:lang w:eastAsia="en-IN"/>
          <w14:ligatures w14:val="none"/>
        </w:rPr>
      </w:pPr>
    </w:p>
    <w:p w14:paraId="205084B0" w14:textId="77777777" w:rsidR="002C05E4" w:rsidRPr="00F6125D" w:rsidRDefault="002C05E4" w:rsidP="002C05E4">
      <w:pPr>
        <w:spacing w:before="100" w:beforeAutospacing="1" w:after="100" w:afterAutospacing="1" w:line="240" w:lineRule="auto"/>
        <w:jc w:val="both"/>
        <w:rPr>
          <w:rFonts w:ascii="Arial" w:eastAsia="Times New Roman" w:hAnsi="Arial" w:cs="Arial"/>
          <w:kern w:val="0"/>
          <w:sz w:val="20"/>
          <w:szCs w:val="20"/>
          <w:lang w:eastAsia="en-IN"/>
          <w14:ligatures w14:val="none"/>
        </w:rPr>
      </w:pPr>
    </w:p>
    <w:p w14:paraId="28F9808C" w14:textId="77777777" w:rsidR="00F6125D" w:rsidRDefault="00F6125D"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r w:rsidRPr="00F6125D">
        <w:rPr>
          <w:rFonts w:ascii="Arial" w:eastAsia="Times New Roman" w:hAnsi="Arial" w:cs="Arial"/>
          <w:b/>
          <w:bCs/>
          <w:kern w:val="0"/>
          <w:sz w:val="20"/>
          <w:szCs w:val="20"/>
          <w:lang w:eastAsia="en-IN"/>
          <w14:ligatures w14:val="none"/>
        </w:rPr>
        <w:t>References</w:t>
      </w:r>
    </w:p>
    <w:p w14:paraId="7ABCEFB1"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Acharya, R., Akintola, A. A., Malekera, M. J., Kamulegeya, P., Nyakunga, K. B., Mutimbu, M. K., Shrestha, Y. K., Hemayet, J. S. M., Hoat, T. X., Dao, H. T., Park, J.-H., Kim, I., Nam, M., Lee, S.-J., Kim, S.-M., Hwang, H.-S., &amp; Lee, K.-Y. (2021). Genetic relationship of fall armyworm (</w:t>
      </w:r>
      <w:r w:rsidRPr="00883E52">
        <w:rPr>
          <w:rFonts w:ascii="Times New Roman" w:eastAsia="Times New Roman" w:hAnsi="Times New Roman" w:cs="Times New Roman"/>
          <w:i/>
          <w:iCs/>
          <w:kern w:val="0"/>
          <w:sz w:val="24"/>
          <w:szCs w:val="24"/>
          <w:lang w:val="en-US"/>
          <w14:ligatures w14:val="none"/>
        </w:rPr>
        <w:t>Spodoptera frugiperda</w:t>
      </w:r>
      <w:r w:rsidRPr="00883E52">
        <w:rPr>
          <w:rFonts w:ascii="Times New Roman" w:eastAsia="Times New Roman" w:hAnsi="Times New Roman" w:cs="Times New Roman"/>
          <w:kern w:val="0"/>
          <w:sz w:val="24"/>
          <w:szCs w:val="24"/>
          <w:lang w:val="en-US"/>
          <w14:ligatures w14:val="none"/>
        </w:rPr>
        <w:t xml:space="preserve">) populations that invaded Africa and Asia. </w:t>
      </w:r>
      <w:r w:rsidRPr="00883E52">
        <w:rPr>
          <w:rFonts w:ascii="Times New Roman" w:eastAsia="Times New Roman" w:hAnsi="Times New Roman" w:cs="Times New Roman"/>
          <w:i/>
          <w:iCs/>
          <w:kern w:val="0"/>
          <w:sz w:val="24"/>
          <w:szCs w:val="24"/>
          <w:lang w:val="en-US"/>
          <w14:ligatures w14:val="none"/>
        </w:rPr>
        <w:t>Insects, 12</w:t>
      </w:r>
      <w:r w:rsidRPr="00883E52">
        <w:rPr>
          <w:rFonts w:ascii="Times New Roman" w:eastAsia="Times New Roman" w:hAnsi="Times New Roman" w:cs="Times New Roman"/>
          <w:kern w:val="0"/>
          <w:sz w:val="24"/>
          <w:szCs w:val="24"/>
          <w:lang w:val="en-US"/>
          <w14:ligatures w14:val="none"/>
        </w:rPr>
        <w:t xml:space="preserve">(5), Article 439. </w:t>
      </w:r>
      <w:hyperlink r:id="rId5" w:history="1">
        <w:r w:rsidRPr="00883E52">
          <w:rPr>
            <w:rFonts w:ascii="Times New Roman" w:eastAsia="Times New Roman" w:hAnsi="Times New Roman" w:cs="Times New Roman"/>
            <w:color w:val="0000FF"/>
            <w:kern w:val="0"/>
            <w:sz w:val="24"/>
            <w:szCs w:val="24"/>
            <w:u w:val="single"/>
            <w:lang w:val="en-US"/>
            <w14:ligatures w14:val="none"/>
          </w:rPr>
          <w:t>https://doi.org/10.3390/insects12050439</w:t>
        </w:r>
      </w:hyperlink>
    </w:p>
    <w:p w14:paraId="3D445E13"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Ahmed, D. A., Haubrock, P. J., Cuthbert, R. N., Bang, A., Soto, I., Balzani, P., Tarkan, A. S., Macêdo, R. L., Carneiro, L., Bodey, T. W., Oficialdegui, F. J., Courtois, P., Kourantidou, M., Angulo, E., Heringer, G., Renault, D., Turbelin, A. J., Hudgins, E. J., Liu, C., … Courchamp, F. (2023). Recent advances in availability and synthesis of the economic costs of biological invasions. </w:t>
      </w:r>
      <w:r w:rsidRPr="00883E52">
        <w:rPr>
          <w:rFonts w:ascii="Times New Roman" w:eastAsia="Times New Roman" w:hAnsi="Times New Roman" w:cs="Times New Roman"/>
          <w:i/>
          <w:iCs/>
          <w:kern w:val="0"/>
          <w:sz w:val="24"/>
          <w:szCs w:val="24"/>
          <w:lang w:val="en-US"/>
          <w14:ligatures w14:val="none"/>
        </w:rPr>
        <w:t>BioScience, 73</w:t>
      </w:r>
      <w:r w:rsidRPr="00883E52">
        <w:rPr>
          <w:rFonts w:ascii="Times New Roman" w:eastAsia="Times New Roman" w:hAnsi="Times New Roman" w:cs="Times New Roman"/>
          <w:kern w:val="0"/>
          <w:sz w:val="24"/>
          <w:szCs w:val="24"/>
          <w:lang w:val="en-US"/>
          <w14:ligatures w14:val="none"/>
        </w:rPr>
        <w:t xml:space="preserve">(8), 560–574. </w:t>
      </w:r>
      <w:hyperlink r:id="rId6" w:history="1">
        <w:r w:rsidRPr="00883E52">
          <w:rPr>
            <w:rFonts w:ascii="Times New Roman" w:eastAsia="Times New Roman" w:hAnsi="Times New Roman" w:cs="Times New Roman"/>
            <w:color w:val="0000FF"/>
            <w:kern w:val="0"/>
            <w:sz w:val="24"/>
            <w:szCs w:val="24"/>
            <w:u w:val="single"/>
            <w:lang w:val="en-US"/>
            <w14:ligatures w14:val="none"/>
          </w:rPr>
          <w:t>https://doi.org/10.1093/biosci/biad060</w:t>
        </w:r>
      </w:hyperlink>
    </w:p>
    <w:p w14:paraId="02D9D3A6"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Antoniou, A., Abergel, M., Akrivou, A., Beale, T., Day, R. H., Fielder, H., Larenaudie, M., MacLeod, A. M., Rosace, M. C., Sarakatsani, E., Stinziano, J. R., Szyniszewska, A., Suffert, M., &amp; Tramontini, S. (2024). Horizon scanning: Tools to identify emerging threats to plant health in a changing world. </w:t>
      </w:r>
      <w:r w:rsidRPr="00883E52">
        <w:rPr>
          <w:rFonts w:ascii="Times New Roman" w:eastAsia="Times New Roman" w:hAnsi="Times New Roman" w:cs="Times New Roman"/>
          <w:i/>
          <w:iCs/>
          <w:kern w:val="0"/>
          <w:sz w:val="24"/>
          <w:szCs w:val="24"/>
          <w:lang w:val="en-US"/>
          <w14:ligatures w14:val="none"/>
        </w:rPr>
        <w:t>EPPO Bulletin, 54</w:t>
      </w:r>
      <w:r w:rsidRPr="00883E52">
        <w:rPr>
          <w:rFonts w:ascii="Times New Roman" w:eastAsia="Times New Roman" w:hAnsi="Times New Roman" w:cs="Times New Roman"/>
          <w:kern w:val="0"/>
          <w:sz w:val="24"/>
          <w:szCs w:val="24"/>
          <w:lang w:val="en-US"/>
          <w14:ligatures w14:val="none"/>
        </w:rPr>
        <w:t xml:space="preserve">(S1), 73–88. </w:t>
      </w:r>
      <w:hyperlink r:id="rId7" w:history="1">
        <w:r w:rsidRPr="00883E52">
          <w:rPr>
            <w:rFonts w:ascii="Times New Roman" w:eastAsia="Times New Roman" w:hAnsi="Times New Roman" w:cs="Times New Roman"/>
            <w:color w:val="0000FF"/>
            <w:kern w:val="0"/>
            <w:sz w:val="24"/>
            <w:szCs w:val="24"/>
            <w:u w:val="single"/>
            <w:lang w:val="en-US"/>
            <w14:ligatures w14:val="none"/>
          </w:rPr>
          <w:t>https://doi.org/10.1111/epp.12988</w:t>
        </w:r>
      </w:hyperlink>
    </w:p>
    <w:p w14:paraId="79994B7C"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Baethge, C., Goldbeck-Wood, S., &amp; Mertens, S. (2019). SANRA—a scale for the quality assessment of narrative review articles. </w:t>
      </w:r>
      <w:r w:rsidRPr="00883E52">
        <w:rPr>
          <w:rFonts w:ascii="Times New Roman" w:eastAsia="Times New Roman" w:hAnsi="Times New Roman" w:cs="Times New Roman"/>
          <w:i/>
          <w:iCs/>
          <w:kern w:val="0"/>
          <w:sz w:val="24"/>
          <w:szCs w:val="24"/>
          <w:lang w:val="en-US"/>
          <w14:ligatures w14:val="none"/>
        </w:rPr>
        <w:t>Research Integrity and Peer Review, 4</w:t>
      </w:r>
      <w:r w:rsidRPr="00883E52">
        <w:rPr>
          <w:rFonts w:ascii="Times New Roman" w:eastAsia="Times New Roman" w:hAnsi="Times New Roman" w:cs="Times New Roman"/>
          <w:kern w:val="0"/>
          <w:sz w:val="24"/>
          <w:szCs w:val="24"/>
          <w:lang w:val="en-US"/>
          <w14:ligatures w14:val="none"/>
        </w:rPr>
        <w:t xml:space="preserve">, Article 5. </w:t>
      </w:r>
      <w:hyperlink r:id="rId8" w:history="1">
        <w:r w:rsidRPr="00883E52">
          <w:rPr>
            <w:rFonts w:ascii="Times New Roman" w:eastAsia="Times New Roman" w:hAnsi="Times New Roman" w:cs="Times New Roman"/>
            <w:color w:val="0000FF"/>
            <w:kern w:val="0"/>
            <w:sz w:val="24"/>
            <w:szCs w:val="24"/>
            <w:u w:val="single"/>
            <w:lang w:val="en-US"/>
            <w14:ligatures w14:val="none"/>
          </w:rPr>
          <w:t>https://doi.org/10.1186/s41073-019-0064-8</w:t>
        </w:r>
      </w:hyperlink>
    </w:p>
    <w:p w14:paraId="08F1DF7F"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Bang, A., Cuthbert, R. N., Haubrock, P. J., Fernandez, R. D., Moodley, D., Diagne, C., Turbelin, A. J., Renault, D., Dalu, T., &amp; Courchamp, F. (2022). Massive economic costs of biological invasions despite widespread knowledge gaps: A dual setback for India. </w:t>
      </w:r>
      <w:r w:rsidRPr="00883E52">
        <w:rPr>
          <w:rFonts w:ascii="Times New Roman" w:eastAsia="Times New Roman" w:hAnsi="Times New Roman" w:cs="Times New Roman"/>
          <w:i/>
          <w:iCs/>
          <w:kern w:val="0"/>
          <w:sz w:val="24"/>
          <w:szCs w:val="24"/>
          <w:lang w:val="en-US"/>
          <w14:ligatures w14:val="none"/>
        </w:rPr>
        <w:t>Biological Invasions, 24</w:t>
      </w:r>
      <w:r w:rsidRPr="00883E52">
        <w:rPr>
          <w:rFonts w:ascii="Times New Roman" w:eastAsia="Times New Roman" w:hAnsi="Times New Roman" w:cs="Times New Roman"/>
          <w:kern w:val="0"/>
          <w:sz w:val="24"/>
          <w:szCs w:val="24"/>
          <w:lang w:val="en-US"/>
          <w14:ligatures w14:val="none"/>
        </w:rPr>
        <w:t xml:space="preserve">(7), 2017–2039. </w:t>
      </w:r>
      <w:hyperlink r:id="rId9" w:history="1">
        <w:r w:rsidRPr="00883E52">
          <w:rPr>
            <w:rFonts w:ascii="Times New Roman" w:eastAsia="Times New Roman" w:hAnsi="Times New Roman" w:cs="Times New Roman"/>
            <w:color w:val="0000FF"/>
            <w:kern w:val="0"/>
            <w:sz w:val="24"/>
            <w:szCs w:val="24"/>
            <w:u w:val="single"/>
            <w:lang w:val="en-US"/>
            <w14:ligatures w14:val="none"/>
          </w:rPr>
          <w:t>https://doi.org/10.1007/s10530-022-02780-z</w:t>
        </w:r>
      </w:hyperlink>
    </w:p>
    <w:p w14:paraId="4217B087"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Bebber, D. P., Holmes, T., &amp; Gurr, S. J. (2014). The global spread of crop pests and pathogens. </w:t>
      </w:r>
      <w:r w:rsidRPr="00883E52">
        <w:rPr>
          <w:rFonts w:ascii="Times New Roman" w:eastAsia="Times New Roman" w:hAnsi="Times New Roman" w:cs="Times New Roman"/>
          <w:i/>
          <w:iCs/>
          <w:kern w:val="0"/>
          <w:sz w:val="24"/>
          <w:szCs w:val="24"/>
          <w:lang w:val="en-US"/>
          <w14:ligatures w14:val="none"/>
        </w:rPr>
        <w:t>Global Ecology and Biogeography, 23</w:t>
      </w:r>
      <w:r w:rsidRPr="00883E52">
        <w:rPr>
          <w:rFonts w:ascii="Times New Roman" w:eastAsia="Times New Roman" w:hAnsi="Times New Roman" w:cs="Times New Roman"/>
          <w:kern w:val="0"/>
          <w:sz w:val="24"/>
          <w:szCs w:val="24"/>
          <w:lang w:val="en-US"/>
          <w14:ligatures w14:val="none"/>
        </w:rPr>
        <w:t xml:space="preserve">(12), 1398–1407. </w:t>
      </w:r>
      <w:hyperlink r:id="rId10" w:history="1">
        <w:r w:rsidRPr="00883E52">
          <w:rPr>
            <w:rFonts w:ascii="Times New Roman" w:eastAsia="Times New Roman" w:hAnsi="Times New Roman" w:cs="Times New Roman"/>
            <w:color w:val="0000FF"/>
            <w:kern w:val="0"/>
            <w:sz w:val="24"/>
            <w:szCs w:val="24"/>
            <w:u w:val="single"/>
            <w:lang w:val="en-US"/>
            <w14:ligatures w14:val="none"/>
          </w:rPr>
          <w:t>https://doi.org/10.1111/geb.12214</w:t>
        </w:r>
      </w:hyperlink>
    </w:p>
    <w:p w14:paraId="21DBF706"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Bebber, D. P., Ramotowski, M. A. T., &amp; Gurr, S. J. (2013). Crop pests and pathogens move polewards in a warming world. </w:t>
      </w:r>
      <w:r w:rsidRPr="00883E52">
        <w:rPr>
          <w:rFonts w:ascii="Times New Roman" w:eastAsia="Times New Roman" w:hAnsi="Times New Roman" w:cs="Times New Roman"/>
          <w:i/>
          <w:iCs/>
          <w:kern w:val="0"/>
          <w:sz w:val="24"/>
          <w:szCs w:val="24"/>
          <w:lang w:val="en-US"/>
          <w14:ligatures w14:val="none"/>
        </w:rPr>
        <w:t>Nature Climate Change, 3</w:t>
      </w:r>
      <w:r w:rsidRPr="00883E52">
        <w:rPr>
          <w:rFonts w:ascii="Times New Roman" w:eastAsia="Times New Roman" w:hAnsi="Times New Roman" w:cs="Times New Roman"/>
          <w:kern w:val="0"/>
          <w:sz w:val="24"/>
          <w:szCs w:val="24"/>
          <w:lang w:val="en-US"/>
          <w14:ligatures w14:val="none"/>
        </w:rPr>
        <w:t xml:space="preserve">, 985–988. </w:t>
      </w:r>
      <w:hyperlink r:id="rId11" w:history="1">
        <w:r w:rsidRPr="00883E52">
          <w:rPr>
            <w:rFonts w:ascii="Times New Roman" w:eastAsia="Times New Roman" w:hAnsi="Times New Roman" w:cs="Times New Roman"/>
            <w:color w:val="0000FF"/>
            <w:kern w:val="0"/>
            <w:sz w:val="24"/>
            <w:szCs w:val="24"/>
            <w:u w:val="single"/>
            <w:lang w:val="en-US"/>
            <w14:ligatures w14:val="none"/>
          </w:rPr>
          <w:t>https://doi.org/10.1038/nclimate1990</w:t>
        </w:r>
      </w:hyperlink>
    </w:p>
    <w:p w14:paraId="0EA05BB4"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lastRenderedPageBreak/>
        <w:t xml:space="preserve">Bonnamour, A., Gippet, J. M. W., &amp; Bertelsmeier, C. (2021). Insect and plant invasions follow two waves of globalisation. </w:t>
      </w:r>
      <w:r w:rsidRPr="00883E52">
        <w:rPr>
          <w:rFonts w:ascii="Times New Roman" w:eastAsia="Times New Roman" w:hAnsi="Times New Roman" w:cs="Times New Roman"/>
          <w:i/>
          <w:iCs/>
          <w:kern w:val="0"/>
          <w:sz w:val="24"/>
          <w:szCs w:val="24"/>
          <w:lang w:val="en-US"/>
          <w14:ligatures w14:val="none"/>
        </w:rPr>
        <w:t>Ecology Letters, 24</w:t>
      </w:r>
      <w:r w:rsidRPr="00883E52">
        <w:rPr>
          <w:rFonts w:ascii="Times New Roman" w:eastAsia="Times New Roman" w:hAnsi="Times New Roman" w:cs="Times New Roman"/>
          <w:kern w:val="0"/>
          <w:sz w:val="24"/>
          <w:szCs w:val="24"/>
          <w:lang w:val="en-US"/>
          <w14:ligatures w14:val="none"/>
        </w:rPr>
        <w:t xml:space="preserve">(11), 2418–2426. </w:t>
      </w:r>
      <w:hyperlink r:id="rId12" w:history="1">
        <w:r w:rsidRPr="00883E52">
          <w:rPr>
            <w:rFonts w:ascii="Times New Roman" w:eastAsia="Times New Roman" w:hAnsi="Times New Roman" w:cs="Times New Roman"/>
            <w:color w:val="0000FF"/>
            <w:kern w:val="0"/>
            <w:sz w:val="24"/>
            <w:szCs w:val="24"/>
            <w:u w:val="single"/>
            <w:lang w:val="en-US"/>
            <w14:ligatures w14:val="none"/>
          </w:rPr>
          <w:t>https://doi.org/10.1111/ele.13863</w:t>
        </w:r>
      </w:hyperlink>
    </w:p>
    <w:p w14:paraId="38EAB68C"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Bradshaw, C. J. A., Leroy, B., Bellard, C., Roiz, D., Albert, C., Fournier, A., Barbet-Massin, M., Salles, J.-M., Simard, F., &amp; Courchamp, F. (2016). Massive yet grossly underestimated global costs of invasive insects. </w:t>
      </w:r>
      <w:r w:rsidRPr="00883E52">
        <w:rPr>
          <w:rFonts w:ascii="Times New Roman" w:eastAsia="Times New Roman" w:hAnsi="Times New Roman" w:cs="Times New Roman"/>
          <w:i/>
          <w:iCs/>
          <w:kern w:val="0"/>
          <w:sz w:val="24"/>
          <w:szCs w:val="24"/>
          <w:lang w:val="en-US"/>
          <w14:ligatures w14:val="none"/>
        </w:rPr>
        <w:t>Nature Communications, 7</w:t>
      </w:r>
      <w:r w:rsidRPr="00883E52">
        <w:rPr>
          <w:rFonts w:ascii="Times New Roman" w:eastAsia="Times New Roman" w:hAnsi="Times New Roman" w:cs="Times New Roman"/>
          <w:kern w:val="0"/>
          <w:sz w:val="24"/>
          <w:szCs w:val="24"/>
          <w:lang w:val="en-US"/>
          <w14:ligatures w14:val="none"/>
        </w:rPr>
        <w:t xml:space="preserve">, Article 12986. </w:t>
      </w:r>
      <w:hyperlink r:id="rId13" w:history="1">
        <w:r w:rsidRPr="00883E52">
          <w:rPr>
            <w:rFonts w:ascii="Times New Roman" w:eastAsia="Times New Roman" w:hAnsi="Times New Roman" w:cs="Times New Roman"/>
            <w:color w:val="0000FF"/>
            <w:kern w:val="0"/>
            <w:sz w:val="24"/>
            <w:szCs w:val="24"/>
            <w:u w:val="single"/>
            <w:lang w:val="en-US"/>
            <w14:ligatures w14:val="none"/>
          </w:rPr>
          <w:t>https://doi.org/10.1038/ncomms12986</w:t>
        </w:r>
      </w:hyperlink>
    </w:p>
    <w:p w14:paraId="1F69EE81"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Cock, M. J. W., Murphy, S. T., Kairo, M. T. K., Thompson, E., Murphy, R. J., &amp; Francis, A. W. (2016). Trends in the classical biological control of insect pests by insects: An update of the BIOCAT database. </w:t>
      </w:r>
      <w:r w:rsidRPr="00883E52">
        <w:rPr>
          <w:rFonts w:ascii="Times New Roman" w:eastAsia="Times New Roman" w:hAnsi="Times New Roman" w:cs="Times New Roman"/>
          <w:i/>
          <w:iCs/>
          <w:kern w:val="0"/>
          <w:sz w:val="24"/>
          <w:szCs w:val="24"/>
          <w:lang w:val="en-US"/>
          <w14:ligatures w14:val="none"/>
        </w:rPr>
        <w:t>BioControl, 61</w:t>
      </w:r>
      <w:r w:rsidRPr="00883E52">
        <w:rPr>
          <w:rFonts w:ascii="Times New Roman" w:eastAsia="Times New Roman" w:hAnsi="Times New Roman" w:cs="Times New Roman"/>
          <w:kern w:val="0"/>
          <w:sz w:val="24"/>
          <w:szCs w:val="24"/>
          <w:lang w:val="en-US"/>
          <w14:ligatures w14:val="none"/>
        </w:rPr>
        <w:t xml:space="preserve">, 349–363. </w:t>
      </w:r>
      <w:hyperlink r:id="rId14" w:history="1">
        <w:r w:rsidRPr="00883E52">
          <w:rPr>
            <w:rFonts w:ascii="Times New Roman" w:eastAsia="Times New Roman" w:hAnsi="Times New Roman" w:cs="Times New Roman"/>
            <w:color w:val="0000FF"/>
            <w:kern w:val="0"/>
            <w:sz w:val="24"/>
            <w:szCs w:val="24"/>
            <w:u w:val="single"/>
            <w:lang w:val="en-US"/>
            <w14:ligatures w14:val="none"/>
          </w:rPr>
          <w:t>https://doi.org/10.1007/s10526-016-9726-3</w:t>
        </w:r>
      </w:hyperlink>
    </w:p>
    <w:p w14:paraId="3DEF95F1"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Deutsch, C. A., Tewksbury, J. J., Tigchelaar, M., Battisti, D. S., Merrill, S. C., Huey, R. B., &amp; Naylor, R. L. (2018). Increase in crop losses to insect pests in a warming climate. </w:t>
      </w:r>
      <w:r w:rsidRPr="00883E52">
        <w:rPr>
          <w:rFonts w:ascii="Times New Roman" w:eastAsia="Times New Roman" w:hAnsi="Times New Roman" w:cs="Times New Roman"/>
          <w:i/>
          <w:iCs/>
          <w:kern w:val="0"/>
          <w:sz w:val="24"/>
          <w:szCs w:val="24"/>
          <w:lang w:val="en-US"/>
          <w14:ligatures w14:val="none"/>
        </w:rPr>
        <w:t>Science, 361</w:t>
      </w:r>
      <w:r w:rsidRPr="00883E52">
        <w:rPr>
          <w:rFonts w:ascii="Times New Roman" w:eastAsia="Times New Roman" w:hAnsi="Times New Roman" w:cs="Times New Roman"/>
          <w:kern w:val="0"/>
          <w:sz w:val="24"/>
          <w:szCs w:val="24"/>
          <w:lang w:val="en-US"/>
          <w14:ligatures w14:val="none"/>
        </w:rPr>
        <w:t xml:space="preserve">(6405), 916–919. </w:t>
      </w:r>
      <w:hyperlink r:id="rId15" w:history="1">
        <w:r w:rsidRPr="00883E52">
          <w:rPr>
            <w:rFonts w:ascii="Times New Roman" w:eastAsia="Times New Roman" w:hAnsi="Times New Roman" w:cs="Times New Roman"/>
            <w:color w:val="0000FF"/>
            <w:kern w:val="0"/>
            <w:sz w:val="24"/>
            <w:szCs w:val="24"/>
            <w:u w:val="single"/>
            <w:lang w:val="en-US"/>
            <w14:ligatures w14:val="none"/>
          </w:rPr>
          <w:t>https://doi.org/10.1126/science.aat3466</w:t>
        </w:r>
      </w:hyperlink>
    </w:p>
    <w:p w14:paraId="2B58188B"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Diagne, C., Leroy, B., Gozlan, R. E., Vaissière, A.-C., Assailly, C., Nuninger, L., Roiz, D., Jourdain, F., Jarić, I., &amp; Courchamp, F. (2020). InvaCost, a public database of the economic costs of biological invasions worldwide. </w:t>
      </w:r>
      <w:r w:rsidRPr="00883E52">
        <w:rPr>
          <w:rFonts w:ascii="Times New Roman" w:eastAsia="Times New Roman" w:hAnsi="Times New Roman" w:cs="Times New Roman"/>
          <w:i/>
          <w:iCs/>
          <w:kern w:val="0"/>
          <w:sz w:val="24"/>
          <w:szCs w:val="24"/>
          <w:lang w:val="en-US"/>
          <w14:ligatures w14:val="none"/>
        </w:rPr>
        <w:t>Scientific Data, 7</w:t>
      </w:r>
      <w:r w:rsidRPr="00883E52">
        <w:rPr>
          <w:rFonts w:ascii="Times New Roman" w:eastAsia="Times New Roman" w:hAnsi="Times New Roman" w:cs="Times New Roman"/>
          <w:kern w:val="0"/>
          <w:sz w:val="24"/>
          <w:szCs w:val="24"/>
          <w:lang w:val="en-US"/>
          <w14:ligatures w14:val="none"/>
        </w:rPr>
        <w:t xml:space="preserve">, Article 277. </w:t>
      </w:r>
      <w:hyperlink r:id="rId16" w:history="1">
        <w:r w:rsidRPr="00883E52">
          <w:rPr>
            <w:rFonts w:ascii="Times New Roman" w:eastAsia="Times New Roman" w:hAnsi="Times New Roman" w:cs="Times New Roman"/>
            <w:color w:val="0000FF"/>
            <w:kern w:val="0"/>
            <w:sz w:val="24"/>
            <w:szCs w:val="24"/>
            <w:u w:val="single"/>
            <w:lang w:val="en-US"/>
            <w14:ligatures w14:val="none"/>
          </w:rPr>
          <w:t>https://doi.org/10.1038/s41597-020-00586-z</w:t>
        </w:r>
      </w:hyperlink>
    </w:p>
    <w:p w14:paraId="6DB245BD"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Diagne, C., Leroy, B., Vaissière, A.-C., Gozlan, R. E., Roiz, D., Jarić, I., Salles, J.-M., Bradshaw, C. J. A., &amp; Courchamp, F. (2021). High and rising economic costs of biological invasions worldwide. </w:t>
      </w:r>
      <w:r w:rsidRPr="00883E52">
        <w:rPr>
          <w:rFonts w:ascii="Times New Roman" w:eastAsia="Times New Roman" w:hAnsi="Times New Roman" w:cs="Times New Roman"/>
          <w:i/>
          <w:iCs/>
          <w:kern w:val="0"/>
          <w:sz w:val="24"/>
          <w:szCs w:val="24"/>
          <w:lang w:val="en-US"/>
          <w14:ligatures w14:val="none"/>
        </w:rPr>
        <w:t>Nature, 592</w:t>
      </w:r>
      <w:r w:rsidRPr="00883E52">
        <w:rPr>
          <w:rFonts w:ascii="Times New Roman" w:eastAsia="Times New Roman" w:hAnsi="Times New Roman" w:cs="Times New Roman"/>
          <w:kern w:val="0"/>
          <w:sz w:val="24"/>
          <w:szCs w:val="24"/>
          <w:lang w:val="en-US"/>
          <w14:ligatures w14:val="none"/>
        </w:rPr>
        <w:t xml:space="preserve">, 571–576. </w:t>
      </w:r>
      <w:hyperlink r:id="rId17" w:history="1">
        <w:r w:rsidRPr="00883E52">
          <w:rPr>
            <w:rFonts w:ascii="Times New Roman" w:eastAsia="Times New Roman" w:hAnsi="Times New Roman" w:cs="Times New Roman"/>
            <w:color w:val="0000FF"/>
            <w:kern w:val="0"/>
            <w:sz w:val="24"/>
            <w:szCs w:val="24"/>
            <w:u w:val="single"/>
            <w:lang w:val="en-US"/>
            <w14:ligatures w14:val="none"/>
          </w:rPr>
          <w:t>https://doi.org/10.1038/s41586-021-03405-6</w:t>
        </w:r>
      </w:hyperlink>
    </w:p>
    <w:p w14:paraId="6B2A5B2B"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Epanchin-Niell, R., McAusland, C., Liebhold, A., Mwebaze, P., &amp; Springborn, M. R. (2021). Biological invasions and international trade: Managing a moving target. </w:t>
      </w:r>
      <w:r w:rsidRPr="00883E52">
        <w:rPr>
          <w:rFonts w:ascii="Times New Roman" w:eastAsia="Times New Roman" w:hAnsi="Times New Roman" w:cs="Times New Roman"/>
          <w:i/>
          <w:iCs/>
          <w:kern w:val="0"/>
          <w:sz w:val="24"/>
          <w:szCs w:val="24"/>
          <w:lang w:val="en-US"/>
          <w14:ligatures w14:val="none"/>
        </w:rPr>
        <w:t>Review of Environmental Economics and Policy, 15</w:t>
      </w:r>
      <w:r w:rsidRPr="00883E52">
        <w:rPr>
          <w:rFonts w:ascii="Times New Roman" w:eastAsia="Times New Roman" w:hAnsi="Times New Roman" w:cs="Times New Roman"/>
          <w:kern w:val="0"/>
          <w:sz w:val="24"/>
          <w:szCs w:val="24"/>
          <w:lang w:val="en-US"/>
          <w14:ligatures w14:val="none"/>
        </w:rPr>
        <w:t xml:space="preserve">(1), 180–190. </w:t>
      </w:r>
      <w:hyperlink r:id="rId18" w:history="1">
        <w:r w:rsidRPr="00883E52">
          <w:rPr>
            <w:rFonts w:ascii="Times New Roman" w:eastAsia="Times New Roman" w:hAnsi="Times New Roman" w:cs="Times New Roman"/>
            <w:color w:val="0000FF"/>
            <w:kern w:val="0"/>
            <w:sz w:val="24"/>
            <w:szCs w:val="24"/>
            <w:u w:val="single"/>
            <w:lang w:val="en-US"/>
            <w14:ligatures w14:val="none"/>
          </w:rPr>
          <w:t>https://doi.org/10.1086/713025</w:t>
        </w:r>
      </w:hyperlink>
    </w:p>
    <w:p w14:paraId="52F87608"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Fantle-Lepczyk, J. E., Haubrock, P. J., Kramer, A. M., Cuthbert, R. N., Turbelin, A. J., Crystal-Ornelas, R., Diagne, C., &amp; Courchamp, F. (2022). Economic costs of biological invasions in the United States. </w:t>
      </w:r>
      <w:r w:rsidRPr="00883E52">
        <w:rPr>
          <w:rFonts w:ascii="Times New Roman" w:eastAsia="Times New Roman" w:hAnsi="Times New Roman" w:cs="Times New Roman"/>
          <w:i/>
          <w:iCs/>
          <w:kern w:val="0"/>
          <w:sz w:val="24"/>
          <w:szCs w:val="24"/>
          <w:lang w:val="en-US"/>
          <w14:ligatures w14:val="none"/>
        </w:rPr>
        <w:t>Science of the Total Environment, 806</w:t>
      </w:r>
      <w:r w:rsidRPr="00883E52">
        <w:rPr>
          <w:rFonts w:ascii="Times New Roman" w:eastAsia="Times New Roman" w:hAnsi="Times New Roman" w:cs="Times New Roman"/>
          <w:kern w:val="0"/>
          <w:sz w:val="24"/>
          <w:szCs w:val="24"/>
          <w:lang w:val="en-US"/>
          <w14:ligatures w14:val="none"/>
        </w:rPr>
        <w:t xml:space="preserve">, Article 151318. </w:t>
      </w:r>
      <w:hyperlink r:id="rId19" w:history="1">
        <w:r w:rsidRPr="00883E52">
          <w:rPr>
            <w:rFonts w:ascii="Times New Roman" w:eastAsia="Times New Roman" w:hAnsi="Times New Roman" w:cs="Times New Roman"/>
            <w:color w:val="0000FF"/>
            <w:kern w:val="0"/>
            <w:sz w:val="24"/>
            <w:szCs w:val="24"/>
            <w:u w:val="single"/>
            <w:lang w:val="en-US"/>
            <w14:ligatures w14:val="none"/>
          </w:rPr>
          <w:t>https://doi.org/10.1016/j.scitotenv.2021.151318</w:t>
        </w:r>
      </w:hyperlink>
    </w:p>
    <w:p w14:paraId="20D50306"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Fernandez, L., &amp; Das, M. (2024). Does the World Trade Organization enable biosecurity and trade for importers and exporters? </w:t>
      </w:r>
      <w:r w:rsidRPr="00883E52">
        <w:rPr>
          <w:rFonts w:ascii="Times New Roman" w:eastAsia="Times New Roman" w:hAnsi="Times New Roman" w:cs="Times New Roman"/>
          <w:i/>
          <w:iCs/>
          <w:kern w:val="0"/>
          <w:sz w:val="24"/>
          <w:szCs w:val="24"/>
          <w:lang w:val="en-US"/>
          <w14:ligatures w14:val="none"/>
        </w:rPr>
        <w:t>World Trade Review, 23</w:t>
      </w:r>
      <w:r w:rsidRPr="00883E52">
        <w:rPr>
          <w:rFonts w:ascii="Times New Roman" w:eastAsia="Times New Roman" w:hAnsi="Times New Roman" w:cs="Times New Roman"/>
          <w:kern w:val="0"/>
          <w:sz w:val="24"/>
          <w:szCs w:val="24"/>
          <w:lang w:val="en-US"/>
          <w14:ligatures w14:val="none"/>
        </w:rPr>
        <w:t xml:space="preserve">(4), 448–473. </w:t>
      </w:r>
      <w:hyperlink r:id="rId20" w:history="1">
        <w:r w:rsidRPr="00883E52">
          <w:rPr>
            <w:rFonts w:ascii="Times New Roman" w:eastAsia="Times New Roman" w:hAnsi="Times New Roman" w:cs="Times New Roman"/>
            <w:color w:val="0000FF"/>
            <w:kern w:val="0"/>
            <w:sz w:val="24"/>
            <w:szCs w:val="24"/>
            <w:u w:val="single"/>
            <w:lang w:val="en-US"/>
            <w14:ligatures w14:val="none"/>
          </w:rPr>
          <w:t>https://doi.org/10.1017/S1474745624000090</w:t>
        </w:r>
      </w:hyperlink>
    </w:p>
    <w:p w14:paraId="26E1C929"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Haack, R. A., Britton, K. O., Brockerhoff, E. G., Cavey, J. F., Garrett, L. J., Kimberley, M., Lowenstein, F., Nuding, A., Olson, L. J., Turner, J., &amp; Vasilaky, K. N. (2014). Effectiveness of the international phytosanitary standard ISPM No. 15 on reducing wood borer infestation rates in wood packaging material entering the United States. </w:t>
      </w:r>
      <w:r w:rsidRPr="00883E52">
        <w:rPr>
          <w:rFonts w:ascii="Times New Roman" w:eastAsia="Times New Roman" w:hAnsi="Times New Roman" w:cs="Times New Roman"/>
          <w:i/>
          <w:iCs/>
          <w:kern w:val="0"/>
          <w:sz w:val="24"/>
          <w:szCs w:val="24"/>
          <w:lang w:val="en-US"/>
          <w14:ligatures w14:val="none"/>
        </w:rPr>
        <w:t>PLOS ONE, 9</w:t>
      </w:r>
      <w:r w:rsidRPr="00883E52">
        <w:rPr>
          <w:rFonts w:ascii="Times New Roman" w:eastAsia="Times New Roman" w:hAnsi="Times New Roman" w:cs="Times New Roman"/>
          <w:kern w:val="0"/>
          <w:sz w:val="24"/>
          <w:szCs w:val="24"/>
          <w:lang w:val="en-US"/>
          <w14:ligatures w14:val="none"/>
        </w:rPr>
        <w:t xml:space="preserve">(5), Article e96611. </w:t>
      </w:r>
      <w:hyperlink r:id="rId21" w:history="1">
        <w:r w:rsidRPr="00883E52">
          <w:rPr>
            <w:rFonts w:ascii="Times New Roman" w:eastAsia="Times New Roman" w:hAnsi="Times New Roman" w:cs="Times New Roman"/>
            <w:color w:val="0000FF"/>
            <w:kern w:val="0"/>
            <w:sz w:val="24"/>
            <w:szCs w:val="24"/>
            <w:u w:val="single"/>
            <w:lang w:val="en-US"/>
            <w14:ligatures w14:val="none"/>
          </w:rPr>
          <w:t>https://doi.org/10.1371/journal.pone.0096611</w:t>
        </w:r>
      </w:hyperlink>
    </w:p>
    <w:p w14:paraId="3EEEE46A"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Hepler, J. R., Athey, K., Enicks, D., Abram, P. K., Gariepy, T. D., Talamas, E. J., &amp; Beers, E. (2020). Hidden host mortality from an introduced parasitoid: Conventional and molecular evaluation of non-target risk. </w:t>
      </w:r>
      <w:r w:rsidRPr="00883E52">
        <w:rPr>
          <w:rFonts w:ascii="Times New Roman" w:eastAsia="Times New Roman" w:hAnsi="Times New Roman" w:cs="Times New Roman"/>
          <w:i/>
          <w:iCs/>
          <w:kern w:val="0"/>
          <w:sz w:val="24"/>
          <w:szCs w:val="24"/>
          <w:lang w:val="en-US"/>
          <w14:ligatures w14:val="none"/>
        </w:rPr>
        <w:t>Insects, 11</w:t>
      </w:r>
      <w:r w:rsidRPr="00883E52">
        <w:rPr>
          <w:rFonts w:ascii="Times New Roman" w:eastAsia="Times New Roman" w:hAnsi="Times New Roman" w:cs="Times New Roman"/>
          <w:kern w:val="0"/>
          <w:sz w:val="24"/>
          <w:szCs w:val="24"/>
          <w:lang w:val="en-US"/>
          <w14:ligatures w14:val="none"/>
        </w:rPr>
        <w:t xml:space="preserve">(11), Article 822. </w:t>
      </w:r>
      <w:hyperlink r:id="rId22" w:history="1">
        <w:r w:rsidRPr="00883E52">
          <w:rPr>
            <w:rFonts w:ascii="Times New Roman" w:eastAsia="Times New Roman" w:hAnsi="Times New Roman" w:cs="Times New Roman"/>
            <w:color w:val="0000FF"/>
            <w:kern w:val="0"/>
            <w:sz w:val="24"/>
            <w:szCs w:val="24"/>
            <w:u w:val="single"/>
            <w:lang w:val="en-US"/>
            <w14:ligatures w14:val="none"/>
          </w:rPr>
          <w:t>https://doi.org/10.3390/insects11110822</w:t>
        </w:r>
      </w:hyperlink>
    </w:p>
    <w:p w14:paraId="6DBD8B06"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Hinsley, A., Hughes, A. C., van Valkenburg, J., Stark, T., van Delft, J., Sutherland, W., &amp; Petrovan, S. O. (2025). Understanding the environmental and social risks from the international trade in ornamental plants. </w:t>
      </w:r>
      <w:r w:rsidRPr="00883E52">
        <w:rPr>
          <w:rFonts w:ascii="Times New Roman" w:eastAsia="Times New Roman" w:hAnsi="Times New Roman" w:cs="Times New Roman"/>
          <w:i/>
          <w:iCs/>
          <w:kern w:val="0"/>
          <w:sz w:val="24"/>
          <w:szCs w:val="24"/>
          <w:lang w:val="en-US"/>
          <w14:ligatures w14:val="none"/>
        </w:rPr>
        <w:t>BioScience, 75</w:t>
      </w:r>
      <w:r w:rsidRPr="00883E52">
        <w:rPr>
          <w:rFonts w:ascii="Times New Roman" w:eastAsia="Times New Roman" w:hAnsi="Times New Roman" w:cs="Times New Roman"/>
          <w:kern w:val="0"/>
          <w:sz w:val="24"/>
          <w:szCs w:val="24"/>
          <w:lang w:val="en-US"/>
          <w14:ligatures w14:val="none"/>
        </w:rPr>
        <w:t xml:space="preserve">(3), 222–239. </w:t>
      </w:r>
      <w:hyperlink r:id="rId23" w:history="1">
        <w:r w:rsidRPr="00883E52">
          <w:rPr>
            <w:rFonts w:ascii="Times New Roman" w:eastAsia="Times New Roman" w:hAnsi="Times New Roman" w:cs="Times New Roman"/>
            <w:color w:val="0000FF"/>
            <w:kern w:val="0"/>
            <w:sz w:val="24"/>
            <w:szCs w:val="24"/>
            <w:u w:val="single"/>
            <w:lang w:val="en-US"/>
            <w14:ligatures w14:val="none"/>
          </w:rPr>
          <w:t>https://doi.org/10.1093/biosci/biae124</w:t>
        </w:r>
      </w:hyperlink>
    </w:p>
    <w:p w14:paraId="1B8B6130"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Hudgins, E. J., Cuthbert, R. N., Haubrock, P. J., Taylor, N. G., Kourantidou, M., Nguyen, D., Bang, A., Turbelin, A. J., Moodley, D., Briski, E., Kotronaki, S. G., &amp; Courchamp, F. (2023). Unevenly distributed biological invasion costs among origin and recipient regions. </w:t>
      </w:r>
      <w:r w:rsidRPr="00883E52">
        <w:rPr>
          <w:rFonts w:ascii="Times New Roman" w:eastAsia="Times New Roman" w:hAnsi="Times New Roman" w:cs="Times New Roman"/>
          <w:i/>
          <w:iCs/>
          <w:kern w:val="0"/>
          <w:sz w:val="24"/>
          <w:szCs w:val="24"/>
          <w:lang w:val="en-US"/>
          <w14:ligatures w14:val="none"/>
        </w:rPr>
        <w:t>Nature Sustainability, 6</w:t>
      </w:r>
      <w:r w:rsidRPr="00883E52">
        <w:rPr>
          <w:rFonts w:ascii="Times New Roman" w:eastAsia="Times New Roman" w:hAnsi="Times New Roman" w:cs="Times New Roman"/>
          <w:kern w:val="0"/>
          <w:sz w:val="24"/>
          <w:szCs w:val="24"/>
          <w:lang w:val="en-US"/>
          <w14:ligatures w14:val="none"/>
        </w:rPr>
        <w:t xml:space="preserve">, 1113–1124. </w:t>
      </w:r>
      <w:hyperlink r:id="rId24" w:history="1">
        <w:r w:rsidRPr="00883E52">
          <w:rPr>
            <w:rFonts w:ascii="Times New Roman" w:eastAsia="Times New Roman" w:hAnsi="Times New Roman" w:cs="Times New Roman"/>
            <w:color w:val="0000FF"/>
            <w:kern w:val="0"/>
            <w:sz w:val="24"/>
            <w:szCs w:val="24"/>
            <w:u w:val="single"/>
            <w:lang w:val="en-US"/>
            <w14:ligatures w14:val="none"/>
          </w:rPr>
          <w:t>https://doi.org/10.1038/s41893-023-01124-6</w:t>
        </w:r>
      </w:hyperlink>
    </w:p>
    <w:p w14:paraId="4D1C3997"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lastRenderedPageBreak/>
        <w:t xml:space="preserve">Hulme, P. E., Ahmed, D. A., Haubrock, P. J., Kaiser, B. A., Kourantidou, M., Leroy, B., &amp; McDermott, S. M. (2024). Widespread imprecision in estimates of the economic costs of invasive alien species worldwide. </w:t>
      </w:r>
      <w:r w:rsidRPr="00883E52">
        <w:rPr>
          <w:rFonts w:ascii="Times New Roman" w:eastAsia="Times New Roman" w:hAnsi="Times New Roman" w:cs="Times New Roman"/>
          <w:i/>
          <w:iCs/>
          <w:kern w:val="0"/>
          <w:sz w:val="24"/>
          <w:szCs w:val="24"/>
          <w:lang w:val="en-US"/>
          <w14:ligatures w14:val="none"/>
        </w:rPr>
        <w:t>Science of the Total Environment, 909</w:t>
      </w:r>
      <w:r w:rsidRPr="00883E52">
        <w:rPr>
          <w:rFonts w:ascii="Times New Roman" w:eastAsia="Times New Roman" w:hAnsi="Times New Roman" w:cs="Times New Roman"/>
          <w:kern w:val="0"/>
          <w:sz w:val="24"/>
          <w:szCs w:val="24"/>
          <w:lang w:val="en-US"/>
          <w14:ligatures w14:val="none"/>
        </w:rPr>
        <w:t xml:space="preserve">, Article 167997. </w:t>
      </w:r>
      <w:hyperlink r:id="rId25" w:history="1">
        <w:r w:rsidRPr="00883E52">
          <w:rPr>
            <w:rFonts w:ascii="Times New Roman" w:eastAsia="Times New Roman" w:hAnsi="Times New Roman" w:cs="Times New Roman"/>
            <w:color w:val="0000FF"/>
            <w:kern w:val="0"/>
            <w:sz w:val="24"/>
            <w:szCs w:val="24"/>
            <w:u w:val="single"/>
            <w:lang w:val="en-US"/>
            <w14:ligatures w14:val="none"/>
          </w:rPr>
          <w:t>https://doi.org/10.1016/j.scitotenv.2023.167997</w:t>
        </w:r>
      </w:hyperlink>
    </w:p>
    <w:p w14:paraId="4EDA36D0"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Humair, F., Humair, L., Kuhn, F., &amp; Kueffer, C. (2015). E-commerce trade in invasive plants. </w:t>
      </w:r>
      <w:r w:rsidRPr="00883E52">
        <w:rPr>
          <w:rFonts w:ascii="Times New Roman" w:eastAsia="Times New Roman" w:hAnsi="Times New Roman" w:cs="Times New Roman"/>
          <w:i/>
          <w:iCs/>
          <w:kern w:val="0"/>
          <w:sz w:val="24"/>
          <w:szCs w:val="24"/>
          <w:lang w:val="en-US"/>
          <w14:ligatures w14:val="none"/>
        </w:rPr>
        <w:t>Conservation Biology, 29</w:t>
      </w:r>
      <w:r w:rsidRPr="00883E52">
        <w:rPr>
          <w:rFonts w:ascii="Times New Roman" w:eastAsia="Times New Roman" w:hAnsi="Times New Roman" w:cs="Times New Roman"/>
          <w:kern w:val="0"/>
          <w:sz w:val="24"/>
          <w:szCs w:val="24"/>
          <w:lang w:val="en-US"/>
          <w14:ligatures w14:val="none"/>
        </w:rPr>
        <w:t xml:space="preserve">(6), 1658–1665. </w:t>
      </w:r>
      <w:hyperlink r:id="rId26" w:history="1">
        <w:r w:rsidRPr="00883E52">
          <w:rPr>
            <w:rFonts w:ascii="Times New Roman" w:eastAsia="Times New Roman" w:hAnsi="Times New Roman" w:cs="Times New Roman"/>
            <w:color w:val="0000FF"/>
            <w:kern w:val="0"/>
            <w:sz w:val="24"/>
            <w:szCs w:val="24"/>
            <w:u w:val="single"/>
            <w:lang w:val="en-US"/>
            <w14:ligatures w14:val="none"/>
          </w:rPr>
          <w:t>https://doi.org/10.1111/cobi.12579</w:t>
        </w:r>
      </w:hyperlink>
    </w:p>
    <w:p w14:paraId="2475A50D"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International Plant Protection Convention. (2016). </w:t>
      </w:r>
      <w:r w:rsidRPr="00883E52">
        <w:rPr>
          <w:rFonts w:ascii="Times New Roman" w:eastAsia="Times New Roman" w:hAnsi="Times New Roman" w:cs="Times New Roman"/>
          <w:i/>
          <w:iCs/>
          <w:kern w:val="0"/>
          <w:sz w:val="24"/>
          <w:szCs w:val="24"/>
          <w:lang w:val="en-US"/>
          <w14:ligatures w14:val="none"/>
        </w:rPr>
        <w:t>International standard for phytosanitary measures 15: Regulation of wood packaging material in international trade</w:t>
      </w:r>
      <w:r w:rsidRPr="00883E52">
        <w:rPr>
          <w:rFonts w:ascii="Times New Roman" w:eastAsia="Times New Roman" w:hAnsi="Times New Roman" w:cs="Times New Roman"/>
          <w:kern w:val="0"/>
          <w:sz w:val="24"/>
          <w:szCs w:val="24"/>
          <w:lang w:val="en-US"/>
          <w14:ligatures w14:val="none"/>
        </w:rPr>
        <w:t xml:space="preserve">. Food and Agriculture Organization of the United Nations. </w:t>
      </w:r>
      <w:hyperlink r:id="rId27" w:history="1">
        <w:r w:rsidRPr="00883E52">
          <w:rPr>
            <w:rFonts w:ascii="Times New Roman" w:eastAsia="Times New Roman" w:hAnsi="Times New Roman" w:cs="Times New Roman"/>
            <w:color w:val="0000FF"/>
            <w:kern w:val="0"/>
            <w:sz w:val="24"/>
            <w:szCs w:val="24"/>
            <w:u w:val="single"/>
            <w:lang w:val="en-US"/>
            <w14:ligatures w14:val="none"/>
          </w:rPr>
          <w:t>https://www.ippc.int/static/media/files/publication/en/2016/01/ISPM_15_2013_En_2015-12-22_PostCPM10_InkAmReformatted.pdf</w:t>
        </w:r>
      </w:hyperlink>
    </w:p>
    <w:p w14:paraId="5049B53E"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International Plant Protection Convention. (2024). </w:t>
      </w:r>
      <w:r w:rsidRPr="00883E52">
        <w:rPr>
          <w:rFonts w:ascii="Times New Roman" w:eastAsia="Times New Roman" w:hAnsi="Times New Roman" w:cs="Times New Roman"/>
          <w:i/>
          <w:iCs/>
          <w:kern w:val="0"/>
          <w:sz w:val="24"/>
          <w:szCs w:val="24"/>
          <w:lang w:val="en-US"/>
          <w14:ligatures w14:val="none"/>
        </w:rPr>
        <w:t>Adopted standards (ISPMs)</w:t>
      </w:r>
      <w:r w:rsidRPr="00883E52">
        <w:rPr>
          <w:rFonts w:ascii="Times New Roman" w:eastAsia="Times New Roman" w:hAnsi="Times New Roman" w:cs="Times New Roman"/>
          <w:kern w:val="0"/>
          <w:sz w:val="24"/>
          <w:szCs w:val="24"/>
          <w:lang w:val="en-US"/>
          <w14:ligatures w14:val="none"/>
        </w:rPr>
        <w:t xml:space="preserve">. Food and Agriculture Organization of the United Nations. </w:t>
      </w:r>
      <w:hyperlink r:id="rId28" w:history="1">
        <w:r w:rsidRPr="00883E52">
          <w:rPr>
            <w:rFonts w:ascii="Times New Roman" w:eastAsia="Times New Roman" w:hAnsi="Times New Roman" w:cs="Times New Roman"/>
            <w:color w:val="0000FF"/>
            <w:kern w:val="0"/>
            <w:sz w:val="24"/>
            <w:szCs w:val="24"/>
            <w:u w:val="single"/>
            <w:lang w:val="en-US"/>
            <w14:ligatures w14:val="none"/>
          </w:rPr>
          <w:t>https://www.ippc.int/en/core-activities/standards-setting/ispms/</w:t>
        </w:r>
      </w:hyperlink>
    </w:p>
    <w:p w14:paraId="36BAFD57"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Kenis, M., Hurley, B. P., Hajek, A. E., &amp; Cock, M. J. W. (2017). Classical biological control of insect pests of trees: Facts and figures. </w:t>
      </w:r>
      <w:r w:rsidRPr="00883E52">
        <w:rPr>
          <w:rFonts w:ascii="Times New Roman" w:eastAsia="Times New Roman" w:hAnsi="Times New Roman" w:cs="Times New Roman"/>
          <w:i/>
          <w:iCs/>
          <w:kern w:val="0"/>
          <w:sz w:val="24"/>
          <w:szCs w:val="24"/>
          <w:lang w:val="en-US"/>
          <w14:ligatures w14:val="none"/>
        </w:rPr>
        <w:t>Biological Invasions, 19</w:t>
      </w:r>
      <w:r w:rsidRPr="00883E52">
        <w:rPr>
          <w:rFonts w:ascii="Times New Roman" w:eastAsia="Times New Roman" w:hAnsi="Times New Roman" w:cs="Times New Roman"/>
          <w:kern w:val="0"/>
          <w:sz w:val="24"/>
          <w:szCs w:val="24"/>
          <w:lang w:val="en-US"/>
          <w14:ligatures w14:val="none"/>
        </w:rPr>
        <w:t xml:space="preserve">(11), 3401–3417. </w:t>
      </w:r>
      <w:hyperlink r:id="rId29" w:history="1">
        <w:r w:rsidRPr="00883E52">
          <w:rPr>
            <w:rFonts w:ascii="Times New Roman" w:eastAsia="Times New Roman" w:hAnsi="Times New Roman" w:cs="Times New Roman"/>
            <w:color w:val="0000FF"/>
            <w:kern w:val="0"/>
            <w:sz w:val="24"/>
            <w:szCs w:val="24"/>
            <w:u w:val="single"/>
            <w:lang w:val="en-US"/>
            <w14:ligatures w14:val="none"/>
          </w:rPr>
          <w:t>https://doi.org/10.1007/s10530-017-1414-4</w:t>
        </w:r>
      </w:hyperlink>
    </w:p>
    <w:p w14:paraId="3E95C913"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Lichtenberg, E., &amp; Olson, L. J. (2018). The fruit and vegetable import pathway for potential invasive pest arrivals. </w:t>
      </w:r>
      <w:r w:rsidRPr="00883E52">
        <w:rPr>
          <w:rFonts w:ascii="Times New Roman" w:eastAsia="Times New Roman" w:hAnsi="Times New Roman" w:cs="Times New Roman"/>
          <w:i/>
          <w:iCs/>
          <w:kern w:val="0"/>
          <w:sz w:val="24"/>
          <w:szCs w:val="24"/>
          <w:lang w:val="en-US"/>
          <w14:ligatures w14:val="none"/>
        </w:rPr>
        <w:t>PLOS ONE, 13</w:t>
      </w:r>
      <w:r w:rsidRPr="00883E52">
        <w:rPr>
          <w:rFonts w:ascii="Times New Roman" w:eastAsia="Times New Roman" w:hAnsi="Times New Roman" w:cs="Times New Roman"/>
          <w:kern w:val="0"/>
          <w:sz w:val="24"/>
          <w:szCs w:val="24"/>
          <w:lang w:val="en-US"/>
          <w14:ligatures w14:val="none"/>
        </w:rPr>
        <w:t xml:space="preserve">(2), Article e0192280. </w:t>
      </w:r>
      <w:hyperlink r:id="rId30" w:history="1">
        <w:r w:rsidRPr="00883E52">
          <w:rPr>
            <w:rFonts w:ascii="Times New Roman" w:eastAsia="Times New Roman" w:hAnsi="Times New Roman" w:cs="Times New Roman"/>
            <w:color w:val="0000FF"/>
            <w:kern w:val="0"/>
            <w:sz w:val="24"/>
            <w:szCs w:val="24"/>
            <w:u w:val="single"/>
            <w:lang w:val="en-US"/>
            <w14:ligatures w14:val="none"/>
          </w:rPr>
          <w:t>https://doi.org/10.1371/journal.pone.0192280</w:t>
        </w:r>
      </w:hyperlink>
    </w:p>
    <w:p w14:paraId="134FA8E9"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Liebhold, A. M., Brockerhoff, E. G., Garrett, L. J., Parke, J. L., &amp; Britton, K. O. (2012). Live plant imports: The major pathway for forest insect and pathogen invasions of the US. </w:t>
      </w:r>
      <w:r w:rsidRPr="00883E52">
        <w:rPr>
          <w:rFonts w:ascii="Times New Roman" w:eastAsia="Times New Roman" w:hAnsi="Times New Roman" w:cs="Times New Roman"/>
          <w:i/>
          <w:iCs/>
          <w:kern w:val="0"/>
          <w:sz w:val="24"/>
          <w:szCs w:val="24"/>
          <w:lang w:val="en-US"/>
          <w14:ligatures w14:val="none"/>
        </w:rPr>
        <w:t>Frontiers in Ecology and the Environment, 10</w:t>
      </w:r>
      <w:r w:rsidRPr="00883E52">
        <w:rPr>
          <w:rFonts w:ascii="Times New Roman" w:eastAsia="Times New Roman" w:hAnsi="Times New Roman" w:cs="Times New Roman"/>
          <w:kern w:val="0"/>
          <w:sz w:val="24"/>
          <w:szCs w:val="24"/>
          <w:lang w:val="en-US"/>
          <w14:ligatures w14:val="none"/>
        </w:rPr>
        <w:t xml:space="preserve">(3), 135–143. </w:t>
      </w:r>
      <w:hyperlink r:id="rId31" w:history="1">
        <w:r w:rsidRPr="00883E52">
          <w:rPr>
            <w:rFonts w:ascii="Times New Roman" w:eastAsia="Times New Roman" w:hAnsi="Times New Roman" w:cs="Times New Roman"/>
            <w:color w:val="0000FF"/>
            <w:kern w:val="0"/>
            <w:sz w:val="24"/>
            <w:szCs w:val="24"/>
            <w:u w:val="single"/>
            <w:lang w:val="en-US"/>
            <w14:ligatures w14:val="none"/>
          </w:rPr>
          <w:t>https://doi.org/10.1890/110198</w:t>
        </w:r>
      </w:hyperlink>
    </w:p>
    <w:p w14:paraId="720F9F4D"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Liu, X., &amp; Qiu, H. (2024). Impact of sanitary and phytosanitary measures on agri-products quality upgrading and environmental protection. </w:t>
      </w:r>
      <w:r w:rsidRPr="00883E52">
        <w:rPr>
          <w:rFonts w:ascii="Times New Roman" w:eastAsia="Times New Roman" w:hAnsi="Times New Roman" w:cs="Times New Roman"/>
          <w:i/>
          <w:iCs/>
          <w:kern w:val="0"/>
          <w:sz w:val="24"/>
          <w:szCs w:val="24"/>
          <w:lang w:val="en-US"/>
          <w14:ligatures w14:val="none"/>
        </w:rPr>
        <w:t>PLOS ONE, 19</w:t>
      </w:r>
      <w:r w:rsidRPr="00883E52">
        <w:rPr>
          <w:rFonts w:ascii="Times New Roman" w:eastAsia="Times New Roman" w:hAnsi="Times New Roman" w:cs="Times New Roman"/>
          <w:kern w:val="0"/>
          <w:sz w:val="24"/>
          <w:szCs w:val="24"/>
          <w:lang w:val="en-US"/>
          <w14:ligatures w14:val="none"/>
        </w:rPr>
        <w:t xml:space="preserve">(4), Article e0297787. </w:t>
      </w:r>
      <w:hyperlink r:id="rId32" w:history="1">
        <w:r w:rsidRPr="00883E52">
          <w:rPr>
            <w:rFonts w:ascii="Times New Roman" w:eastAsia="Times New Roman" w:hAnsi="Times New Roman" w:cs="Times New Roman"/>
            <w:color w:val="0000FF"/>
            <w:kern w:val="0"/>
            <w:sz w:val="24"/>
            <w:szCs w:val="24"/>
            <w:u w:val="single"/>
            <w:lang w:val="en-US"/>
            <w14:ligatures w14:val="none"/>
          </w:rPr>
          <w:t>https://doi.org/10.1371/journal.pone.0297787</w:t>
        </w:r>
      </w:hyperlink>
    </w:p>
    <w:p w14:paraId="5C5F30B3"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Ma, C.-S., Zhang, W., Peng, Y., Zhao, F., Chang, X.-Q., Xing, K., Zhu, L., Ma, G., Yang, H.-P., &amp; Rudolf, V. H. W. (2021). Climate warming promotes pesticide resistance through expanding overwintering range of a global pest. </w:t>
      </w:r>
      <w:r w:rsidRPr="00883E52">
        <w:rPr>
          <w:rFonts w:ascii="Times New Roman" w:eastAsia="Times New Roman" w:hAnsi="Times New Roman" w:cs="Times New Roman"/>
          <w:i/>
          <w:iCs/>
          <w:kern w:val="0"/>
          <w:sz w:val="24"/>
          <w:szCs w:val="24"/>
          <w:lang w:val="en-US"/>
          <w14:ligatures w14:val="none"/>
        </w:rPr>
        <w:t>Nature Communications, 12</w:t>
      </w:r>
      <w:r w:rsidRPr="00883E52">
        <w:rPr>
          <w:rFonts w:ascii="Times New Roman" w:eastAsia="Times New Roman" w:hAnsi="Times New Roman" w:cs="Times New Roman"/>
          <w:kern w:val="0"/>
          <w:sz w:val="24"/>
          <w:szCs w:val="24"/>
          <w:lang w:val="en-US"/>
          <w14:ligatures w14:val="none"/>
        </w:rPr>
        <w:t xml:space="preserve">, Article 5351. </w:t>
      </w:r>
      <w:hyperlink r:id="rId33" w:history="1">
        <w:r w:rsidRPr="00883E52">
          <w:rPr>
            <w:rFonts w:ascii="Times New Roman" w:eastAsia="Times New Roman" w:hAnsi="Times New Roman" w:cs="Times New Roman"/>
            <w:color w:val="0000FF"/>
            <w:kern w:val="0"/>
            <w:sz w:val="24"/>
            <w:szCs w:val="24"/>
            <w:u w:val="single"/>
            <w:lang w:val="en-US"/>
            <w14:ligatures w14:val="none"/>
          </w:rPr>
          <w:t>https://doi.org/10.1038/s41467-021-25505-7</w:t>
        </w:r>
      </w:hyperlink>
    </w:p>
    <w:p w14:paraId="4ADC3A3D"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Mabunda, G. P., Nemukondeni, N., &amp; Selaledi, L. (2025). Sanitary and phytosanitary (SPS) measures and their implications for international agricultural trade: Challenges and opportunities; comprehensive review. </w:t>
      </w:r>
      <w:r w:rsidRPr="00883E52">
        <w:rPr>
          <w:rFonts w:ascii="Times New Roman" w:eastAsia="Times New Roman" w:hAnsi="Times New Roman" w:cs="Times New Roman"/>
          <w:i/>
          <w:iCs/>
          <w:kern w:val="0"/>
          <w:sz w:val="24"/>
          <w:szCs w:val="24"/>
          <w:lang w:val="en-US"/>
          <w14:ligatures w14:val="none"/>
        </w:rPr>
        <w:t>Discover Agriculture, 3</w:t>
      </w:r>
      <w:r w:rsidRPr="00883E52">
        <w:rPr>
          <w:rFonts w:ascii="Times New Roman" w:eastAsia="Times New Roman" w:hAnsi="Times New Roman" w:cs="Times New Roman"/>
          <w:kern w:val="0"/>
          <w:sz w:val="24"/>
          <w:szCs w:val="24"/>
          <w:lang w:val="en-US"/>
          <w14:ligatures w14:val="none"/>
        </w:rPr>
        <w:t xml:space="preserve">, Article 117. </w:t>
      </w:r>
      <w:hyperlink r:id="rId34" w:history="1">
        <w:r w:rsidRPr="00883E52">
          <w:rPr>
            <w:rFonts w:ascii="Times New Roman" w:eastAsia="Times New Roman" w:hAnsi="Times New Roman" w:cs="Times New Roman"/>
            <w:color w:val="0000FF"/>
            <w:kern w:val="0"/>
            <w:sz w:val="24"/>
            <w:szCs w:val="24"/>
            <w:u w:val="single"/>
            <w:lang w:val="en-US"/>
            <w14:ligatures w14:val="none"/>
          </w:rPr>
          <w:t>https://doi.org/10.1007/s44279-025-00301-9</w:t>
        </w:r>
      </w:hyperlink>
    </w:p>
    <w:p w14:paraId="7DB30F9F"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Maher, J., Stringham, O. C., Moncayo, S., Wood, L., Lassaline, C. R., Virtue, J., &amp; Cassey, P. (2023). Weed wide web: Characterising illegal online trade of invasive plants in Australia. </w:t>
      </w:r>
      <w:r w:rsidRPr="00883E52">
        <w:rPr>
          <w:rFonts w:ascii="Times New Roman" w:eastAsia="Times New Roman" w:hAnsi="Times New Roman" w:cs="Times New Roman"/>
          <w:i/>
          <w:iCs/>
          <w:kern w:val="0"/>
          <w:sz w:val="24"/>
          <w:szCs w:val="24"/>
          <w:lang w:val="en-US"/>
          <w14:ligatures w14:val="none"/>
        </w:rPr>
        <w:t>NeoBiota, 87</w:t>
      </w:r>
      <w:r w:rsidRPr="00883E52">
        <w:rPr>
          <w:rFonts w:ascii="Times New Roman" w:eastAsia="Times New Roman" w:hAnsi="Times New Roman" w:cs="Times New Roman"/>
          <w:kern w:val="0"/>
          <w:sz w:val="24"/>
          <w:szCs w:val="24"/>
          <w:lang w:val="en-US"/>
          <w14:ligatures w14:val="none"/>
        </w:rPr>
        <w:t xml:space="preserve">, 45–72. </w:t>
      </w:r>
      <w:hyperlink r:id="rId35" w:history="1">
        <w:r w:rsidRPr="00883E52">
          <w:rPr>
            <w:rFonts w:ascii="Times New Roman" w:eastAsia="Times New Roman" w:hAnsi="Times New Roman" w:cs="Times New Roman"/>
            <w:color w:val="0000FF"/>
            <w:kern w:val="0"/>
            <w:sz w:val="24"/>
            <w:szCs w:val="24"/>
            <w:u w:val="single"/>
            <w:lang w:val="en-US"/>
            <w14:ligatures w14:val="none"/>
          </w:rPr>
          <w:t>https://doi.org/10.3897/neobiota.87.104472</w:t>
        </w:r>
      </w:hyperlink>
    </w:p>
    <w:p w14:paraId="596B4251"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Mendesil, E., Tefera, T., Blanco, C., Paula-Moraes, S., Huang, F., Viteri, D., &amp; Hutchison, W. D. (2023). The invasive fall armyworm, </w:t>
      </w:r>
      <w:r w:rsidRPr="00883E52">
        <w:rPr>
          <w:rFonts w:ascii="Times New Roman" w:eastAsia="Times New Roman" w:hAnsi="Times New Roman" w:cs="Times New Roman"/>
          <w:i/>
          <w:iCs/>
          <w:kern w:val="0"/>
          <w:sz w:val="24"/>
          <w:szCs w:val="24"/>
          <w:lang w:val="en-US"/>
          <w14:ligatures w14:val="none"/>
        </w:rPr>
        <w:t>Spodoptera frugiperda</w:t>
      </w:r>
      <w:r w:rsidRPr="00883E52">
        <w:rPr>
          <w:rFonts w:ascii="Times New Roman" w:eastAsia="Times New Roman" w:hAnsi="Times New Roman" w:cs="Times New Roman"/>
          <w:kern w:val="0"/>
          <w:sz w:val="24"/>
          <w:szCs w:val="24"/>
          <w:lang w:val="en-US"/>
          <w14:ligatures w14:val="none"/>
        </w:rPr>
        <w:t xml:space="preserve">, in Africa and Asia: </w:t>
      </w:r>
      <w:r w:rsidRPr="00883E52">
        <w:rPr>
          <w:rFonts w:ascii="Times New Roman" w:eastAsia="Times New Roman" w:hAnsi="Times New Roman" w:cs="Times New Roman"/>
          <w:kern w:val="0"/>
          <w:sz w:val="24"/>
          <w:szCs w:val="24"/>
          <w:lang w:val="en-US"/>
          <w14:ligatures w14:val="none"/>
        </w:rPr>
        <w:lastRenderedPageBreak/>
        <w:t xml:space="preserve">Responding to the food security challenge, with priorities for integrated pest management research. </w:t>
      </w:r>
      <w:r w:rsidRPr="00883E52">
        <w:rPr>
          <w:rFonts w:ascii="Times New Roman" w:eastAsia="Times New Roman" w:hAnsi="Times New Roman" w:cs="Times New Roman"/>
          <w:i/>
          <w:iCs/>
          <w:kern w:val="0"/>
          <w:sz w:val="24"/>
          <w:szCs w:val="24"/>
          <w:lang w:val="en-US"/>
          <w14:ligatures w14:val="none"/>
        </w:rPr>
        <w:t>Journal of Plant Diseases and Protection, 130</w:t>
      </w:r>
      <w:r w:rsidRPr="00883E52">
        <w:rPr>
          <w:rFonts w:ascii="Times New Roman" w:eastAsia="Times New Roman" w:hAnsi="Times New Roman" w:cs="Times New Roman"/>
          <w:kern w:val="0"/>
          <w:sz w:val="24"/>
          <w:szCs w:val="24"/>
          <w:lang w:val="en-US"/>
          <w14:ligatures w14:val="none"/>
        </w:rPr>
        <w:t xml:space="preserve">(6), 1175–1206. </w:t>
      </w:r>
      <w:hyperlink r:id="rId36" w:history="1">
        <w:r w:rsidRPr="00883E52">
          <w:rPr>
            <w:rFonts w:ascii="Times New Roman" w:eastAsia="Times New Roman" w:hAnsi="Times New Roman" w:cs="Times New Roman"/>
            <w:color w:val="0000FF"/>
            <w:kern w:val="0"/>
            <w:sz w:val="24"/>
            <w:szCs w:val="24"/>
            <w:u w:val="single"/>
            <w:lang w:val="en-US"/>
            <w14:ligatures w14:val="none"/>
          </w:rPr>
          <w:t>https://doi.org/10.1007/s41348-023-00777-x</w:t>
        </w:r>
      </w:hyperlink>
    </w:p>
    <w:p w14:paraId="02DC0B80"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Meynard, C. N., Migeon, A., &amp; Navajas, M. (2013). Uncertainties in predicting species distributions under climate change: A case study using </w:t>
      </w:r>
      <w:r w:rsidRPr="00883E52">
        <w:rPr>
          <w:rFonts w:ascii="Times New Roman" w:eastAsia="Times New Roman" w:hAnsi="Times New Roman" w:cs="Times New Roman"/>
          <w:i/>
          <w:iCs/>
          <w:kern w:val="0"/>
          <w:sz w:val="24"/>
          <w:szCs w:val="24"/>
          <w:lang w:val="en-US"/>
          <w14:ligatures w14:val="none"/>
        </w:rPr>
        <w:t>Tetranychus evansi</w:t>
      </w:r>
      <w:r w:rsidRPr="00883E52">
        <w:rPr>
          <w:rFonts w:ascii="Times New Roman" w:eastAsia="Times New Roman" w:hAnsi="Times New Roman" w:cs="Times New Roman"/>
          <w:kern w:val="0"/>
          <w:sz w:val="24"/>
          <w:szCs w:val="24"/>
          <w:lang w:val="en-US"/>
          <w14:ligatures w14:val="none"/>
        </w:rPr>
        <w:t xml:space="preserve"> (Acari: Tetranychidae), a widespread agricultural pest. </w:t>
      </w:r>
      <w:r w:rsidRPr="00883E52">
        <w:rPr>
          <w:rFonts w:ascii="Times New Roman" w:eastAsia="Times New Roman" w:hAnsi="Times New Roman" w:cs="Times New Roman"/>
          <w:i/>
          <w:iCs/>
          <w:kern w:val="0"/>
          <w:sz w:val="24"/>
          <w:szCs w:val="24"/>
          <w:lang w:val="en-US"/>
          <w14:ligatures w14:val="none"/>
        </w:rPr>
        <w:t>PLOS ONE, 8</w:t>
      </w:r>
      <w:r w:rsidRPr="00883E52">
        <w:rPr>
          <w:rFonts w:ascii="Times New Roman" w:eastAsia="Times New Roman" w:hAnsi="Times New Roman" w:cs="Times New Roman"/>
          <w:kern w:val="0"/>
          <w:sz w:val="24"/>
          <w:szCs w:val="24"/>
          <w:lang w:val="en-US"/>
          <w14:ligatures w14:val="none"/>
        </w:rPr>
        <w:t xml:space="preserve">(6), Article e66445. </w:t>
      </w:r>
      <w:hyperlink r:id="rId37" w:history="1">
        <w:r w:rsidRPr="00883E52">
          <w:rPr>
            <w:rFonts w:ascii="Times New Roman" w:eastAsia="Times New Roman" w:hAnsi="Times New Roman" w:cs="Times New Roman"/>
            <w:color w:val="0000FF"/>
            <w:kern w:val="0"/>
            <w:sz w:val="24"/>
            <w:szCs w:val="24"/>
            <w:u w:val="single"/>
            <w:lang w:val="en-US"/>
            <w14:ligatures w14:val="none"/>
          </w:rPr>
          <w:t>https://doi.org/10.1371/journal.pone.0066445</w:t>
        </w:r>
      </w:hyperlink>
    </w:p>
    <w:p w14:paraId="4EB1DA75"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Montgomery, K., Walden-Schreiner, C., Saffer, A., Jones, C., Seliger, B. J., Worm, T., Tateosian, L., Shukunobe, M., Kumar, S., &amp; Meentemeyer, R. K. (2023). Forecasting global spread of invasive pests and pathogens through international trade. </w:t>
      </w:r>
      <w:r w:rsidRPr="00883E52">
        <w:rPr>
          <w:rFonts w:ascii="Times New Roman" w:eastAsia="Times New Roman" w:hAnsi="Times New Roman" w:cs="Times New Roman"/>
          <w:i/>
          <w:iCs/>
          <w:kern w:val="0"/>
          <w:sz w:val="24"/>
          <w:szCs w:val="24"/>
          <w:lang w:val="en-US"/>
          <w14:ligatures w14:val="none"/>
        </w:rPr>
        <w:t>Ecosphere, 14</w:t>
      </w:r>
      <w:r w:rsidRPr="00883E52">
        <w:rPr>
          <w:rFonts w:ascii="Times New Roman" w:eastAsia="Times New Roman" w:hAnsi="Times New Roman" w:cs="Times New Roman"/>
          <w:kern w:val="0"/>
          <w:sz w:val="24"/>
          <w:szCs w:val="24"/>
          <w:lang w:val="en-US"/>
          <w14:ligatures w14:val="none"/>
        </w:rPr>
        <w:t xml:space="preserve">(12), Article e4740. </w:t>
      </w:r>
      <w:hyperlink r:id="rId38" w:history="1">
        <w:r w:rsidRPr="00883E52">
          <w:rPr>
            <w:rFonts w:ascii="Times New Roman" w:eastAsia="Times New Roman" w:hAnsi="Times New Roman" w:cs="Times New Roman"/>
            <w:color w:val="0000FF"/>
            <w:kern w:val="0"/>
            <w:sz w:val="24"/>
            <w:szCs w:val="24"/>
            <w:u w:val="single"/>
            <w:lang w:val="en-US"/>
            <w14:ligatures w14:val="none"/>
          </w:rPr>
          <w:t>https://doi.org/10.1002/ecs2.4740</w:t>
        </w:r>
      </w:hyperlink>
    </w:p>
    <w:p w14:paraId="181693C0"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Naranjo, S. E. (2018). Retrospective analysis of a classical biological control programme. </w:t>
      </w:r>
      <w:r w:rsidRPr="00883E52">
        <w:rPr>
          <w:rFonts w:ascii="Times New Roman" w:eastAsia="Times New Roman" w:hAnsi="Times New Roman" w:cs="Times New Roman"/>
          <w:i/>
          <w:iCs/>
          <w:kern w:val="0"/>
          <w:sz w:val="24"/>
          <w:szCs w:val="24"/>
          <w:lang w:val="en-US"/>
          <w14:ligatures w14:val="none"/>
        </w:rPr>
        <w:t>Journal of Applied Ecology, 55</w:t>
      </w:r>
      <w:r w:rsidRPr="00883E52">
        <w:rPr>
          <w:rFonts w:ascii="Times New Roman" w:eastAsia="Times New Roman" w:hAnsi="Times New Roman" w:cs="Times New Roman"/>
          <w:kern w:val="0"/>
          <w:sz w:val="24"/>
          <w:szCs w:val="24"/>
          <w:lang w:val="en-US"/>
          <w14:ligatures w14:val="none"/>
        </w:rPr>
        <w:t xml:space="preserve">(5), 2439–2450. </w:t>
      </w:r>
      <w:hyperlink r:id="rId39" w:history="1">
        <w:r w:rsidRPr="00883E52">
          <w:rPr>
            <w:rFonts w:ascii="Times New Roman" w:eastAsia="Times New Roman" w:hAnsi="Times New Roman" w:cs="Times New Roman"/>
            <w:color w:val="0000FF"/>
            <w:kern w:val="0"/>
            <w:sz w:val="24"/>
            <w:szCs w:val="24"/>
            <w:u w:val="single"/>
            <w:lang w:val="en-US"/>
            <w14:ligatures w14:val="none"/>
          </w:rPr>
          <w:t>https://doi.org/10.1111/1365-2664.13163</w:t>
        </w:r>
      </w:hyperlink>
    </w:p>
    <w:p w14:paraId="352EDDAE"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Nardi, D., Rosace, M. C., Cendoya, M., &amp; Marini, L. (2025). Trade network dynamics and alien plant pest introductions: A global analysis. </w:t>
      </w:r>
      <w:r w:rsidRPr="00883E52">
        <w:rPr>
          <w:rFonts w:ascii="Times New Roman" w:eastAsia="Times New Roman" w:hAnsi="Times New Roman" w:cs="Times New Roman"/>
          <w:i/>
          <w:iCs/>
          <w:kern w:val="0"/>
          <w:sz w:val="24"/>
          <w:szCs w:val="24"/>
          <w:lang w:val="en-US"/>
          <w14:ligatures w14:val="none"/>
        </w:rPr>
        <w:t>Diversity and Distributions, 31</w:t>
      </w:r>
      <w:r w:rsidRPr="00883E52">
        <w:rPr>
          <w:rFonts w:ascii="Times New Roman" w:eastAsia="Times New Roman" w:hAnsi="Times New Roman" w:cs="Times New Roman"/>
          <w:kern w:val="0"/>
          <w:sz w:val="24"/>
          <w:szCs w:val="24"/>
          <w:lang w:val="en-US"/>
          <w14:ligatures w14:val="none"/>
        </w:rPr>
        <w:t xml:space="preserve">(1), Article e13963. </w:t>
      </w:r>
      <w:hyperlink r:id="rId40" w:history="1">
        <w:r w:rsidRPr="00883E52">
          <w:rPr>
            <w:rFonts w:ascii="Times New Roman" w:eastAsia="Times New Roman" w:hAnsi="Times New Roman" w:cs="Times New Roman"/>
            <w:color w:val="0000FF"/>
            <w:kern w:val="0"/>
            <w:sz w:val="24"/>
            <w:szCs w:val="24"/>
            <w:u w:val="single"/>
            <w:lang w:val="en-US"/>
            <w14:ligatures w14:val="none"/>
          </w:rPr>
          <w:t>https://doi.org/10.1111/ddi.13963</w:t>
        </w:r>
      </w:hyperlink>
    </w:p>
    <w:p w14:paraId="61FB2723"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Paini, D. R., Sheppard, A. W., Cook, D. C., De Barro, P. J., Worner, S. P., &amp; Thomas, M. B. (2016). Global threat to agriculture from invasive species. </w:t>
      </w:r>
      <w:r w:rsidRPr="00883E52">
        <w:rPr>
          <w:rFonts w:ascii="Times New Roman" w:eastAsia="Times New Roman" w:hAnsi="Times New Roman" w:cs="Times New Roman"/>
          <w:i/>
          <w:iCs/>
          <w:kern w:val="0"/>
          <w:sz w:val="24"/>
          <w:szCs w:val="24"/>
          <w:lang w:val="en-US"/>
          <w14:ligatures w14:val="none"/>
        </w:rPr>
        <w:t>Proceedings of the National Academy of Sciences of the United States of America, 113</w:t>
      </w:r>
      <w:r w:rsidRPr="00883E52">
        <w:rPr>
          <w:rFonts w:ascii="Times New Roman" w:eastAsia="Times New Roman" w:hAnsi="Times New Roman" w:cs="Times New Roman"/>
          <w:kern w:val="0"/>
          <w:sz w:val="24"/>
          <w:szCs w:val="24"/>
          <w:lang w:val="en-US"/>
          <w14:ligatures w14:val="none"/>
        </w:rPr>
        <w:t xml:space="preserve">(27), 7575–7579. </w:t>
      </w:r>
      <w:hyperlink r:id="rId41" w:history="1">
        <w:r w:rsidRPr="00883E52">
          <w:rPr>
            <w:rFonts w:ascii="Times New Roman" w:eastAsia="Times New Roman" w:hAnsi="Times New Roman" w:cs="Times New Roman"/>
            <w:color w:val="0000FF"/>
            <w:kern w:val="0"/>
            <w:sz w:val="24"/>
            <w:szCs w:val="24"/>
            <w:u w:val="single"/>
            <w:lang w:val="en-US"/>
            <w14:ligatures w14:val="none"/>
          </w:rPr>
          <w:t>https://doi.org/10.1073/pnas.1602205113</w:t>
        </w:r>
      </w:hyperlink>
    </w:p>
    <w:p w14:paraId="7B195C21"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Piper, A. M., Batovska, J., Cogan, N. O. I., Weiss, J., Cunningham, J. P., Rodoni, B. C., &amp; Blacket, M. J. (2019). Prospects and challenges of implementing DNA metabarcoding for high-throughput insect surveillance. </w:t>
      </w:r>
      <w:r w:rsidRPr="00883E52">
        <w:rPr>
          <w:rFonts w:ascii="Times New Roman" w:eastAsia="Times New Roman" w:hAnsi="Times New Roman" w:cs="Times New Roman"/>
          <w:i/>
          <w:iCs/>
          <w:kern w:val="0"/>
          <w:sz w:val="24"/>
          <w:szCs w:val="24"/>
          <w:lang w:val="en-US"/>
          <w14:ligatures w14:val="none"/>
        </w:rPr>
        <w:t>GigaScience, 8</w:t>
      </w:r>
      <w:r w:rsidRPr="00883E52">
        <w:rPr>
          <w:rFonts w:ascii="Times New Roman" w:eastAsia="Times New Roman" w:hAnsi="Times New Roman" w:cs="Times New Roman"/>
          <w:kern w:val="0"/>
          <w:sz w:val="24"/>
          <w:szCs w:val="24"/>
          <w:lang w:val="en-US"/>
          <w14:ligatures w14:val="none"/>
        </w:rPr>
        <w:t xml:space="preserve">(8), Article giz092. </w:t>
      </w:r>
      <w:hyperlink r:id="rId42" w:history="1">
        <w:r w:rsidRPr="00883E52">
          <w:rPr>
            <w:rFonts w:ascii="Times New Roman" w:eastAsia="Times New Roman" w:hAnsi="Times New Roman" w:cs="Times New Roman"/>
            <w:color w:val="0000FF"/>
            <w:kern w:val="0"/>
            <w:sz w:val="24"/>
            <w:szCs w:val="24"/>
            <w:u w:val="single"/>
            <w:lang w:val="en-US"/>
            <w14:ligatures w14:val="none"/>
          </w:rPr>
          <w:t>https://doi.org/10.1093/gigascience/giz092</w:t>
        </w:r>
      </w:hyperlink>
    </w:p>
    <w:p w14:paraId="16F045D7"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Prasanna, B. M., Carvajal-Yepes, M., Kumar, P. L., Kawarazuka, N., Liu, Y., Mulema, A. A., McCutcheon, S., &amp; Ibabao, X. (2022). Sustainable management of transboundary pests requires holistic and inclusive solutions. </w:t>
      </w:r>
      <w:r w:rsidRPr="00883E52">
        <w:rPr>
          <w:rFonts w:ascii="Times New Roman" w:eastAsia="Times New Roman" w:hAnsi="Times New Roman" w:cs="Times New Roman"/>
          <w:i/>
          <w:iCs/>
          <w:kern w:val="0"/>
          <w:sz w:val="24"/>
          <w:szCs w:val="24"/>
          <w:lang w:val="en-US"/>
          <w14:ligatures w14:val="none"/>
        </w:rPr>
        <w:t>Food Security, 14</w:t>
      </w:r>
      <w:r w:rsidRPr="00883E52">
        <w:rPr>
          <w:rFonts w:ascii="Times New Roman" w:eastAsia="Times New Roman" w:hAnsi="Times New Roman" w:cs="Times New Roman"/>
          <w:kern w:val="0"/>
          <w:sz w:val="24"/>
          <w:szCs w:val="24"/>
          <w:lang w:val="en-US"/>
          <w14:ligatures w14:val="none"/>
        </w:rPr>
        <w:t xml:space="preserve">, 1449–1457. </w:t>
      </w:r>
      <w:hyperlink r:id="rId43" w:history="1">
        <w:r w:rsidRPr="00883E52">
          <w:rPr>
            <w:rFonts w:ascii="Times New Roman" w:eastAsia="Times New Roman" w:hAnsi="Times New Roman" w:cs="Times New Roman"/>
            <w:color w:val="0000FF"/>
            <w:kern w:val="0"/>
            <w:sz w:val="24"/>
            <w:szCs w:val="24"/>
            <w:u w:val="single"/>
            <w:lang w:val="en-US"/>
            <w14:ligatures w14:val="none"/>
          </w:rPr>
          <w:t>https://doi.org/10.1007/s12571-022-01301-z</w:t>
        </w:r>
      </w:hyperlink>
    </w:p>
    <w:p w14:paraId="1AB419A8"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Qin, Y., Krosch, M. N., Schutze, M. K., Zhang, Y., Wang, X., Prabhakar, C. S., Susanto, A., Hee, A. K. W., Ekesi, S., Badji, K., Khan, M., Wu, J., Wang, Q., Yan, G., Zhu, L., Zhao, Z., Liu, L., Clarke, A. R., &amp; Li, Z. (2018). Population structure of a global agricultural invasive pest, </w:t>
      </w:r>
      <w:r w:rsidRPr="00883E52">
        <w:rPr>
          <w:rFonts w:ascii="Times New Roman" w:eastAsia="Times New Roman" w:hAnsi="Times New Roman" w:cs="Times New Roman"/>
          <w:i/>
          <w:iCs/>
          <w:kern w:val="0"/>
          <w:sz w:val="24"/>
          <w:szCs w:val="24"/>
          <w:lang w:val="en-US"/>
          <w14:ligatures w14:val="none"/>
        </w:rPr>
        <w:t>Bactrocera dorsalis</w:t>
      </w:r>
      <w:r w:rsidRPr="00883E52">
        <w:rPr>
          <w:rFonts w:ascii="Times New Roman" w:eastAsia="Times New Roman" w:hAnsi="Times New Roman" w:cs="Times New Roman"/>
          <w:kern w:val="0"/>
          <w:sz w:val="24"/>
          <w:szCs w:val="24"/>
          <w:lang w:val="en-US"/>
          <w14:ligatures w14:val="none"/>
        </w:rPr>
        <w:t xml:space="preserve"> (Diptera: Tephritidae). </w:t>
      </w:r>
      <w:r w:rsidRPr="00883E52">
        <w:rPr>
          <w:rFonts w:ascii="Times New Roman" w:eastAsia="Times New Roman" w:hAnsi="Times New Roman" w:cs="Times New Roman"/>
          <w:i/>
          <w:iCs/>
          <w:kern w:val="0"/>
          <w:sz w:val="24"/>
          <w:szCs w:val="24"/>
          <w:lang w:val="en-US"/>
          <w14:ligatures w14:val="none"/>
        </w:rPr>
        <w:t>Evolutionary Applications, 11</w:t>
      </w:r>
      <w:r w:rsidRPr="00883E52">
        <w:rPr>
          <w:rFonts w:ascii="Times New Roman" w:eastAsia="Times New Roman" w:hAnsi="Times New Roman" w:cs="Times New Roman"/>
          <w:kern w:val="0"/>
          <w:sz w:val="24"/>
          <w:szCs w:val="24"/>
          <w:lang w:val="en-US"/>
          <w14:ligatures w14:val="none"/>
        </w:rPr>
        <w:t xml:space="preserve">(10), 1990–2003. </w:t>
      </w:r>
      <w:hyperlink r:id="rId44" w:history="1">
        <w:r w:rsidRPr="00883E52">
          <w:rPr>
            <w:rFonts w:ascii="Times New Roman" w:eastAsia="Times New Roman" w:hAnsi="Times New Roman" w:cs="Times New Roman"/>
            <w:color w:val="0000FF"/>
            <w:kern w:val="0"/>
            <w:sz w:val="24"/>
            <w:szCs w:val="24"/>
            <w:u w:val="single"/>
            <w:lang w:val="en-US"/>
            <w14:ligatures w14:val="none"/>
          </w:rPr>
          <w:t>https://doi.org/10.1111/eva.12701</w:t>
        </w:r>
      </w:hyperlink>
    </w:p>
    <w:p w14:paraId="0A48FFA0"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Rane, R., Walsh, T. K., Lenancker, P., Gock, A., Dao, T. H., Nguyen, V. L., Khin, T. N., Amalin, D., Chittarath, K., Faheem, M., Annamalai, S., Thanarajoo, S. S., Trisyono, Y. A., Khay, S., Kim, J., Kuniata, L., Powell, K., Kalyebi, A., Otim, M. H., … Tay, W. T. (2023). Complex multiple introductions drive fall armyworm invasions into Asia and Australia. </w:t>
      </w:r>
      <w:r w:rsidRPr="00883E52">
        <w:rPr>
          <w:rFonts w:ascii="Times New Roman" w:eastAsia="Times New Roman" w:hAnsi="Times New Roman" w:cs="Times New Roman"/>
          <w:i/>
          <w:iCs/>
          <w:kern w:val="0"/>
          <w:sz w:val="24"/>
          <w:szCs w:val="24"/>
          <w:lang w:val="en-US"/>
          <w14:ligatures w14:val="none"/>
        </w:rPr>
        <w:t>Scientific Reports, 13</w:t>
      </w:r>
      <w:r w:rsidRPr="00883E52">
        <w:rPr>
          <w:rFonts w:ascii="Times New Roman" w:eastAsia="Times New Roman" w:hAnsi="Times New Roman" w:cs="Times New Roman"/>
          <w:kern w:val="0"/>
          <w:sz w:val="24"/>
          <w:szCs w:val="24"/>
          <w:lang w:val="en-US"/>
          <w14:ligatures w14:val="none"/>
        </w:rPr>
        <w:t xml:space="preserve">, Article 660. </w:t>
      </w:r>
      <w:hyperlink r:id="rId45" w:history="1">
        <w:r w:rsidRPr="00883E52">
          <w:rPr>
            <w:rFonts w:ascii="Times New Roman" w:eastAsia="Times New Roman" w:hAnsi="Times New Roman" w:cs="Times New Roman"/>
            <w:color w:val="0000FF"/>
            <w:kern w:val="0"/>
            <w:sz w:val="24"/>
            <w:szCs w:val="24"/>
            <w:u w:val="single"/>
            <w:lang w:val="en-US"/>
            <w14:ligatures w14:val="none"/>
          </w:rPr>
          <w:t>https://doi.org/10.1038/s41598-023-27501-x</w:t>
        </w:r>
      </w:hyperlink>
    </w:p>
    <w:p w14:paraId="2D835C71"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Renault, D., Angulo, E., Cuthbert, R. N., Haubrock, P. J., Capinha, C., Bang, A., Kramer, A. M., &amp; Courchamp, F. (2022). The magnitude, diversity, and distribution of the economic </w:t>
      </w:r>
      <w:r w:rsidRPr="00883E52">
        <w:rPr>
          <w:rFonts w:ascii="Times New Roman" w:eastAsia="Times New Roman" w:hAnsi="Times New Roman" w:cs="Times New Roman"/>
          <w:kern w:val="0"/>
          <w:sz w:val="24"/>
          <w:szCs w:val="24"/>
          <w:lang w:val="en-US"/>
          <w14:ligatures w14:val="none"/>
        </w:rPr>
        <w:lastRenderedPageBreak/>
        <w:t xml:space="preserve">costs of invasive terrestrial invertebrates worldwide. </w:t>
      </w:r>
      <w:r w:rsidRPr="00883E52">
        <w:rPr>
          <w:rFonts w:ascii="Times New Roman" w:eastAsia="Times New Roman" w:hAnsi="Times New Roman" w:cs="Times New Roman"/>
          <w:i/>
          <w:iCs/>
          <w:kern w:val="0"/>
          <w:sz w:val="24"/>
          <w:szCs w:val="24"/>
          <w:lang w:val="en-US"/>
          <w14:ligatures w14:val="none"/>
        </w:rPr>
        <w:t>Science of the Total Environment, 835</w:t>
      </w:r>
      <w:r w:rsidRPr="00883E52">
        <w:rPr>
          <w:rFonts w:ascii="Times New Roman" w:eastAsia="Times New Roman" w:hAnsi="Times New Roman" w:cs="Times New Roman"/>
          <w:kern w:val="0"/>
          <w:sz w:val="24"/>
          <w:szCs w:val="24"/>
          <w:lang w:val="en-US"/>
          <w14:ligatures w14:val="none"/>
        </w:rPr>
        <w:t xml:space="preserve">, Article 155391. </w:t>
      </w:r>
      <w:hyperlink r:id="rId46" w:history="1">
        <w:r w:rsidRPr="00883E52">
          <w:rPr>
            <w:rFonts w:ascii="Times New Roman" w:eastAsia="Times New Roman" w:hAnsi="Times New Roman" w:cs="Times New Roman"/>
            <w:color w:val="0000FF"/>
            <w:kern w:val="0"/>
            <w:sz w:val="24"/>
            <w:szCs w:val="24"/>
            <w:u w:val="single"/>
            <w:lang w:val="en-US"/>
            <w14:ligatures w14:val="none"/>
          </w:rPr>
          <w:t>https://doi.org/10.1016/j.scitotenv.2022.155391</w:t>
        </w:r>
      </w:hyperlink>
    </w:p>
    <w:p w14:paraId="237E2130"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Rosace, M. C., Cendoya, M., Mattion, G., Vicent, A., Battisti, A., Cavaletto, G., Marini, L., &amp; Rossi, V. (2023). A spatio-temporal dataset of plant pests’ first introductions across the EU and potential entry pathways. </w:t>
      </w:r>
      <w:r w:rsidRPr="00883E52">
        <w:rPr>
          <w:rFonts w:ascii="Times New Roman" w:eastAsia="Times New Roman" w:hAnsi="Times New Roman" w:cs="Times New Roman"/>
          <w:i/>
          <w:iCs/>
          <w:kern w:val="0"/>
          <w:sz w:val="24"/>
          <w:szCs w:val="24"/>
          <w:lang w:val="en-US"/>
          <w14:ligatures w14:val="none"/>
        </w:rPr>
        <w:t>Scientific Data, 10</w:t>
      </w:r>
      <w:r w:rsidRPr="00883E52">
        <w:rPr>
          <w:rFonts w:ascii="Times New Roman" w:eastAsia="Times New Roman" w:hAnsi="Times New Roman" w:cs="Times New Roman"/>
          <w:kern w:val="0"/>
          <w:sz w:val="24"/>
          <w:szCs w:val="24"/>
          <w:lang w:val="en-US"/>
          <w14:ligatures w14:val="none"/>
        </w:rPr>
        <w:t xml:space="preserve">, Article 731. </w:t>
      </w:r>
      <w:hyperlink r:id="rId47" w:history="1">
        <w:r w:rsidRPr="00883E52">
          <w:rPr>
            <w:rFonts w:ascii="Times New Roman" w:eastAsia="Times New Roman" w:hAnsi="Times New Roman" w:cs="Times New Roman"/>
            <w:color w:val="0000FF"/>
            <w:kern w:val="0"/>
            <w:sz w:val="24"/>
            <w:szCs w:val="24"/>
            <w:u w:val="single"/>
            <w:lang w:val="en-US"/>
            <w14:ligatures w14:val="none"/>
          </w:rPr>
          <w:t>https://doi.org/10.1038/s41597-023-02643-9</w:t>
        </w:r>
      </w:hyperlink>
    </w:p>
    <w:p w14:paraId="38CBE283"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Seebens, H., Blackburn, T. M., Dyer, E. E., Genovesi, P., Hulme, P. E., Jeschke, J. M., Pagad, S., Pyšek, P., Winter, M., Arianoutsou, M., Bacher, S., Blasius, B., Brundu, G., Capinha, C., Celesti-Grapow, L., Dawson, W., Dullinger, S., Fuentes, N., Jäger, H., … Essl, F. (2017). No saturation in the accumulation of alien species worldwide. </w:t>
      </w:r>
      <w:r w:rsidRPr="00883E52">
        <w:rPr>
          <w:rFonts w:ascii="Times New Roman" w:eastAsia="Times New Roman" w:hAnsi="Times New Roman" w:cs="Times New Roman"/>
          <w:i/>
          <w:iCs/>
          <w:kern w:val="0"/>
          <w:sz w:val="24"/>
          <w:szCs w:val="24"/>
          <w:lang w:val="en-US"/>
          <w14:ligatures w14:val="none"/>
        </w:rPr>
        <w:t>Nature Communications, 8</w:t>
      </w:r>
      <w:r w:rsidRPr="00883E52">
        <w:rPr>
          <w:rFonts w:ascii="Times New Roman" w:eastAsia="Times New Roman" w:hAnsi="Times New Roman" w:cs="Times New Roman"/>
          <w:kern w:val="0"/>
          <w:sz w:val="24"/>
          <w:szCs w:val="24"/>
          <w:lang w:val="en-US"/>
          <w14:ligatures w14:val="none"/>
        </w:rPr>
        <w:t xml:space="preserve">, Article 14435. </w:t>
      </w:r>
      <w:hyperlink r:id="rId48" w:history="1">
        <w:r w:rsidRPr="00883E52">
          <w:rPr>
            <w:rFonts w:ascii="Times New Roman" w:eastAsia="Times New Roman" w:hAnsi="Times New Roman" w:cs="Times New Roman"/>
            <w:color w:val="0000FF"/>
            <w:kern w:val="0"/>
            <w:sz w:val="24"/>
            <w:szCs w:val="24"/>
            <w:u w:val="single"/>
            <w:lang w:val="en-US"/>
            <w14:ligatures w14:val="none"/>
          </w:rPr>
          <w:t>https://doi.org/10.1038/ncomms14435</w:t>
        </w:r>
      </w:hyperlink>
    </w:p>
    <w:p w14:paraId="00BD9EA6"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Skendžić, S., Zovko, M., Pajač Živković, I., Lešić, V., &amp; Lemić, D. (2021a). The impact of climate change on agricultural insect pests. </w:t>
      </w:r>
      <w:r w:rsidRPr="00883E52">
        <w:rPr>
          <w:rFonts w:ascii="Times New Roman" w:eastAsia="Times New Roman" w:hAnsi="Times New Roman" w:cs="Times New Roman"/>
          <w:i/>
          <w:iCs/>
          <w:kern w:val="0"/>
          <w:sz w:val="24"/>
          <w:szCs w:val="24"/>
          <w:lang w:val="en-US"/>
          <w14:ligatures w14:val="none"/>
        </w:rPr>
        <w:t>Insects, 12</w:t>
      </w:r>
      <w:r w:rsidRPr="00883E52">
        <w:rPr>
          <w:rFonts w:ascii="Times New Roman" w:eastAsia="Times New Roman" w:hAnsi="Times New Roman" w:cs="Times New Roman"/>
          <w:kern w:val="0"/>
          <w:sz w:val="24"/>
          <w:szCs w:val="24"/>
          <w:lang w:val="en-US"/>
          <w14:ligatures w14:val="none"/>
        </w:rPr>
        <w:t xml:space="preserve">(5), Article 440. </w:t>
      </w:r>
      <w:hyperlink r:id="rId49" w:history="1">
        <w:r w:rsidRPr="00883E52">
          <w:rPr>
            <w:rFonts w:ascii="Times New Roman" w:eastAsia="Times New Roman" w:hAnsi="Times New Roman" w:cs="Times New Roman"/>
            <w:color w:val="0000FF"/>
            <w:kern w:val="0"/>
            <w:sz w:val="24"/>
            <w:szCs w:val="24"/>
            <w:u w:val="single"/>
            <w:lang w:val="en-US"/>
            <w14:ligatures w14:val="none"/>
          </w:rPr>
          <w:t>https://doi.org/10.3390/insects12050440</w:t>
        </w:r>
      </w:hyperlink>
    </w:p>
    <w:p w14:paraId="057BFEBB"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Skendžić, S., Zovko, M., Pajač Živković, I., Lešić, V., &amp; Lemić, D. (2021b). Effect of climate change on introduced and native agricultural invasive insect pests in Europe. </w:t>
      </w:r>
      <w:r w:rsidRPr="00883E52">
        <w:rPr>
          <w:rFonts w:ascii="Times New Roman" w:eastAsia="Times New Roman" w:hAnsi="Times New Roman" w:cs="Times New Roman"/>
          <w:i/>
          <w:iCs/>
          <w:kern w:val="0"/>
          <w:sz w:val="24"/>
          <w:szCs w:val="24"/>
          <w:lang w:val="en-US"/>
          <w14:ligatures w14:val="none"/>
        </w:rPr>
        <w:t>Insects, 12</w:t>
      </w:r>
      <w:r w:rsidRPr="00883E52">
        <w:rPr>
          <w:rFonts w:ascii="Times New Roman" w:eastAsia="Times New Roman" w:hAnsi="Times New Roman" w:cs="Times New Roman"/>
          <w:kern w:val="0"/>
          <w:sz w:val="24"/>
          <w:szCs w:val="24"/>
          <w:lang w:val="en-US"/>
          <w14:ligatures w14:val="none"/>
        </w:rPr>
        <w:t xml:space="preserve">(11), Article 985. </w:t>
      </w:r>
      <w:hyperlink r:id="rId50" w:history="1">
        <w:r w:rsidRPr="00883E52">
          <w:rPr>
            <w:rFonts w:ascii="Times New Roman" w:eastAsia="Times New Roman" w:hAnsi="Times New Roman" w:cs="Times New Roman"/>
            <w:color w:val="0000FF"/>
            <w:kern w:val="0"/>
            <w:sz w:val="24"/>
            <w:szCs w:val="24"/>
            <w:u w:val="single"/>
            <w:lang w:val="en-US"/>
            <w14:ligatures w14:val="none"/>
          </w:rPr>
          <w:t>https://doi.org/10.3390/insects12110985</w:t>
        </w:r>
      </w:hyperlink>
    </w:p>
    <w:p w14:paraId="00E7F6CC"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Soto, I., Courtois, P., Pili, A., Tordoni, E., Manfrini, E., Angulo, E., Bellard, C., Briski, E., Buřič, M., Cuthbert, R. N., Kouba, A., Kourantidou, M., Macêdo, R. L., Leroy, B., Haubrock, P. J., Courchamp, F., &amp; Leung, B. (2025). Using species ranges and macroeconomic data to fill the gap in costs of biological invasions. </w:t>
      </w:r>
      <w:r w:rsidRPr="00883E52">
        <w:rPr>
          <w:rFonts w:ascii="Times New Roman" w:eastAsia="Times New Roman" w:hAnsi="Times New Roman" w:cs="Times New Roman"/>
          <w:i/>
          <w:iCs/>
          <w:kern w:val="0"/>
          <w:sz w:val="24"/>
          <w:szCs w:val="24"/>
          <w:lang w:val="en-US"/>
          <w14:ligatures w14:val="none"/>
        </w:rPr>
        <w:t>Nature Ecology &amp; Evolution, 9</w:t>
      </w:r>
      <w:r w:rsidRPr="00883E52">
        <w:rPr>
          <w:rFonts w:ascii="Times New Roman" w:eastAsia="Times New Roman" w:hAnsi="Times New Roman" w:cs="Times New Roman"/>
          <w:kern w:val="0"/>
          <w:sz w:val="24"/>
          <w:szCs w:val="24"/>
          <w:lang w:val="en-US"/>
          <w14:ligatures w14:val="none"/>
        </w:rPr>
        <w:t xml:space="preserve">(6), 1021–1030. </w:t>
      </w:r>
      <w:hyperlink r:id="rId51" w:history="1">
        <w:r w:rsidRPr="00883E52">
          <w:rPr>
            <w:rFonts w:ascii="Times New Roman" w:eastAsia="Times New Roman" w:hAnsi="Times New Roman" w:cs="Times New Roman"/>
            <w:color w:val="0000FF"/>
            <w:kern w:val="0"/>
            <w:sz w:val="24"/>
            <w:szCs w:val="24"/>
            <w:u w:val="single"/>
            <w:lang w:val="en-US"/>
            <w14:ligatures w14:val="none"/>
          </w:rPr>
          <w:t>https://doi.org/10.1038/s41559-025-02697-5</w:t>
        </w:r>
      </w:hyperlink>
    </w:p>
    <w:p w14:paraId="5DF3AB2F"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Soubeyrand, S., Estoup, A., Cruaud, A., Malembic-Maher, S., Meynard, C., Ravigné, V., Barbier, M., Barrès, B., Berthier, K., Boitard, S., Dallot, S., Gaba, S., Grosdidier, M., Hannachi, M., Jacques, M.-A., Leclerc, M., Lucas, P., Martinetti, D., Mougel, C., … Morris, C. E. (2024). Building integrated plant health surveillance: A proactive research agenda for anticipating and mitigating disease and pest emergence. </w:t>
      </w:r>
      <w:r w:rsidRPr="00883E52">
        <w:rPr>
          <w:rFonts w:ascii="Times New Roman" w:eastAsia="Times New Roman" w:hAnsi="Times New Roman" w:cs="Times New Roman"/>
          <w:i/>
          <w:iCs/>
          <w:kern w:val="0"/>
          <w:sz w:val="24"/>
          <w:szCs w:val="24"/>
          <w:lang w:val="en-US"/>
          <w14:ligatures w14:val="none"/>
        </w:rPr>
        <w:t>CABI Agriculture and Bioscience, 5</w:t>
      </w:r>
      <w:r w:rsidRPr="00883E52">
        <w:rPr>
          <w:rFonts w:ascii="Times New Roman" w:eastAsia="Times New Roman" w:hAnsi="Times New Roman" w:cs="Times New Roman"/>
          <w:kern w:val="0"/>
          <w:sz w:val="24"/>
          <w:szCs w:val="24"/>
          <w:lang w:val="en-US"/>
          <w14:ligatures w14:val="none"/>
        </w:rPr>
        <w:t xml:space="preserve">, Article 72. </w:t>
      </w:r>
      <w:hyperlink r:id="rId52" w:history="1">
        <w:r w:rsidRPr="00883E52">
          <w:rPr>
            <w:rFonts w:ascii="Times New Roman" w:eastAsia="Times New Roman" w:hAnsi="Times New Roman" w:cs="Times New Roman"/>
            <w:color w:val="0000FF"/>
            <w:kern w:val="0"/>
            <w:sz w:val="24"/>
            <w:szCs w:val="24"/>
            <w:u w:val="single"/>
            <w:lang w:val="en-US"/>
            <w14:ligatures w14:val="none"/>
          </w:rPr>
          <w:t>https://doi.org/10.1186/s43170-024-00273-8</w:t>
        </w:r>
      </w:hyperlink>
    </w:p>
    <w:p w14:paraId="67FB180B"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Turbelin, A. J., Diagne, C., Hudgins, E. J., Moodley, D., Kourantidou, M., Novoa, A., Haubrock, P. J., Bernery, C., Gozlan, R. E., Francis, R. A., &amp; Courchamp, F. (2022). Introduction pathways of economically costly invasive alien species. </w:t>
      </w:r>
      <w:r w:rsidRPr="00883E52">
        <w:rPr>
          <w:rFonts w:ascii="Times New Roman" w:eastAsia="Times New Roman" w:hAnsi="Times New Roman" w:cs="Times New Roman"/>
          <w:i/>
          <w:iCs/>
          <w:kern w:val="0"/>
          <w:sz w:val="24"/>
          <w:szCs w:val="24"/>
          <w:lang w:val="en-US"/>
          <w14:ligatures w14:val="none"/>
        </w:rPr>
        <w:t>Biological Invasions, 24</w:t>
      </w:r>
      <w:r w:rsidRPr="00883E52">
        <w:rPr>
          <w:rFonts w:ascii="Times New Roman" w:eastAsia="Times New Roman" w:hAnsi="Times New Roman" w:cs="Times New Roman"/>
          <w:kern w:val="0"/>
          <w:sz w:val="24"/>
          <w:szCs w:val="24"/>
          <w:lang w:val="en-US"/>
          <w14:ligatures w14:val="none"/>
        </w:rPr>
        <w:t xml:space="preserve">, 2061–2079. </w:t>
      </w:r>
      <w:hyperlink r:id="rId53" w:history="1">
        <w:r w:rsidRPr="00883E52">
          <w:rPr>
            <w:rFonts w:ascii="Times New Roman" w:eastAsia="Times New Roman" w:hAnsi="Times New Roman" w:cs="Times New Roman"/>
            <w:color w:val="0000FF"/>
            <w:kern w:val="0"/>
            <w:sz w:val="24"/>
            <w:szCs w:val="24"/>
            <w:u w:val="single"/>
            <w:lang w:val="en-US"/>
            <w14:ligatures w14:val="none"/>
          </w:rPr>
          <w:t>https://doi.org/10.1007/s10530-022-02796-5</w:t>
        </w:r>
      </w:hyperlink>
    </w:p>
    <w:p w14:paraId="26D65C67"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Turbelin, A. J., Hudgins, E. J., Catford, J. A., Cuthbert, R. N., Diagne, C., Kourantidou, M., Roiz, D., &amp; Courchamp, F. (2024). Biological invasions as burdens to primary economic sectors. </w:t>
      </w:r>
      <w:r w:rsidRPr="00883E52">
        <w:rPr>
          <w:rFonts w:ascii="Times New Roman" w:eastAsia="Times New Roman" w:hAnsi="Times New Roman" w:cs="Times New Roman"/>
          <w:i/>
          <w:iCs/>
          <w:kern w:val="0"/>
          <w:sz w:val="24"/>
          <w:szCs w:val="24"/>
          <w:lang w:val="en-US"/>
          <w14:ligatures w14:val="none"/>
        </w:rPr>
        <w:t>Global Environmental Change, 87</w:t>
      </w:r>
      <w:r w:rsidRPr="00883E52">
        <w:rPr>
          <w:rFonts w:ascii="Times New Roman" w:eastAsia="Times New Roman" w:hAnsi="Times New Roman" w:cs="Times New Roman"/>
          <w:kern w:val="0"/>
          <w:sz w:val="24"/>
          <w:szCs w:val="24"/>
          <w:lang w:val="en-US"/>
          <w14:ligatures w14:val="none"/>
        </w:rPr>
        <w:t xml:space="preserve">, Article 102858. </w:t>
      </w:r>
      <w:hyperlink r:id="rId54" w:history="1">
        <w:r w:rsidRPr="00883E52">
          <w:rPr>
            <w:rFonts w:ascii="Times New Roman" w:eastAsia="Times New Roman" w:hAnsi="Times New Roman" w:cs="Times New Roman"/>
            <w:color w:val="0000FF"/>
            <w:kern w:val="0"/>
            <w:sz w:val="24"/>
            <w:szCs w:val="24"/>
            <w:u w:val="single"/>
            <w:lang w:val="en-US"/>
            <w14:ligatures w14:val="none"/>
          </w:rPr>
          <w:t>https://doi.org/10.1016/j.gloenvcha.2024.102858</w:t>
        </w:r>
      </w:hyperlink>
    </w:p>
    <w:p w14:paraId="08A39F4F"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t xml:space="preserve">Vaissière, A.-C., Courtois, P., Courchamp, F., Kourantidou, M., Diagne, C., Essl, F., Kirichenko, N., Welsh, M., &amp; Salles, J.-M. (2022). The nature of economic costs of biological invasions. </w:t>
      </w:r>
      <w:r w:rsidRPr="00883E52">
        <w:rPr>
          <w:rFonts w:ascii="Times New Roman" w:eastAsia="Times New Roman" w:hAnsi="Times New Roman" w:cs="Times New Roman"/>
          <w:i/>
          <w:iCs/>
          <w:kern w:val="0"/>
          <w:sz w:val="24"/>
          <w:szCs w:val="24"/>
          <w:lang w:val="en-US"/>
          <w14:ligatures w14:val="none"/>
        </w:rPr>
        <w:t>Biological Invasions, 24</w:t>
      </w:r>
      <w:r w:rsidRPr="00883E52">
        <w:rPr>
          <w:rFonts w:ascii="Times New Roman" w:eastAsia="Times New Roman" w:hAnsi="Times New Roman" w:cs="Times New Roman"/>
          <w:kern w:val="0"/>
          <w:sz w:val="24"/>
          <w:szCs w:val="24"/>
          <w:lang w:val="en-US"/>
          <w14:ligatures w14:val="none"/>
        </w:rPr>
        <w:t xml:space="preserve">, 2081–2101. </w:t>
      </w:r>
      <w:hyperlink r:id="rId55" w:history="1">
        <w:r w:rsidRPr="00883E52">
          <w:rPr>
            <w:rFonts w:ascii="Times New Roman" w:eastAsia="Times New Roman" w:hAnsi="Times New Roman" w:cs="Times New Roman"/>
            <w:color w:val="0000FF"/>
            <w:kern w:val="0"/>
            <w:sz w:val="24"/>
            <w:szCs w:val="24"/>
            <w:u w:val="single"/>
            <w:lang w:val="en-US"/>
            <w14:ligatures w14:val="none"/>
          </w:rPr>
          <w:t>https://doi.org/10.1007/s10530-022-02837-z</w:t>
        </w:r>
      </w:hyperlink>
    </w:p>
    <w:p w14:paraId="08233C8B" w14:textId="77777777" w:rsidR="00883E52" w:rsidRPr="00883E52" w:rsidRDefault="00883E52" w:rsidP="00883E52">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83E52">
        <w:rPr>
          <w:rFonts w:ascii="Times New Roman" w:eastAsia="Times New Roman" w:hAnsi="Times New Roman" w:cs="Times New Roman"/>
          <w:kern w:val="0"/>
          <w:sz w:val="24"/>
          <w:szCs w:val="24"/>
          <w:lang w:val="en-US"/>
          <w14:ligatures w14:val="none"/>
        </w:rPr>
        <w:lastRenderedPageBreak/>
        <w:t xml:space="preserve">Valentin, R. E., Fonseca, D. M., Nielsen, A. L., Leskey, T. C., &amp; Lockwood, J. L. (2018). Early detection of invasive exotic insect infestations using eDNA from crop surfaces. </w:t>
      </w:r>
      <w:r w:rsidRPr="00883E52">
        <w:rPr>
          <w:rFonts w:ascii="Times New Roman" w:eastAsia="Times New Roman" w:hAnsi="Times New Roman" w:cs="Times New Roman"/>
          <w:i/>
          <w:iCs/>
          <w:kern w:val="0"/>
          <w:sz w:val="24"/>
          <w:szCs w:val="24"/>
          <w:lang w:val="en-US"/>
          <w14:ligatures w14:val="none"/>
        </w:rPr>
        <w:t>Frontiers in Ecology and the Environment, 16</w:t>
      </w:r>
      <w:r w:rsidRPr="00883E52">
        <w:rPr>
          <w:rFonts w:ascii="Times New Roman" w:eastAsia="Times New Roman" w:hAnsi="Times New Roman" w:cs="Times New Roman"/>
          <w:kern w:val="0"/>
          <w:sz w:val="24"/>
          <w:szCs w:val="24"/>
          <w:lang w:val="en-US"/>
          <w14:ligatures w14:val="none"/>
        </w:rPr>
        <w:t xml:space="preserve">(5), 265–270. </w:t>
      </w:r>
      <w:hyperlink r:id="rId56" w:history="1">
        <w:r w:rsidRPr="00883E52">
          <w:rPr>
            <w:rFonts w:ascii="Times New Roman" w:eastAsia="Times New Roman" w:hAnsi="Times New Roman" w:cs="Times New Roman"/>
            <w:color w:val="0000FF"/>
            <w:kern w:val="0"/>
            <w:sz w:val="24"/>
            <w:szCs w:val="24"/>
            <w:u w:val="single"/>
            <w:lang w:val="en-US"/>
            <w14:ligatures w14:val="none"/>
          </w:rPr>
          <w:t>https://doi.org/10.1002/fee.1811</w:t>
        </w:r>
      </w:hyperlink>
    </w:p>
    <w:p w14:paraId="2B23EA7A" w14:textId="77777777" w:rsidR="00883E52" w:rsidRPr="00F6125D" w:rsidRDefault="00883E52" w:rsidP="003F1345">
      <w:pPr>
        <w:spacing w:before="100" w:beforeAutospacing="1" w:after="100" w:afterAutospacing="1" w:line="240" w:lineRule="auto"/>
        <w:jc w:val="both"/>
        <w:outlineLvl w:val="2"/>
        <w:rPr>
          <w:rFonts w:ascii="Arial" w:eastAsia="Times New Roman" w:hAnsi="Arial" w:cs="Arial"/>
          <w:b/>
          <w:bCs/>
          <w:kern w:val="0"/>
          <w:sz w:val="20"/>
          <w:szCs w:val="20"/>
          <w:lang w:eastAsia="en-IN"/>
          <w14:ligatures w14:val="none"/>
        </w:rPr>
      </w:pPr>
    </w:p>
    <w:sectPr w:rsidR="00883E52" w:rsidRPr="00F6125D" w:rsidSect="001E33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2E8"/>
    <w:multiLevelType w:val="hybridMultilevel"/>
    <w:tmpl w:val="E2382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8070A"/>
    <w:multiLevelType w:val="hybridMultilevel"/>
    <w:tmpl w:val="732E14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36696574">
    <w:abstractNumId w:val="1"/>
  </w:num>
  <w:num w:numId="2" w16cid:durableId="1038164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MjczNjQzsrQ0NTEwNzRQ0lEKTi0uzszPAykwNKgFAAtXJgctAAAA"/>
  </w:docVars>
  <w:rsids>
    <w:rsidRoot w:val="00014425"/>
    <w:rsid w:val="00014425"/>
    <w:rsid w:val="00066FE1"/>
    <w:rsid w:val="00107FE5"/>
    <w:rsid w:val="001C69F9"/>
    <w:rsid w:val="001E337C"/>
    <w:rsid w:val="001E54D3"/>
    <w:rsid w:val="002C05E4"/>
    <w:rsid w:val="003F1345"/>
    <w:rsid w:val="00580632"/>
    <w:rsid w:val="00632DE0"/>
    <w:rsid w:val="00656D46"/>
    <w:rsid w:val="006772DD"/>
    <w:rsid w:val="006C5BC1"/>
    <w:rsid w:val="00730207"/>
    <w:rsid w:val="007D08EC"/>
    <w:rsid w:val="00804FD1"/>
    <w:rsid w:val="00820F4A"/>
    <w:rsid w:val="00883E52"/>
    <w:rsid w:val="0089643D"/>
    <w:rsid w:val="008E36B5"/>
    <w:rsid w:val="00960F7E"/>
    <w:rsid w:val="009B0482"/>
    <w:rsid w:val="00AC093C"/>
    <w:rsid w:val="00AD4A89"/>
    <w:rsid w:val="00B00505"/>
    <w:rsid w:val="00B04FBC"/>
    <w:rsid w:val="00B75E50"/>
    <w:rsid w:val="00D817F0"/>
    <w:rsid w:val="00E26BA9"/>
    <w:rsid w:val="00EB0815"/>
    <w:rsid w:val="00F33780"/>
    <w:rsid w:val="00F6125D"/>
    <w:rsid w:val="00F848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6309"/>
  <w15:chartTrackingRefBased/>
  <w15:docId w15:val="{11D3F822-AECE-4131-930E-16AB6CF6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7C"/>
  </w:style>
  <w:style w:type="paragraph" w:styleId="Heading1">
    <w:name w:val="heading 1"/>
    <w:basedOn w:val="Normal"/>
    <w:next w:val="Normal"/>
    <w:link w:val="Heading1Char"/>
    <w:uiPriority w:val="9"/>
    <w:qFormat/>
    <w:rsid w:val="000144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144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44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144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4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4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4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4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4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4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144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44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144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4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4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4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4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425"/>
    <w:rPr>
      <w:rFonts w:eastAsiaTheme="majorEastAsia" w:cstheme="majorBidi"/>
      <w:color w:val="272727" w:themeColor="text1" w:themeTint="D8"/>
    </w:rPr>
  </w:style>
  <w:style w:type="paragraph" w:styleId="Title">
    <w:name w:val="Title"/>
    <w:basedOn w:val="Normal"/>
    <w:next w:val="Normal"/>
    <w:link w:val="TitleChar"/>
    <w:uiPriority w:val="10"/>
    <w:qFormat/>
    <w:rsid w:val="00014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4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4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4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425"/>
    <w:pPr>
      <w:spacing w:before="160"/>
      <w:jc w:val="center"/>
    </w:pPr>
    <w:rPr>
      <w:i/>
      <w:iCs/>
      <w:color w:val="404040" w:themeColor="text1" w:themeTint="BF"/>
    </w:rPr>
  </w:style>
  <w:style w:type="character" w:customStyle="1" w:styleId="QuoteChar">
    <w:name w:val="Quote Char"/>
    <w:basedOn w:val="DefaultParagraphFont"/>
    <w:link w:val="Quote"/>
    <w:uiPriority w:val="29"/>
    <w:rsid w:val="00014425"/>
    <w:rPr>
      <w:i/>
      <w:iCs/>
      <w:color w:val="404040" w:themeColor="text1" w:themeTint="BF"/>
    </w:rPr>
  </w:style>
  <w:style w:type="paragraph" w:styleId="ListParagraph">
    <w:name w:val="List Paragraph"/>
    <w:basedOn w:val="Normal"/>
    <w:uiPriority w:val="34"/>
    <w:qFormat/>
    <w:rsid w:val="00014425"/>
    <w:pPr>
      <w:ind w:left="720"/>
      <w:contextualSpacing/>
    </w:pPr>
  </w:style>
  <w:style w:type="character" w:styleId="IntenseEmphasis">
    <w:name w:val="Intense Emphasis"/>
    <w:basedOn w:val="DefaultParagraphFont"/>
    <w:uiPriority w:val="21"/>
    <w:qFormat/>
    <w:rsid w:val="00014425"/>
    <w:rPr>
      <w:i/>
      <w:iCs/>
      <w:color w:val="2F5496" w:themeColor="accent1" w:themeShade="BF"/>
    </w:rPr>
  </w:style>
  <w:style w:type="paragraph" w:styleId="IntenseQuote">
    <w:name w:val="Intense Quote"/>
    <w:basedOn w:val="Normal"/>
    <w:next w:val="Normal"/>
    <w:link w:val="IntenseQuoteChar"/>
    <w:uiPriority w:val="30"/>
    <w:qFormat/>
    <w:rsid w:val="000144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425"/>
    <w:rPr>
      <w:i/>
      <w:iCs/>
      <w:color w:val="2F5496" w:themeColor="accent1" w:themeShade="BF"/>
    </w:rPr>
  </w:style>
  <w:style w:type="character" w:styleId="IntenseReference">
    <w:name w:val="Intense Reference"/>
    <w:basedOn w:val="DefaultParagraphFont"/>
    <w:uiPriority w:val="32"/>
    <w:qFormat/>
    <w:rsid w:val="00014425"/>
    <w:rPr>
      <w:b/>
      <w:bCs/>
      <w:smallCaps/>
      <w:color w:val="2F5496" w:themeColor="accent1" w:themeShade="BF"/>
      <w:spacing w:val="5"/>
    </w:rPr>
  </w:style>
  <w:style w:type="paragraph" w:customStyle="1" w:styleId="font-claude-response-body">
    <w:name w:val="font-claude-response-body"/>
    <w:basedOn w:val="Normal"/>
    <w:rsid w:val="00F6125D"/>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Strong">
    <w:name w:val="Strong"/>
    <w:basedOn w:val="DefaultParagraphFont"/>
    <w:uiPriority w:val="22"/>
    <w:qFormat/>
    <w:rsid w:val="00F6125D"/>
    <w:rPr>
      <w:b/>
      <w:bCs/>
    </w:rPr>
  </w:style>
  <w:style w:type="character" w:styleId="Emphasis">
    <w:name w:val="Emphasis"/>
    <w:basedOn w:val="DefaultParagraphFont"/>
    <w:uiPriority w:val="20"/>
    <w:qFormat/>
    <w:rsid w:val="00F6125D"/>
    <w:rPr>
      <w:i/>
      <w:iCs/>
    </w:rPr>
  </w:style>
  <w:style w:type="character" w:styleId="Hyperlink">
    <w:name w:val="Hyperlink"/>
    <w:basedOn w:val="DefaultParagraphFont"/>
    <w:uiPriority w:val="99"/>
    <w:unhideWhenUsed/>
    <w:rsid w:val="00F6125D"/>
    <w:rPr>
      <w:color w:val="0000FF"/>
      <w:u w:val="single"/>
    </w:rPr>
  </w:style>
  <w:style w:type="table" w:styleId="TableGrid">
    <w:name w:val="Table Grid"/>
    <w:basedOn w:val="TableNormal"/>
    <w:uiPriority w:val="39"/>
    <w:rsid w:val="00D8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5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ncomms12986" TargetMode="External"/><Relationship Id="rId18" Type="http://schemas.openxmlformats.org/officeDocument/2006/relationships/hyperlink" Target="https://doi.org/10.1086/713025" TargetMode="External"/><Relationship Id="rId26" Type="http://schemas.openxmlformats.org/officeDocument/2006/relationships/hyperlink" Target="https://doi.org/10.1111/cobi.12579" TargetMode="External"/><Relationship Id="rId39" Type="http://schemas.openxmlformats.org/officeDocument/2006/relationships/hyperlink" Target="https://doi.org/10.1111/1365-2664.13163" TargetMode="External"/><Relationship Id="rId21" Type="http://schemas.openxmlformats.org/officeDocument/2006/relationships/hyperlink" Target="https://doi.org/10.1371/journal.pone.0096611" TargetMode="External"/><Relationship Id="rId34" Type="http://schemas.openxmlformats.org/officeDocument/2006/relationships/hyperlink" Target="https://doi.org/10.1007/s44279-025-00301-9" TargetMode="External"/><Relationship Id="rId42" Type="http://schemas.openxmlformats.org/officeDocument/2006/relationships/hyperlink" Target="https://doi.org/10.1093/gigascience/giz092" TargetMode="External"/><Relationship Id="rId47" Type="http://schemas.openxmlformats.org/officeDocument/2006/relationships/hyperlink" Target="https://doi.org/10.1038/s41597-023-02643-9" TargetMode="External"/><Relationship Id="rId50" Type="http://schemas.openxmlformats.org/officeDocument/2006/relationships/hyperlink" Target="https://doi.org/10.3390/insects12110985" TargetMode="External"/><Relationship Id="rId55" Type="http://schemas.openxmlformats.org/officeDocument/2006/relationships/hyperlink" Target="https://doi.org/10.1007/s10530-022-02837-z" TargetMode="External"/><Relationship Id="rId7" Type="http://schemas.openxmlformats.org/officeDocument/2006/relationships/hyperlink" Target="https://doi.org/10.1111/epp.12988" TargetMode="External"/><Relationship Id="rId2" Type="http://schemas.openxmlformats.org/officeDocument/2006/relationships/styles" Target="styles.xml"/><Relationship Id="rId16" Type="http://schemas.openxmlformats.org/officeDocument/2006/relationships/hyperlink" Target="https://doi.org/10.1038/s41597-020-00586-z" TargetMode="External"/><Relationship Id="rId29" Type="http://schemas.openxmlformats.org/officeDocument/2006/relationships/hyperlink" Target="https://doi.org/10.1007/s10530-017-1414-4" TargetMode="External"/><Relationship Id="rId11" Type="http://schemas.openxmlformats.org/officeDocument/2006/relationships/hyperlink" Target="https://doi.org/10.1038/nclimate1990" TargetMode="External"/><Relationship Id="rId24" Type="http://schemas.openxmlformats.org/officeDocument/2006/relationships/hyperlink" Target="https://doi.org/10.1038/s41893-023-01124-6" TargetMode="External"/><Relationship Id="rId32" Type="http://schemas.openxmlformats.org/officeDocument/2006/relationships/hyperlink" Target="https://doi.org/10.1371/journal.pone.0297787" TargetMode="External"/><Relationship Id="rId37" Type="http://schemas.openxmlformats.org/officeDocument/2006/relationships/hyperlink" Target="https://doi.org/10.1371/journal.pone.0066445" TargetMode="External"/><Relationship Id="rId40" Type="http://schemas.openxmlformats.org/officeDocument/2006/relationships/hyperlink" Target="https://doi.org/10.1111/ddi.13963" TargetMode="External"/><Relationship Id="rId45" Type="http://schemas.openxmlformats.org/officeDocument/2006/relationships/hyperlink" Target="https://doi.org/10.1038/s41598-023-27501-x" TargetMode="External"/><Relationship Id="rId53" Type="http://schemas.openxmlformats.org/officeDocument/2006/relationships/hyperlink" Target="https://doi.org/10.1007/s10530-022-02796-5" TargetMode="External"/><Relationship Id="rId58" Type="http://schemas.openxmlformats.org/officeDocument/2006/relationships/theme" Target="theme/theme1.xml"/><Relationship Id="rId5" Type="http://schemas.openxmlformats.org/officeDocument/2006/relationships/hyperlink" Target="https://doi.org/10.3390/insects12050439" TargetMode="External"/><Relationship Id="rId19" Type="http://schemas.openxmlformats.org/officeDocument/2006/relationships/hyperlink" Target="https://doi.org/10.1016/j.scitotenv.2021.151318" TargetMode="External"/><Relationship Id="rId4" Type="http://schemas.openxmlformats.org/officeDocument/2006/relationships/webSettings" Target="webSettings.xml"/><Relationship Id="rId9" Type="http://schemas.openxmlformats.org/officeDocument/2006/relationships/hyperlink" Target="https://doi.org/10.1007/s10530-022-02780-z" TargetMode="External"/><Relationship Id="rId14" Type="http://schemas.openxmlformats.org/officeDocument/2006/relationships/hyperlink" Target="https://doi.org/10.1007/s10526-016-9726-3" TargetMode="External"/><Relationship Id="rId22" Type="http://schemas.openxmlformats.org/officeDocument/2006/relationships/hyperlink" Target="https://doi.org/10.3390/insects11110822" TargetMode="External"/><Relationship Id="rId27" Type="http://schemas.openxmlformats.org/officeDocument/2006/relationships/hyperlink" Target="https://www.ippc.int/static/media/files/publication/en/2016/01/ISPM_15_2013_En_2015-12-22_PostCPM10_InkAmReformatted.pdf" TargetMode="External"/><Relationship Id="rId30" Type="http://schemas.openxmlformats.org/officeDocument/2006/relationships/hyperlink" Target="https://doi.org/10.1371/journal.pone.0192280" TargetMode="External"/><Relationship Id="rId35" Type="http://schemas.openxmlformats.org/officeDocument/2006/relationships/hyperlink" Target="https://doi.org/10.3897/neobiota.87.104472" TargetMode="External"/><Relationship Id="rId43" Type="http://schemas.openxmlformats.org/officeDocument/2006/relationships/hyperlink" Target="https://doi.org/10.1007/s12571-022-01301-z" TargetMode="External"/><Relationship Id="rId48" Type="http://schemas.openxmlformats.org/officeDocument/2006/relationships/hyperlink" Target="https://doi.org/10.1038/ncomms14435" TargetMode="External"/><Relationship Id="rId56" Type="http://schemas.openxmlformats.org/officeDocument/2006/relationships/hyperlink" Target="https://doi.org/10.1002/fee.1811" TargetMode="External"/><Relationship Id="rId8" Type="http://schemas.openxmlformats.org/officeDocument/2006/relationships/hyperlink" Target="https://doi.org/10.1186/s41073-019-0064-8" TargetMode="External"/><Relationship Id="rId51" Type="http://schemas.openxmlformats.org/officeDocument/2006/relationships/hyperlink" Target="https://doi.org/10.1038/s41559-025-02697-5" TargetMode="External"/><Relationship Id="rId3" Type="http://schemas.openxmlformats.org/officeDocument/2006/relationships/settings" Target="settings.xml"/><Relationship Id="rId12" Type="http://schemas.openxmlformats.org/officeDocument/2006/relationships/hyperlink" Target="https://doi.org/10.1111/ele.13863" TargetMode="External"/><Relationship Id="rId17" Type="http://schemas.openxmlformats.org/officeDocument/2006/relationships/hyperlink" Target="https://doi.org/10.1038/s41586-021-03405-6" TargetMode="External"/><Relationship Id="rId25" Type="http://schemas.openxmlformats.org/officeDocument/2006/relationships/hyperlink" Target="https://doi.org/10.1016/j.scitotenv.2023.167997" TargetMode="External"/><Relationship Id="rId33" Type="http://schemas.openxmlformats.org/officeDocument/2006/relationships/hyperlink" Target="https://doi.org/10.1038/s41467-021-25505-7" TargetMode="External"/><Relationship Id="rId38" Type="http://schemas.openxmlformats.org/officeDocument/2006/relationships/hyperlink" Target="https://doi.org/10.1002/ecs2.4740" TargetMode="External"/><Relationship Id="rId46" Type="http://schemas.openxmlformats.org/officeDocument/2006/relationships/hyperlink" Target="https://doi.org/10.1016/j.scitotenv.2022.155391" TargetMode="External"/><Relationship Id="rId20" Type="http://schemas.openxmlformats.org/officeDocument/2006/relationships/hyperlink" Target="https://doi.org/10.1017/S1474745624000090" TargetMode="External"/><Relationship Id="rId41" Type="http://schemas.openxmlformats.org/officeDocument/2006/relationships/hyperlink" Target="https://doi.org/10.1073/pnas.1602205113" TargetMode="External"/><Relationship Id="rId54" Type="http://schemas.openxmlformats.org/officeDocument/2006/relationships/hyperlink" Target="https://doi.org/10.1016/j.gloenvcha.2024.102858" TargetMode="External"/><Relationship Id="rId1" Type="http://schemas.openxmlformats.org/officeDocument/2006/relationships/numbering" Target="numbering.xml"/><Relationship Id="rId6" Type="http://schemas.openxmlformats.org/officeDocument/2006/relationships/hyperlink" Target="https://doi.org/10.1093/biosci/biad060" TargetMode="External"/><Relationship Id="rId15" Type="http://schemas.openxmlformats.org/officeDocument/2006/relationships/hyperlink" Target="https://doi.org/10.1126/science.aat3466" TargetMode="External"/><Relationship Id="rId23" Type="http://schemas.openxmlformats.org/officeDocument/2006/relationships/hyperlink" Target="https://doi.org/10.1093/biosci/biae124" TargetMode="External"/><Relationship Id="rId28" Type="http://schemas.openxmlformats.org/officeDocument/2006/relationships/hyperlink" Target="https://www.ippc.int/en/core-activities/standards-setting/ispms/" TargetMode="External"/><Relationship Id="rId36" Type="http://schemas.openxmlformats.org/officeDocument/2006/relationships/hyperlink" Target="https://doi.org/10.1007/s41348-023-00777-x" TargetMode="External"/><Relationship Id="rId49" Type="http://schemas.openxmlformats.org/officeDocument/2006/relationships/hyperlink" Target="https://doi.org/10.3390/insects12050440" TargetMode="External"/><Relationship Id="rId57" Type="http://schemas.openxmlformats.org/officeDocument/2006/relationships/fontTable" Target="fontTable.xml"/><Relationship Id="rId10" Type="http://schemas.openxmlformats.org/officeDocument/2006/relationships/hyperlink" Target="https://doi.org/10.1111/geb.12214" TargetMode="External"/><Relationship Id="rId31" Type="http://schemas.openxmlformats.org/officeDocument/2006/relationships/hyperlink" Target="https://doi.org/10.1890/110198" TargetMode="External"/><Relationship Id="rId44" Type="http://schemas.openxmlformats.org/officeDocument/2006/relationships/hyperlink" Target="https://doi.org/10.1111/eva.12701" TargetMode="External"/><Relationship Id="rId52" Type="http://schemas.openxmlformats.org/officeDocument/2006/relationships/hyperlink" Target="https://doi.org/10.1186/s43170-024-002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22</Pages>
  <Words>13951</Words>
  <Characters>79523</Characters>
  <Application>Microsoft Office Word</Application>
  <DocSecurity>0</DocSecurity>
  <Lines>662</Lines>
  <Paragraphs>186</Paragraphs>
  <ScaleCrop>false</ScaleCrop>
  <Company>HP</Company>
  <LinksUpToDate>false</LinksUpToDate>
  <CharactersWithSpaces>93288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Manisha</dc:creator>
  <cp:keywords/>
  <dc:description/>
  <cp:lastModifiedBy>SDI CPU 1117</cp:lastModifiedBy>
  <cp:revision>22</cp:revision>
  <dcterms:created xsi:type="dcterms:W3CDTF">2026-07-04T06:57:00Z</dcterms:created>
  <dcterms:modified xsi:type="dcterms:W3CDTF">2026-07-11T07:42:00Z</dcterms:modified>
</cp:coreProperties>
</file>