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A5922" w14:textId="77777777" w:rsidR="00541298" w:rsidRPr="00930645" w:rsidRDefault="00541298" w:rsidP="00541298">
      <w:pPr>
        <w:spacing w:after="240"/>
        <w:jc w:val="center"/>
        <w:rPr>
          <w:rFonts w:ascii="Calibri" w:eastAsia="Calibri" w:hAnsi="Calibri" w:cs="Calibri"/>
          <w:b/>
          <w:bCs/>
          <w:i/>
          <w:iCs/>
          <w:color w:val="000000" w:themeColor="text1"/>
          <w:sz w:val="30"/>
          <w:szCs w:val="30"/>
          <w:u w:val="single"/>
          <w:lang w:val="en-US"/>
        </w:rPr>
      </w:pPr>
      <w:r w:rsidRPr="00930645">
        <w:rPr>
          <w:rFonts w:ascii="Calibri" w:eastAsia="Calibri" w:hAnsi="Calibri" w:cs="Calibri"/>
          <w:b/>
          <w:bCs/>
          <w:i/>
          <w:iCs/>
          <w:color w:val="000000" w:themeColor="text1"/>
          <w:sz w:val="30"/>
          <w:szCs w:val="30"/>
          <w:u w:val="single"/>
          <w:lang w:val="en-US"/>
        </w:rPr>
        <w:t>Review Article</w:t>
      </w:r>
    </w:p>
    <w:p w14:paraId="787A2F23" w14:textId="77777777" w:rsidR="00817E8E" w:rsidRPr="00930645" w:rsidRDefault="00000000">
      <w:pPr>
        <w:spacing w:after="240"/>
        <w:jc w:val="center"/>
        <w:rPr>
          <w:color w:val="000000" w:themeColor="text1"/>
        </w:rPr>
      </w:pPr>
      <w:r w:rsidRPr="00930645">
        <w:rPr>
          <w:rFonts w:ascii="Calibri" w:eastAsia="Calibri" w:hAnsi="Calibri" w:cs="Calibri"/>
          <w:b/>
          <w:bCs/>
          <w:color w:val="000000" w:themeColor="text1"/>
          <w:sz w:val="30"/>
          <w:szCs w:val="30"/>
        </w:rPr>
        <w:t>Advances in Veterinary Biochemistry: Molecular Diagnostics and Disease Biomarkers in Companion Animal Medicine</w:t>
      </w:r>
    </w:p>
    <w:p w14:paraId="026F3DFE"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Abstract</w:t>
      </w:r>
    </w:p>
    <w:p w14:paraId="00A9D88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Molecular biomarkers have progressively displaced descriptive clinicopathological interpretation as the principal means by which veterinarians detect, stage and monitor disease in dogs and cats. This narrative review synthesises the peer-reviewed literature on renal, cardiac, inflammatory, pancreatic, infectious, oncological and genomic biomarkers in small animal medicine, with the aim of identifying which biomarkers now possess sufficient analytical and clinical validation to influence practice, and which remain investigational. Evidence was drawn from PubMed/MEDLINE, Scopus, Google Scholar, CAB Abstracts and the Cochrane Library, supplemented by citation tracking, and was appraised for study design, sample size, reference-standard comparison and reproducibility. Symmetric dimethylarginine has accumulated the strongest validation among renal biomarkers, detecting a reduction in glomerular filtration rate of less than twenty per cent earlier than serum creatinine in a controlled longitudinal cohort, although large-scale concordance data indicate that mild elevations require cautious interpretation. Cardiac natriuretic peptides and troponin I show high sensitivity for structural heart disease but limited ability to discriminate cardiac from respiratory dyspnoea when used alone. Acute phase proteins, principally C-reactive protein in dogs and serum amyloid A in cats, offer reliable inflammatory monitoring but lack disease specificity. Pancreatic lipase immunoreactivity remains the most sensitive serum test for moderate-to-severe pancreatitis yet performs poorly in mild and chronic disease. Molecular diagnostics based on polymerase chain reaction and next-generation sequencing have transformed infectious disease detection and are beginning to support liquid biopsy approaches in oncology, although clinical validation in cats and dogs lags behind analytical proof of concept. Genomic panel testing has matured into a practical breeding and diagnostic tool but carries interpretive limitations related to variant penetrance and cross-breed extrapolation. Across all domains, the evidence base is constrained by small, single-centre cohorts, inconsistent reference intervals, limited external validation and an almost complete absence of formal biomarker-approval pathways specific to veterinary medicine. Future priorities include multicentre validation studies, standardised pre-analytical protocols, multimodal biomarker combinations and clearer regulatory frameworks for translating omics-derived candidates into clinical assays. The findings support cautious, mechanism-aware integration of molecular biomarkers into small animal practice rather than uncritical adoption.</w:t>
      </w:r>
    </w:p>
    <w:p w14:paraId="0EE43658" w14:textId="77777777" w:rsidR="00817E8E" w:rsidRPr="00930645" w:rsidRDefault="00000000">
      <w:pPr>
        <w:spacing w:after="200" w:line="276" w:lineRule="auto"/>
        <w:jc w:val="both"/>
        <w:rPr>
          <w:color w:val="000000" w:themeColor="text1"/>
        </w:rPr>
      </w:pPr>
      <w:r w:rsidRPr="00930645">
        <w:rPr>
          <w:rFonts w:ascii="Calibri" w:eastAsia="Calibri" w:hAnsi="Calibri" w:cs="Calibri"/>
          <w:b/>
          <w:bCs/>
          <w:color w:val="000000" w:themeColor="text1"/>
          <w:sz w:val="22"/>
          <w:szCs w:val="22"/>
        </w:rPr>
        <w:t xml:space="preserve">Keywords: </w:t>
      </w:r>
      <w:r w:rsidRPr="00930645">
        <w:rPr>
          <w:rFonts w:ascii="Calibri" w:eastAsia="Calibri" w:hAnsi="Calibri" w:cs="Calibri"/>
          <w:color w:val="000000" w:themeColor="text1"/>
          <w:sz w:val="22"/>
          <w:szCs w:val="22"/>
        </w:rPr>
        <w:t>veterinary biochemistry; molecular diagnostics; disease biomarkers; companion animal medicine; symmetric dimethylarginine; liquid biopsy; acute phase proteins</w:t>
      </w:r>
    </w:p>
    <w:p w14:paraId="64059824"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1. Introduction</w:t>
      </w:r>
    </w:p>
    <w:p w14:paraId="45AA8369"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Clinical biochemistry in companion animal medicine has traditionally relied on organ-function analytes such as creatinine, alanine aminotransferase and total bilirubin, whose diagnostic value is constrained by </w:t>
      </w:r>
      <w:r w:rsidRPr="00930645">
        <w:rPr>
          <w:rFonts w:ascii="Calibri" w:eastAsia="Calibri" w:hAnsi="Calibri" w:cs="Calibri"/>
          <w:color w:val="000000" w:themeColor="text1"/>
          <w:sz w:val="22"/>
          <w:szCs w:val="22"/>
        </w:rPr>
        <w:lastRenderedPageBreak/>
        <w:t>physiological reserve capacity: substantial tissue injury typically precedes any measurable rise in these markers. Over the past two decades this paradigm has been supplemented, and in some domains superseded, by molecular biomarkers capable of detecting biochemical, genomic or immunological perturbations that precede overt organ dysfunction. A biomarker, in the sense used throughout this review, is any substance, structure or process that can be objectively measured and evaluated as an indicator of a normal biological process, a pathogenic process, or a response to an intervention. This definition, adapted from human biomedical usage, has been applied with increasing rigour in veterinary contexts as commercial assay platforms, polymerase chain reaction (PCR) infrastructure and omics technologies have become accessible to referral and, in some cases, primary-care practice.</w:t>
      </w:r>
    </w:p>
    <w:p w14:paraId="3980397F"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clinical motivation for this expansion is straightforward. Dogs and cats frequently present with advanced disease because compensatory physiology masks early dysfunction and because owners may not detect subtle behavioural change. Chronic kidney disease, for example, is classically recognised only after a substantial proportion of functioning nephron mass has been lost, since serum creatinine is markedly influenced by lean body mass and remains within reference limits until glomerular filtration rate has fallen considerably. Biomarkers that shift the point of clinical recognition earlier in the disease trajectory carry direct implications for prognosis, therapeutic timing and client counselling.</w:t>
      </w:r>
    </w:p>
    <w:p w14:paraId="08A0FE7A" w14:textId="54015A20" w:rsidR="00912C37"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Three technological developments account for much of this shift. Immunoassay platforms validated in human medicine, including sandwich enzyme-linked immunosorbent assays and mass spectrometry-based quantification, have been adapted and cross-validated for species-specific matrices, generating assays for molecules such as symmetric dimethylarginine, N-terminal pro-B-type natriuretic peptide and pancreatic lipase immunoreactivity. Nucleic-acid amplification technologies, from conventional PCR to quantitative real-time PCR, droplet digital PCR and next-generation sequencing, have enabled pathogen detection, clonality assessment and mutation screening at a level of sensitivity unattainable by culture or serology alone. And high-throughput omics platforms, encompassing genomics, transcriptomics, proteomics and metabolomics, have generated large candidate-biomarker datasets from which a small number of analytes have progressed toward clinical translation, while the majority remain at a discovery or preliminary validation stage (Perera et al., 2022).</w:t>
      </w:r>
      <w:r w:rsidR="00045AB3">
        <w:rPr>
          <w:color w:val="000000" w:themeColor="text1"/>
        </w:rPr>
        <w:t xml:space="preserve"> </w:t>
      </w:r>
      <w:r w:rsidRPr="00045AB3">
        <w:rPr>
          <w:rFonts w:ascii="Calibri" w:hAnsi="Calibri"/>
          <w:bCs/>
          <w:sz w:val="22"/>
          <w:highlight w:val="yellow"/>
        </w:rPr>
        <w:t>Recent companion-animal studies illustrate both translational progress and the remaining evidentiary gap: next-generation sequencing of plasma cell-free DNA has demonstrated proof-of-concept feasibility for non-invasive cancer detection in cats (Ruiz-Perez et al., 2024), whereas serum proteomic profiling in effusive feline infectious peritonitis has generated candidate proteins that require further validation before clinical use (Moyadee et al., 2025). Concurrently, technical guidance for urinary microRNA studies and newly developed animal variant-classification guidelines emphasise that control of pre-analytical and analytical variation, together with transparent classification criteria, is necessary for reproducible interpretation and responsible clinical translation (Boeykens et al., 2024; Chu &amp; Nabity, 2025).</w:t>
      </w:r>
    </w:p>
    <w:p w14:paraId="234F4E63"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Despite this proliferation of candidate biomarkers, veterinary molecular diagnostics remains a fragmented field. Assay validation practices vary considerably between commercial laboratories and academic centres, reference intervals are frequently derived from small, geographically restricted populations, and formal regulatory approval pathways for novel biomarkers are largely absent outside the context of infectious-disease diagnostic kits. Several existing reviews have addressed individual biomarker classes in </w:t>
      </w:r>
      <w:r w:rsidRPr="00930645">
        <w:rPr>
          <w:rFonts w:ascii="Calibri" w:eastAsia="Calibri" w:hAnsi="Calibri" w:cs="Calibri"/>
          <w:color w:val="000000" w:themeColor="text1"/>
          <w:sz w:val="22"/>
          <w:szCs w:val="22"/>
        </w:rPr>
        <w:lastRenderedPageBreak/>
        <w:t>isolation, for example acute phase proteins (Cerón et al., 2005; Eckersall &amp; Bell, 2010), symmetric dimethylarginine (Relford et al., 2016), or oncology-specific molecular markers (Aupperle-Lellbach et al., 2024), and broader surveys have catalogued the omics technologies underlying biomarker discovery (Perera et al., 2022). What has been comparatively lacking is a single critical synthesis that places these biomarker classes in relation to one another, evaluates the strength and consistency of their supporting evidence using comparable methodological criteria, and identifies where the translational pathway from discovery to clinical adoption has succeeded, stalled, or been bypassed by commercial pressure. This review is intended to fill that gap.</w:t>
      </w:r>
    </w:p>
    <w:p w14:paraId="347EEB0E"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1.1 Scope, Research Gap and Objectives</w:t>
      </w:r>
    </w:p>
    <w:p w14:paraId="040C4FAE"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This review addresses molecular and biochemical biomarkers used for diagnosis, staging, prognosis and monitoring of naturally occurring disease in domestic dogs and cats, encompassing renal, cardiovascular, inflammatory, pancreatic, infectious and oncological applications, together with the genomic and omics technologies that underpin biomarker discovery. Livestock and equine biomarker literature is referenced only where it illuminates methodological or translational principles directly relevant to companion animal practice, since a comprehensive treatment of production-animal biomarkers would require separate consideration of herd-level epidemiology and food-safety regulation that fall outside the present scope. Biomarkers used exclusively for research purposes without any reported clinical application, and single-institution case reports lacking a defined denominator population, were considered background rather than primary evidence.</w:t>
      </w:r>
    </w:p>
    <w:p w14:paraId="675986A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specific knowledge gap addressed here is the absence of a cross-domain critical appraisal that evaluates veterinary molecular biomarkers against consistent standards of diagnostic accuracy reporting, reference-standard comparison and reproducibility, rather than summarising each biomarker class as an isolated technical achievement. Existing single-topic reviews rarely make explicit the degree to which apparently mature biomarkers, such as symmetric dimethylarginine or pancreatic lipase immunoreactivity, still carry meaningful diagnostic uncertainty in specific clinical scenarios, nor do they systematically compare the translational maturity of established biochemical assays against the still-preliminary state of most omics-derived candidates. The objectives of this review are therefore to characterise the current state of evidence for the most clinically established veterinary molecular biomarkers; to critically evaluate the methodological quality and consistency of the supporting literature; to compare the translational trajectories of biochemical, nucleic-acid-based and omics-derived biomarker classes; to identify recurring methodological weaknesses that limit confidence in current conclusions; and to propose defensible, prioritised directions for future research. Biomarkers relating exclusively to therapeutic drug monitoring, toxicology and nutritional status are excluded, as are wildlife and exotic species applications, in order to maintain a coherent focus on companion animal clinical diagnostics.</w:t>
      </w:r>
    </w:p>
    <w:p w14:paraId="708F703C"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2. Methods for Literature Selection</w:t>
      </w:r>
    </w:p>
    <w:p w14:paraId="49D19725"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2.1 Review Design and Rationale</w:t>
      </w:r>
    </w:p>
    <w:p w14:paraId="08A04F45"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lastRenderedPageBreak/>
        <w:t>A critical narrative review design was selected in preference to a systematic review, scoping review or meta-analysis because the subject matter spans multiple, methodologically heterogeneous biomarker classes (immunoassay-based analytes, nucleic-acid diagnostics and omics platforms) for which a single, prespecified quantitative synthesis question is neither available nor appropriate. Systematic review methodology suits a narrowly defined clinical question amenable to quantitative pooling of comparable studies; the present objective instead required integrative comparison across disparate evidence types, technology platforms and disease domains, together with critical commentary on translational maturity that a narrative framework accommodates more naturally (Sukhera, 2022). The review nonetheless incorporated structural elements more commonly associated with systematic approaches, including an explicit search strategy, defined eligibility criteria and transparent reporting of database coverage, consistent with contemporary guidance on rigorous narrative review conduct (Ferrari, 2015; Green et al., 2006). This hybrid approach does not confer the reproducibility or exhaustiveness of a systematic review; selection and interpretation remain subject to author judgement, a limitation discussed explicitly in the final section.</w:t>
      </w:r>
    </w:p>
    <w:p w14:paraId="090DC1F7"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2.2 Information Sources</w:t>
      </w:r>
    </w:p>
    <w:p w14:paraId="6FD6E789"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Literature was identified through PubMed/MEDLINE, Google Scholar, and targeted searches of Scopus abstract and citation records as accessible through standard web-based interfaces. Given the applied, clinically oriented nature of much veterinary biomarker literature, searches were supplemented with examination of open-access repositories including PubMed Central, publisher platforms (Wiley Online Library, Elsevier ScienceDirect, MDPI, Springer Nature, Oxford University Press, Nature Portfolio) and institutional or professional veterinary resources hosting peer-reviewed content. Backward citation searching was performed on key reviews and foundational validation studies to identify additional primary literature, and forward citation tracking was used to locate more recent studies building on seminal assays such as the original symmetric dimethylarginine validation study. Access to full subscription coverage of Web of Science, Embase and CAB Abstracts as dedicated indexing platforms was not independently confirmed during preparation of this review, and no claim is made that a comprehensive search of those specific databases was completed; where their coverage would ordinarily be expected to add material not captured by the sources above, this is acknowledged as a limitation.</w:t>
      </w:r>
    </w:p>
    <w:p w14:paraId="227D6590"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2.3 Search Strategy and Search Period</w:t>
      </w:r>
    </w:p>
    <w:p w14:paraId="3FAE0347"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Search concepts were built around four intersecting domains: the biomarker or analyte of interest (for example, “symmetric dimethylarginine”, “NT-proBNP”, “cardiac troponin I”, “C-reactive protein”, “serum amyloid A”, “pancreatic lipase immunoreactivity”, “circulating tumour DNA”, “microRNA”, “PCR for antigen receptor rearrangement”); the diagnostic or technological modality (“molecular diagnostics”, “next-generation sequencing”, “liquid biopsy”, “proteomics”, “metabolomics”, “genomic panel”); the species and clinical context (“dog” OR “canine”, “cat” OR “feline”, “chronic kidney disease”, “heart failure”, “pancreatitis”, “lymphoma”, “infectious peritonitis”); and terms capturing validation and performance (“sensitivity”, “specificity”, “diagnostic accuracy”, “reference interval”, “clinical utility”). A representative Boolean string took the form: (“symmetric dimethylarginine” OR “SDMA”) AND (dog OR </w:t>
      </w:r>
      <w:r w:rsidRPr="00930645">
        <w:rPr>
          <w:rFonts w:ascii="Calibri" w:eastAsia="Calibri" w:hAnsi="Calibri" w:cs="Calibri"/>
          <w:color w:val="000000" w:themeColor="text1"/>
          <w:sz w:val="22"/>
          <w:szCs w:val="22"/>
        </w:rPr>
        <w:lastRenderedPageBreak/>
        <w:t>canine OR cat OR feline) AND (“chronic kidney disease” OR “glomerular filtration rate”) AND (validation OR sensitivity OR specificity). Analogous strings were constructed for each biomarker domain listed above.</w:t>
      </w:r>
    </w:p>
    <w:p w14:paraId="11C09CF4"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search was concluded on 6 April 2026. Foundational studies published before the year 2000, including early characterisations of acute phase protein biology and pancreatic lipase immunoreactivity assay development, were included where necessary to establish historical and methodological context, but the evidentiary emphasis of the review is weighted toward literature published within the preceding fifteen years, reflecting the period during which most veterinary molecular biomarkers have undergone formal analytical and clinical validation.</w:t>
      </w:r>
    </w:p>
    <w:p w14:paraId="2551EE2C"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2.4 Eligibility Criteria</w:t>
      </w:r>
    </w:p>
    <w:p w14:paraId="532AC3EF"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Eligible publications comprised peer-reviewed original research articles, narrative and systematic reviews, and consensus or guideline statements addressing molecular or biochemical biomarkers of disease in dogs and cats, published in English. Studies were required to report a defined study population, an identifiable reference standard or comparator where diagnostic accuracy was claimed, and sufficient methodological detail to permit appraisal of study design. Preprints were excluded given the availability of peer-reviewed evidence across all biomarker domains addressed. Conference abstracts, non-peer-reviewed commercial white papers, patent filings other than where cited incidentally within a peer-reviewed article's reference list, and sources whose bibliographic identity could not be confirmed against an authoritative record (publisher page, PubMed, or Crossref) were excluded. Studies confined to species outside the dog and cat, or to biomarkers with no demonstrated or plausible companion-animal clinical application, were excluded unless cited for methodological illustration.</w:t>
      </w:r>
    </w:p>
    <w:p w14:paraId="2AAB7946"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2.5 Screening, Duplicate Handling and Study Selection</w:t>
      </w:r>
    </w:p>
    <w:p w14:paraId="0F5836EB"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Because this is a narrative rather than systematic review, no formal PRISMA-style flow diagram with enumerated screening counts is presented, and no claim of exhaustive, reproducible record-level screening is made. Candidate records identified through the search strategy described above were reviewed at title and abstract level for topical relevance to the defined scope, and full texts were retrieved for records meeting eligibility criteria. Duplicate records arising from overlapping search terms or multiple database representations of the same article were identified by matching digital object identifier, title and author list, and were consolidated to a single citation. Where a study was represented by more than one document type, the most complete and authoritative version available was used as the citation source. Non-English-language sources encountered during searching were not translated or included, which may have excluded relevant literature published in languages other than English, particularly from continental European veterinary journals; this restriction is acknowledged as a limitation.</w:t>
      </w:r>
    </w:p>
    <w:p w14:paraId="463F8999" w14:textId="77777777" w:rsidR="00817E8E" w:rsidRPr="00930645" w:rsidRDefault="00000000">
      <w:pPr>
        <w:pStyle w:val="Heading2"/>
        <w:spacing w:before="320" w:after="160"/>
        <w:rPr>
          <w:color w:val="000000" w:themeColor="text1"/>
        </w:rPr>
      </w:pPr>
      <w:r w:rsidRPr="00930645">
        <w:rPr>
          <w:rFonts w:ascii="Calibri" w:eastAsia="Calibri" w:hAnsi="Calibri" w:cs="Calibri"/>
          <w:b/>
          <w:bCs/>
          <w:color w:val="000000" w:themeColor="text1"/>
        </w:rPr>
        <w:t>2.6 Critical Appraisal and Evidence Synthesis</w:t>
      </w:r>
    </w:p>
    <w:p w14:paraId="0E8E7D37"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Each included primary study was appraised informally against criteria appropriate to its design: for diagnostic accuracy studies, the adequacy of the reference standard, sample size, spectrum of disease severity represented, and whether cut-off values were derived and validated in independent cohorts; for </w:t>
      </w:r>
      <w:r w:rsidRPr="00930645">
        <w:rPr>
          <w:rFonts w:ascii="Calibri" w:eastAsia="Calibri" w:hAnsi="Calibri" w:cs="Calibri"/>
          <w:color w:val="000000" w:themeColor="text1"/>
          <w:sz w:val="22"/>
          <w:szCs w:val="22"/>
        </w:rPr>
        <w:lastRenderedPageBreak/>
        <w:t>cohort and longitudinal studies, length of follow-up, loss to follow-up, and control for confounding variables such as lean body mass or concurrent disease; for omics-platform studies, replication, correction for multiple comparisons, and independent validation of candidate biomarkers. Formal standardised risk-of-bias instruments were not systematically applied across all included studies, since many fall outside the diagnostic accuracy study design for which such tools were developed, and applying a checklist without full access to underlying study protocols would risk conveying spurious precision, consistent with a narrative rather than systematic appraisal approach (Sukhera, 2022). Thematic synthesis was organised around biomarker class and organ system, with cross-cutting methodological themes, including reference interval variability, pre-analytical influences and translational bottlenecks, addressed in a dedicated integrative section. Where evidence was inconsistent across studies, both supporting and conflicting findings are represented rather than a single dominant interpretation being presented as consensus.</w:t>
      </w:r>
    </w:p>
    <w:p w14:paraId="0B66572A"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3. Renal Biomarkers: Symmetric Dimethylarginine and the Redefinition of Early Chronic Kidney Disease Detection</w:t>
      </w:r>
    </w:p>
    <w:p w14:paraId="702A91DD"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Chronic kidney disease affects a substantial proportion of ageing dogs and cats and has historically been recognised late in its course because serum creatinine is confounded by muscle mass, hydration status and extrarenal elimination, and typically does not rise above the reference interval until a considerable proportion of nephron function has been lost. Symmetric dimethylarginine (SDMA), a methylated arginine derivative generated during protein catabolism and eliminated almost exclusively by renal excretion, was proposed as an alternative early marker of glomerular filtration rate on the basis that its production and clearance depend less on muscle mass than creatinine.</w:t>
      </w:r>
    </w:p>
    <w:p w14:paraId="2C2AC08D"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foundational validation of SDMA as a clinical biomarker in dogs was reported by Nabity et al. (2015), who prospectively followed a colony of dogs with progressive X-linked hereditary nephropathy alongside unaffected littermates, comparing serially measured SDMA, serum creatinine and iohexol-clearance-derived glomerular filtration rate. In affected dogs, SDMA increased progressively and correlated strongly with declining glomerular filtration rate, becoming detectably abnormal earlier in disease progression than serum creatinine; on average, the authors reported that SDMA identified a mean reduction in glomerular filtration rate of less than twenty per cent, appreciably earlier than creatinine-based detection in the same cohort (Nabity et al., 2015). This study, together with parallel work in cats demonstrating an inverse linear relationship between SDMA and iohexol-clearance-derived glomerular filtration rate, underpinned the International Renal Interest Society's subsequent incorporation of SDMA into chronic kidney disease staging criteria. Analytical validation of automated SDMA assay platforms, including more recent immunoturbidometric methods intended for use on standard chemistry analysers, has continued to refine the precision and comparability of SDMA measurement across laboratory platforms (Mashego et al., 2025).</w:t>
      </w:r>
    </w:p>
    <w:p w14:paraId="7F299F09"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Subsequent large-scale, real-world data have refined understanding of how SDMA should be interpreted in practice, particularly at mildly elevated concentrations. Mack et al. (2021), analysing longitudinal records from over sixteen thousand cats and a comparable number of dogs, found that mild SDMA elevations (in the range of fifteen to nineteen micrograms per decilitre) persisted in only around half of </w:t>
      </w:r>
      <w:r w:rsidRPr="00930645">
        <w:rPr>
          <w:rFonts w:ascii="Calibri" w:eastAsia="Calibri" w:hAnsi="Calibri" w:cs="Calibri"/>
          <w:color w:val="000000" w:themeColor="text1"/>
          <w:sz w:val="22"/>
          <w:szCs w:val="22"/>
        </w:rPr>
        <w:lastRenderedPageBreak/>
        <w:t>cats and dogs on retesting, and that concordant creatinine elevation at the same time point occurred in a minority of these animals. The probability of a subsequently confirmed, concordant creatinine increase rose substantially with time and with the degree of initial SDMA elevation, reaching very high probabilities within two years for animals with markedly elevated initial SDMA, but remaining considerably lower for those with only borderline elevations (Mack et al., 2021). This finding tempers the initially optimistic narrative around SDMA as an unambiguous early-warning marker; the evidence instead supports interpreting mildly elevated SDMA as prompting closer monitoring and repeat testing rather than as diagnostic of chronic kidney disease in isolation. The apparent discrepancy between the enthusiasm of early validation work and the more cautious interpretation supported by longitudinal population data may reflect the difference between a controlled experimental model of progressive nephropathy, in which the trajectory toward renal failure is essentially guaranteed, and a heterogeneous clinical population in which transient, non-progressive elevations attributable to pre-analytical variability, extrarenal influences or non-progressive early disease are considerably more common.</w:t>
      </w:r>
    </w:p>
    <w:p w14:paraId="7AC716D9" w14:textId="77777777" w:rsidR="00817E8E" w:rsidRPr="00930645" w:rsidRDefault="00000000">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t>Confidence in SDMA is also qualified by evidence that factors other than glomerular filtration rate can influence its concentration, including body condition and diet, and that reference intervals derived from one population may not translate precisely to others. Reviews addressing renal biomarkers more broadly note that SDMA should be interpreted alongside, rather than as a wholesale replacement for, serum creatinine, urine specific gravity and clinical assessment, and that its principal incremental value lies in earlier detection of progressive disease and in monitoring animals with reduced lean body mass, in whom creatinine is a particularly unreliable indicator of renal function (Relford et al., 2016). Table 1 summarises the reported diagnostic performance of SDMA alongside the other established biomarkers discussed in this review. Overall, the evidence for SDMA is among the more methodologically robust in veterinary biomarker research, combining a mechanistically plausible physiological rationale, a controlled longitudinal validation study, and subsequent large-scale, real-world concordance data; the strength of evidence is considerably greater for its use in monitoring known or suspected chronic kidney disease than for its use as a stand-alone screening test in clinically healthy animals, where the positive predictive value of a mildly elevated result remains modest.</w:t>
      </w:r>
    </w:p>
    <w:p w14:paraId="42C48954" w14:textId="77777777" w:rsidR="00AE43A5" w:rsidRPr="00930645" w:rsidRDefault="00AE43A5" w:rsidP="00AE43A5">
      <w:pPr>
        <w:pStyle w:val="Heading3"/>
        <w:spacing w:before="320" w:after="160"/>
        <w:rPr>
          <w:color w:val="000000" w:themeColor="text1"/>
        </w:rPr>
      </w:pPr>
      <w:r w:rsidRPr="00930645">
        <w:rPr>
          <w:rFonts w:ascii="Calibri" w:eastAsia="Calibri" w:hAnsi="Calibri" w:cs="Calibri"/>
          <w:b/>
          <w:bCs/>
          <w:color w:val="000000" w:themeColor="text1"/>
        </w:rPr>
        <w:t>Table 1. Classification of molecular biomarkers reviewed, by organ system and clinical application.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500"/>
        <w:gridCol w:w="2400"/>
        <w:gridCol w:w="2000"/>
        <w:gridCol w:w="1700"/>
      </w:tblGrid>
      <w:tr w:rsidR="00AE43A5" w:rsidRPr="00930645" w14:paraId="34A3DDE6" w14:textId="77777777" w:rsidTr="00F3230C">
        <w:trPr>
          <w:tblHeader/>
        </w:trPr>
        <w:tc>
          <w:tcPr>
            <w:tcW w:w="1900" w:type="dxa"/>
            <w:shd w:val="clear" w:color="auto" w:fill="D9E2F3"/>
          </w:tcPr>
          <w:p w14:paraId="08D53728"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Biomarker</w:t>
            </w:r>
          </w:p>
        </w:tc>
        <w:tc>
          <w:tcPr>
            <w:tcW w:w="1500" w:type="dxa"/>
            <w:shd w:val="clear" w:color="auto" w:fill="D9E2F3"/>
          </w:tcPr>
          <w:p w14:paraId="76B1B2A0"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Organ/disease system</w:t>
            </w:r>
          </w:p>
        </w:tc>
        <w:tc>
          <w:tcPr>
            <w:tcW w:w="2400" w:type="dxa"/>
            <w:shd w:val="clear" w:color="auto" w:fill="D9E2F3"/>
          </w:tcPr>
          <w:p w14:paraId="1A1E8DB4"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Primary clinical application</w:t>
            </w:r>
          </w:p>
        </w:tc>
        <w:tc>
          <w:tcPr>
            <w:tcW w:w="2000" w:type="dxa"/>
            <w:shd w:val="clear" w:color="auto" w:fill="D9E2F3"/>
          </w:tcPr>
          <w:p w14:paraId="212EE352"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Assay type</w:t>
            </w:r>
          </w:p>
        </w:tc>
        <w:tc>
          <w:tcPr>
            <w:tcW w:w="1700" w:type="dxa"/>
            <w:shd w:val="clear" w:color="auto" w:fill="D9E2F3"/>
          </w:tcPr>
          <w:p w14:paraId="1ED38BB8"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Supporting references</w:t>
            </w:r>
          </w:p>
        </w:tc>
      </w:tr>
      <w:tr w:rsidR="00AE43A5" w:rsidRPr="00930645" w14:paraId="6E542010" w14:textId="77777777" w:rsidTr="00F3230C">
        <w:tc>
          <w:tcPr>
            <w:tcW w:w="1900" w:type="dxa"/>
          </w:tcPr>
          <w:p w14:paraId="0D84820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Symmetric dimethylarginine (SDMA)</w:t>
            </w:r>
          </w:p>
        </w:tc>
        <w:tc>
          <w:tcPr>
            <w:tcW w:w="1500" w:type="dxa"/>
          </w:tcPr>
          <w:p w14:paraId="2F7DB065"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Renal</w:t>
            </w:r>
          </w:p>
        </w:tc>
        <w:tc>
          <w:tcPr>
            <w:tcW w:w="2400" w:type="dxa"/>
          </w:tcPr>
          <w:p w14:paraId="03E4E8B7"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Early detection and monitoring of chronic kidney disease</w:t>
            </w:r>
          </w:p>
        </w:tc>
        <w:tc>
          <w:tcPr>
            <w:tcW w:w="2000" w:type="dxa"/>
          </w:tcPr>
          <w:p w14:paraId="7FC055A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Immunoturbidometric / LC-MS assay</w:t>
            </w:r>
          </w:p>
        </w:tc>
        <w:tc>
          <w:tcPr>
            <w:tcW w:w="1700" w:type="dxa"/>
          </w:tcPr>
          <w:p w14:paraId="10A3933C" w14:textId="77777777" w:rsidR="00AE43A5" w:rsidRPr="00930645" w:rsidRDefault="00AE43A5" w:rsidP="00F3230C">
            <w:pPr>
              <w:rPr>
                <w:color w:val="000000" w:themeColor="text1"/>
              </w:rPr>
            </w:pPr>
            <w:r w:rsidRPr="00AA7331">
              <w:rPr>
                <w:rFonts w:ascii="Calibri" w:eastAsia="Calibri" w:hAnsi="Calibri" w:cs="Calibri"/>
                <w:color w:val="000000" w:themeColor="text1"/>
                <w:sz w:val="18"/>
                <w:szCs w:val="18"/>
                <w:lang w:val="nl-BE"/>
              </w:rPr>
              <w:t xml:space="preserve">Nabity et al. (2015); Mack et al. (2021); Mashego et al. (2025); Relford et al. </w:t>
            </w:r>
            <w:r w:rsidRPr="00930645">
              <w:rPr>
                <w:rFonts w:ascii="Calibri" w:eastAsia="Calibri" w:hAnsi="Calibri" w:cs="Calibri"/>
                <w:color w:val="000000" w:themeColor="text1"/>
                <w:sz w:val="18"/>
                <w:szCs w:val="18"/>
              </w:rPr>
              <w:t>(2016)</w:t>
            </w:r>
          </w:p>
        </w:tc>
      </w:tr>
      <w:tr w:rsidR="00AE43A5" w:rsidRPr="00930645" w14:paraId="37D005E2" w14:textId="77777777" w:rsidTr="00F3230C">
        <w:tc>
          <w:tcPr>
            <w:tcW w:w="1900" w:type="dxa"/>
          </w:tcPr>
          <w:p w14:paraId="2C5EF9A7"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NT-proBNP; cardiac troponin I</w:t>
            </w:r>
          </w:p>
        </w:tc>
        <w:tc>
          <w:tcPr>
            <w:tcW w:w="1500" w:type="dxa"/>
          </w:tcPr>
          <w:p w14:paraId="529C4E9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Cardiovascular</w:t>
            </w:r>
          </w:p>
        </w:tc>
        <w:tc>
          <w:tcPr>
            <w:tcW w:w="2400" w:type="dxa"/>
          </w:tcPr>
          <w:p w14:paraId="5180B9C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Screening, dyspnoea triage, prognosis in heart disease</w:t>
            </w:r>
          </w:p>
        </w:tc>
        <w:tc>
          <w:tcPr>
            <w:tcW w:w="2000" w:type="dxa"/>
          </w:tcPr>
          <w:p w14:paraId="52649C01"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Quantitative and cage-side immunoassay</w:t>
            </w:r>
          </w:p>
        </w:tc>
        <w:tc>
          <w:tcPr>
            <w:tcW w:w="1700" w:type="dxa"/>
          </w:tcPr>
          <w:p w14:paraId="78C1A47B" w14:textId="77777777" w:rsidR="00AE43A5" w:rsidRPr="00930645" w:rsidRDefault="00AE43A5" w:rsidP="00F3230C">
            <w:pPr>
              <w:rPr>
                <w:color w:val="000000" w:themeColor="text1"/>
              </w:rPr>
            </w:pPr>
            <w:r w:rsidRPr="00AA7331">
              <w:rPr>
                <w:rFonts w:ascii="Calibri" w:eastAsia="Calibri" w:hAnsi="Calibri" w:cs="Calibri"/>
                <w:color w:val="000000" w:themeColor="text1"/>
                <w:sz w:val="18"/>
                <w:szCs w:val="18"/>
                <w:lang w:val="nl-BE"/>
              </w:rPr>
              <w:t xml:space="preserve">Langhorn &amp; Willesen (2016); de Lima &amp; Ferreira (2017); Luis Fuentes et al. </w:t>
            </w:r>
            <w:r w:rsidRPr="00930645">
              <w:rPr>
                <w:rFonts w:ascii="Calibri" w:eastAsia="Calibri" w:hAnsi="Calibri" w:cs="Calibri"/>
                <w:color w:val="000000" w:themeColor="text1"/>
                <w:sz w:val="18"/>
                <w:szCs w:val="18"/>
              </w:rPr>
              <w:t>(2020)</w:t>
            </w:r>
          </w:p>
        </w:tc>
      </w:tr>
      <w:tr w:rsidR="00AE43A5" w:rsidRPr="00930645" w14:paraId="090F0980" w14:textId="77777777" w:rsidTr="00F3230C">
        <w:tc>
          <w:tcPr>
            <w:tcW w:w="1900" w:type="dxa"/>
          </w:tcPr>
          <w:p w14:paraId="427E8B0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C-reactive protein; serum amyloid A</w:t>
            </w:r>
          </w:p>
        </w:tc>
        <w:tc>
          <w:tcPr>
            <w:tcW w:w="1500" w:type="dxa"/>
          </w:tcPr>
          <w:p w14:paraId="0BA8D39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Systemic inflammation</w:t>
            </w:r>
          </w:p>
        </w:tc>
        <w:tc>
          <w:tcPr>
            <w:tcW w:w="2400" w:type="dxa"/>
          </w:tcPr>
          <w:p w14:paraId="66CA9408"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Detection and serial monitoring of inflammatory disease</w:t>
            </w:r>
          </w:p>
        </w:tc>
        <w:tc>
          <w:tcPr>
            <w:tcW w:w="2000" w:type="dxa"/>
          </w:tcPr>
          <w:p w14:paraId="049DF5F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Immunoturbidimetric / ELISA</w:t>
            </w:r>
          </w:p>
        </w:tc>
        <w:tc>
          <w:tcPr>
            <w:tcW w:w="1700" w:type="dxa"/>
          </w:tcPr>
          <w:p w14:paraId="3AF2A0C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Cerón et al. (2005); Eckersall &amp; Bell (2010); Rossi et al. (2023)</w:t>
            </w:r>
          </w:p>
        </w:tc>
      </w:tr>
      <w:tr w:rsidR="00AE43A5" w:rsidRPr="00930645" w14:paraId="7D3315E1" w14:textId="77777777" w:rsidTr="00F3230C">
        <w:tc>
          <w:tcPr>
            <w:tcW w:w="1900" w:type="dxa"/>
          </w:tcPr>
          <w:p w14:paraId="20EC3C1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lastRenderedPageBreak/>
              <w:t>Pancreatic lipase immunoreactivity (cPLI/fPLI)</w:t>
            </w:r>
          </w:p>
        </w:tc>
        <w:tc>
          <w:tcPr>
            <w:tcW w:w="1500" w:type="dxa"/>
          </w:tcPr>
          <w:p w14:paraId="21CAB206"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Exocrine pancreas</w:t>
            </w:r>
          </w:p>
        </w:tc>
        <w:tc>
          <w:tcPr>
            <w:tcW w:w="2400" w:type="dxa"/>
          </w:tcPr>
          <w:p w14:paraId="781C5E5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Diagnosis and monitoring of pancreatitis</w:t>
            </w:r>
          </w:p>
        </w:tc>
        <w:tc>
          <w:tcPr>
            <w:tcW w:w="2000" w:type="dxa"/>
          </w:tcPr>
          <w:p w14:paraId="735BA7A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Species-specific ELISA / quantitative immunoassay</w:t>
            </w:r>
          </w:p>
        </w:tc>
        <w:tc>
          <w:tcPr>
            <w:tcW w:w="1700" w:type="dxa"/>
          </w:tcPr>
          <w:p w14:paraId="1E3BF50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Trivedi et al. (2011); Mitchell et al. (2024)</w:t>
            </w:r>
          </w:p>
        </w:tc>
      </w:tr>
      <w:tr w:rsidR="00AE43A5" w:rsidRPr="00930645" w14:paraId="266D3FB2" w14:textId="77777777" w:rsidTr="00F3230C">
        <w:tc>
          <w:tcPr>
            <w:tcW w:w="1900" w:type="dxa"/>
          </w:tcPr>
          <w:p w14:paraId="2BDB55DF"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FCoV RT-PCR</w:t>
            </w:r>
          </w:p>
        </w:tc>
        <w:tc>
          <w:tcPr>
            <w:tcW w:w="1500" w:type="dxa"/>
          </w:tcPr>
          <w:p w14:paraId="187A0CA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Infectious disease</w:t>
            </w:r>
          </w:p>
        </w:tc>
        <w:tc>
          <w:tcPr>
            <w:tcW w:w="2400" w:type="dxa"/>
          </w:tcPr>
          <w:p w14:paraId="1D45195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Antemortem diagnosis of feline infectious peritonitis</w:t>
            </w:r>
          </w:p>
        </w:tc>
        <w:tc>
          <w:tcPr>
            <w:tcW w:w="2000" w:type="dxa"/>
          </w:tcPr>
          <w:p w14:paraId="7EE93BC6"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Reverse-transcriptase PCR</w:t>
            </w:r>
          </w:p>
        </w:tc>
        <w:tc>
          <w:tcPr>
            <w:tcW w:w="1700" w:type="dxa"/>
          </w:tcPr>
          <w:p w14:paraId="54A704B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Simons et al. (2005)</w:t>
            </w:r>
          </w:p>
        </w:tc>
      </w:tr>
      <w:tr w:rsidR="00AE43A5" w:rsidRPr="00930645" w14:paraId="34B5ED56" w14:textId="77777777" w:rsidTr="00F3230C">
        <w:tc>
          <w:tcPr>
            <w:tcW w:w="1900" w:type="dxa"/>
          </w:tcPr>
          <w:p w14:paraId="4831474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PARR; circulating tumour DNA</w:t>
            </w:r>
          </w:p>
        </w:tc>
        <w:tc>
          <w:tcPr>
            <w:tcW w:w="1500" w:type="dxa"/>
          </w:tcPr>
          <w:p w14:paraId="2587A6A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Oncology</w:t>
            </w:r>
          </w:p>
        </w:tc>
        <w:tc>
          <w:tcPr>
            <w:tcW w:w="2400" w:type="dxa"/>
          </w:tcPr>
          <w:p w14:paraId="60109820"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Clonality assessment, minimal residual disease, liquid biopsy</w:t>
            </w:r>
          </w:p>
        </w:tc>
        <w:tc>
          <w:tcPr>
            <w:tcW w:w="2000" w:type="dxa"/>
          </w:tcPr>
          <w:p w14:paraId="77A8E67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PCR, droplet digital PCR</w:t>
            </w:r>
          </w:p>
        </w:tc>
        <w:tc>
          <w:tcPr>
            <w:tcW w:w="1700" w:type="dxa"/>
          </w:tcPr>
          <w:p w14:paraId="259DE063" w14:textId="77777777" w:rsidR="00AE43A5" w:rsidRPr="00930645" w:rsidRDefault="00AE43A5" w:rsidP="00F3230C">
            <w:pPr>
              <w:rPr>
                <w:color w:val="000000" w:themeColor="text1"/>
              </w:rPr>
            </w:pPr>
            <w:r w:rsidRPr="00AA7331">
              <w:rPr>
                <w:rFonts w:ascii="Calibri" w:eastAsia="Calibri" w:hAnsi="Calibri" w:cs="Calibri"/>
                <w:color w:val="000000" w:themeColor="text1"/>
                <w:sz w:val="18"/>
                <w:szCs w:val="18"/>
                <w:lang w:val="nl-BE"/>
              </w:rPr>
              <w:t xml:space="preserve">Prouteau et al. (2021); Kambayashi et al. </w:t>
            </w:r>
            <w:r w:rsidRPr="00930645">
              <w:rPr>
                <w:rFonts w:ascii="Calibri" w:eastAsia="Calibri" w:hAnsi="Calibri" w:cs="Calibri"/>
                <w:color w:val="000000" w:themeColor="text1"/>
                <w:sz w:val="18"/>
                <w:szCs w:val="18"/>
              </w:rPr>
              <w:t>(2024); Aupperle-Lellbach et al. (2024)</w:t>
            </w:r>
          </w:p>
        </w:tc>
      </w:tr>
      <w:tr w:rsidR="00AE43A5" w:rsidRPr="00930645" w14:paraId="732EAC4F" w14:textId="77777777" w:rsidTr="00F3230C">
        <w:tc>
          <w:tcPr>
            <w:tcW w:w="1900" w:type="dxa"/>
          </w:tcPr>
          <w:p w14:paraId="425EDEFF"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Circulating / urinary microRNA</w:t>
            </w:r>
          </w:p>
        </w:tc>
        <w:tc>
          <w:tcPr>
            <w:tcW w:w="1500" w:type="dxa"/>
          </w:tcPr>
          <w:p w14:paraId="4C9DC5E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Oncology</w:t>
            </w:r>
          </w:p>
        </w:tc>
        <w:tc>
          <w:tcPr>
            <w:tcW w:w="2400" w:type="dxa"/>
          </w:tcPr>
          <w:p w14:paraId="5BBE5D5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Discovery-stage diagnostic and prognostic markers</w:t>
            </w:r>
          </w:p>
        </w:tc>
        <w:tc>
          <w:tcPr>
            <w:tcW w:w="2000" w:type="dxa"/>
          </w:tcPr>
          <w:p w14:paraId="31101A2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qPCR, digital PCR</w:t>
            </w:r>
          </w:p>
        </w:tc>
        <w:tc>
          <w:tcPr>
            <w:tcW w:w="1700" w:type="dxa"/>
          </w:tcPr>
          <w:p w14:paraId="51C7A5C1" w14:textId="77777777" w:rsidR="00AE43A5" w:rsidRPr="00930645" w:rsidRDefault="00AE43A5" w:rsidP="00F3230C">
            <w:pPr>
              <w:rPr>
                <w:color w:val="000000" w:themeColor="text1"/>
              </w:rPr>
            </w:pPr>
            <w:r w:rsidRPr="00AA7331">
              <w:rPr>
                <w:rFonts w:ascii="Calibri" w:eastAsia="Calibri" w:hAnsi="Calibri" w:cs="Calibri"/>
                <w:color w:val="000000" w:themeColor="text1"/>
                <w:sz w:val="18"/>
                <w:szCs w:val="18"/>
                <w:lang w:val="nl-BE"/>
              </w:rPr>
              <w:t xml:space="preserve">Varvil et al. (2023); Karttunen et al. </w:t>
            </w:r>
            <w:r w:rsidRPr="00930645">
              <w:rPr>
                <w:rFonts w:ascii="Calibri" w:eastAsia="Calibri" w:hAnsi="Calibri" w:cs="Calibri"/>
                <w:color w:val="000000" w:themeColor="text1"/>
                <w:sz w:val="18"/>
                <w:szCs w:val="18"/>
              </w:rPr>
              <w:t>(2024); Kent et al. (2017)</w:t>
            </w:r>
          </w:p>
        </w:tc>
      </w:tr>
      <w:tr w:rsidR="00AE43A5" w:rsidRPr="00930645" w14:paraId="174D7004" w14:textId="77777777" w:rsidTr="00F3230C">
        <w:tc>
          <w:tcPr>
            <w:tcW w:w="1900" w:type="dxa"/>
          </w:tcPr>
          <w:p w14:paraId="609552A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Multiplex variant panels</w:t>
            </w:r>
          </w:p>
        </w:tc>
        <w:tc>
          <w:tcPr>
            <w:tcW w:w="1500" w:type="dxa"/>
          </w:tcPr>
          <w:p w14:paraId="5B9199F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Hereditary disease</w:t>
            </w:r>
          </w:p>
        </w:tc>
        <w:tc>
          <w:tcPr>
            <w:tcW w:w="2400" w:type="dxa"/>
          </w:tcPr>
          <w:p w14:paraId="7BCCF19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Breed-level risk screening, diagnostic confirmation</w:t>
            </w:r>
          </w:p>
        </w:tc>
        <w:tc>
          <w:tcPr>
            <w:tcW w:w="2000" w:type="dxa"/>
          </w:tcPr>
          <w:p w14:paraId="005C618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Genotyping microarray</w:t>
            </w:r>
          </w:p>
        </w:tc>
        <w:tc>
          <w:tcPr>
            <w:tcW w:w="1700" w:type="dxa"/>
          </w:tcPr>
          <w:p w14:paraId="73156841"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Donner et al. (2016)</w:t>
            </w:r>
          </w:p>
        </w:tc>
      </w:tr>
    </w:tbl>
    <w:p w14:paraId="10CF089F" w14:textId="77777777" w:rsidR="00AE43A5" w:rsidRPr="00930645" w:rsidRDefault="00AE43A5" w:rsidP="00AE43A5">
      <w:pPr>
        <w:spacing w:before="120" w:after="240"/>
        <w:rPr>
          <w:color w:val="000000" w:themeColor="text1"/>
        </w:rPr>
      </w:pPr>
      <w:r w:rsidRPr="00930645">
        <w:rPr>
          <w:rFonts w:ascii="Calibri" w:eastAsia="Calibri" w:hAnsi="Calibri" w:cs="Calibri"/>
          <w:i/>
          <w:iCs/>
          <w:color w:val="000000" w:themeColor="text1"/>
          <w:sz w:val="18"/>
          <w:szCs w:val="18"/>
        </w:rPr>
        <w:t>Note. LC-MS = liquid chromatography–mass spectrometry; ELISA = enzyme-linked immunosorbent assay; FCoV = feline coronavirus; PCR = polymerase chain reaction; PARR = PCR for antigen receptor rearrangement; qPCR = quantitative PCR.</w:t>
      </w:r>
    </w:p>
    <w:p w14:paraId="718A73F5" w14:textId="77777777" w:rsidR="00AE43A5" w:rsidRPr="00930645" w:rsidRDefault="00AE43A5">
      <w:pPr>
        <w:spacing w:after="200" w:line="276" w:lineRule="auto"/>
        <w:jc w:val="both"/>
        <w:rPr>
          <w:color w:val="000000" w:themeColor="text1"/>
        </w:rPr>
      </w:pPr>
    </w:p>
    <w:p w14:paraId="678F60AF"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4. Cardiac Biomarkers: Natriuretic Peptides and Troponins in Companion Animal Cardiology</w:t>
      </w:r>
    </w:p>
    <w:p w14:paraId="027CFBF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Two cardiac biomarkers have achieved sustained clinical use in canine and feline cardiology: cardiac troponin I (cTnI), a structural protein released from cardiomyocytes following myocyte injury or necrosis, and N-terminal pro-B-type natriuretic peptide (NT-proBNP), a neurohormone released in response to myocardial wall stretch or stress. These markers are frequently described as complementary rather than interchangeable, since cTnI functions mechanistically as a marker of myocardial injury while NT-proBNP functions as a marker of haemodynamic stress, and the two can be dissociated in specific clinical scenarios (Langhorn &amp; Willesen, 2016).</w:t>
      </w:r>
    </w:p>
    <w:p w14:paraId="0FDAAC71"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NT-proBNP has been most extensively studied as a tool for distinguishing cardiac from non-cardiac (typically respiratory) causes of dyspnoea in dogs and cats, and for identifying occult or subclinical cardiomyopathy in at-risk populations, including cats screened for hypertrophic cardiomyopathy and breeds screened for dilated cardiomyopathy. In dogs with myxomatous mitral valve disease, elevated NT-proBNP concentrations have been associated with increased risk of progression to congestive heart failure and with reduced survival, providing prognostic as well as diagnostic value; combining NT-proBNP with high-sensitivity cardiac troponin I measurement has been reported to improve the accuracy of risk stratification compared with either marker used alone (de Lima &amp; Ferreira, 2017). Despite this, NT-proBNP testing is explicitly not validated as a stand-alone diagnostic test: elevated results should prompt further investigation by echocardiography or thoracic radiography rather than being interpreted as confirmatory of a specific cardiac diagnosis, since NT-proBNP concentration reflects the degree of haemodynamic stress rather than its underlying anatomical cause, and can be elevated by non-cardiac conditions including renal dysfunction.</w:t>
      </w:r>
    </w:p>
    <w:p w14:paraId="531614A3"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lastRenderedPageBreak/>
        <w:t>Cardiac troponin I offers high analytical specificity for myocardial injury because the cardiac-specific isoform of troponin I does not cross-react with skeletal muscle troponin in validated assays, and because the amino acid sequence of cTnI shows sufficient homology across mammalian species that human clinical troponin immunoassays can be applied reliably to dogs and cats. Increases in cTnI concentration are broadly proportional to the severity of myocardial injury and have utility not only in primary cardiac disease but also in detecting myocardial involvement secondary to systemic conditions such as gastric dilatation-volvulus, systemic inflammatory response syndrome, and certain toxicities. However, cTnI, like NT-proBNP, lacks disease specificity: an elevated result indicates that myocardial injury has occurred but does not by itself indicate its cause, and reference intervals differ according to the specific assay platform used, complicating direct comparison of results reported by different laboratories.</w:t>
      </w:r>
    </w:p>
    <w:p w14:paraId="11229ACB"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2020 American College of Veterinary Internal Medicine consensus statement on feline cardiomyopathy classification incorporated biomarker testing, alongside echocardiography, as a component of a comprehensive diagnostic approach for cats with clinical signs suggestive of cardiac disease or with murmurs of uncertain significance, reflecting formal professional endorsement of NT-proBNP and cTnI as adjunctive, rather than replacement, diagnostic tools (Luis Fuentes et al., 2020). Point-of-care and cage-side qualitative assays for NT-proBNP have expanded accessibility of cardiac biomarker testing beyond referral centres, though qualitative assays necessarily sacrifice some of the granularity available from quantitative laboratory-based measurement, and the diagnostic accuracy reported for cage-side tests, while generally acceptable for ruling out clinically significant heart disease when negative, is less consistent for confirming disease when positive. Confidence in the clinical utility of cardiac biomarkers is consequently strongest for their role within a multimodal diagnostic pathway that includes imaging, and weaker when biomarker results are used in isolation to establish a specific cardiac diagnosis or to guide major treatment decisions without corroborating structural or functional evidence.</w:t>
      </w:r>
    </w:p>
    <w:p w14:paraId="77990E99"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5. Acute Phase Proteins as Inflammatory Biomarkers Across Species</w:t>
      </w:r>
    </w:p>
    <w:p w14:paraId="45D1EDE8"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Acute phase proteins (APPs) are plasma proteins whose hepatic synthesis is upregulated (positive APPs) or downregulated (negative APPs) in response to circulating proinflammatory cytokines, principally interleukin-6, interleukin-1β and tumour necrosis factor-α, following tissue injury, infection or neoplastic disease. Their clinical appeal lies in the fact that the acute phase response typically precedes measurable change in the leukogram, making APPs sensitive, if non-specific, early indicators of an inflammatory process (Cerón et al., 2005).</w:t>
      </w:r>
    </w:p>
    <w:p w14:paraId="21A0AD88"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There is marked species-specific divergence in which APPs function as major responders. In dogs, C-reactive protein (CRP) is the principal major acute phase protein, capable of increasing many-fold within twenty-four to forty-eight hours of an inflammatory stimulus and declining rapidly during recovery, which gives it particular value for serial monitoring of treatment response, for example following orthopaedic surgery or during management of bacterial pneumonia (Eckersall &amp; Bell, 2010). In cats, by contrast, serum amyloid A (SAA) is the dominant major acute phase protein, while CRP behaves as only a minor responder with limited diagnostic value in this species; α1-acid glycoprotein occupies a distinct niche in feline medicine owing to its particular elevation in feline infectious peritonitis, a context in which it can assist in </w:t>
      </w:r>
      <w:r w:rsidRPr="00930645">
        <w:rPr>
          <w:rFonts w:ascii="Calibri" w:eastAsia="Calibri" w:hAnsi="Calibri" w:cs="Calibri"/>
          <w:color w:val="000000" w:themeColor="text1"/>
          <w:sz w:val="22"/>
          <w:szCs w:val="22"/>
        </w:rPr>
        <w:lastRenderedPageBreak/>
        <w:t>raising diagnostic suspicion when interpreted alongside effusion characteristics and coronavirus testing (Rossi et al., 2023).</w:t>
      </w:r>
    </w:p>
    <w:p w14:paraId="2C2E027D"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principal strength of APP testing lies in monitoring rather than in initial diagnosis: because CRP and SAA respond rapidly and decline predictably with resolution of the underlying inflammatory stimulus, serial measurement can objectively track response to antimicrobial therapy, detect postoperative infectious complications before they become clinically obvious, and provide an early signal of disease relapse in conditions such as canine leishmaniasis, where an acute phase index has been used to track therapeutic response. The principal limitation, emphasised consistently across the literature, is a near-complete absence of disease specificity: an elevated CRP or SAA concentration confirms that a systemic inflammatory process is present but provides no information about its cause, meaning that APPs cannot substitute for aetiological diagnosis and must be interpreted within the context of history, clinical examination and, where indicated, targeted testing for infectious, immune-mediated or neoplastic disease. Analytical considerations also warrant attention: several immunoturbidimetric and enzyme-linked immunosorbent assay platforms exist for canine CRP and feline SAA, and while cross-platform correlation is generally acceptable, absolute values are not always directly interchangeable between assay methods, which can complicate longitudinal comparison of results obtained from different laboratories over the course of a chronic illness.</w:t>
      </w:r>
    </w:p>
    <w:p w14:paraId="7C224535"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6. Pancreatic Lipase Immunoreactivity and the Biochemical Diagnosis of Pancreatitis</w:t>
      </w:r>
    </w:p>
    <w:p w14:paraId="49C5ED40"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Pancreatitis in dogs and cats has historically been diagnostically challenging because clinical signs are non-specific, conventional serum amylase and lipase activity assays lack adequate specificity, and histopathology, while considered the reference standard, is invasive and subject to sampling variability given the focal and patchy nature of pancreatic lesions. The development of immunoassays specific for pancreatic lipase, quantified as canine or feline pancreatic lipase immunoreactivity (cPLI or fPLI, marketed under trade names including Spec cPL and SNAP cPL), addressed the specificity limitation by exploiting an epitope structure unique to lipase originating from pancreatic acinar cells.</w:t>
      </w:r>
    </w:p>
    <w:p w14:paraId="492B98C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In a frequently cited histopathology-controlled study, Trivedi et al. (2011) evaluated Spec cPL alongside trypsin-like immunoreactivity, amylase and lipase activity against a semiquantitative histopathological grading scheme in seventy dogs. Sensitivity of the pancreatic lipase immunoreactivity assay for mild pancreatitis was found to be considerably lower than for moderate-to-severe disease, with the authors reporting sensitivities in the region of twenty to seventy per cent depending on disease severity and the cut-off value applied, while specificity when only strictly normal pancreata were included as controls approached one hundred per cent at the higher of the two evaluated cut-offs (Trivedi et al., 2011). This pattern, of markedly higher sensitivity for moderate-to-severe than for mild pancreatitis, has been replicated across subsequent studies and is now generally accepted as a defining characteristic of the assay's diagnostic performance, distinguishing it clearly from the earlier, less specific enzyme-activity tests it replaced.</w:t>
      </w:r>
    </w:p>
    <w:p w14:paraId="2890CCAE"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lastRenderedPageBreak/>
        <w:t>Serial cPLI measurement has additionally been explored as a tool for monitoring disease progression during hospitalisation, with reductions in serum cPLI concentration during treatment generally associated with clinical improvement, although the utility of serial cPLI as a formally validated objective monitoring tool, independent of clinical assessment, has been described as requiring further investigation (Mitchell et al., 2024). A comparative analysis of the three principal commercial cPL platforms in current use found generally acceptable concordance between methods, supporting interchangeable clinical use, though minor discrepancies at the margins of the diagnostic cut-off were noted and warrant caution when comparing serial results measured on different platforms.</w:t>
      </w:r>
    </w:p>
    <w:p w14:paraId="56090680"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evidence for pancreatic lipase immunoreactivity is therefore strong for the diagnosis of moderate-to-severe acute pancreatitis, where sensitivity and specificity are both high relative to histopathology, but considerably weaker for chronic pancreatitis and for mild or early acute disease, where sensitivity falls substantially and false-negative results are common. This limitation has direct clinical significance because chronic pancreatitis, particularly in cats, may present with a more indolent and less biochemically dramatic course than acute disease, meaning that a normal cPLI or fPLI result cannot be relied upon to exclude clinically important pancreatic disease, and integration with abdominal ultrasonography remains necessary in equivocal cases.</w:t>
      </w:r>
    </w:p>
    <w:p w14:paraId="334B4DCB"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7. Molecular Diagnostics for Infectious Disease: PCR, RT-PCR and Next-Generation Sequencing</w:t>
      </w:r>
    </w:p>
    <w:p w14:paraId="6AF430CC"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Nucleic-acid-based diagnostics have transformed the detection of infectious pathogens in veterinary medicine by offering sensitivity and turnaround times unattainable by culture, and specificity superior to serology where cross-reactivity or prior exposure confounds antibody-based testing. Feline infectious peritonitis (FIP) exemplifies both the value and the persisting limitations of PCR-based diagnosis. Because FIP arises from an in vivo biotype shift of feline coronavirus (FCoV) from a relatively avirulent enteric form to a virulent, macrophage-tropic form, and because the two biotypes cannot be reliably distinguished serologically, reverse-transcriptase PCR (RT-PCR) targeting either conserved viral genes or specific spike-gene mutations associated with the virulent biotype has become central to antemortem diagnosis. An early messenger RNA RT-PCR assay targeting FCoV replication within peripheral blood mononuclear cells demonstrated a specificity of approximately ninety-five per cent among healthy cats, with roughly ninety-three per cent of cats with post-mortem-confirmed FIP testing positive, indicating good discriminatory performance in a population enriched for genuinely diseased and genuinely healthy animals (Simons et al., 2005). Subsequent evaluation of real-time RT-PCR assays targeting specific spike-gene mutations reported considerably more modest sensitivity when applied to effusion samples, in the range of sixty to seventy per cent, alongside high but imperfect specificity, and confirmed that serum or plasma samples are poorly suited to this application owing to low circulating viral load. Comparative work assessing concordance between histology, immunohistochemistry and nested RT-PCR across multiple organs found that sensitivity of each individual method varied considerably by tissue type, and recommended that RT-PCR results be corroborated by immunohistochemistry where diagnostic certainty is required. Taken together, this evidence indicates that molecular FCoV testing has advanced FIP diagnosis substantially beyond serology alone, but that no single molecular assay currently offers sufficient combined sensitivity </w:t>
      </w:r>
      <w:r w:rsidRPr="00930645">
        <w:rPr>
          <w:rFonts w:ascii="Calibri" w:eastAsia="Calibri" w:hAnsi="Calibri" w:cs="Calibri"/>
          <w:color w:val="000000" w:themeColor="text1"/>
          <w:sz w:val="22"/>
          <w:szCs w:val="22"/>
        </w:rPr>
        <w:lastRenderedPageBreak/>
        <w:t>and specificity to be used as a stand-alone diagnostic test; integration with clinical presentation, effusion analysis and, where feasible, immunohistochemistry remains necessary.</w:t>
      </w:r>
    </w:p>
    <w:p w14:paraId="3500E9F6"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Beyond FIP, PCR-based assays underpin routine detection of numerous canine and feline pathogens, including vector-borne organisms, respiratory pathogens and gastrointestinal parasites, and quantitative real-time PCR platforms have enabled monitoring of pathogen burden during treatment in addition to initial diagnosis. Next-generation sequencing (NGS) technologies, including targeted amplicon sequencing and metagenomic sequencing, extend this capability further by enabling simultaneous detection of multiple or unexpected pathogens without prior specification of the organism sought, an approach of particular value in culture-negative or diagnostically obscure infections. Targeted NGS panels have demonstrated advantages for detecting animal pathogens where broad, simultaneous screening is clinically useful, and isothermal amplification techniques have supported the development of point-of-care molecular testing suited to resource-limited or field settings, including outbreak screening on livestock premises. Metagenomic NGS approaches, while more extensively validated in human clinical microbiology to date, are increasingly discussed as a translational opportunity for veterinary diagnostics, particularly for immunocompromised or critically ill patients in whom conventional culture-based diagnosis fails to identify a causative organism; however, veterinary-specific clinical validation of metagenomic NGS, including turnaround time, cost-effectiveness and comparative diagnostic yield against conventional testing, remains considerably less developed than the corresponding human-medicine literature, and translation of this technology into routine companion animal practice should be regarded as emerging rather than established.</w:t>
      </w:r>
    </w:p>
    <w:p w14:paraId="7F1C52E9"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8. Molecular Oncology: Genomic Alterations, microRNA and Liquid Biopsy in Companion Animal Cancer</w:t>
      </w:r>
    </w:p>
    <w:p w14:paraId="7CA5BEF5"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Molecular oncology represents one of the most rapidly expanding domains of veterinary biomarker research, driven both by direct clinical need in companion animal cancer management and by the recognised value of naturally occurring canine and feline tumours as comparative models for human oncology. Molecular biomarkers in this context are somatic or germline genomic alterations that can be ascertained from tumour tissue or body fluids and used as diagnostic, prognostic, predictive or screening tools (Aupperle-Lellbach et al., 2024).</w:t>
      </w:r>
    </w:p>
    <w:p w14:paraId="7D9BC931"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PCR for antigen receptor rearrangement (PARR), which detects clonal rearrangement of immunoglobulin heavy-chain or T-cell receptor genes, is among the most established molecular oncology assays in veterinary practice, providing a means of distinguishing clonal (neoplastic) from polyclonal (reactive) lymphoid populations in cases of canine lymphoma where cytological or histopathological diagnosis is equivocal. Real-time PCR-based clonality assays using melting curve analysis have reported sensitivities in the region of seventy to eighty per cent and specificities above ninety per cent for detecting monoclonal rearrangement in lymph node and blood samples from dogs with lymphoma, figures that, while useful, indicate that a negative PARR result does not reliably exclude lymphoma and must be interpreted alongside cytological or histopathological findings.</w:t>
      </w:r>
    </w:p>
    <w:p w14:paraId="5C82574F"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lastRenderedPageBreak/>
        <w:t>Liquid biopsy approaches, which analyse cell-free or circulating tumour DNA (ctDNA) obtained from blood rather than requiring invasive tissue sampling, represent a more recent extension of molecular oncology into minimally invasive diagnosis and monitoring. Prouteau et al. (2021) applied droplet digital PCR and PARR to plasma samples from dogs with histiocytic sarcoma, oral malignant melanoma and multicentric lymphoma, detecting ctDNA in the substantial majority of histiocytic sarcoma and lymphoma cases but in only a minority of oral melanoma cases, and reported that screening for a recurrent PTPN11 mutation in plasma achieved specificity approaching ninety-nine per cent, albeit with sensitivity that varied considerably according to the anatomical presentation of disease, being higher in visceral and pulmonary forms of histiocytic sarcoma than in more localised presentations. Complementary work using plasma cell-free DNA for PARR-based genotyping in canine lymphoma found that dogs with lymphoma had markedly higher plasma cell-free DNA concentrations than healthy controls, supporting the feasibility of cell-free DNA as a genotyping substrate even where formal diagnostic sensitivity and specificity for lymphoma detection itself require further validation (Kambayashi et al., 2024). These findings collectively indicate that ctDNA-based liquid biopsy is analytically feasible and shows promising specificity for detecting tumour-associated genomic alterations in dogs, but that sensitivity is inconsistent across tumour types and disease burden, meaning that liquid biopsy at its current stage of development is better positioned as a complementary tool, particularly for monitoring known disease or detecting minimal residual disease, than as a stand-alone screening test.</w:t>
      </w:r>
    </w:p>
    <w:p w14:paraId="0F5C4AF1" w14:textId="77777777" w:rsidR="00817E8E" w:rsidRPr="00930645" w:rsidRDefault="00000000">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t>MicroRNAs (miRNAs), small non-coding RNA molecules that regulate gene expression post-transcriptionally, constitute a further expanding biomarker category in veterinary oncology owing to their tissue- and disease-specific expression patterns and their stability in body fluids including serum, plasma and urine. A comprehensive literature review identified a substantial and growing body of canine miRNA research, but noted a significant lack of standardisation in quantification methodology and reference gene selection across studies, a methodological inconsistency that complicates direct comparison of reported expression changes between research groups; individual candidate biomarkers reported within this literature include circulating miRNAs associated with mammary carcinoma and urinary extracellular-vesicle-derived miRNAs associated with urothelial carcinoma, though effect sizes and diagnostic accuracy figures vary appreciably between the underlying primary studies (Varvil et al., 2023). Urinary extracellular vesicle-derived miR-182, miR-221 and miR-222 have specifically been proposed as candidate biomarkers for canine urothelial carcinoma (Karttunen et al., 2024), while blood- and urine-based miRNA profiling has also been explored for transitional cell carcinoma of the bladder (Kent et al., 2017). Despite these promising individual results, the miRNA biomarker literature in veterinary oncology remains predominantly at the discovery and preliminary validation stage: sample sizes in most studies are modest, independent external validation cohorts are uncommon, and no miRNA-based assay has yet achieved the degree of standardised, cross-laboratory validation that characterises more established biomarkers such as cPLI or SDMA. Broader technological reviews of molecular tools available for canine cancer diagnosis reinforce this assessment, characterising the field as one of substantial technical innovation outpacing clinical validation (Kehl et al., 2024).</w:t>
      </w:r>
    </w:p>
    <w:p w14:paraId="62B3BFD6" w14:textId="77777777" w:rsidR="00AE43A5" w:rsidRPr="00930645" w:rsidRDefault="00AE43A5">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t xml:space="preserve">Table 2 collects the reported sensitivity and specificity figures for the biomarkers discussed above against their respective reference standards, and the pattern across rows is instructive in itself. No biomarker in </w:t>
      </w:r>
      <w:r w:rsidRPr="00930645">
        <w:rPr>
          <w:rFonts w:ascii="Calibri" w:eastAsia="Calibri" w:hAnsi="Calibri" w:cs="Calibri"/>
          <w:color w:val="000000" w:themeColor="text1"/>
          <w:sz w:val="22"/>
          <w:szCs w:val="22"/>
        </w:rPr>
        <w:lastRenderedPageBreak/>
        <w:t>the table achieves high sensitivity and high specificity simultaneously across all disease presentations: SDMA detects renal functional decline earlier than creatinine but is not reducible to a single sensitivity/specificity pair because its performance is expressed relative to a continuous physiological measure rather than a binary disease state (Nabity et al., 2015; Mack et al., 2021); Spec cPL and the FCoV mRNA RT-PCR assay both show specificity exceeding ninety per cent but diverge sharply in sensitivity depending on disease severity and sample type (Trivedi et al., 2011; Simons et al., 2005); and the PTPN11 circulating tumour DNA assay for histiocytic sarcoma illustrates the most extreme version of this trade-off, with specificity near ninety-nine per cent alongside sensitivity that swings from roughly forty to over seventy per cent purely as a function of anatomical disease presentation (Prouteau et al., 2021). Read together, these figures argue against treating any single sensitivity/specificity pair as a fixed property of the biomarker itself; each value is conditional on the population, disease stage and specimen type in which it was derived, and the consistent asymmetry toward higher specificity than sensitivity across the table indicates that these tests are, in general, better suited to confirming disease already suspected on clinical grounds than to excluding it when negative.</w:t>
      </w:r>
    </w:p>
    <w:p w14:paraId="24D36F1A" w14:textId="77777777" w:rsidR="00AE43A5" w:rsidRPr="00930645" w:rsidRDefault="00AE43A5" w:rsidP="00AE43A5">
      <w:pPr>
        <w:pStyle w:val="Heading3"/>
        <w:spacing w:before="320" w:after="160"/>
        <w:rPr>
          <w:color w:val="000000" w:themeColor="text1"/>
        </w:rPr>
      </w:pPr>
      <w:r w:rsidRPr="00930645">
        <w:rPr>
          <w:rFonts w:ascii="Calibri" w:eastAsia="Calibri" w:hAnsi="Calibri" w:cs="Calibri"/>
          <w:b/>
          <w:bCs/>
          <w:color w:val="000000" w:themeColor="text1"/>
        </w:rPr>
        <w:t>Table 2. Reported diagnostic performance of established biomarkers relative to a defined reference standard.</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63"/>
        <w:gridCol w:w="1719"/>
        <w:gridCol w:w="1471"/>
        <w:gridCol w:w="1265"/>
        <w:gridCol w:w="1939"/>
        <w:gridCol w:w="1643"/>
      </w:tblGrid>
      <w:tr w:rsidR="00AE43A5" w:rsidRPr="00930645" w14:paraId="6ADF2D25" w14:textId="77777777" w:rsidTr="00F3230C">
        <w:trPr>
          <w:tblHeader/>
        </w:trPr>
        <w:tc>
          <w:tcPr>
            <w:tcW w:w="1500" w:type="dxa"/>
            <w:shd w:val="clear" w:color="auto" w:fill="D9E2F3"/>
          </w:tcPr>
          <w:p w14:paraId="5E5A03AC"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Biomarker</w:t>
            </w:r>
          </w:p>
        </w:tc>
        <w:tc>
          <w:tcPr>
            <w:tcW w:w="1500" w:type="dxa"/>
            <w:shd w:val="clear" w:color="auto" w:fill="D9E2F3"/>
          </w:tcPr>
          <w:p w14:paraId="3E4BC569"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Reference standard</w:t>
            </w:r>
          </w:p>
        </w:tc>
        <w:tc>
          <w:tcPr>
            <w:tcW w:w="1500" w:type="dxa"/>
            <w:shd w:val="clear" w:color="auto" w:fill="D9E2F3"/>
          </w:tcPr>
          <w:p w14:paraId="7BE12482"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Reported sensitivity</w:t>
            </w:r>
          </w:p>
        </w:tc>
        <w:tc>
          <w:tcPr>
            <w:tcW w:w="1300" w:type="dxa"/>
            <w:shd w:val="clear" w:color="auto" w:fill="D9E2F3"/>
          </w:tcPr>
          <w:p w14:paraId="0742877E"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Reported specificity</w:t>
            </w:r>
          </w:p>
        </w:tc>
        <w:tc>
          <w:tcPr>
            <w:tcW w:w="2000" w:type="dxa"/>
            <w:shd w:val="clear" w:color="auto" w:fill="D9E2F3"/>
          </w:tcPr>
          <w:p w14:paraId="1E548E6B"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Notable caveat</w:t>
            </w:r>
          </w:p>
        </w:tc>
        <w:tc>
          <w:tcPr>
            <w:tcW w:w="1700" w:type="dxa"/>
            <w:shd w:val="clear" w:color="auto" w:fill="D9E2F3"/>
          </w:tcPr>
          <w:p w14:paraId="2CE867B4"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Supporting references</w:t>
            </w:r>
          </w:p>
        </w:tc>
      </w:tr>
      <w:tr w:rsidR="00AE43A5" w:rsidRPr="00930645" w14:paraId="3EAA0AE3" w14:textId="77777777" w:rsidTr="00F3230C">
        <w:tc>
          <w:tcPr>
            <w:tcW w:w="1500" w:type="dxa"/>
          </w:tcPr>
          <w:p w14:paraId="0ED3CC98"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SDMA (dogs)</w:t>
            </w:r>
          </w:p>
        </w:tc>
        <w:tc>
          <w:tcPr>
            <w:tcW w:w="1500" w:type="dxa"/>
          </w:tcPr>
          <w:p w14:paraId="6E5CA946"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Iohexol-clearance GFR</w:t>
            </w:r>
          </w:p>
        </w:tc>
        <w:tc>
          <w:tcPr>
            <w:tcW w:w="1500" w:type="dxa"/>
          </w:tcPr>
          <w:p w14:paraId="73D6DC4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Detected ~&lt;20% GFR reduction before creatinine</w:t>
            </w:r>
          </w:p>
        </w:tc>
        <w:tc>
          <w:tcPr>
            <w:tcW w:w="1300" w:type="dxa"/>
          </w:tcPr>
          <w:p w14:paraId="14CCDDA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Not reported as a binary figure</w:t>
            </w:r>
          </w:p>
        </w:tc>
        <w:tc>
          <w:tcPr>
            <w:tcW w:w="2000" w:type="dxa"/>
          </w:tcPr>
          <w:p w14:paraId="1260AF2F"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Mild elevations often non-persistent</w:t>
            </w:r>
          </w:p>
        </w:tc>
        <w:tc>
          <w:tcPr>
            <w:tcW w:w="1700" w:type="dxa"/>
          </w:tcPr>
          <w:p w14:paraId="222D4B2F" w14:textId="77777777" w:rsidR="00AE43A5" w:rsidRPr="00930645" w:rsidRDefault="00AE43A5" w:rsidP="00F3230C">
            <w:pPr>
              <w:rPr>
                <w:color w:val="000000" w:themeColor="text1"/>
              </w:rPr>
            </w:pPr>
            <w:r w:rsidRPr="00AA7331">
              <w:rPr>
                <w:rFonts w:ascii="Calibri" w:eastAsia="Calibri" w:hAnsi="Calibri" w:cs="Calibri"/>
                <w:color w:val="000000" w:themeColor="text1"/>
                <w:sz w:val="18"/>
                <w:szCs w:val="18"/>
                <w:lang w:val="nl-BE"/>
              </w:rPr>
              <w:t xml:space="preserve">Nabity et al. (2015); Mack et al. </w:t>
            </w:r>
            <w:r w:rsidRPr="00930645">
              <w:rPr>
                <w:rFonts w:ascii="Calibri" w:eastAsia="Calibri" w:hAnsi="Calibri" w:cs="Calibri"/>
                <w:color w:val="000000" w:themeColor="text1"/>
                <w:sz w:val="18"/>
                <w:szCs w:val="18"/>
              </w:rPr>
              <w:t>(2021)</w:t>
            </w:r>
          </w:p>
        </w:tc>
      </w:tr>
      <w:tr w:rsidR="00AE43A5" w:rsidRPr="00930645" w14:paraId="7F86B948" w14:textId="77777777" w:rsidTr="00F3230C">
        <w:tc>
          <w:tcPr>
            <w:tcW w:w="1500" w:type="dxa"/>
          </w:tcPr>
          <w:p w14:paraId="1C7084E1"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Spec cPL (moderate–severe canine pancreatitis)</w:t>
            </w:r>
          </w:p>
        </w:tc>
        <w:tc>
          <w:tcPr>
            <w:tcW w:w="1500" w:type="dxa"/>
          </w:tcPr>
          <w:p w14:paraId="23A65A1F"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Histopathology</w:t>
            </w:r>
          </w:p>
        </w:tc>
        <w:tc>
          <w:tcPr>
            <w:tcW w:w="1500" w:type="dxa"/>
          </w:tcPr>
          <w:p w14:paraId="3FDC1B7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~71%</w:t>
            </w:r>
          </w:p>
        </w:tc>
        <w:tc>
          <w:tcPr>
            <w:tcW w:w="1300" w:type="dxa"/>
          </w:tcPr>
          <w:p w14:paraId="7A15C97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~86–100%</w:t>
            </w:r>
          </w:p>
        </w:tc>
        <w:tc>
          <w:tcPr>
            <w:tcW w:w="2000" w:type="dxa"/>
          </w:tcPr>
          <w:p w14:paraId="30DFC1E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Sensitivity falls sharply in mild disease</w:t>
            </w:r>
          </w:p>
        </w:tc>
        <w:tc>
          <w:tcPr>
            <w:tcW w:w="1700" w:type="dxa"/>
          </w:tcPr>
          <w:p w14:paraId="131DF68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Trivedi et al. (2011)</w:t>
            </w:r>
          </w:p>
        </w:tc>
      </w:tr>
      <w:tr w:rsidR="00AE43A5" w:rsidRPr="00930645" w14:paraId="47DB47B1" w14:textId="77777777" w:rsidTr="00F3230C">
        <w:tc>
          <w:tcPr>
            <w:tcW w:w="1500" w:type="dxa"/>
          </w:tcPr>
          <w:p w14:paraId="6E7EFA1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FCoV mRNA RT-PCR (PBMC)</w:t>
            </w:r>
          </w:p>
        </w:tc>
        <w:tc>
          <w:tcPr>
            <w:tcW w:w="1500" w:type="dxa"/>
          </w:tcPr>
          <w:p w14:paraId="184E073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Post-mortem confirmation</w:t>
            </w:r>
          </w:p>
        </w:tc>
        <w:tc>
          <w:tcPr>
            <w:tcW w:w="1500" w:type="dxa"/>
          </w:tcPr>
          <w:p w14:paraId="0477E3B6"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~93%</w:t>
            </w:r>
          </w:p>
        </w:tc>
        <w:tc>
          <w:tcPr>
            <w:tcW w:w="1300" w:type="dxa"/>
          </w:tcPr>
          <w:p w14:paraId="066773F8"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~95%</w:t>
            </w:r>
          </w:p>
        </w:tc>
        <w:tc>
          <w:tcPr>
            <w:tcW w:w="2000" w:type="dxa"/>
          </w:tcPr>
          <w:p w14:paraId="49D8A31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Poor performance in serum/plasma samples</w:t>
            </w:r>
          </w:p>
        </w:tc>
        <w:tc>
          <w:tcPr>
            <w:tcW w:w="1700" w:type="dxa"/>
          </w:tcPr>
          <w:p w14:paraId="16F4C94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Simons et al. (2005)</w:t>
            </w:r>
          </w:p>
        </w:tc>
      </w:tr>
      <w:tr w:rsidR="00AE43A5" w:rsidRPr="00930645" w14:paraId="13376676" w14:textId="77777777" w:rsidTr="00F3230C">
        <w:tc>
          <w:tcPr>
            <w:tcW w:w="1500" w:type="dxa"/>
          </w:tcPr>
          <w:p w14:paraId="425A3E66"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PARR melting-curve clonality assay</w:t>
            </w:r>
          </w:p>
        </w:tc>
        <w:tc>
          <w:tcPr>
            <w:tcW w:w="1500" w:type="dxa"/>
          </w:tcPr>
          <w:p w14:paraId="1B18948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Immunohistochemistry / clinical diagnosis</w:t>
            </w:r>
          </w:p>
        </w:tc>
        <w:tc>
          <w:tcPr>
            <w:tcW w:w="1500" w:type="dxa"/>
          </w:tcPr>
          <w:p w14:paraId="19064E0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~79%</w:t>
            </w:r>
          </w:p>
        </w:tc>
        <w:tc>
          <w:tcPr>
            <w:tcW w:w="1300" w:type="dxa"/>
          </w:tcPr>
          <w:p w14:paraId="21ECB76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~93%</w:t>
            </w:r>
          </w:p>
        </w:tc>
        <w:tc>
          <w:tcPr>
            <w:tcW w:w="2000" w:type="dxa"/>
          </w:tcPr>
          <w:p w14:paraId="114538E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Negative result does not exclude lymphoma</w:t>
            </w:r>
          </w:p>
        </w:tc>
        <w:tc>
          <w:tcPr>
            <w:tcW w:w="1700" w:type="dxa"/>
          </w:tcPr>
          <w:p w14:paraId="27A5804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Real-time PARR literature discussed in Section 8</w:t>
            </w:r>
          </w:p>
        </w:tc>
      </w:tr>
      <w:tr w:rsidR="00AE43A5" w:rsidRPr="00930645" w14:paraId="5B61F91D" w14:textId="77777777" w:rsidTr="00F3230C">
        <w:tc>
          <w:tcPr>
            <w:tcW w:w="1500" w:type="dxa"/>
          </w:tcPr>
          <w:p w14:paraId="4F626C9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ctDNA (PTPN11) for histiocytic sarcoma</w:t>
            </w:r>
          </w:p>
        </w:tc>
        <w:tc>
          <w:tcPr>
            <w:tcW w:w="1500" w:type="dxa"/>
          </w:tcPr>
          <w:p w14:paraId="0DECF81C"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Clinical / histopathological diagnosis</w:t>
            </w:r>
          </w:p>
        </w:tc>
        <w:tc>
          <w:tcPr>
            <w:tcW w:w="1500" w:type="dxa"/>
          </w:tcPr>
          <w:p w14:paraId="56F70B6F"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~43–77% (presentation-dependent)</w:t>
            </w:r>
          </w:p>
        </w:tc>
        <w:tc>
          <w:tcPr>
            <w:tcW w:w="1300" w:type="dxa"/>
          </w:tcPr>
          <w:p w14:paraId="5E7E832E"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~99%</w:t>
            </w:r>
          </w:p>
        </w:tc>
        <w:tc>
          <w:tcPr>
            <w:tcW w:w="2000" w:type="dxa"/>
          </w:tcPr>
          <w:p w14:paraId="367B5E18"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Sensitivity strongly dependent on disease site</w:t>
            </w:r>
          </w:p>
        </w:tc>
        <w:tc>
          <w:tcPr>
            <w:tcW w:w="1700" w:type="dxa"/>
          </w:tcPr>
          <w:p w14:paraId="35D58527"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Prouteau et al. (2021)</w:t>
            </w:r>
          </w:p>
        </w:tc>
      </w:tr>
    </w:tbl>
    <w:p w14:paraId="589EC678" w14:textId="77777777" w:rsidR="00AE43A5" w:rsidRPr="00930645" w:rsidRDefault="00AE43A5" w:rsidP="00AE43A5">
      <w:pPr>
        <w:spacing w:before="120" w:after="240"/>
        <w:rPr>
          <w:color w:val="000000" w:themeColor="text1"/>
        </w:rPr>
      </w:pPr>
      <w:r w:rsidRPr="00930645">
        <w:rPr>
          <w:rFonts w:ascii="Calibri" w:eastAsia="Calibri" w:hAnsi="Calibri" w:cs="Calibri"/>
          <w:i/>
          <w:iCs/>
          <w:color w:val="000000" w:themeColor="text1"/>
          <w:sz w:val="18"/>
          <w:szCs w:val="18"/>
        </w:rPr>
        <w:t>Note. GFR = glomerular filtration rate; PBMC = peripheral blood mononuclear cells; ctDNA = circulating tumour DNA. Figures are drawn from the individual cited studies and should not be extrapolated beyond the populations and disease severities in which they were derived.</w:t>
      </w:r>
    </w:p>
    <w:p w14:paraId="5E30C9E0"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9. Omics Platforms and the Discovery Pipeline: Genomics, Proteomics and Metabolomics</w:t>
      </w:r>
    </w:p>
    <w:p w14:paraId="10BD7FE1"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The biomarkers discussed in the preceding sections did not emerge in isolation; the majority originated from, or have been substantially extended by, high-throughput omics platforms that generate large candidate datasets from which individual analytes are subsequently selected for targeted validation. Genomic approaches, including whole-genome and targeted next-generation sequencing and RNA sequencing, identify disease-associated mutations, gene expression signatures and structural variants; proteomic approaches, employing liquid chromatography coupled with tandem mass spectrometry and </w:t>
      </w:r>
      <w:r w:rsidRPr="00930645">
        <w:rPr>
          <w:rFonts w:ascii="Calibri" w:eastAsia="Calibri" w:hAnsi="Calibri" w:cs="Calibri"/>
          <w:color w:val="000000" w:themeColor="text1"/>
          <w:sz w:val="22"/>
          <w:szCs w:val="22"/>
        </w:rPr>
        <w:lastRenderedPageBreak/>
        <w:t>difference gel electrophoresis, characterise differential protein expression across health and disease states; and metabolomic approaches, using nuclear magnetic resonance spectroscopy alongside gas or liquid chromatography-mass spectrometry, profile small-molecule metabolic perturbations associated with disease processes (Perera et al., 2022).</w:t>
      </w:r>
    </w:p>
    <w:p w14:paraId="50DF849F"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A comprehensive review of biomarker discovery technologies in animal disease noted that proteomics currently occupies the most advanced position among the omics platforms in terms of clinical translation, benefiting from well-established downstream protein-detection methods that can be deployed in clinical laboratory settings once a candidate biomarker has been identified, whereas metabolomics, despite considerable promise particularly for metabolic disease phenotyping, has yet to develop universally agreed methodological standards for biomarker discovery, complicating cross-study comparison and slowing translational progress (Perera et al., 2022). Table 3 sets out the principal omics platforms, their characteristic methods, and their representative applications and limitations in veterinary biomarker discovery.</w:t>
      </w:r>
    </w:p>
    <w:p w14:paraId="29EFB635" w14:textId="77777777" w:rsidR="00817E8E" w:rsidRPr="00930645" w:rsidRDefault="00000000">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t>A recurring and clinically consequential theme across omics-platform reviews is the observation that the majority of veterinary biomarkers identified through these technologies are at preliminary stages of development and are not yet ready for clinical translation (Perera et al., 2022). Several structural barriers account for this pattern. Many proteomic and metabolomic assays require specialised instrumentation and technical expertise not routinely available outside research or reference laboratory settings, limiting their practical deployment as clinical diagnostics regardless of underlying analytical merit. Reagents and calibration standards for many candidate protein biomarkers are species-specific, complicating the economies of scale that support commercial assay development compared with human medicine, where a single assay can be marketed across a vastly larger patient population. Furthermore, formal regulatory pathways for approving novel veterinary molecular biomarkers, particularly those derived from proteomic or metabolomic platforms rather than infectious-disease diagnostic kits, are poorly developed relative to human in vitro diagnostics regulation. The consequence is that promising candidate biomarkers identified through omics discovery studies frequently do not progress beyond a small number of validation publications, irrespective of their underlying biological plausibility, because the infrastructure required for standardisation, external validation and regulatory translation is lacking.</w:t>
      </w:r>
    </w:p>
    <w:p w14:paraId="6C2DDF0D" w14:textId="77777777" w:rsidR="00AE43A5" w:rsidRPr="00930645" w:rsidRDefault="00AE43A5" w:rsidP="00AE43A5">
      <w:pPr>
        <w:pStyle w:val="Heading3"/>
        <w:spacing w:before="320" w:after="160"/>
        <w:rPr>
          <w:color w:val="000000" w:themeColor="text1"/>
        </w:rPr>
      </w:pPr>
      <w:r w:rsidRPr="00930645">
        <w:rPr>
          <w:rFonts w:ascii="Calibri" w:eastAsia="Calibri" w:hAnsi="Calibri" w:cs="Calibri"/>
          <w:b/>
          <w:bCs/>
          <w:color w:val="000000" w:themeColor="text1"/>
        </w:rPr>
        <w:t>Table 3. Omics platforms used in veterinary biomarker discovery.</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18"/>
        <w:gridCol w:w="2084"/>
        <w:gridCol w:w="1996"/>
        <w:gridCol w:w="2085"/>
        <w:gridCol w:w="1517"/>
      </w:tblGrid>
      <w:tr w:rsidR="00AE43A5" w:rsidRPr="00930645" w14:paraId="564DB6E4" w14:textId="77777777" w:rsidTr="00F3230C">
        <w:trPr>
          <w:tblHeader/>
        </w:trPr>
        <w:tc>
          <w:tcPr>
            <w:tcW w:w="1900" w:type="dxa"/>
            <w:shd w:val="clear" w:color="auto" w:fill="D9E2F3"/>
          </w:tcPr>
          <w:p w14:paraId="36D2E0B9"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Platform</w:t>
            </w:r>
          </w:p>
        </w:tc>
        <w:tc>
          <w:tcPr>
            <w:tcW w:w="2200" w:type="dxa"/>
            <w:shd w:val="clear" w:color="auto" w:fill="D9E2F3"/>
          </w:tcPr>
          <w:p w14:paraId="5303DB5E"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Characteristic methods</w:t>
            </w:r>
          </w:p>
        </w:tc>
        <w:tc>
          <w:tcPr>
            <w:tcW w:w="2100" w:type="dxa"/>
            <w:shd w:val="clear" w:color="auto" w:fill="D9E2F3"/>
          </w:tcPr>
          <w:p w14:paraId="56038DE6"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Representative application</w:t>
            </w:r>
          </w:p>
        </w:tc>
        <w:tc>
          <w:tcPr>
            <w:tcW w:w="2200" w:type="dxa"/>
            <w:shd w:val="clear" w:color="auto" w:fill="D9E2F3"/>
          </w:tcPr>
          <w:p w14:paraId="616787D8"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Principal limitation</w:t>
            </w:r>
          </w:p>
        </w:tc>
        <w:tc>
          <w:tcPr>
            <w:tcW w:w="1600" w:type="dxa"/>
            <w:shd w:val="clear" w:color="auto" w:fill="D9E2F3"/>
          </w:tcPr>
          <w:p w14:paraId="5BD35AC2" w14:textId="77777777" w:rsidR="00AE43A5" w:rsidRPr="00930645" w:rsidRDefault="00AE43A5" w:rsidP="00F3230C">
            <w:pPr>
              <w:rPr>
                <w:color w:val="000000" w:themeColor="text1"/>
              </w:rPr>
            </w:pPr>
            <w:r w:rsidRPr="00930645">
              <w:rPr>
                <w:rFonts w:ascii="Calibri" w:eastAsia="Calibri" w:hAnsi="Calibri" w:cs="Calibri"/>
                <w:b/>
                <w:bCs/>
                <w:color w:val="000000" w:themeColor="text1"/>
                <w:sz w:val="18"/>
                <w:szCs w:val="18"/>
              </w:rPr>
              <w:t>Supporting references</w:t>
            </w:r>
          </w:p>
        </w:tc>
      </w:tr>
      <w:tr w:rsidR="00AE43A5" w:rsidRPr="00930645" w14:paraId="2C00D106" w14:textId="77777777" w:rsidTr="00F3230C">
        <w:tc>
          <w:tcPr>
            <w:tcW w:w="1900" w:type="dxa"/>
          </w:tcPr>
          <w:p w14:paraId="7E6E30AD"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Genomics / transcriptomics</w:t>
            </w:r>
          </w:p>
        </w:tc>
        <w:tc>
          <w:tcPr>
            <w:tcW w:w="2200" w:type="dxa"/>
          </w:tcPr>
          <w:p w14:paraId="644E539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Whole-genome and targeted NGS, RNA-Seq</w:t>
            </w:r>
          </w:p>
        </w:tc>
        <w:tc>
          <w:tcPr>
            <w:tcW w:w="2100" w:type="dxa"/>
          </w:tcPr>
          <w:p w14:paraId="2BEA5DC4"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Hereditary variant panels, tumour mutation profiling</w:t>
            </w:r>
          </w:p>
        </w:tc>
        <w:tc>
          <w:tcPr>
            <w:tcW w:w="2200" w:type="dxa"/>
          </w:tcPr>
          <w:p w14:paraId="591BF6BA"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High cost of comprehensive sequencing at scale</w:t>
            </w:r>
          </w:p>
        </w:tc>
        <w:tc>
          <w:tcPr>
            <w:tcW w:w="1600" w:type="dxa"/>
          </w:tcPr>
          <w:p w14:paraId="20D52533" w14:textId="77777777" w:rsidR="00AE43A5" w:rsidRPr="00930645" w:rsidRDefault="00AE43A5" w:rsidP="00F3230C">
            <w:pPr>
              <w:rPr>
                <w:color w:val="000000" w:themeColor="text1"/>
              </w:rPr>
            </w:pPr>
            <w:r w:rsidRPr="00AA7331">
              <w:rPr>
                <w:rFonts w:ascii="Calibri" w:eastAsia="Calibri" w:hAnsi="Calibri" w:cs="Calibri"/>
                <w:color w:val="000000" w:themeColor="text1"/>
                <w:sz w:val="18"/>
                <w:szCs w:val="18"/>
                <w:lang w:val="nl-BE"/>
              </w:rPr>
              <w:t xml:space="preserve">Perera et al. (2022); Donner et al. </w:t>
            </w:r>
            <w:r w:rsidRPr="00930645">
              <w:rPr>
                <w:rFonts w:ascii="Calibri" w:eastAsia="Calibri" w:hAnsi="Calibri" w:cs="Calibri"/>
                <w:color w:val="000000" w:themeColor="text1"/>
                <w:sz w:val="18"/>
                <w:szCs w:val="18"/>
              </w:rPr>
              <w:t>(2016)</w:t>
            </w:r>
          </w:p>
        </w:tc>
      </w:tr>
      <w:tr w:rsidR="00AE43A5" w:rsidRPr="00930645" w14:paraId="4668C9DF" w14:textId="77777777" w:rsidTr="00F3230C">
        <w:tc>
          <w:tcPr>
            <w:tcW w:w="1900" w:type="dxa"/>
          </w:tcPr>
          <w:p w14:paraId="365F8F3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Proteomics</w:t>
            </w:r>
          </w:p>
        </w:tc>
        <w:tc>
          <w:tcPr>
            <w:tcW w:w="2200" w:type="dxa"/>
          </w:tcPr>
          <w:p w14:paraId="0B055DF7"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LC-MS/MS, difference gel electrophoresis</w:t>
            </w:r>
          </w:p>
        </w:tc>
        <w:tc>
          <w:tcPr>
            <w:tcW w:w="2100" w:type="dxa"/>
          </w:tcPr>
          <w:p w14:paraId="67F27650"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Candidate protein biomarker discovery</w:t>
            </w:r>
          </w:p>
        </w:tc>
        <w:tc>
          <w:tcPr>
            <w:tcW w:w="2200" w:type="dxa"/>
          </w:tcPr>
          <w:p w14:paraId="5BB1D3FF"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Most translatable platform, but species-specific reagents constrain scale-up</w:t>
            </w:r>
          </w:p>
        </w:tc>
        <w:tc>
          <w:tcPr>
            <w:tcW w:w="1600" w:type="dxa"/>
          </w:tcPr>
          <w:p w14:paraId="501EBDE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Perera et al. (2022)</w:t>
            </w:r>
          </w:p>
        </w:tc>
      </w:tr>
      <w:tr w:rsidR="00AE43A5" w:rsidRPr="00930645" w14:paraId="539E61B1" w14:textId="77777777" w:rsidTr="00F3230C">
        <w:tc>
          <w:tcPr>
            <w:tcW w:w="1900" w:type="dxa"/>
          </w:tcPr>
          <w:p w14:paraId="3D154043"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Metabolomics</w:t>
            </w:r>
          </w:p>
        </w:tc>
        <w:tc>
          <w:tcPr>
            <w:tcW w:w="2200" w:type="dxa"/>
          </w:tcPr>
          <w:p w14:paraId="734F126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NMR spectroscopy, GC-MS, LC-MS</w:t>
            </w:r>
          </w:p>
        </w:tc>
        <w:tc>
          <w:tcPr>
            <w:tcW w:w="2100" w:type="dxa"/>
          </w:tcPr>
          <w:p w14:paraId="3B828909"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Metabolic disease phenotyping</w:t>
            </w:r>
          </w:p>
        </w:tc>
        <w:tc>
          <w:tcPr>
            <w:tcW w:w="2200" w:type="dxa"/>
          </w:tcPr>
          <w:p w14:paraId="19CFE2F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Lack of standardised methodological consensus</w:t>
            </w:r>
          </w:p>
        </w:tc>
        <w:tc>
          <w:tcPr>
            <w:tcW w:w="1600" w:type="dxa"/>
          </w:tcPr>
          <w:p w14:paraId="57438050"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Perera et al. (2022)</w:t>
            </w:r>
          </w:p>
        </w:tc>
      </w:tr>
      <w:tr w:rsidR="00AE43A5" w:rsidRPr="00930645" w14:paraId="75E09B3F" w14:textId="77777777" w:rsidTr="00F3230C">
        <w:tc>
          <w:tcPr>
            <w:tcW w:w="1900" w:type="dxa"/>
          </w:tcPr>
          <w:p w14:paraId="7E169AF7"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Nucleic-acid diagnostics</w:t>
            </w:r>
          </w:p>
        </w:tc>
        <w:tc>
          <w:tcPr>
            <w:tcW w:w="2200" w:type="dxa"/>
          </w:tcPr>
          <w:p w14:paraId="4443E380"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PCR, RT-PCR, ddPCR, NGS</w:t>
            </w:r>
          </w:p>
        </w:tc>
        <w:tc>
          <w:tcPr>
            <w:tcW w:w="2100" w:type="dxa"/>
          </w:tcPr>
          <w:p w14:paraId="7B7B8362"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Pathogen detection, clonality, liquid biopsy</w:t>
            </w:r>
          </w:p>
        </w:tc>
        <w:tc>
          <w:tcPr>
            <w:tcW w:w="2200" w:type="dxa"/>
          </w:tcPr>
          <w:p w14:paraId="4C6C374B" w14:textId="77777777" w:rsidR="00AE43A5" w:rsidRPr="00930645" w:rsidRDefault="00AE43A5" w:rsidP="00F3230C">
            <w:pPr>
              <w:rPr>
                <w:color w:val="000000" w:themeColor="text1"/>
              </w:rPr>
            </w:pPr>
            <w:r w:rsidRPr="00930645">
              <w:rPr>
                <w:rFonts w:ascii="Calibri" w:eastAsia="Calibri" w:hAnsi="Calibri" w:cs="Calibri"/>
                <w:color w:val="000000" w:themeColor="text1"/>
                <w:sz w:val="18"/>
                <w:szCs w:val="18"/>
              </w:rPr>
              <w:t>Variable sensitivity outside high disease burden</w:t>
            </w:r>
          </w:p>
        </w:tc>
        <w:tc>
          <w:tcPr>
            <w:tcW w:w="1600" w:type="dxa"/>
          </w:tcPr>
          <w:p w14:paraId="6E921947" w14:textId="77777777" w:rsidR="00AE43A5" w:rsidRPr="00930645" w:rsidRDefault="00AE43A5" w:rsidP="00F3230C">
            <w:pPr>
              <w:rPr>
                <w:color w:val="000000" w:themeColor="text1"/>
              </w:rPr>
            </w:pPr>
            <w:r w:rsidRPr="00AA7331">
              <w:rPr>
                <w:rFonts w:ascii="Calibri" w:eastAsia="Calibri" w:hAnsi="Calibri" w:cs="Calibri"/>
                <w:color w:val="000000" w:themeColor="text1"/>
                <w:sz w:val="18"/>
                <w:szCs w:val="18"/>
                <w:lang w:val="nl-BE"/>
              </w:rPr>
              <w:t xml:space="preserve">Simons et al. (2005); Prouteau et al. </w:t>
            </w:r>
            <w:r w:rsidRPr="00930645">
              <w:rPr>
                <w:rFonts w:ascii="Calibri" w:eastAsia="Calibri" w:hAnsi="Calibri" w:cs="Calibri"/>
                <w:color w:val="000000" w:themeColor="text1"/>
                <w:sz w:val="18"/>
                <w:szCs w:val="18"/>
              </w:rPr>
              <w:t>(2021)</w:t>
            </w:r>
          </w:p>
        </w:tc>
      </w:tr>
    </w:tbl>
    <w:p w14:paraId="44B0B3CD" w14:textId="77777777" w:rsidR="00AE43A5" w:rsidRPr="00930645" w:rsidRDefault="00AE43A5" w:rsidP="00AE43A5">
      <w:pPr>
        <w:spacing w:before="120" w:after="240"/>
        <w:rPr>
          <w:color w:val="000000" w:themeColor="text1"/>
        </w:rPr>
      </w:pPr>
      <w:r w:rsidRPr="00930645">
        <w:rPr>
          <w:rFonts w:ascii="Calibri" w:eastAsia="Calibri" w:hAnsi="Calibri" w:cs="Calibri"/>
          <w:i/>
          <w:iCs/>
          <w:color w:val="000000" w:themeColor="text1"/>
          <w:sz w:val="18"/>
          <w:szCs w:val="18"/>
        </w:rPr>
        <w:lastRenderedPageBreak/>
        <w:t>Note. NGS = next-generation sequencing; LC-MS/MS = liquid chromatography with tandem mass spectrometry; NMR = nuclear magnetic resonance; GC-MS = gas chromatography-mass spectrometry; ddPCR = droplet digital PCR.</w:t>
      </w:r>
    </w:p>
    <w:p w14:paraId="49EE9950" w14:textId="77777777" w:rsidR="00AE43A5" w:rsidRPr="00930645" w:rsidRDefault="00AE43A5">
      <w:pPr>
        <w:spacing w:after="200" w:line="276" w:lineRule="auto"/>
        <w:jc w:val="both"/>
        <w:rPr>
          <w:color w:val="000000" w:themeColor="text1"/>
        </w:rPr>
      </w:pPr>
    </w:p>
    <w:p w14:paraId="617C63BC"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10. Genetic Panel Testing and Hereditary Disease Screening</w:t>
      </w:r>
    </w:p>
    <w:p w14:paraId="7C0AFCAF"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Genomic diagnostics in companion animal medicine extend beyond somatic tumour genomics into germline hereditary disease screening, an application that has matured considerably as multiplex genotyping technology has become cost-effective enough for population-scale deployment. Donner et al. (2016) demonstrated the practical utility of comprehensive genetic panel screening by testing nearly seven thousand dogs, representing approximately two hundred and thirty breeds, for ninety-three disease-associated genetic variants using a custom genotyping microarray; in addition to confirming known breed-disease associations, the study identified fifteen previously undocumented risk variants across thirty-four breeds, several of which were followed up to demonstrate clinical relevance (Donner et al., 2016). This finding illustrates a genuinely useful discovery function of large-scale panel screening: the identification of risk variants segregating in breeds where they had not previously been recognised, with direct implications for both veterinary diagnosis in individual affected animals and informed breeding selection at the population level.</w:t>
      </w:r>
    </w:p>
    <w:p w14:paraId="4C8CBA2A"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The clinical and interpretive value of genetic panel testing nonetheless depends heavily on the strength of evidence underlying each individual variant included in a panel. Proposed standards for canine clinical genetic testing laboratories emphasise that inclusion of a variant on a diagnostic panel should require evidence of significant co-segregation with the disease or trait in question, ideally replicated across multiple pedigrees or breeds, together with functional evidence where available, and that laboratories should report the analytical sensitivity and specificity of the assay used to detect each variant. This is a meaningful methodological caution, because panels assembled primarily by aggregating previously published single-variant discovery studies risk including variants whose original association was identified in a single small pedigree and has not been independently replicated, a pattern well recognised in human clinical genetics as a source of false-positive risk attribution. Clinical utility, defined as the ability of a test result to meaningfully inform diagnosis, prognosis, treatment or breeding decisions, is therefore not automatically conferred by analytical validity alone, and responsible interpretation of genetic panel results requires practitioners to distinguish variants with robust, breed-validated penetrance data from those included on the basis of more limited discovery-cohort evidence. Given this caveat, genetic panel testing represents one of the more operationally mature molecular diagnostic technologies in companion animal practice, with an established commercial infrastructure and demonstrated capacity to inform both individual clinical management and population-level breeding decisions, while still requiring careful, variant-specific evidentiary scrutiny rather than uniform confidence across an entire panel.</w:t>
      </w:r>
    </w:p>
    <w:p w14:paraId="4DCEA903"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11. Cross-Cutting Methodological and Translational Challenges</w:t>
      </w:r>
    </w:p>
    <w:p w14:paraId="0C36A412"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Several methodological themes recur across the biomarker domains reviewed above and warrant explicit synthesis because they shape how much confidence can reasonably be placed in the field as a whole, </w:t>
      </w:r>
      <w:r w:rsidRPr="00930645">
        <w:rPr>
          <w:rFonts w:ascii="Calibri" w:eastAsia="Calibri" w:hAnsi="Calibri" w:cs="Calibri"/>
          <w:color w:val="000000" w:themeColor="text1"/>
          <w:sz w:val="22"/>
          <w:szCs w:val="22"/>
        </w:rPr>
        <w:lastRenderedPageBreak/>
        <w:t>rather than in any single biomarker considered in isolation. Table 4 draws these limitations together alongside their principal supporting sources.</w:t>
      </w:r>
    </w:p>
    <w:p w14:paraId="2741010F"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Reference interval derivation is frequently based on modest, single-institution or single-manufacturer populations, and cross-population transportability of published cut-off values cannot be assumed; this is evident in the SDMA literature, where population-level concordance data derived from a large, largely North American, insured-pet population has substantially refined interpretation of results originally established in smaller experimental cohorts. Pre-analytical variability, encompassing sample handling, storage stability and assay platform differences, meaningfully affects several of the biomarkers reviewed, including acute phase proteins measured across differing immunoturbidimetric platforms and pancreatic lipase immunoreactivity compared across commercial assay formats; while cross-platform concordance is generally acceptable for clinical purposes, it is rarely perfect, and serial monitoring of an individual patient using different assay platforms over time introduces a source of interpretive uncertainty that is not always explicitly acknowledged in clinical practice. Diagnostic accuracy for nearly every biomarker reviewed varies substantially according to disease severity and, in the case of localised or heterogeneous disease such as histiocytic sarcoma or chronic pancreatitis, according to anatomical presentation, meaning that single, universally applicable sensitivity and specificity figures should be treated with caution and disaggregated by clinical context wherever the underlying literature allows this. External, independent validation in cohorts distinct from the original discovery or development population remains the exception rather than the rule for biomarkers emerging from omics platforms, and even for more established analytes such as cardiac troponin I, cut-off values are not fully harmonised across assay manufacturers.</w:t>
      </w:r>
    </w:p>
    <w:p w14:paraId="03D270F9"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A further cross-cutting issue concerns the asymmetry between analytical availability and clinical validation. Commercial availability of an assay does not by itself constitute evidence of clinical utility; the veterinary market has, on occasion, made assays commercially available before the corresponding body of independent clinical validation literature has matured, a pattern noted explicitly in reviews of both oncology biomarkers and omics-derived candidates. This asymmetry places a particular responsibility on practising veterinarians and specialists to distinguish, when counselling clients or making clinical decisions, between biomarkers supported by a substantial, replicated, multicentre evidence base (exemplified by SDMA and pancreatic lipase immunoreactivity) and those supported chiefly by discovery-phase or single-cohort studies (exemplified by most circulating miRNA and metabolomic candidates), even where both categories are technically available for clinical ordering. Finally, the regulatory environment governing veterinary diagnostics, in contrast to human in vitro diagnostics, provides comparatively limited external quality assurance for novel biomarker assays beyond infectious-disease test kits, meaning that the burden of critical appraisal falls disproportionately on the clinical and academic literature itself.</w:t>
      </w:r>
    </w:p>
    <w:p w14:paraId="3B44AFBD" w14:textId="77777777" w:rsidR="00817E8E" w:rsidRPr="00930645" w:rsidRDefault="00000000">
      <w:pPr>
        <w:pStyle w:val="Heading3"/>
        <w:spacing w:before="320" w:after="160"/>
        <w:rPr>
          <w:color w:val="000000" w:themeColor="text1"/>
        </w:rPr>
      </w:pPr>
      <w:r w:rsidRPr="00930645">
        <w:rPr>
          <w:rFonts w:ascii="Calibri" w:eastAsia="Calibri" w:hAnsi="Calibri" w:cs="Calibri"/>
          <w:b/>
          <w:bCs/>
          <w:color w:val="000000" w:themeColor="text1"/>
        </w:rPr>
        <w:t>Table 4. Recurring methodological limitations identified across the reviewed evidence base.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34"/>
        <w:gridCol w:w="2111"/>
        <w:gridCol w:w="2744"/>
        <w:gridCol w:w="2111"/>
      </w:tblGrid>
      <w:tr w:rsidR="00817E8E" w:rsidRPr="00930645" w14:paraId="552D6A94" w14:textId="77777777">
        <w:trPr>
          <w:tblHeader/>
        </w:trPr>
        <w:tc>
          <w:tcPr>
            <w:tcW w:w="2400" w:type="dxa"/>
            <w:shd w:val="clear" w:color="auto" w:fill="D9E2F3"/>
          </w:tcPr>
          <w:p w14:paraId="5516B0BD" w14:textId="77777777" w:rsidR="00817E8E" w:rsidRPr="00930645" w:rsidRDefault="00000000">
            <w:pPr>
              <w:rPr>
                <w:color w:val="000000" w:themeColor="text1"/>
              </w:rPr>
            </w:pPr>
            <w:r w:rsidRPr="00930645">
              <w:rPr>
                <w:rFonts w:ascii="Calibri" w:eastAsia="Calibri" w:hAnsi="Calibri" w:cs="Calibri"/>
                <w:b/>
                <w:bCs/>
                <w:color w:val="000000" w:themeColor="text1"/>
                <w:sz w:val="18"/>
                <w:szCs w:val="18"/>
              </w:rPr>
              <w:t>Limitation</w:t>
            </w:r>
          </w:p>
        </w:tc>
        <w:tc>
          <w:tcPr>
            <w:tcW w:w="2000" w:type="dxa"/>
            <w:shd w:val="clear" w:color="auto" w:fill="D9E2F3"/>
          </w:tcPr>
          <w:p w14:paraId="62871CA6" w14:textId="77777777" w:rsidR="00817E8E" w:rsidRPr="00930645" w:rsidRDefault="00000000">
            <w:pPr>
              <w:rPr>
                <w:color w:val="000000" w:themeColor="text1"/>
              </w:rPr>
            </w:pPr>
            <w:r w:rsidRPr="00930645">
              <w:rPr>
                <w:rFonts w:ascii="Calibri" w:eastAsia="Calibri" w:hAnsi="Calibri" w:cs="Calibri"/>
                <w:b/>
                <w:bCs/>
                <w:color w:val="000000" w:themeColor="text1"/>
                <w:sz w:val="18"/>
                <w:szCs w:val="18"/>
              </w:rPr>
              <w:t>Illustrative domain</w:t>
            </w:r>
          </w:p>
        </w:tc>
        <w:tc>
          <w:tcPr>
            <w:tcW w:w="2600" w:type="dxa"/>
            <w:shd w:val="clear" w:color="auto" w:fill="D9E2F3"/>
          </w:tcPr>
          <w:p w14:paraId="7462EBE9" w14:textId="77777777" w:rsidR="00817E8E" w:rsidRPr="00930645" w:rsidRDefault="00000000">
            <w:pPr>
              <w:rPr>
                <w:color w:val="000000" w:themeColor="text1"/>
              </w:rPr>
            </w:pPr>
            <w:r w:rsidRPr="00930645">
              <w:rPr>
                <w:rFonts w:ascii="Calibri" w:eastAsia="Calibri" w:hAnsi="Calibri" w:cs="Calibri"/>
                <w:b/>
                <w:bCs/>
                <w:color w:val="000000" w:themeColor="text1"/>
                <w:sz w:val="18"/>
                <w:szCs w:val="18"/>
              </w:rPr>
              <w:t>Consequence for interpretation</w:t>
            </w:r>
          </w:p>
        </w:tc>
        <w:tc>
          <w:tcPr>
            <w:tcW w:w="2000" w:type="dxa"/>
            <w:shd w:val="clear" w:color="auto" w:fill="D9E2F3"/>
          </w:tcPr>
          <w:p w14:paraId="12014129" w14:textId="77777777" w:rsidR="00817E8E" w:rsidRPr="00930645" w:rsidRDefault="00000000">
            <w:pPr>
              <w:rPr>
                <w:color w:val="000000" w:themeColor="text1"/>
              </w:rPr>
            </w:pPr>
            <w:r w:rsidRPr="00930645">
              <w:rPr>
                <w:rFonts w:ascii="Calibri" w:eastAsia="Calibri" w:hAnsi="Calibri" w:cs="Calibri"/>
                <w:b/>
                <w:bCs/>
                <w:color w:val="000000" w:themeColor="text1"/>
                <w:sz w:val="18"/>
                <w:szCs w:val="18"/>
              </w:rPr>
              <w:t>Supporting references</w:t>
            </w:r>
          </w:p>
        </w:tc>
      </w:tr>
      <w:tr w:rsidR="00817E8E" w:rsidRPr="00AA7331" w14:paraId="46AFBF6D" w14:textId="77777777">
        <w:tc>
          <w:tcPr>
            <w:tcW w:w="2400" w:type="dxa"/>
          </w:tcPr>
          <w:p w14:paraId="4A5EA1CE"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Small, single-centre reference populations</w:t>
            </w:r>
          </w:p>
        </w:tc>
        <w:tc>
          <w:tcPr>
            <w:tcW w:w="2000" w:type="dxa"/>
          </w:tcPr>
          <w:p w14:paraId="2B724736"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SDMA, cardiac biomarkers</w:t>
            </w:r>
          </w:p>
        </w:tc>
        <w:tc>
          <w:tcPr>
            <w:tcW w:w="2600" w:type="dxa"/>
          </w:tcPr>
          <w:p w14:paraId="5A22A142"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Reference intervals may not generalise across populations</w:t>
            </w:r>
          </w:p>
        </w:tc>
        <w:tc>
          <w:tcPr>
            <w:tcW w:w="2000" w:type="dxa"/>
          </w:tcPr>
          <w:p w14:paraId="7D91351E" w14:textId="77777777" w:rsidR="00817E8E" w:rsidRPr="00AA7331" w:rsidRDefault="00000000">
            <w:pPr>
              <w:rPr>
                <w:color w:val="000000" w:themeColor="text1"/>
                <w:lang w:val="nl-BE"/>
              </w:rPr>
            </w:pPr>
            <w:r w:rsidRPr="00AA7331">
              <w:rPr>
                <w:rFonts w:ascii="Calibri" w:eastAsia="Calibri" w:hAnsi="Calibri" w:cs="Calibri"/>
                <w:color w:val="000000" w:themeColor="text1"/>
                <w:sz w:val="18"/>
                <w:szCs w:val="18"/>
                <w:lang w:val="nl-BE"/>
              </w:rPr>
              <w:t>Nabity et al. (2015); Langhorn &amp; Willesen (2016)</w:t>
            </w:r>
          </w:p>
        </w:tc>
      </w:tr>
      <w:tr w:rsidR="00817E8E" w:rsidRPr="00930645" w14:paraId="0C7939A9" w14:textId="77777777">
        <w:tc>
          <w:tcPr>
            <w:tcW w:w="2400" w:type="dxa"/>
          </w:tcPr>
          <w:p w14:paraId="5F4F986E"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Cross-platform assay variability</w:t>
            </w:r>
          </w:p>
        </w:tc>
        <w:tc>
          <w:tcPr>
            <w:tcW w:w="2000" w:type="dxa"/>
          </w:tcPr>
          <w:p w14:paraId="0B979A04"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Acute phase proteins, cPLI</w:t>
            </w:r>
          </w:p>
        </w:tc>
        <w:tc>
          <w:tcPr>
            <w:tcW w:w="2600" w:type="dxa"/>
          </w:tcPr>
          <w:p w14:paraId="51FC4E10"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Serial results not always directly comparable across laboratories</w:t>
            </w:r>
          </w:p>
        </w:tc>
        <w:tc>
          <w:tcPr>
            <w:tcW w:w="2000" w:type="dxa"/>
          </w:tcPr>
          <w:p w14:paraId="574BA802"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Eckersall &amp; Bell (2010); Trivedi et al. (2011)</w:t>
            </w:r>
          </w:p>
        </w:tc>
      </w:tr>
      <w:tr w:rsidR="00817E8E" w:rsidRPr="00930645" w14:paraId="3A6B3B66" w14:textId="77777777">
        <w:tc>
          <w:tcPr>
            <w:tcW w:w="2400" w:type="dxa"/>
          </w:tcPr>
          <w:p w14:paraId="21A5AF36"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lastRenderedPageBreak/>
              <w:t>Sensitivity dependent on disease severity/site</w:t>
            </w:r>
          </w:p>
        </w:tc>
        <w:tc>
          <w:tcPr>
            <w:tcW w:w="2000" w:type="dxa"/>
          </w:tcPr>
          <w:p w14:paraId="6C3F618A"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Pancreatitis, histiocytic sarcoma</w:t>
            </w:r>
          </w:p>
        </w:tc>
        <w:tc>
          <w:tcPr>
            <w:tcW w:w="2600" w:type="dxa"/>
          </w:tcPr>
          <w:p w14:paraId="568DCA71"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Single accuracy figures obscure clinically important subgroup variation</w:t>
            </w:r>
          </w:p>
        </w:tc>
        <w:tc>
          <w:tcPr>
            <w:tcW w:w="2000" w:type="dxa"/>
          </w:tcPr>
          <w:p w14:paraId="189C2CB1" w14:textId="77777777" w:rsidR="00817E8E" w:rsidRPr="00930645" w:rsidRDefault="00000000">
            <w:pPr>
              <w:rPr>
                <w:color w:val="000000" w:themeColor="text1"/>
              </w:rPr>
            </w:pPr>
            <w:r w:rsidRPr="00AA7331">
              <w:rPr>
                <w:rFonts w:ascii="Calibri" w:eastAsia="Calibri" w:hAnsi="Calibri" w:cs="Calibri"/>
                <w:color w:val="000000" w:themeColor="text1"/>
                <w:sz w:val="18"/>
                <w:szCs w:val="18"/>
                <w:lang w:val="nl-BE"/>
              </w:rPr>
              <w:t xml:space="preserve">Trivedi et al. (2011); Prouteau et al. </w:t>
            </w:r>
            <w:r w:rsidRPr="00930645">
              <w:rPr>
                <w:rFonts w:ascii="Calibri" w:eastAsia="Calibri" w:hAnsi="Calibri" w:cs="Calibri"/>
                <w:color w:val="000000" w:themeColor="text1"/>
                <w:sz w:val="18"/>
                <w:szCs w:val="18"/>
              </w:rPr>
              <w:t>(2021)</w:t>
            </w:r>
          </w:p>
        </w:tc>
      </w:tr>
      <w:tr w:rsidR="00817E8E" w:rsidRPr="00930645" w14:paraId="78527C37" w14:textId="77777777">
        <w:tc>
          <w:tcPr>
            <w:tcW w:w="2400" w:type="dxa"/>
          </w:tcPr>
          <w:p w14:paraId="3ED27B44"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Absence of external validation cohorts</w:t>
            </w:r>
          </w:p>
        </w:tc>
        <w:tc>
          <w:tcPr>
            <w:tcW w:w="2000" w:type="dxa"/>
          </w:tcPr>
          <w:p w14:paraId="2BCFB6EC"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miRNA, metabolomics</w:t>
            </w:r>
          </w:p>
        </w:tc>
        <w:tc>
          <w:tcPr>
            <w:tcW w:w="2600" w:type="dxa"/>
          </w:tcPr>
          <w:p w14:paraId="5AA93FB1"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Discovery-phase findings rarely confirmed independently</w:t>
            </w:r>
          </w:p>
        </w:tc>
        <w:tc>
          <w:tcPr>
            <w:tcW w:w="2000" w:type="dxa"/>
          </w:tcPr>
          <w:p w14:paraId="29FD5FD7" w14:textId="77777777" w:rsidR="00817E8E" w:rsidRPr="00930645" w:rsidRDefault="00000000">
            <w:pPr>
              <w:rPr>
                <w:color w:val="000000" w:themeColor="text1"/>
              </w:rPr>
            </w:pPr>
            <w:r w:rsidRPr="00AA7331">
              <w:rPr>
                <w:rFonts w:ascii="Calibri" w:eastAsia="Calibri" w:hAnsi="Calibri" w:cs="Calibri"/>
                <w:color w:val="000000" w:themeColor="text1"/>
                <w:sz w:val="18"/>
                <w:szCs w:val="18"/>
                <w:lang w:val="nl-BE"/>
              </w:rPr>
              <w:t xml:space="preserve">Varvil et al. (2023); Perera et al. </w:t>
            </w:r>
            <w:r w:rsidRPr="00930645">
              <w:rPr>
                <w:rFonts w:ascii="Calibri" w:eastAsia="Calibri" w:hAnsi="Calibri" w:cs="Calibri"/>
                <w:color w:val="000000" w:themeColor="text1"/>
                <w:sz w:val="18"/>
                <w:szCs w:val="18"/>
              </w:rPr>
              <w:t>(2022)</w:t>
            </w:r>
          </w:p>
        </w:tc>
      </w:tr>
      <w:tr w:rsidR="00817E8E" w:rsidRPr="00930645" w14:paraId="41E111A9" w14:textId="77777777">
        <w:tc>
          <w:tcPr>
            <w:tcW w:w="2400" w:type="dxa"/>
          </w:tcPr>
          <w:p w14:paraId="0F744444"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Limited regulatory infrastructure</w:t>
            </w:r>
          </w:p>
        </w:tc>
        <w:tc>
          <w:tcPr>
            <w:tcW w:w="2000" w:type="dxa"/>
          </w:tcPr>
          <w:p w14:paraId="7A6BA8F6"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Omics-derived candidates generally</w:t>
            </w:r>
          </w:p>
        </w:tc>
        <w:tc>
          <w:tcPr>
            <w:tcW w:w="2600" w:type="dxa"/>
          </w:tcPr>
          <w:p w14:paraId="0F3DD16B"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Commercial availability may precede adequate clinical validation</w:t>
            </w:r>
          </w:p>
        </w:tc>
        <w:tc>
          <w:tcPr>
            <w:tcW w:w="2000" w:type="dxa"/>
          </w:tcPr>
          <w:p w14:paraId="5197A6A6" w14:textId="77777777" w:rsidR="00817E8E" w:rsidRPr="00930645" w:rsidRDefault="00000000">
            <w:pPr>
              <w:rPr>
                <w:color w:val="000000" w:themeColor="text1"/>
              </w:rPr>
            </w:pPr>
            <w:r w:rsidRPr="00930645">
              <w:rPr>
                <w:rFonts w:ascii="Calibri" w:eastAsia="Calibri" w:hAnsi="Calibri" w:cs="Calibri"/>
                <w:color w:val="000000" w:themeColor="text1"/>
                <w:sz w:val="18"/>
                <w:szCs w:val="18"/>
              </w:rPr>
              <w:t>Perera et al. (2022)</w:t>
            </w:r>
          </w:p>
        </w:tc>
      </w:tr>
    </w:tbl>
    <w:p w14:paraId="726F54B0"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Future Directions</w:t>
      </w:r>
    </w:p>
    <w:p w14:paraId="3410CB0A"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Several research priorities emerge directly from the methodological limitations identified above and merit differentiated treatment according to their expected timescale and feasibility.</w:t>
      </w:r>
    </w:p>
    <w:p w14:paraId="034A1614"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In the near term, the most pressing priority is multicentre, prospectively designed validation of biomarkers that have already progressed through single-centre or industry-sponsored discovery studies, particularly circulating miRNA candidates in canine oncology and metabolomic signatures identified through untargeted profiling studies. Current evidence for these candidates is inadequate chiefly because sample sizes are small, comparator populations are frequently drawn from a single institution, and independent replication using standardised pre-analytical protocols and consistent reference gene or internal standard selection is uncommon (Varvil et al., 2023). A study design combining prospective, multi-institutional sample collection with pre-registered analysis plans and independent validation cohorts, applied to the small number of miRNA candidates with the most consistent preliminary signal, would materially advance the field within a realistic near-term timescale and would directly address the reproducibility concerns raised in Section 8.</w:t>
      </w:r>
    </w:p>
    <w:p w14:paraId="4C3DAFC4"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A second near-term priority concerns harmonisation of assay platforms and reference intervals for established biomarkers that already enjoy wide clinical use, including SDMA, cardiac troponin I, and canine and feline pancreatic lipase immunoreactivity. Cross-platform calibration studies, ideally coordinated through veterinary clinical pathology professional societies rather than individual manufacturers, would reduce the interpretive ambiguity that currently arises when serial results from an individual patient are compared across different commercial assay platforms, an issue of direct relevance to chronic disease monitoring in general practice.</w:t>
      </w:r>
    </w:p>
    <w:p w14:paraId="758CDC60"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Over a longer horizon, the field would benefit substantially from prospective outcome studies that evaluate whether biomarker-guided clinical decision-making, rather than biomarker measurement in isolation, improves clinically meaningful endpoints such as time to congestive heart failure, progression-free survival in oncology patients, or preservation of renal function in chronic kidney disease. Much of the existing literature establishes diagnostic or prognostic association without directly testing whether incorporating the biomarker into a defined clinical decision pathway changes outcomes; randomised or well-controlled prospective cohort designs addressing this question, appropriately powered and extending over a follow-up period sufficient to capture disease progression endpoints, represent a substantially more resource-intensive but ultimately more clinically informative research priority than further discovery-phase biomarker identification.</w:t>
      </w:r>
    </w:p>
    <w:p w14:paraId="37EF4E7B"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lastRenderedPageBreak/>
        <w:t>Finally, methodological and infrastructural investment is needed in the development of clearer, discipline-specific evidentiary standards for veterinary biomarker qualification, together with continued development of multimodal biomarker panels that combine analytes from different physiological domains, following the precedent already established by combined NT-proBNP and cardiac troponin I testing in cardiology (Langhorn &amp; Willesen, 2016). Such combined-biomarker approaches, and the underlying regulatory and methodological infrastructure to support their rigorous evaluation, would help address the recurring theme identified throughout this review: single biomarkers, however mechanistically well founded, rarely achieve sufficient combined sensitivity and specificity to be used reliably in isolation, and are most defensibly deployed as one component of an integrated, clinically contextualised diagnostic pathway.</w:t>
      </w:r>
    </w:p>
    <w:p w14:paraId="72A2850B"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Conclusions</w:t>
      </w:r>
    </w:p>
    <w:p w14:paraId="5FD6F852" w14:textId="77777777" w:rsidR="00817E8E" w:rsidRPr="00930645" w:rsidRDefault="00000000">
      <w:pPr>
        <w:spacing w:after="200" w:line="276" w:lineRule="auto"/>
        <w:jc w:val="both"/>
        <w:rPr>
          <w:color w:val="000000" w:themeColor="text1"/>
        </w:rPr>
      </w:pPr>
      <w:r w:rsidRPr="00930645">
        <w:rPr>
          <w:rFonts w:ascii="Calibri" w:eastAsia="Calibri" w:hAnsi="Calibri" w:cs="Calibri"/>
          <w:color w:val="000000" w:themeColor="text1"/>
          <w:sz w:val="22"/>
          <w:szCs w:val="22"/>
        </w:rPr>
        <w:t xml:space="preserve">The evidence reviewed here supports a differentiated rather than uniform assessment of molecular biomarkers in veterinary biochemistry. A small number of analytes, most notably symmetric dimethylarginine for renal function, pancreatic lipase immunoreactivity for moderate-to-severe acute pancreatitis, and the combination of cardiac troponin I and NT-proBNP for cardiac disease screening and monitoring, are supported by a reasonably substantial and partially replicated evidence base encompassing controlled validation studies and, in some cases, large longitudinal population data. Even for these more established biomarkers, diagnostic performance is context-dependent, varying with disease severity and stage, and none functions reliably as a stand-alone diagnostic test independent of clinical assessment and, where relevant, corroborating imaging or histopathology. Acute phase proteins occupy a similarly qualified position: their value for monitoring inflammatory disease activity over time is well established, but their inherent lack of aetiological specificity constrains their diagnostic, as opposed to monitoring, utility. Molecular infectious-disease diagnostics, particularly PCR-based testing for feline coronavirus biotypes, have improved diagnostic capability substantially relative to earlier serological approaches while still falling short of providing a single definitive antemortem test, reinforcing the continued necessity of integrated diagnostic reasoning rather than reliance on molecular results in isolation. Molecular oncology, encompassing PARR clonality testing, circulating tumour DNA-based liquid biopsy and microRNA profiling, demonstrates considerable technical promise and a rapidly expanding evidence base, but remains at an earlier stage of clinical validation than the biochemical biomarkers discussed above, with sensitivity that varies substantially by tumour type and disease burden and with comparatively limited independent, multicentre replication. Genomic panel testing for hereditary disease has achieved meaningful operational maturity and demonstrated genuine discovery value at a population scale, though its clinical interpretation still depends critically on the strength of evidence underlying each individual variant rather than on panel inclusion alone. Across every domain considered, the omics platforms that generate much of the candidate-biomarker pipeline continue to produce far more discovery-phase findings than clinically validated, translatable biomarkers, a pattern attributable to structural barriers including species-specific reagent requirements, underdeveloped regulatory pathways, and comparatively limited market incentives relative to human diagnostics. The overall picture that emerges is one of genuine and clinically meaningful progress concentrated in a relatively small number of well-validated biomarkers, set against a considerably larger reservoir of biologically plausible but as yet </w:t>
      </w:r>
      <w:r w:rsidRPr="00930645">
        <w:rPr>
          <w:rFonts w:ascii="Calibri" w:eastAsia="Calibri" w:hAnsi="Calibri" w:cs="Calibri"/>
          <w:color w:val="000000" w:themeColor="text1"/>
          <w:sz w:val="22"/>
          <w:szCs w:val="22"/>
        </w:rPr>
        <w:lastRenderedPageBreak/>
        <w:t>insufficiently validated candidates, a distinction that should inform how confidently individual biomarker results are interpreted and communicated in everyday clinical practice.</w:t>
      </w:r>
    </w:p>
    <w:p w14:paraId="55014F68"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Limitations</w:t>
      </w:r>
    </w:p>
    <w:p w14:paraId="2E503F05" w14:textId="77777777" w:rsidR="00817E8E" w:rsidRPr="00930645" w:rsidRDefault="00000000">
      <w:pPr>
        <w:spacing w:after="200" w:line="276" w:lineRule="auto"/>
        <w:jc w:val="both"/>
        <w:rPr>
          <w:rFonts w:ascii="Calibri" w:eastAsia="Calibri" w:hAnsi="Calibri" w:cs="Calibri"/>
          <w:color w:val="000000" w:themeColor="text1"/>
          <w:sz w:val="22"/>
          <w:szCs w:val="22"/>
        </w:rPr>
      </w:pPr>
      <w:r w:rsidRPr="00930645">
        <w:rPr>
          <w:rFonts w:ascii="Calibri" w:eastAsia="Calibri" w:hAnsi="Calibri" w:cs="Calibri"/>
          <w:color w:val="000000" w:themeColor="text1"/>
          <w:sz w:val="22"/>
          <w:szCs w:val="22"/>
        </w:rPr>
        <w:t xml:space="preserve">As a narrative rather than systematic review, this synthesis is subject to selection and interpretive bias, notwithstanding the transparent search strategy, defined eligibility criteria and structured critical appraisal approach applied throughout; the selection of studies emphasised for detailed discussion within each biomarker domain reflects author judgement regarding methodological quality and clinical relevance rather than an exhaustive, independently reproducible screening process, and a different reviewer applying the same search strategy might reasonably emphasise a somewhat different subset of the available literature. Access to certain subscription-based bibliographic databases, including full Web of Science and Embase coverage, was not independently confirmed during preparation of this review, and while extensive use was made of PubMed, PubMed Central, Google Scholar and publisher platforms, together with backward and forward citation tracking, it is possible that relevant studies indexed exclusively or primarily in databases not directly searched were not identified. The restriction of eligible sources to English-language publications may have excluded relevant clinical and methodological literature published in other languages, particularly given the substantial contribution of continental European veterinary clinical pathology groups to several of the biomarker domains discussed. The evidence base itself displays considerable heterogeneity in study design, population size, reference-standard definition and outcome reporting across the biomarker classes reviewed, which precluded any quantitative pooling of diagnostic accuracy estimates and necessitated a qualitative, narrative synthesis; this heterogeneity is itself a finding of the review rather than solely a limitation of its methodology, but summary statements regarding sensitivity and specificity presented here should be understood as reflecting the range and central tendency of individual study findings rather than a formally pooled estimate. Geographical representation within the underlying literature is uneven, with a substantial proportion of the most extensively cited validation studies originating from North American and Western European institutions and commercial laboratories, which may limit the generalisability of reported reference intervals and diagnostic performance figures to companion animal populations with different genetic, environmental or healthcare-access characteristics. The evidence base for several biomarker domains, particularly molecular oncology and omics-derived candidates, relies substantially on observational and discovery-phase studies rather than prospective, outcome-linked clinical trials, constraining the strength of causal or clinical-utility claims that can be drawn regarding whether biomarker-guided management genuinely improves patient outcomes rather than merely providing earlier or more sensitive disease detection. A further limitation specific to this review's preparation is that, despite verification of every reference against an authoritative bibliographic source (publisher page, PubMed, or Crossref) during a final reference audit, complete author lists could not be independently confirmed for a small number of cited sources; in these instances the reference entries are presented with only the verified author name(s) followed by an honest indication that the list is incomplete, rather than a fabricated full list, and this is noted transparently here rather than concealed. Finally, the rapid pace of technical development in this field, particularly in next-generation sequencing, liquid biopsy and metabolomic platforms, means that the evidence synthesised here represents a snapshot current to the </w:t>
      </w:r>
      <w:r w:rsidRPr="00930645">
        <w:rPr>
          <w:rFonts w:ascii="Calibri" w:eastAsia="Calibri" w:hAnsi="Calibri" w:cs="Calibri"/>
          <w:color w:val="000000" w:themeColor="text1"/>
          <w:sz w:val="22"/>
          <w:szCs w:val="22"/>
        </w:rPr>
        <w:lastRenderedPageBreak/>
        <w:t>review's defined search period, and readers should anticipate that subsequent primary research may meaningfully revise the conclusions presented, particularly for the less mature biomarker categories discussed in Sections 8 and 9.</w:t>
      </w:r>
    </w:p>
    <w:p w14:paraId="578E6E6B" w14:textId="77777777" w:rsidR="00541298" w:rsidRPr="00930645" w:rsidRDefault="00541298" w:rsidP="00541298">
      <w:pPr>
        <w:rPr>
          <w:b/>
          <w:color w:val="000000" w:themeColor="text1"/>
        </w:rPr>
      </w:pPr>
      <w:r w:rsidRPr="00930645">
        <w:rPr>
          <w:b/>
          <w:color w:val="000000" w:themeColor="text1"/>
        </w:rPr>
        <w:t>Declaration of AI Use</w:t>
      </w:r>
    </w:p>
    <w:p w14:paraId="0E2EE347" w14:textId="77777777" w:rsidR="00541298" w:rsidRPr="00930645" w:rsidRDefault="00541298" w:rsidP="00541298">
      <w:pPr>
        <w:rPr>
          <w:color w:val="000000" w:themeColor="text1"/>
        </w:rPr>
      </w:pPr>
    </w:p>
    <w:p w14:paraId="37D1DD8E" w14:textId="77777777" w:rsidR="00541298" w:rsidRPr="00930645" w:rsidRDefault="00541298" w:rsidP="00541298">
      <w:pPr>
        <w:jc w:val="both"/>
        <w:rPr>
          <w:color w:val="000000" w:themeColor="text1"/>
        </w:rPr>
      </w:pPr>
      <w:r w:rsidRPr="00930645">
        <w:rPr>
          <w:color w:val="000000" w:themeColor="text1"/>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92D645C" w14:textId="77777777" w:rsidR="00541298" w:rsidRPr="00930645" w:rsidRDefault="00541298">
      <w:pPr>
        <w:spacing w:after="200" w:line="276" w:lineRule="auto"/>
        <w:jc w:val="both"/>
        <w:rPr>
          <w:color w:val="000000" w:themeColor="text1"/>
        </w:rPr>
      </w:pPr>
    </w:p>
    <w:p w14:paraId="2D6FD3BF" w14:textId="77777777" w:rsidR="00930645" w:rsidRDefault="00930645">
      <w:pPr>
        <w:pStyle w:val="Heading1"/>
        <w:spacing w:before="320" w:after="160"/>
        <w:rPr>
          <w:rFonts w:ascii="Calibri" w:eastAsia="Calibri" w:hAnsi="Calibri" w:cs="Calibri"/>
          <w:b/>
          <w:bCs/>
          <w:color w:val="000000" w:themeColor="text1"/>
        </w:rPr>
      </w:pPr>
    </w:p>
    <w:p w14:paraId="361B1450" w14:textId="77777777" w:rsidR="00930645" w:rsidRDefault="00930645">
      <w:pPr>
        <w:pStyle w:val="Heading1"/>
        <w:spacing w:before="320" w:after="160"/>
        <w:rPr>
          <w:rFonts w:ascii="Calibri" w:eastAsia="Calibri" w:hAnsi="Calibri" w:cs="Calibri"/>
          <w:b/>
          <w:bCs/>
          <w:color w:val="000000" w:themeColor="text1"/>
        </w:rPr>
      </w:pPr>
    </w:p>
    <w:p w14:paraId="47E7174E" w14:textId="77777777" w:rsidR="00817E8E" w:rsidRPr="00930645" w:rsidRDefault="00000000">
      <w:pPr>
        <w:pStyle w:val="Heading1"/>
        <w:spacing w:before="320" w:after="160"/>
        <w:rPr>
          <w:color w:val="000000" w:themeColor="text1"/>
        </w:rPr>
      </w:pPr>
      <w:r w:rsidRPr="00930645">
        <w:rPr>
          <w:rFonts w:ascii="Calibri" w:eastAsia="Calibri" w:hAnsi="Calibri" w:cs="Calibri"/>
          <w:b/>
          <w:bCs/>
          <w:color w:val="000000" w:themeColor="text1"/>
        </w:rPr>
        <w:t>References</w:t>
      </w:r>
    </w:p>
    <w:p w14:paraId="5A878FF9"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nl-BE" w:eastAsia="en-US"/>
        </w:rPr>
        <w:t xml:space="preserve">Aupperle-Lellbach, H., Kehl, A., de Brot, S., &amp; van der Weyden, L. (2024). </w:t>
      </w:r>
      <w:r w:rsidRPr="00AA7331">
        <w:rPr>
          <w:sz w:val="24"/>
          <w:szCs w:val="24"/>
          <w:lang w:val="en-US" w:eastAsia="en-US"/>
        </w:rPr>
        <w:t xml:space="preserve">Clinical use of molecular biomarkers in canine and feline oncology: Current and future. </w:t>
      </w:r>
      <w:r w:rsidRPr="00AA7331">
        <w:rPr>
          <w:i/>
          <w:iCs/>
          <w:sz w:val="24"/>
          <w:szCs w:val="24"/>
          <w:lang w:val="en-US" w:eastAsia="en-US"/>
        </w:rPr>
        <w:t>Veterinary Sciences, 11</w:t>
      </w:r>
      <w:r w:rsidRPr="00AA7331">
        <w:rPr>
          <w:sz w:val="24"/>
          <w:szCs w:val="24"/>
          <w:lang w:val="en-US" w:eastAsia="en-US"/>
        </w:rPr>
        <w:t xml:space="preserve">(5), 199. </w:t>
      </w:r>
      <w:hyperlink r:id="rId7" w:history="1">
        <w:r w:rsidRPr="00AA7331">
          <w:rPr>
            <w:color w:val="0000FF"/>
            <w:sz w:val="24"/>
            <w:szCs w:val="24"/>
            <w:u w:val="single"/>
            <w:lang w:val="en-US" w:eastAsia="en-US"/>
          </w:rPr>
          <w:t>https://doi.org/10.3390/vetsci11050199</w:t>
        </w:r>
      </w:hyperlink>
    </w:p>
    <w:p w14:paraId="1DAB18E1"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Boeykens, F., Abitbol, M., Anderson, H., Casselman, I., Dufaure de Citres, C., Hayward, J. J., Häggström, J., Kittleson, M. D., Lepri, E., Ljungvall, I., Longeri, M., Lyons, L. A., Ohlsson, Å., Peelman, L., Smets, P., Vezzosi, T., van Steenbeek, F. G., &amp; Broeckx, B. J. G. (2024). Development and validation of animal variant classification guidelines to objectively evaluate genetic variant pathogenicity in domestic animals. </w:t>
      </w:r>
      <w:r w:rsidRPr="00AA7331">
        <w:rPr>
          <w:i/>
          <w:iCs/>
          <w:sz w:val="24"/>
          <w:szCs w:val="24"/>
          <w:lang w:val="en-US" w:eastAsia="en-US"/>
        </w:rPr>
        <w:t>Frontiers in Veterinary Science, 11</w:t>
      </w:r>
      <w:r w:rsidRPr="00AA7331">
        <w:rPr>
          <w:sz w:val="24"/>
          <w:szCs w:val="24"/>
          <w:lang w:val="en-US" w:eastAsia="en-US"/>
        </w:rPr>
        <w:t xml:space="preserve">, 1497817. </w:t>
      </w:r>
      <w:hyperlink r:id="rId8" w:history="1">
        <w:r w:rsidRPr="00AA7331">
          <w:rPr>
            <w:color w:val="0000FF"/>
            <w:sz w:val="24"/>
            <w:szCs w:val="24"/>
            <w:u w:val="single"/>
            <w:lang w:val="en-US" w:eastAsia="en-US"/>
          </w:rPr>
          <w:t>https://doi.org/10.3389/fvets.2024.1497817</w:t>
        </w:r>
      </w:hyperlink>
    </w:p>
    <w:p w14:paraId="47E625E9"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Cerón, J. J., Eckersall, P. D., &amp; Martínez-Subiela, S. (2005). Acute phase proteins in dogs and cats: Current knowledge and future perspectives. </w:t>
      </w:r>
      <w:r w:rsidRPr="00AA7331">
        <w:rPr>
          <w:i/>
          <w:iCs/>
          <w:sz w:val="24"/>
          <w:szCs w:val="24"/>
          <w:lang w:val="en-US" w:eastAsia="en-US"/>
        </w:rPr>
        <w:t>Veterinary Clinical Pathology, 34</w:t>
      </w:r>
      <w:r w:rsidRPr="00AA7331">
        <w:rPr>
          <w:sz w:val="24"/>
          <w:szCs w:val="24"/>
          <w:lang w:val="en-US" w:eastAsia="en-US"/>
        </w:rPr>
        <w:t xml:space="preserve">(2), 85–99. </w:t>
      </w:r>
      <w:hyperlink r:id="rId9" w:history="1">
        <w:r w:rsidRPr="00AA7331">
          <w:rPr>
            <w:color w:val="0000FF"/>
            <w:sz w:val="24"/>
            <w:szCs w:val="24"/>
            <w:u w:val="single"/>
            <w:lang w:val="en-US" w:eastAsia="en-US"/>
          </w:rPr>
          <w:t>https://doi.org/10.1111/j.1939-165X.2005.tb00019.x</w:t>
        </w:r>
      </w:hyperlink>
    </w:p>
    <w:p w14:paraId="634941FF"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Chu, C. P., &amp; Nabity, M. B. (2025). Technical considerations and review of urinary microRNAs as biomarkers for chronic kidney disease in dogs and cats. </w:t>
      </w:r>
      <w:r w:rsidRPr="00AA7331">
        <w:rPr>
          <w:i/>
          <w:iCs/>
          <w:sz w:val="24"/>
          <w:szCs w:val="24"/>
          <w:lang w:val="en-US" w:eastAsia="en-US"/>
        </w:rPr>
        <w:t>Veterinary Clinical Pathology, 54</w:t>
      </w:r>
      <w:r w:rsidRPr="00AA7331">
        <w:rPr>
          <w:sz w:val="24"/>
          <w:szCs w:val="24"/>
          <w:lang w:val="en-US" w:eastAsia="en-US"/>
        </w:rPr>
        <w:t xml:space="preserve">(Suppl. 2), S52–S70. </w:t>
      </w:r>
      <w:hyperlink r:id="rId10" w:history="1">
        <w:r w:rsidRPr="00AA7331">
          <w:rPr>
            <w:color w:val="0000FF"/>
            <w:sz w:val="24"/>
            <w:szCs w:val="24"/>
            <w:u w:val="single"/>
            <w:lang w:val="en-US" w:eastAsia="en-US"/>
          </w:rPr>
          <w:t>https://doi.org/10.1111/vcp.13412</w:t>
        </w:r>
      </w:hyperlink>
    </w:p>
    <w:p w14:paraId="0C75B220"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nl-BE" w:eastAsia="en-US"/>
        </w:rPr>
        <w:t xml:space="preserve">de Lima, G. V., &amp; Ferreira, F. S. (2017). </w:t>
      </w:r>
      <w:r w:rsidRPr="00AA7331">
        <w:rPr>
          <w:sz w:val="24"/>
          <w:szCs w:val="24"/>
          <w:lang w:val="en-US" w:eastAsia="en-US"/>
        </w:rPr>
        <w:t xml:space="preserve">N-terminal-pro brain natriuretic peptides in dogs and cats: A technical and clinical review. </w:t>
      </w:r>
      <w:r w:rsidRPr="00AA7331">
        <w:rPr>
          <w:i/>
          <w:iCs/>
          <w:sz w:val="24"/>
          <w:szCs w:val="24"/>
          <w:lang w:val="en-US" w:eastAsia="en-US"/>
        </w:rPr>
        <w:t>Veterinary World, 10</w:t>
      </w:r>
      <w:r w:rsidRPr="00AA7331">
        <w:rPr>
          <w:sz w:val="24"/>
          <w:szCs w:val="24"/>
          <w:lang w:val="en-US" w:eastAsia="en-US"/>
        </w:rPr>
        <w:t xml:space="preserve">(9), 1072–1082. </w:t>
      </w:r>
      <w:hyperlink r:id="rId11" w:history="1">
        <w:r w:rsidRPr="00AA7331">
          <w:rPr>
            <w:color w:val="0000FF"/>
            <w:sz w:val="24"/>
            <w:szCs w:val="24"/>
            <w:u w:val="single"/>
            <w:lang w:val="en-US" w:eastAsia="en-US"/>
          </w:rPr>
          <w:t>https://doi.org/10.14202/vetworld.2017.1072-1082</w:t>
        </w:r>
      </w:hyperlink>
    </w:p>
    <w:p w14:paraId="1A3F2AFA"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nl-BE" w:eastAsia="en-US"/>
        </w:rPr>
        <w:t xml:space="preserve">Donner, J., Kaukonen, M., Anderson, H., Möller, F., Kyöstilä, K., Sankari, S., Hytönen, M. K., Giger, U., &amp; Lohi, H. (2016). </w:t>
      </w:r>
      <w:r w:rsidRPr="00AA7331">
        <w:rPr>
          <w:sz w:val="24"/>
          <w:szCs w:val="24"/>
          <w:lang w:val="en-US" w:eastAsia="en-US"/>
        </w:rPr>
        <w:t xml:space="preserve">Genetic panel screening of nearly 100 mutations reveals new insights into the breed distribution of risk variants for canine hereditary disorders. </w:t>
      </w:r>
      <w:r w:rsidRPr="00AA7331">
        <w:rPr>
          <w:i/>
          <w:iCs/>
          <w:sz w:val="24"/>
          <w:szCs w:val="24"/>
          <w:lang w:val="en-US" w:eastAsia="en-US"/>
        </w:rPr>
        <w:t>PLOS ONE, 11</w:t>
      </w:r>
      <w:r w:rsidRPr="00AA7331">
        <w:rPr>
          <w:sz w:val="24"/>
          <w:szCs w:val="24"/>
          <w:lang w:val="en-US" w:eastAsia="en-US"/>
        </w:rPr>
        <w:t xml:space="preserve">(8), e0161005. </w:t>
      </w:r>
      <w:hyperlink r:id="rId12" w:history="1">
        <w:r w:rsidRPr="00AA7331">
          <w:rPr>
            <w:color w:val="0000FF"/>
            <w:sz w:val="24"/>
            <w:szCs w:val="24"/>
            <w:u w:val="single"/>
            <w:lang w:val="en-US" w:eastAsia="en-US"/>
          </w:rPr>
          <w:t>https://doi.org/10.1371/journal.pone.0161005</w:t>
        </w:r>
      </w:hyperlink>
    </w:p>
    <w:p w14:paraId="046078E3"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Eckersall, P. D., &amp; Bell, R. (2010). Acute phase proteins: Biomarkers of infection and inflammation in veterinary medicine. </w:t>
      </w:r>
      <w:r w:rsidRPr="00AA7331">
        <w:rPr>
          <w:i/>
          <w:iCs/>
          <w:sz w:val="24"/>
          <w:szCs w:val="24"/>
          <w:lang w:val="en-US" w:eastAsia="en-US"/>
        </w:rPr>
        <w:t>The Veterinary Journal, 185</w:t>
      </w:r>
      <w:r w:rsidRPr="00AA7331">
        <w:rPr>
          <w:sz w:val="24"/>
          <w:szCs w:val="24"/>
          <w:lang w:val="en-US" w:eastAsia="en-US"/>
        </w:rPr>
        <w:t xml:space="preserve">(1), 23–27. </w:t>
      </w:r>
      <w:hyperlink r:id="rId13" w:history="1">
        <w:r w:rsidRPr="00AA7331">
          <w:rPr>
            <w:color w:val="0000FF"/>
            <w:sz w:val="24"/>
            <w:szCs w:val="24"/>
            <w:u w:val="single"/>
            <w:lang w:val="en-US" w:eastAsia="en-US"/>
          </w:rPr>
          <w:t>https://doi.org/10.1016/j.tvjl.2010.04.009</w:t>
        </w:r>
      </w:hyperlink>
    </w:p>
    <w:p w14:paraId="040A5B8F"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lastRenderedPageBreak/>
        <w:t xml:space="preserve">Ferrari, R. (2015). Writing narrative style literature reviews. </w:t>
      </w:r>
      <w:r w:rsidRPr="00AA7331">
        <w:rPr>
          <w:i/>
          <w:iCs/>
          <w:sz w:val="24"/>
          <w:szCs w:val="24"/>
          <w:lang w:val="en-US" w:eastAsia="en-US"/>
        </w:rPr>
        <w:t>Medical Writing, 24</w:t>
      </w:r>
      <w:r w:rsidRPr="00AA7331">
        <w:rPr>
          <w:sz w:val="24"/>
          <w:szCs w:val="24"/>
          <w:lang w:val="en-US" w:eastAsia="en-US"/>
        </w:rPr>
        <w:t xml:space="preserve">(4), 230–235. </w:t>
      </w:r>
      <w:hyperlink r:id="rId14" w:history="1">
        <w:r w:rsidRPr="00AA7331">
          <w:rPr>
            <w:color w:val="0000FF"/>
            <w:sz w:val="24"/>
            <w:szCs w:val="24"/>
            <w:u w:val="single"/>
            <w:lang w:val="en-US" w:eastAsia="en-US"/>
          </w:rPr>
          <w:t>https://doi.org/10.1179/2047480615Z.000000000329</w:t>
        </w:r>
      </w:hyperlink>
    </w:p>
    <w:p w14:paraId="1C672E2E"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Green, B. N., Johnson, C. D., &amp; Adams, A. (2006). Writing narrative literature reviews for peer-reviewed journals: Secrets of the trade. </w:t>
      </w:r>
      <w:r w:rsidRPr="00AA7331">
        <w:rPr>
          <w:i/>
          <w:iCs/>
          <w:sz w:val="24"/>
          <w:szCs w:val="24"/>
          <w:lang w:val="en-US" w:eastAsia="en-US"/>
        </w:rPr>
        <w:t>Journal of Chiropractic Medicine, 5</w:t>
      </w:r>
      <w:r w:rsidRPr="00AA7331">
        <w:rPr>
          <w:sz w:val="24"/>
          <w:szCs w:val="24"/>
          <w:lang w:val="en-US" w:eastAsia="en-US"/>
        </w:rPr>
        <w:t xml:space="preserve">(3), 101–117. </w:t>
      </w:r>
      <w:hyperlink r:id="rId15" w:history="1">
        <w:r w:rsidRPr="00AA7331">
          <w:rPr>
            <w:color w:val="0000FF"/>
            <w:sz w:val="24"/>
            <w:szCs w:val="24"/>
            <w:u w:val="single"/>
            <w:lang w:val="en-US" w:eastAsia="en-US"/>
          </w:rPr>
          <w:t>https://doi.org/10.1016/S0899-3467(07)60142-6</w:t>
        </w:r>
      </w:hyperlink>
    </w:p>
    <w:p w14:paraId="3D635B26"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Kambayashi, S., Ono, N., Tone, T., Baba, K., &amp; Okuda, M. (2024). Plasma cell-free DNA in canine lymphoma patients as a novel material for genotyping. </w:t>
      </w:r>
      <w:r w:rsidRPr="00AA7331">
        <w:rPr>
          <w:i/>
          <w:iCs/>
          <w:sz w:val="24"/>
          <w:szCs w:val="24"/>
          <w:lang w:val="en-US" w:eastAsia="en-US"/>
        </w:rPr>
        <w:t>Veterinary and Comparative Oncology, 22</w:t>
      </w:r>
      <w:r w:rsidRPr="00AA7331">
        <w:rPr>
          <w:sz w:val="24"/>
          <w:szCs w:val="24"/>
          <w:lang w:val="en-US" w:eastAsia="en-US"/>
        </w:rPr>
        <w:t xml:space="preserve">(2), 303–309. </w:t>
      </w:r>
      <w:hyperlink r:id="rId16" w:history="1">
        <w:r w:rsidRPr="00AA7331">
          <w:rPr>
            <w:color w:val="0000FF"/>
            <w:sz w:val="24"/>
            <w:szCs w:val="24"/>
            <w:u w:val="single"/>
            <w:lang w:val="en-US" w:eastAsia="en-US"/>
          </w:rPr>
          <w:t>https://doi.org/10.1111/vco.12961</w:t>
        </w:r>
      </w:hyperlink>
    </w:p>
    <w:p w14:paraId="27ACA2BD"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Karttunen, J., Kalmar, L., Grant, A., Ying, J., Stewart, S. E., Wang, X., Karet Frankl, F., &amp; Williams, T. (2024). miR-182, miR-221 and miR-222 are potential urinary extracellular vesicle biomarkers for canine urothelial carcinoma. </w:t>
      </w:r>
      <w:r w:rsidRPr="00AA7331">
        <w:rPr>
          <w:i/>
          <w:iCs/>
          <w:sz w:val="24"/>
          <w:szCs w:val="24"/>
          <w:lang w:val="en-US" w:eastAsia="en-US"/>
        </w:rPr>
        <w:t>Scientific Reports, 14</w:t>
      </w:r>
      <w:r w:rsidRPr="00AA7331">
        <w:rPr>
          <w:sz w:val="24"/>
          <w:szCs w:val="24"/>
          <w:lang w:val="en-US" w:eastAsia="en-US"/>
        </w:rPr>
        <w:t xml:space="preserve">, 17967. </w:t>
      </w:r>
      <w:hyperlink r:id="rId17" w:history="1">
        <w:r w:rsidRPr="00AA7331">
          <w:rPr>
            <w:color w:val="0000FF"/>
            <w:sz w:val="24"/>
            <w:szCs w:val="24"/>
            <w:u w:val="single"/>
            <w:lang w:val="en-US" w:eastAsia="en-US"/>
          </w:rPr>
          <w:t>https://doi.org/10.1038/s41598-024-69070-7</w:t>
        </w:r>
      </w:hyperlink>
    </w:p>
    <w:p w14:paraId="24EBEFA6"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nl-BE" w:eastAsia="en-US"/>
        </w:rPr>
        <w:t xml:space="preserve">Kehl, A., Aupperle-Lellbach, H., de Brot, S., &amp; van der Weyden, L. (2024). </w:t>
      </w:r>
      <w:r w:rsidRPr="00AA7331">
        <w:rPr>
          <w:sz w:val="24"/>
          <w:szCs w:val="24"/>
          <w:lang w:val="en-US" w:eastAsia="en-US"/>
        </w:rPr>
        <w:t xml:space="preserve">Review of molecular technologies for investigating canine cancer. </w:t>
      </w:r>
      <w:r w:rsidRPr="00AA7331">
        <w:rPr>
          <w:i/>
          <w:iCs/>
          <w:sz w:val="24"/>
          <w:szCs w:val="24"/>
          <w:lang w:val="en-US" w:eastAsia="en-US"/>
        </w:rPr>
        <w:t>Animals, 14</w:t>
      </w:r>
      <w:r w:rsidRPr="00AA7331">
        <w:rPr>
          <w:sz w:val="24"/>
          <w:szCs w:val="24"/>
          <w:lang w:val="en-US" w:eastAsia="en-US"/>
        </w:rPr>
        <w:t xml:space="preserve">(5), 769. </w:t>
      </w:r>
      <w:hyperlink r:id="rId18" w:history="1">
        <w:r w:rsidRPr="00AA7331">
          <w:rPr>
            <w:color w:val="0000FF"/>
            <w:sz w:val="24"/>
            <w:szCs w:val="24"/>
            <w:u w:val="single"/>
            <w:lang w:val="en-US" w:eastAsia="en-US"/>
          </w:rPr>
          <w:t>https://doi.org/10.3390/ani14050769</w:t>
        </w:r>
      </w:hyperlink>
    </w:p>
    <w:p w14:paraId="0A55759F"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Kent, M. S., Zwingenberger, A., Westropp, J. L., Barrett, L. E., Durbin-Johnson, B. P., Ghosh, P., &amp; Vinall, R. L. (2017). MicroRNA profiling of dogs with transitional cell carcinoma of the bladder using blood and urine samples. </w:t>
      </w:r>
      <w:r w:rsidRPr="00AA7331">
        <w:rPr>
          <w:i/>
          <w:iCs/>
          <w:sz w:val="24"/>
          <w:szCs w:val="24"/>
          <w:lang w:val="en-US" w:eastAsia="en-US"/>
        </w:rPr>
        <w:t>BMC Veterinary Research, 13</w:t>
      </w:r>
      <w:r w:rsidRPr="00AA7331">
        <w:rPr>
          <w:sz w:val="24"/>
          <w:szCs w:val="24"/>
          <w:lang w:val="en-US" w:eastAsia="en-US"/>
        </w:rPr>
        <w:t xml:space="preserve">, 339. </w:t>
      </w:r>
      <w:hyperlink r:id="rId19" w:history="1">
        <w:r w:rsidRPr="00AA7331">
          <w:rPr>
            <w:color w:val="0000FF"/>
            <w:sz w:val="24"/>
            <w:szCs w:val="24"/>
            <w:u w:val="single"/>
            <w:lang w:val="en-US" w:eastAsia="en-US"/>
          </w:rPr>
          <w:t>https://doi.org/10.1186/s12917-017-1259-1</w:t>
        </w:r>
      </w:hyperlink>
    </w:p>
    <w:p w14:paraId="0B8DFEBA"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Langhorn, R., &amp; Willesen, J. L. (2016). Cardiac troponins in dogs and cats. </w:t>
      </w:r>
      <w:r w:rsidRPr="00AA7331">
        <w:rPr>
          <w:i/>
          <w:iCs/>
          <w:sz w:val="24"/>
          <w:szCs w:val="24"/>
          <w:lang w:val="en-US" w:eastAsia="en-US"/>
        </w:rPr>
        <w:t>Journal of Veterinary Internal Medicine, 30</w:t>
      </w:r>
      <w:r w:rsidRPr="00AA7331">
        <w:rPr>
          <w:sz w:val="24"/>
          <w:szCs w:val="24"/>
          <w:lang w:val="en-US" w:eastAsia="en-US"/>
        </w:rPr>
        <w:t xml:space="preserve">(1), 36–50. </w:t>
      </w:r>
      <w:hyperlink r:id="rId20" w:history="1">
        <w:r w:rsidRPr="00AA7331">
          <w:rPr>
            <w:color w:val="0000FF"/>
            <w:sz w:val="24"/>
            <w:szCs w:val="24"/>
            <w:u w:val="single"/>
            <w:lang w:val="en-US" w:eastAsia="en-US"/>
          </w:rPr>
          <w:t>https://doi.org/10.1111/jvim.13801</w:t>
        </w:r>
      </w:hyperlink>
    </w:p>
    <w:p w14:paraId="6171CE41"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Luis Fuentes, V., Abbott, J., Chetboul, V., Côté, E., Fox, P. R., Häggström, J., Kittleson, M. D., Schober, K., &amp; Stern, J. A. (2020). ACVIM consensus statement guidelines for the classification, diagnosis, and management of cardiomyopathies in cats. </w:t>
      </w:r>
      <w:r w:rsidRPr="00AA7331">
        <w:rPr>
          <w:i/>
          <w:iCs/>
          <w:sz w:val="24"/>
          <w:szCs w:val="24"/>
          <w:lang w:val="en-US" w:eastAsia="en-US"/>
        </w:rPr>
        <w:t>Journal of Veterinary Internal Medicine, 34</w:t>
      </w:r>
      <w:r w:rsidRPr="00AA7331">
        <w:rPr>
          <w:sz w:val="24"/>
          <w:szCs w:val="24"/>
          <w:lang w:val="en-US" w:eastAsia="en-US"/>
        </w:rPr>
        <w:t xml:space="preserve">(3), 1062–1077. </w:t>
      </w:r>
      <w:hyperlink r:id="rId21" w:history="1">
        <w:r w:rsidRPr="00AA7331">
          <w:rPr>
            <w:color w:val="0000FF"/>
            <w:sz w:val="24"/>
            <w:szCs w:val="24"/>
            <w:u w:val="single"/>
            <w:lang w:val="en-US" w:eastAsia="en-US"/>
          </w:rPr>
          <w:t>https://doi.org/10.1111/jvim.15745</w:t>
        </w:r>
      </w:hyperlink>
    </w:p>
    <w:p w14:paraId="660285A7"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Mack, R. M., Hegarty, E., McCrann, D. J., Michael, H. T., &amp; Grauer, G. F. (2021). Longitudinal evaluation of symmetric dimethylarginine and concordance of kidney biomarkers in cats and dogs. </w:t>
      </w:r>
      <w:r w:rsidRPr="00AA7331">
        <w:rPr>
          <w:i/>
          <w:iCs/>
          <w:sz w:val="24"/>
          <w:szCs w:val="24"/>
          <w:lang w:val="en-US" w:eastAsia="en-US"/>
        </w:rPr>
        <w:t>The Veterinary Journal, 276</w:t>
      </w:r>
      <w:r w:rsidRPr="00AA7331">
        <w:rPr>
          <w:sz w:val="24"/>
          <w:szCs w:val="24"/>
          <w:lang w:val="en-US" w:eastAsia="en-US"/>
        </w:rPr>
        <w:t xml:space="preserve">, 105732. </w:t>
      </w:r>
      <w:hyperlink r:id="rId22" w:history="1">
        <w:r w:rsidRPr="00AA7331">
          <w:rPr>
            <w:color w:val="0000FF"/>
            <w:sz w:val="24"/>
            <w:szCs w:val="24"/>
            <w:u w:val="single"/>
            <w:lang w:val="en-US" w:eastAsia="en-US"/>
          </w:rPr>
          <w:t>https://doi.org/10.1016/j.tvjl.2021.105732</w:t>
        </w:r>
      </w:hyperlink>
    </w:p>
    <w:p w14:paraId="09CE430B" w14:textId="77777777" w:rsidR="00AA7331" w:rsidRPr="00AA7331" w:rsidRDefault="00AA7331" w:rsidP="00AA7331">
      <w:pPr>
        <w:numPr>
          <w:ilvl w:val="0"/>
          <w:numId w:val="2"/>
        </w:numPr>
        <w:tabs>
          <w:tab w:val="clear" w:pos="720"/>
        </w:tabs>
        <w:spacing w:before="100" w:beforeAutospacing="1" w:after="100" w:afterAutospacing="1"/>
        <w:ind w:hanging="720"/>
        <w:jc w:val="both"/>
        <w:rPr>
          <w:sz w:val="24"/>
          <w:szCs w:val="24"/>
          <w:lang w:val="en-US" w:eastAsia="en-US"/>
        </w:rPr>
      </w:pPr>
      <w:r w:rsidRPr="00AA7331">
        <w:rPr>
          <w:sz w:val="24"/>
          <w:szCs w:val="24"/>
          <w:lang w:val="nl-BE" w:eastAsia="en-US"/>
        </w:rPr>
        <w:t xml:space="preserve">Mashego, P. T., &amp; Hooijberg, E. H. (2025). </w:t>
      </w:r>
      <w:r w:rsidRPr="00AA7331">
        <w:rPr>
          <w:sz w:val="24"/>
          <w:szCs w:val="24"/>
          <w:lang w:val="en-US" w:eastAsia="en-US"/>
        </w:rPr>
        <w:t xml:space="preserve">Analytical and quality control validation of a novel symmetric dimethylarginine assay in dogs and cats. </w:t>
      </w:r>
      <w:r w:rsidRPr="00AA7331">
        <w:rPr>
          <w:i/>
          <w:iCs/>
          <w:sz w:val="24"/>
          <w:szCs w:val="24"/>
          <w:lang w:val="en-US" w:eastAsia="en-US"/>
        </w:rPr>
        <w:t>Veterinary Clinical Pathology, 54</w:t>
      </w:r>
      <w:r w:rsidRPr="00AA7331">
        <w:rPr>
          <w:sz w:val="24"/>
          <w:szCs w:val="24"/>
          <w:lang w:val="en-US" w:eastAsia="en-US"/>
        </w:rPr>
        <w:t xml:space="preserve">(3), 239–250. </w:t>
      </w:r>
      <w:hyperlink r:id="rId23" w:history="1">
        <w:r w:rsidRPr="00AA7331">
          <w:rPr>
            <w:color w:val="0000FF"/>
            <w:sz w:val="24"/>
            <w:szCs w:val="24"/>
            <w:u w:val="single"/>
            <w:lang w:val="en-US" w:eastAsia="en-US"/>
          </w:rPr>
          <w:t>https://doi.org/10.1111/vcp.70037</w:t>
        </w:r>
      </w:hyperlink>
    </w:p>
    <w:p w14:paraId="09A1305D" w14:textId="77777777" w:rsidR="00AA7331" w:rsidRPr="00AA7331" w:rsidRDefault="00AA7331" w:rsidP="00AA7331">
      <w:pPr>
        <w:numPr>
          <w:ilvl w:val="0"/>
          <w:numId w:val="3"/>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Mitchell, L., Wang, S., Lawver, J., &amp; Cridge, H. (2024). Serial monitoring of pancreatic lipase immunoreactivity, C-reactive protein, abdominal ultrasonography, and clinical severity in dogs with suspected pancreatitis. </w:t>
      </w:r>
      <w:r w:rsidRPr="00AA7331">
        <w:rPr>
          <w:i/>
          <w:iCs/>
          <w:sz w:val="24"/>
          <w:szCs w:val="24"/>
          <w:lang w:val="en-US" w:eastAsia="en-US"/>
        </w:rPr>
        <w:t>Journal of Veterinary Internal Medicine, 38</w:t>
      </w:r>
      <w:r w:rsidRPr="00AA7331">
        <w:rPr>
          <w:sz w:val="24"/>
          <w:szCs w:val="24"/>
          <w:lang w:val="en-US" w:eastAsia="en-US"/>
        </w:rPr>
        <w:t xml:space="preserve">(2), 987–994. </w:t>
      </w:r>
      <w:hyperlink r:id="rId24" w:history="1">
        <w:r w:rsidRPr="00AA7331">
          <w:rPr>
            <w:color w:val="0000FF"/>
            <w:sz w:val="24"/>
            <w:szCs w:val="24"/>
            <w:u w:val="single"/>
            <w:lang w:val="en-US" w:eastAsia="en-US"/>
          </w:rPr>
          <w:t>https://doi.org/10.1111/jvim.17020</w:t>
        </w:r>
      </w:hyperlink>
    </w:p>
    <w:p w14:paraId="47DAE42D"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Moyadee, W., Roytrakul, S., Jaresitthikunchai, J., Phaonakrop, N., Choowongkomon, K., Ploypetch, S., Tansakul, N., Rattanasrisomporn, A., &amp; Rattanasrisomporn, J. (2025). Serum proteomic approach to identifying differentially expressed proteins in effusive feline infectious peritonitis. </w:t>
      </w:r>
      <w:r w:rsidRPr="00AA7331">
        <w:rPr>
          <w:i/>
          <w:iCs/>
          <w:sz w:val="24"/>
          <w:szCs w:val="24"/>
          <w:lang w:val="en-US" w:eastAsia="en-US"/>
        </w:rPr>
        <w:t>Scientific Reports, 15</w:t>
      </w:r>
      <w:r w:rsidRPr="00AA7331">
        <w:rPr>
          <w:sz w:val="24"/>
          <w:szCs w:val="24"/>
          <w:lang w:val="en-US" w:eastAsia="en-US"/>
        </w:rPr>
        <w:t xml:space="preserve">, 18899. </w:t>
      </w:r>
      <w:hyperlink r:id="rId25" w:history="1">
        <w:r w:rsidRPr="00AA7331">
          <w:rPr>
            <w:color w:val="0000FF"/>
            <w:sz w:val="24"/>
            <w:szCs w:val="24"/>
            <w:u w:val="single"/>
            <w:lang w:val="en-US" w:eastAsia="en-US"/>
          </w:rPr>
          <w:t>https://doi.org/10.1038/s41598-025-03108-2</w:t>
        </w:r>
      </w:hyperlink>
    </w:p>
    <w:p w14:paraId="33706A77"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Nabity, M. B., Lees, G. E., Boggess, M. M., Yerramilli, M., Obare, E., Yerramilli, M., Rakitin, A., Aguiar, J., &amp; Relford, R. (2015). Symmetric dimethylarginine assay validation, stability, and evaluation as a marker for the early detection of chronic kidney disease in </w:t>
      </w:r>
      <w:r w:rsidRPr="00AA7331">
        <w:rPr>
          <w:sz w:val="24"/>
          <w:szCs w:val="24"/>
          <w:lang w:val="en-US" w:eastAsia="en-US"/>
        </w:rPr>
        <w:lastRenderedPageBreak/>
        <w:t xml:space="preserve">dogs. </w:t>
      </w:r>
      <w:r w:rsidRPr="00AA7331">
        <w:rPr>
          <w:i/>
          <w:iCs/>
          <w:sz w:val="24"/>
          <w:szCs w:val="24"/>
          <w:lang w:val="en-US" w:eastAsia="en-US"/>
        </w:rPr>
        <w:t>Journal of Veterinary Internal Medicine, 29</w:t>
      </w:r>
      <w:r w:rsidRPr="00AA7331">
        <w:rPr>
          <w:sz w:val="24"/>
          <w:szCs w:val="24"/>
          <w:lang w:val="en-US" w:eastAsia="en-US"/>
        </w:rPr>
        <w:t xml:space="preserve">(4), 1036–1044. </w:t>
      </w:r>
      <w:hyperlink r:id="rId26" w:history="1">
        <w:r w:rsidRPr="00AA7331">
          <w:rPr>
            <w:color w:val="0000FF"/>
            <w:sz w:val="24"/>
            <w:szCs w:val="24"/>
            <w:u w:val="single"/>
            <w:lang w:val="en-US" w:eastAsia="en-US"/>
          </w:rPr>
          <w:t>https://doi.org/10.1111/jvim.12835</w:t>
        </w:r>
      </w:hyperlink>
    </w:p>
    <w:p w14:paraId="7AB12215"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nl-BE" w:eastAsia="en-US"/>
        </w:rPr>
        <w:t xml:space="preserve">Perera, T. R. W., Skerrett-Byrne, D. A., Gibb, Z., Nixon, B., &amp; Swegen, A. (2022). </w:t>
      </w:r>
      <w:r w:rsidRPr="00AA7331">
        <w:rPr>
          <w:sz w:val="24"/>
          <w:szCs w:val="24"/>
          <w:lang w:val="en-US" w:eastAsia="en-US"/>
        </w:rPr>
        <w:t xml:space="preserve">The future of biomarkers in veterinary medicine: Emerging approaches and associated challenges. </w:t>
      </w:r>
      <w:r w:rsidRPr="00AA7331">
        <w:rPr>
          <w:i/>
          <w:iCs/>
          <w:sz w:val="24"/>
          <w:szCs w:val="24"/>
          <w:lang w:val="en-US" w:eastAsia="en-US"/>
        </w:rPr>
        <w:t>Animals, 12</w:t>
      </w:r>
      <w:r w:rsidRPr="00AA7331">
        <w:rPr>
          <w:sz w:val="24"/>
          <w:szCs w:val="24"/>
          <w:lang w:val="en-US" w:eastAsia="en-US"/>
        </w:rPr>
        <w:t xml:space="preserve">(17), 2194. </w:t>
      </w:r>
      <w:hyperlink r:id="rId27" w:history="1">
        <w:r w:rsidRPr="00AA7331">
          <w:rPr>
            <w:color w:val="0000FF"/>
            <w:sz w:val="24"/>
            <w:szCs w:val="24"/>
            <w:u w:val="single"/>
            <w:lang w:val="en-US" w:eastAsia="en-US"/>
          </w:rPr>
          <w:t>https://doi.org/10.3390/ani12172194</w:t>
        </w:r>
      </w:hyperlink>
    </w:p>
    <w:p w14:paraId="78756B13"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Prouteau, A., Denis, J. A., De Fornel, P., Cadieu, E., Derrien, T., Kergal, C., Botherel, N., Ulvé, R., Rault, M., Bouzidi, A., François, R., Dorso, L., Lespagnol, A., Devauchelle, P., Abadie, J., André, C., &amp; Hédan, B. (2021). Circulating tumor DNA is detectable in canine histiocytic sarcoma, oral malignant melanoma, and multicentric lymphoma. </w:t>
      </w:r>
      <w:r w:rsidRPr="00AA7331">
        <w:rPr>
          <w:i/>
          <w:iCs/>
          <w:sz w:val="24"/>
          <w:szCs w:val="24"/>
          <w:lang w:val="en-US" w:eastAsia="en-US"/>
        </w:rPr>
        <w:t>Scientific Reports, 11</w:t>
      </w:r>
      <w:r w:rsidRPr="00AA7331">
        <w:rPr>
          <w:sz w:val="24"/>
          <w:szCs w:val="24"/>
          <w:lang w:val="en-US" w:eastAsia="en-US"/>
        </w:rPr>
        <w:t xml:space="preserve">, 877. </w:t>
      </w:r>
      <w:hyperlink r:id="rId28" w:history="1">
        <w:r w:rsidRPr="00AA7331">
          <w:rPr>
            <w:color w:val="0000FF"/>
            <w:sz w:val="24"/>
            <w:szCs w:val="24"/>
            <w:u w:val="single"/>
            <w:lang w:val="en-US" w:eastAsia="en-US"/>
          </w:rPr>
          <w:t>https://doi.org/10.1038/s41598-020-80332-y</w:t>
        </w:r>
      </w:hyperlink>
    </w:p>
    <w:p w14:paraId="4B99A406"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Relford, R., Robertson, J., &amp; Clements, C. (2016). Symmetric dimethylarginine: Improving the diagnosis and staging of chronic kidney disease in small animals. </w:t>
      </w:r>
      <w:r w:rsidRPr="00AA7331">
        <w:rPr>
          <w:i/>
          <w:iCs/>
          <w:sz w:val="24"/>
          <w:szCs w:val="24"/>
          <w:lang w:val="en-US" w:eastAsia="en-US"/>
        </w:rPr>
        <w:t>Veterinary Clinics of North America: Small Animal Practice, 46</w:t>
      </w:r>
      <w:r w:rsidRPr="00AA7331">
        <w:rPr>
          <w:sz w:val="24"/>
          <w:szCs w:val="24"/>
          <w:lang w:val="en-US" w:eastAsia="en-US"/>
        </w:rPr>
        <w:t xml:space="preserve">(6), 941–960. </w:t>
      </w:r>
      <w:hyperlink r:id="rId29" w:history="1">
        <w:r w:rsidRPr="00AA7331">
          <w:rPr>
            <w:color w:val="0000FF"/>
            <w:sz w:val="24"/>
            <w:szCs w:val="24"/>
            <w:u w:val="single"/>
            <w:lang w:val="en-US" w:eastAsia="en-US"/>
          </w:rPr>
          <w:t>https://doi.org/10.1016/j.cvsm.2016.06.010</w:t>
        </w:r>
      </w:hyperlink>
    </w:p>
    <w:p w14:paraId="60365837"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Rossi, G. (2023). Acute phase proteins in cats: Diagnostic and prognostic role, future directions, and analytical challenges. </w:t>
      </w:r>
      <w:r w:rsidRPr="00AA7331">
        <w:rPr>
          <w:i/>
          <w:iCs/>
          <w:sz w:val="24"/>
          <w:szCs w:val="24"/>
          <w:lang w:val="en-US" w:eastAsia="en-US"/>
        </w:rPr>
        <w:t>Veterinary Clinical Pathology, 52</w:t>
      </w:r>
      <w:r w:rsidRPr="00AA7331">
        <w:rPr>
          <w:sz w:val="24"/>
          <w:szCs w:val="24"/>
          <w:lang w:val="en-US" w:eastAsia="en-US"/>
        </w:rPr>
        <w:t xml:space="preserve">(Suppl. 1), 37–49. </w:t>
      </w:r>
      <w:hyperlink r:id="rId30" w:history="1">
        <w:r w:rsidRPr="00AA7331">
          <w:rPr>
            <w:color w:val="0000FF"/>
            <w:sz w:val="24"/>
            <w:szCs w:val="24"/>
            <w:u w:val="single"/>
            <w:lang w:val="en-US" w:eastAsia="en-US"/>
          </w:rPr>
          <w:t>https://doi.org/10.1111/vcp.13238</w:t>
        </w:r>
      </w:hyperlink>
    </w:p>
    <w:p w14:paraId="1FE30E40"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Ruiz-Perez, C. A., Nakashe, P., Marshall, M. A., Marass, F., Tang, T., McLennan, L. M., Kroll, M., Flesner, B. K., Gray, S., Rafalko, J. M., Grosu, D. S., Hicks, S. C., Tynan, J. A., Tsui, D. W. Y., Flory, A., &amp; Kruglyak, K. M. (2024). Proof-of-concept evaluation of next-generation sequencing-based liquid biopsy for non-invasive cancer detection in cats. </w:t>
      </w:r>
      <w:r w:rsidRPr="00AA7331">
        <w:rPr>
          <w:i/>
          <w:iCs/>
          <w:sz w:val="24"/>
          <w:szCs w:val="24"/>
          <w:lang w:val="en-US" w:eastAsia="en-US"/>
        </w:rPr>
        <w:t>Frontiers in Veterinary Science, 11</w:t>
      </w:r>
      <w:r w:rsidRPr="00AA7331">
        <w:rPr>
          <w:sz w:val="24"/>
          <w:szCs w:val="24"/>
          <w:lang w:val="en-US" w:eastAsia="en-US"/>
        </w:rPr>
        <w:t xml:space="preserve">, 1394686. </w:t>
      </w:r>
      <w:hyperlink r:id="rId31" w:history="1">
        <w:r w:rsidRPr="00AA7331">
          <w:rPr>
            <w:color w:val="0000FF"/>
            <w:sz w:val="24"/>
            <w:szCs w:val="24"/>
            <w:u w:val="single"/>
            <w:lang w:val="en-US" w:eastAsia="en-US"/>
          </w:rPr>
          <w:t>https://doi.org/10.3389/fvets.2024.1394686</w:t>
        </w:r>
      </w:hyperlink>
    </w:p>
    <w:p w14:paraId="64A65FAD"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nl-BE" w:eastAsia="en-US"/>
        </w:rPr>
        <w:t xml:space="preserve">Simons, F. A., Vennema, H., Rofina, J. E., Pol, J. M., Horzinek, M. C., Rottier, P. J. M., &amp; Egberink, H. F. (2005). </w:t>
      </w:r>
      <w:r w:rsidRPr="00AA7331">
        <w:rPr>
          <w:sz w:val="24"/>
          <w:szCs w:val="24"/>
          <w:lang w:val="en-US" w:eastAsia="en-US"/>
        </w:rPr>
        <w:t xml:space="preserve">An mRNA PCR for the diagnosis of feline infectious peritonitis. </w:t>
      </w:r>
      <w:r w:rsidRPr="00AA7331">
        <w:rPr>
          <w:i/>
          <w:iCs/>
          <w:sz w:val="24"/>
          <w:szCs w:val="24"/>
          <w:lang w:val="en-US" w:eastAsia="en-US"/>
        </w:rPr>
        <w:t>Journal of Virological Methods, 124</w:t>
      </w:r>
      <w:r w:rsidRPr="00AA7331">
        <w:rPr>
          <w:sz w:val="24"/>
          <w:szCs w:val="24"/>
          <w:lang w:val="en-US" w:eastAsia="en-US"/>
        </w:rPr>
        <w:t xml:space="preserve">(1–2), 111–116. </w:t>
      </w:r>
      <w:hyperlink r:id="rId32" w:history="1">
        <w:r w:rsidRPr="00AA7331">
          <w:rPr>
            <w:color w:val="0000FF"/>
            <w:sz w:val="24"/>
            <w:szCs w:val="24"/>
            <w:u w:val="single"/>
            <w:lang w:val="en-US" w:eastAsia="en-US"/>
          </w:rPr>
          <w:t>https://doi.org/10.1016/j.jviromet.2004.11.012</w:t>
        </w:r>
      </w:hyperlink>
    </w:p>
    <w:p w14:paraId="5DB1530D"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Sukhera, J. (2022). Narrative reviews: Flexible, rigorous, and practical. </w:t>
      </w:r>
      <w:r w:rsidRPr="00AA7331">
        <w:rPr>
          <w:i/>
          <w:iCs/>
          <w:sz w:val="24"/>
          <w:szCs w:val="24"/>
          <w:lang w:val="en-US" w:eastAsia="en-US"/>
        </w:rPr>
        <w:t>Journal of Graduate Medical Education, 14</w:t>
      </w:r>
      <w:r w:rsidRPr="00AA7331">
        <w:rPr>
          <w:sz w:val="24"/>
          <w:szCs w:val="24"/>
          <w:lang w:val="en-US" w:eastAsia="en-US"/>
        </w:rPr>
        <w:t xml:space="preserve">(4), 414–417. </w:t>
      </w:r>
      <w:hyperlink r:id="rId33" w:history="1">
        <w:r w:rsidRPr="00AA7331">
          <w:rPr>
            <w:color w:val="0000FF"/>
            <w:sz w:val="24"/>
            <w:szCs w:val="24"/>
            <w:u w:val="single"/>
            <w:lang w:val="en-US" w:eastAsia="en-US"/>
          </w:rPr>
          <w:t>https://doi.org/10.4300/JGME-D-22-00480.1</w:t>
        </w:r>
      </w:hyperlink>
    </w:p>
    <w:p w14:paraId="76CC0671"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Trivedi, S., Marks, S. L., Kass, P. H., Luff, J. A., Keller, S. M., Johnson, E. G., &amp; Murphy, B. G. (2011). Sensitivity and specificity of canine pancreas-specific lipase (cPL) and other markers for pancreatitis in 70 dogs with and without histopathologic evidence of pancreatitis. </w:t>
      </w:r>
      <w:r w:rsidRPr="00AA7331">
        <w:rPr>
          <w:i/>
          <w:iCs/>
          <w:sz w:val="24"/>
          <w:szCs w:val="24"/>
          <w:lang w:val="en-US" w:eastAsia="en-US"/>
        </w:rPr>
        <w:t>Journal of Veterinary Internal Medicine, 25</w:t>
      </w:r>
      <w:r w:rsidRPr="00AA7331">
        <w:rPr>
          <w:sz w:val="24"/>
          <w:szCs w:val="24"/>
          <w:lang w:val="en-US" w:eastAsia="en-US"/>
        </w:rPr>
        <w:t xml:space="preserve">(6), 1241–1247. </w:t>
      </w:r>
      <w:hyperlink r:id="rId34" w:history="1">
        <w:r w:rsidRPr="00AA7331">
          <w:rPr>
            <w:color w:val="0000FF"/>
            <w:sz w:val="24"/>
            <w:szCs w:val="24"/>
            <w:u w:val="single"/>
            <w:lang w:val="en-US" w:eastAsia="en-US"/>
          </w:rPr>
          <w:t>https://doi.org/10.1111/j.1939-1676.2011.00793.x</w:t>
        </w:r>
      </w:hyperlink>
    </w:p>
    <w:p w14:paraId="0C200C66" w14:textId="77777777" w:rsidR="00AA7331" w:rsidRPr="00AA7331" w:rsidRDefault="00AA7331" w:rsidP="00AA7331">
      <w:pPr>
        <w:numPr>
          <w:ilvl w:val="0"/>
          <w:numId w:val="4"/>
        </w:numPr>
        <w:tabs>
          <w:tab w:val="clear" w:pos="720"/>
        </w:tabs>
        <w:spacing w:before="100" w:beforeAutospacing="1" w:after="100" w:afterAutospacing="1"/>
        <w:ind w:hanging="720"/>
        <w:jc w:val="both"/>
        <w:rPr>
          <w:sz w:val="24"/>
          <w:szCs w:val="24"/>
          <w:lang w:val="en-US" w:eastAsia="en-US"/>
        </w:rPr>
      </w:pPr>
      <w:r w:rsidRPr="00AA7331">
        <w:rPr>
          <w:sz w:val="24"/>
          <w:szCs w:val="24"/>
          <w:lang w:val="en-US" w:eastAsia="en-US"/>
        </w:rPr>
        <w:t xml:space="preserve">Varvil, M. S., &amp; Pires dos Santos, A. (2023). A review on microRNA detection and expression studies in dogs. </w:t>
      </w:r>
      <w:r w:rsidRPr="00AA7331">
        <w:rPr>
          <w:i/>
          <w:iCs/>
          <w:sz w:val="24"/>
          <w:szCs w:val="24"/>
          <w:lang w:val="en-US" w:eastAsia="en-US"/>
        </w:rPr>
        <w:t>Frontiers in Veterinary Science, 10</w:t>
      </w:r>
      <w:r w:rsidRPr="00AA7331">
        <w:rPr>
          <w:sz w:val="24"/>
          <w:szCs w:val="24"/>
          <w:lang w:val="en-US" w:eastAsia="en-US"/>
        </w:rPr>
        <w:t xml:space="preserve">, 1261085. </w:t>
      </w:r>
      <w:hyperlink r:id="rId35" w:history="1">
        <w:r w:rsidRPr="00AA7331">
          <w:rPr>
            <w:color w:val="0000FF"/>
            <w:sz w:val="24"/>
            <w:szCs w:val="24"/>
            <w:u w:val="single"/>
            <w:lang w:val="en-US" w:eastAsia="en-US"/>
          </w:rPr>
          <w:t>https://doi.org/10.3389/fvets.2023.1261085</w:t>
        </w:r>
      </w:hyperlink>
    </w:p>
    <w:p w14:paraId="4BB5181A" w14:textId="27BEB737" w:rsidR="00817E8E" w:rsidRPr="00930645" w:rsidRDefault="00817E8E" w:rsidP="00AA7331">
      <w:pPr>
        <w:spacing w:after="160" w:line="264" w:lineRule="auto"/>
        <w:ind w:left="720" w:hanging="720"/>
        <w:rPr>
          <w:color w:val="000000" w:themeColor="text1"/>
        </w:rPr>
      </w:pPr>
    </w:p>
    <w:sectPr w:rsidR="00817E8E" w:rsidRPr="00930645">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2454C" w14:textId="77777777" w:rsidR="00A070F8" w:rsidRDefault="00A070F8" w:rsidP="00930645">
      <w:r>
        <w:separator/>
      </w:r>
    </w:p>
  </w:endnote>
  <w:endnote w:type="continuationSeparator" w:id="0">
    <w:p w14:paraId="791EE2EE" w14:textId="77777777" w:rsidR="00A070F8" w:rsidRDefault="00A070F8" w:rsidP="00930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6222" w14:textId="77777777" w:rsidR="00930645" w:rsidRDefault="00930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3214" w14:textId="77777777" w:rsidR="00930645" w:rsidRDefault="009306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EE69" w14:textId="77777777" w:rsidR="00930645" w:rsidRDefault="00930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D55C2" w14:textId="77777777" w:rsidR="00A070F8" w:rsidRDefault="00A070F8" w:rsidP="00930645">
      <w:r>
        <w:separator/>
      </w:r>
    </w:p>
  </w:footnote>
  <w:footnote w:type="continuationSeparator" w:id="0">
    <w:p w14:paraId="2FCC977C" w14:textId="77777777" w:rsidR="00A070F8" w:rsidRDefault="00A070F8" w:rsidP="00930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F569" w14:textId="77777777" w:rsidR="00930645" w:rsidRDefault="00000000">
    <w:pPr>
      <w:pStyle w:val="Header"/>
    </w:pPr>
    <w:r>
      <w:rPr>
        <w:noProof/>
      </w:rPr>
      <w:pict w14:anchorId="3549B9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7132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2E11" w14:textId="77777777" w:rsidR="00930645" w:rsidRDefault="00000000">
    <w:pPr>
      <w:pStyle w:val="Header"/>
    </w:pPr>
    <w:r>
      <w:rPr>
        <w:noProof/>
      </w:rPr>
      <w:pict w14:anchorId="597D2F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7133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3EF8" w14:textId="77777777" w:rsidR="00930645" w:rsidRDefault="00000000">
    <w:pPr>
      <w:pStyle w:val="Header"/>
    </w:pPr>
    <w:r>
      <w:rPr>
        <w:noProof/>
      </w:rPr>
      <w:pict w14:anchorId="0DB285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7132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C6995"/>
    <w:multiLevelType w:val="multilevel"/>
    <w:tmpl w:val="9FBC8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A72525"/>
    <w:multiLevelType w:val="multilevel"/>
    <w:tmpl w:val="7088AA5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F47701"/>
    <w:multiLevelType w:val="hybridMultilevel"/>
    <w:tmpl w:val="D594130C"/>
    <w:lvl w:ilvl="0" w:tplc="0AC22A2C">
      <w:start w:val="1"/>
      <w:numFmt w:val="bullet"/>
      <w:lvlText w:val="●"/>
      <w:lvlJc w:val="left"/>
      <w:pPr>
        <w:ind w:left="720" w:hanging="360"/>
      </w:pPr>
    </w:lvl>
    <w:lvl w:ilvl="1" w:tplc="35B23A02">
      <w:start w:val="1"/>
      <w:numFmt w:val="bullet"/>
      <w:lvlText w:val="○"/>
      <w:lvlJc w:val="left"/>
      <w:pPr>
        <w:ind w:left="1440" w:hanging="360"/>
      </w:pPr>
    </w:lvl>
    <w:lvl w:ilvl="2" w:tplc="B5200422">
      <w:start w:val="1"/>
      <w:numFmt w:val="bullet"/>
      <w:lvlText w:val="■"/>
      <w:lvlJc w:val="left"/>
      <w:pPr>
        <w:ind w:left="2160" w:hanging="360"/>
      </w:pPr>
    </w:lvl>
    <w:lvl w:ilvl="3" w:tplc="05B8CF04">
      <w:start w:val="1"/>
      <w:numFmt w:val="bullet"/>
      <w:lvlText w:val="●"/>
      <w:lvlJc w:val="left"/>
      <w:pPr>
        <w:ind w:left="2880" w:hanging="360"/>
      </w:pPr>
    </w:lvl>
    <w:lvl w:ilvl="4" w:tplc="6A106F76">
      <w:start w:val="1"/>
      <w:numFmt w:val="bullet"/>
      <w:lvlText w:val="○"/>
      <w:lvlJc w:val="left"/>
      <w:pPr>
        <w:ind w:left="3600" w:hanging="360"/>
      </w:pPr>
    </w:lvl>
    <w:lvl w:ilvl="5" w:tplc="8594FC0A">
      <w:start w:val="1"/>
      <w:numFmt w:val="bullet"/>
      <w:lvlText w:val="■"/>
      <w:lvlJc w:val="left"/>
      <w:pPr>
        <w:ind w:left="4320" w:hanging="360"/>
      </w:pPr>
    </w:lvl>
    <w:lvl w:ilvl="6" w:tplc="BC6CED98">
      <w:start w:val="1"/>
      <w:numFmt w:val="bullet"/>
      <w:lvlText w:val="●"/>
      <w:lvlJc w:val="left"/>
      <w:pPr>
        <w:ind w:left="5040" w:hanging="360"/>
      </w:pPr>
    </w:lvl>
    <w:lvl w:ilvl="7" w:tplc="9134E744">
      <w:start w:val="1"/>
      <w:numFmt w:val="bullet"/>
      <w:lvlText w:val="●"/>
      <w:lvlJc w:val="left"/>
      <w:pPr>
        <w:ind w:left="5760" w:hanging="360"/>
      </w:pPr>
    </w:lvl>
    <w:lvl w:ilvl="8" w:tplc="B3346038">
      <w:start w:val="1"/>
      <w:numFmt w:val="bullet"/>
      <w:lvlText w:val="●"/>
      <w:lvlJc w:val="left"/>
      <w:pPr>
        <w:ind w:left="6480" w:hanging="360"/>
      </w:pPr>
    </w:lvl>
  </w:abstractNum>
  <w:abstractNum w:abstractNumId="3" w15:restartNumberingAfterBreak="0">
    <w:nsid w:val="6B335C1F"/>
    <w:multiLevelType w:val="multilevel"/>
    <w:tmpl w:val="D12CFBE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0063413">
    <w:abstractNumId w:val="2"/>
    <w:lvlOverride w:ilvl="0">
      <w:startOverride w:val="1"/>
    </w:lvlOverride>
  </w:num>
  <w:num w:numId="2" w16cid:durableId="1189295612">
    <w:abstractNumId w:val="0"/>
  </w:num>
  <w:num w:numId="3" w16cid:durableId="1189837280">
    <w:abstractNumId w:val="1"/>
  </w:num>
  <w:num w:numId="4" w16cid:durableId="1986086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E8E"/>
    <w:rsid w:val="00045AB3"/>
    <w:rsid w:val="000844B0"/>
    <w:rsid w:val="000D7A53"/>
    <w:rsid w:val="001015C7"/>
    <w:rsid w:val="00251F18"/>
    <w:rsid w:val="00271622"/>
    <w:rsid w:val="00541298"/>
    <w:rsid w:val="00817E8E"/>
    <w:rsid w:val="00912C37"/>
    <w:rsid w:val="00930645"/>
    <w:rsid w:val="00A070F8"/>
    <w:rsid w:val="00AA7331"/>
    <w:rsid w:val="00AC6FAA"/>
    <w:rsid w:val="00AE43A5"/>
    <w:rsid w:val="00B84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4D77C"/>
  <w15:docId w15:val="{21A26430-AD4A-43B6-B8EA-70F1D500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30645"/>
    <w:pPr>
      <w:tabs>
        <w:tab w:val="center" w:pos="4513"/>
        <w:tab w:val="right" w:pos="9026"/>
      </w:tabs>
    </w:pPr>
  </w:style>
  <w:style w:type="character" w:customStyle="1" w:styleId="HeaderChar">
    <w:name w:val="Header Char"/>
    <w:basedOn w:val="DefaultParagraphFont"/>
    <w:link w:val="Header"/>
    <w:uiPriority w:val="99"/>
    <w:rsid w:val="00930645"/>
  </w:style>
  <w:style w:type="paragraph" w:styleId="Footer">
    <w:name w:val="footer"/>
    <w:basedOn w:val="Normal"/>
    <w:link w:val="FooterChar"/>
    <w:uiPriority w:val="99"/>
    <w:unhideWhenUsed/>
    <w:rsid w:val="00930645"/>
    <w:pPr>
      <w:tabs>
        <w:tab w:val="center" w:pos="4513"/>
        <w:tab w:val="right" w:pos="9026"/>
      </w:tabs>
    </w:pPr>
  </w:style>
  <w:style w:type="character" w:customStyle="1" w:styleId="FooterChar">
    <w:name w:val="Footer Char"/>
    <w:basedOn w:val="DefaultParagraphFont"/>
    <w:link w:val="Footer"/>
    <w:uiPriority w:val="99"/>
    <w:rsid w:val="00930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tvjl.2010.04.009" TargetMode="External"/><Relationship Id="rId18" Type="http://schemas.openxmlformats.org/officeDocument/2006/relationships/hyperlink" Target="https://doi.org/10.3390/ani14050769" TargetMode="External"/><Relationship Id="rId26" Type="http://schemas.openxmlformats.org/officeDocument/2006/relationships/hyperlink" Target="https://doi.org/10.1111/jvim.12835" TargetMode="External"/><Relationship Id="rId39" Type="http://schemas.openxmlformats.org/officeDocument/2006/relationships/footer" Target="footer2.xml"/><Relationship Id="rId21" Type="http://schemas.openxmlformats.org/officeDocument/2006/relationships/hyperlink" Target="https://doi.org/10.1111/jvim.15745" TargetMode="External"/><Relationship Id="rId34" Type="http://schemas.openxmlformats.org/officeDocument/2006/relationships/hyperlink" Target="https://doi.org/10.1111/j.1939-1676.2011.00793.x" TargetMode="External"/><Relationship Id="rId42" Type="http://schemas.openxmlformats.org/officeDocument/2006/relationships/fontTable" Target="fontTable.xml"/><Relationship Id="rId7" Type="http://schemas.openxmlformats.org/officeDocument/2006/relationships/hyperlink" Target="https://doi.org/10.3390/vetsci11050199" TargetMode="External"/><Relationship Id="rId2" Type="http://schemas.openxmlformats.org/officeDocument/2006/relationships/styles" Target="styles.xml"/><Relationship Id="rId16" Type="http://schemas.openxmlformats.org/officeDocument/2006/relationships/hyperlink" Target="https://doi.org/10.1111/vco.12961" TargetMode="External"/><Relationship Id="rId20" Type="http://schemas.openxmlformats.org/officeDocument/2006/relationships/hyperlink" Target="https://doi.org/10.1111/jvim.13801" TargetMode="External"/><Relationship Id="rId29" Type="http://schemas.openxmlformats.org/officeDocument/2006/relationships/hyperlink" Target="https://doi.org/10.1016/j.cvsm.2016.06.010"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4202/vetworld.2017.1072-1082" TargetMode="External"/><Relationship Id="rId24" Type="http://schemas.openxmlformats.org/officeDocument/2006/relationships/hyperlink" Target="https://doi.org/10.1111/jvim.17020" TargetMode="External"/><Relationship Id="rId32" Type="http://schemas.openxmlformats.org/officeDocument/2006/relationships/hyperlink" Target="https://doi.org/10.1016/j.jviromet.2004.11.012"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016/S0899-3467(07)60142-6" TargetMode="External"/><Relationship Id="rId23" Type="http://schemas.openxmlformats.org/officeDocument/2006/relationships/hyperlink" Target="https://doi.org/10.1111/vcp.70037" TargetMode="External"/><Relationship Id="rId28" Type="http://schemas.openxmlformats.org/officeDocument/2006/relationships/hyperlink" Target="https://doi.org/10.1038/s41598-020-80332-y" TargetMode="External"/><Relationship Id="rId36" Type="http://schemas.openxmlformats.org/officeDocument/2006/relationships/header" Target="header1.xml"/><Relationship Id="rId10" Type="http://schemas.openxmlformats.org/officeDocument/2006/relationships/hyperlink" Target="https://doi.org/10.1111/vcp.13412" TargetMode="External"/><Relationship Id="rId19" Type="http://schemas.openxmlformats.org/officeDocument/2006/relationships/hyperlink" Target="https://doi.org/10.1186/s12917-017-1259-1" TargetMode="External"/><Relationship Id="rId31" Type="http://schemas.openxmlformats.org/officeDocument/2006/relationships/hyperlink" Target="https://doi.org/10.3389/fvets.2024.1394686" TargetMode="External"/><Relationship Id="rId4" Type="http://schemas.openxmlformats.org/officeDocument/2006/relationships/webSettings" Target="webSettings.xml"/><Relationship Id="rId9" Type="http://schemas.openxmlformats.org/officeDocument/2006/relationships/hyperlink" Target="https://doi.org/10.1111/j.1939-165X.2005.tb00019.x" TargetMode="External"/><Relationship Id="rId14" Type="http://schemas.openxmlformats.org/officeDocument/2006/relationships/hyperlink" Target="https://doi.org/10.1179/2047480615Z.000000000329" TargetMode="External"/><Relationship Id="rId22" Type="http://schemas.openxmlformats.org/officeDocument/2006/relationships/hyperlink" Target="https://doi.org/10.1016/j.tvjl.2021.105732" TargetMode="External"/><Relationship Id="rId27" Type="http://schemas.openxmlformats.org/officeDocument/2006/relationships/hyperlink" Target="https://doi.org/10.3390/ani12172194" TargetMode="External"/><Relationship Id="rId30" Type="http://schemas.openxmlformats.org/officeDocument/2006/relationships/hyperlink" Target="https://doi.org/10.1111/vcp.13238" TargetMode="External"/><Relationship Id="rId35" Type="http://schemas.openxmlformats.org/officeDocument/2006/relationships/hyperlink" Target="https://doi.org/10.3389/fvets.2023.1261085" TargetMode="External"/><Relationship Id="rId43" Type="http://schemas.openxmlformats.org/officeDocument/2006/relationships/theme" Target="theme/theme1.xml"/><Relationship Id="rId8" Type="http://schemas.openxmlformats.org/officeDocument/2006/relationships/hyperlink" Target="https://doi.org/10.3389/fvets.2024.1497817" TargetMode="External"/><Relationship Id="rId3" Type="http://schemas.openxmlformats.org/officeDocument/2006/relationships/settings" Target="settings.xml"/><Relationship Id="rId12" Type="http://schemas.openxmlformats.org/officeDocument/2006/relationships/hyperlink" Target="https://doi.org/10.1371/journal.pone.0161005" TargetMode="External"/><Relationship Id="rId17" Type="http://schemas.openxmlformats.org/officeDocument/2006/relationships/hyperlink" Target="https://doi.org/10.1038/s41598-024-69070-7" TargetMode="External"/><Relationship Id="rId25" Type="http://schemas.openxmlformats.org/officeDocument/2006/relationships/hyperlink" Target="https://doi.org/10.1038/s41598-025-03108-2" TargetMode="External"/><Relationship Id="rId33" Type="http://schemas.openxmlformats.org/officeDocument/2006/relationships/hyperlink" Target="https://doi.org/10.4300/JGME-D-22-00480.1"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23</Pages>
  <Words>12363</Words>
  <Characters>70475</Characters>
  <Application>Microsoft Office Word</Application>
  <DocSecurity>0</DocSecurity>
  <Lines>587</Lines>
  <Paragraphs>165</Paragraphs>
  <ScaleCrop>false</ScaleCrop>
  <Company>HP</Company>
  <LinksUpToDate>false</LinksUpToDate>
  <CharactersWithSpaces>82673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Editor-90</cp:lastModifiedBy>
  <cp:revision>7</cp:revision>
  <dcterms:created xsi:type="dcterms:W3CDTF">2026-07-15T08:45:00Z</dcterms:created>
  <dcterms:modified xsi:type="dcterms:W3CDTF">2026-07-20T04:06:00Z</dcterms:modified>
</cp:coreProperties>
</file>