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A9816" w14:textId="77777777" w:rsidR="005810AB" w:rsidRDefault="005810AB" w:rsidP="00895688">
      <w:pPr>
        <w:spacing w:before="100" w:beforeAutospacing="1" w:after="100" w:afterAutospacing="1" w:line="240" w:lineRule="auto"/>
        <w:jc w:val="both"/>
        <w:outlineLvl w:val="1"/>
        <w:rPr>
          <w:rFonts w:ascii="Times New Roman" w:eastAsia="Times New Roman" w:hAnsi="Times New Roman" w:cs="Times New Roman"/>
          <w:b/>
          <w:bCs/>
          <w:i/>
          <w:iCs/>
          <w:sz w:val="36"/>
          <w:szCs w:val="36"/>
          <w:u w:val="single"/>
          <w:lang w:val="en-US" w:eastAsia="en-GB"/>
        </w:rPr>
      </w:pPr>
    </w:p>
    <w:p w14:paraId="583C4703" w14:textId="77777777" w:rsidR="003C1BA8" w:rsidRPr="003C1BA8" w:rsidRDefault="003C1BA8" w:rsidP="00895688">
      <w:pPr>
        <w:spacing w:before="100" w:beforeAutospacing="1" w:after="100" w:afterAutospacing="1" w:line="240" w:lineRule="auto"/>
        <w:jc w:val="both"/>
        <w:outlineLvl w:val="1"/>
        <w:rPr>
          <w:rFonts w:ascii="Times New Roman" w:eastAsia="Times New Roman" w:hAnsi="Times New Roman" w:cs="Times New Roman"/>
          <w:b/>
          <w:bCs/>
          <w:sz w:val="36"/>
          <w:szCs w:val="36"/>
          <w:lang w:eastAsia="en-GB"/>
        </w:rPr>
      </w:pPr>
      <w:r w:rsidRPr="003C1BA8">
        <w:rPr>
          <w:rFonts w:ascii="Times New Roman" w:eastAsia="Times New Roman" w:hAnsi="Times New Roman" w:cs="Times New Roman"/>
          <w:b/>
          <w:bCs/>
          <w:sz w:val="36"/>
          <w:szCs w:val="36"/>
          <w:lang w:eastAsia="en-GB"/>
        </w:rPr>
        <w:t>Bridging the Gap Between Data Analytics and Public Health Policy: A Review of Translational Barriers and Opportunities</w:t>
      </w:r>
    </w:p>
    <w:p w14:paraId="1B7D34A1" w14:textId="77777777" w:rsidR="003C1BA8" w:rsidRPr="003C1BA8" w:rsidRDefault="003C1BA8" w:rsidP="00895688">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C1BA8">
        <w:rPr>
          <w:rFonts w:ascii="Times New Roman" w:eastAsia="Times New Roman" w:hAnsi="Times New Roman" w:cs="Times New Roman"/>
          <w:b/>
          <w:bCs/>
          <w:sz w:val="27"/>
          <w:szCs w:val="27"/>
          <w:lang w:eastAsia="en-GB"/>
        </w:rPr>
        <w:t>Abstract</w:t>
      </w:r>
    </w:p>
    <w:p w14:paraId="2D58C59A"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Public health systems generate unprecedented volumes of data through electronic health records, disease surveillance networks, mobile health platforms, and environmental sensors, yet this analytical capacity rarely converts into timely policy action. This narrative review examines the structural, technical, institutional, and ethical barriers that separate data analytics from public health policymaking, and identifies opportunities that may narrow this gap. Drawing on literature published between 2018 and the present, the review synthesises evidence across six domains: data governance and interoperability, workforce and institutional capacity, knowledge translation mechanisms, algorithmic bias and equity, visual communication for decision-makers, and the particular constraints faced by low- and middle-income settings. The review finds that technical sophistication in analytics has consistently outpaced the institutional architecture needed to use it, with fragmented data systems, an underprepared informatics workforce, weak knowledge-brokering structures, and uneven regulatory oversight of artificial intelligence each acting as independent and compounding obstacles. Conversely, promising developments in interoperability standards, dashboard design, evidence-to-decision frameworks, and workforce upskilling programmes demonstrate that the gap is narrowing in some jurisdictions, although progress remains uneven across income settings. The review concludes that closing the translational gap requires simultaneous investment in data infrastructure, in the people who interpret it, and in the institutional relationships that connect analysts to decision-makers, rather than further investment in analytic methods alone.</w:t>
      </w:r>
    </w:p>
    <w:p w14:paraId="41A178DD"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b/>
          <w:bCs/>
          <w:sz w:val="24"/>
          <w:szCs w:val="24"/>
          <w:lang w:eastAsia="en-GB"/>
        </w:rPr>
        <w:t>Keywords:</w:t>
      </w:r>
      <w:r w:rsidRPr="003C1BA8">
        <w:rPr>
          <w:rFonts w:ascii="Times New Roman" w:eastAsia="Times New Roman" w:hAnsi="Times New Roman" w:cs="Times New Roman"/>
          <w:sz w:val="24"/>
          <w:szCs w:val="24"/>
          <w:lang w:eastAsia="en-GB"/>
        </w:rPr>
        <w:t xml:space="preserve"> data analytics; public health policy; knowledge translation; health informatics; data governance; evidence-informed decision-making; health equity</w:t>
      </w:r>
    </w:p>
    <w:p w14:paraId="6AA6A0E8" w14:textId="77777777" w:rsidR="003C1BA8" w:rsidRPr="003C1BA8" w:rsidRDefault="003C1BA8" w:rsidP="00895688">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C1BA8">
        <w:rPr>
          <w:rFonts w:ascii="Times New Roman" w:eastAsia="Times New Roman" w:hAnsi="Times New Roman" w:cs="Times New Roman"/>
          <w:b/>
          <w:bCs/>
          <w:sz w:val="27"/>
          <w:szCs w:val="27"/>
          <w:lang w:eastAsia="en-GB"/>
        </w:rPr>
        <w:t>1. Introduction</w:t>
      </w:r>
    </w:p>
    <w:p w14:paraId="1577D055"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Public health agencies now operate within an information environment that would have been unrecognisable two decades ago. Electronic health records, insurance claims databases, syndromic surveillance feeds, genomic sequencing platforms, mobile phone mobility traces, and social media signals together produce a continuous stream of data describing population health in near real time. The COVID-19 pandemic accelerated this trend considerably, forcing health departments to build or expand dashboards, forecasting models, and data-sharing pipelines under emergency conditions (Farinha et al., 2022; Rigby et al., 2024). Investment in artificial intelligence and machine learning for disease surveillance, risk prediction, and resource allocation has grown correspondingly, with applications spanning outbreak detection, chronic disease management, and health system planning (Wang et al., 2025).</w:t>
      </w:r>
    </w:p>
    <w:p w14:paraId="307FFD82" w14:textId="77777777" w:rsidR="005650B4" w:rsidRPr="00895688" w:rsidRDefault="00800149" w:rsidP="00895688">
      <w:pPr>
        <w:jc w:val="both"/>
        <w:rPr>
          <w:bCs/>
        </w:rPr>
      </w:pPr>
      <w:r w:rsidRPr="00895688">
        <w:rPr>
          <w:bCs/>
          <w:highlight w:val="yellow"/>
        </w:rPr>
        <w:t xml:space="preserve">Recent evidence on public health data exchange further shows that existing health information exchange organisations may help public health agencies close reporting and analytic gaps, provided </w:t>
      </w:r>
      <w:r w:rsidRPr="00895688">
        <w:rPr>
          <w:bCs/>
          <w:highlight w:val="yellow"/>
        </w:rPr>
        <w:lastRenderedPageBreak/>
        <w:t>that interoperability, connectivity and sustained funding are addressed (Rosenthal et al., 2024). Similarly, scoping evidence on public health surveillance dashboards indicates that dashboard effectiveness depends not only on data availability but also on clear target users, appropriate content, suitable analytic functions and adequate technical infrastructure (</w:t>
      </w:r>
      <w:proofErr w:type="spellStart"/>
      <w:r w:rsidRPr="00895688">
        <w:rPr>
          <w:bCs/>
          <w:highlight w:val="yellow"/>
        </w:rPr>
        <w:t>Rabiei</w:t>
      </w:r>
      <w:proofErr w:type="spellEnd"/>
      <w:r w:rsidRPr="00895688">
        <w:rPr>
          <w:bCs/>
          <w:highlight w:val="yellow"/>
        </w:rPr>
        <w:t xml:space="preserve"> et al., 2024).</w:t>
      </w:r>
    </w:p>
    <w:p w14:paraId="17094B7B" w14:textId="7922E18F" w:rsidR="005650B4" w:rsidRPr="0089568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Despite this expansion in analytic capacity, a persistent observation runs through the public health literature: data does not automatically become decision. Policymakers continue to rely on intuition, political negotiation, and incomplete evidence even when more rigorous analytic products exist (Babarczy et al., 2024). The reasons are not simply technical. They involve the fragmented architecture of health information systems, the limited data literacy of much of the public health workforce, weak institutional mechanisms for translating research into policy, legitimate concerns about algorithmic bias and privacy, and the communication gap between analysts who produce findings and officials who must act on them under political and resource constraints. These barriers interact, so that progress on one front, such as improved interoperability, does not by itself guarantee improved policy uptake if workforce capacity or institutional trust remain weak.</w:t>
      </w:r>
      <w:r w:rsidR="00895688">
        <w:rPr>
          <w:rFonts w:ascii="Times New Roman" w:eastAsia="Times New Roman" w:hAnsi="Times New Roman" w:cs="Times New Roman"/>
          <w:sz w:val="24"/>
          <w:szCs w:val="24"/>
          <w:lang w:eastAsia="en-GB"/>
        </w:rPr>
        <w:t xml:space="preserve"> </w:t>
      </w:r>
      <w:r w:rsidR="00800149" w:rsidRPr="00895688">
        <w:rPr>
          <w:bCs/>
          <w:highlight w:val="yellow"/>
        </w:rPr>
        <w:t>Recent evidence-informed policymaking scholarship further indicates that the uptake of evidence in public health policy depends on structured criteria and transparent deliberative processes, rather than on the existence of evidence alone (Haby et al., 2025). Comparable governance concerns arise for artificial intelligence, where public health engagement has been proposed as a means to align innovation with collective benefit, equity and accountability (Wagner et al., 2024).</w:t>
      </w:r>
    </w:p>
    <w:p w14:paraId="5AA16DAC"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This review uses the term data analytics broadly, encompassing descriptive, predictive, and prescriptive techniques applied to health-related data, including statistical modelling, machine learning, and geographic information systems. The term public health policy is used to denote decisions made by governmental and institutional actors that allocate resources, set regulations, or structure programmes intended to protect or improve population health. Translation, in this context, refers to the process by which analytic outputs become inputs into such decisions, a process studied extensively under the broader heading of knowledge translation.</w:t>
      </w:r>
    </w:p>
    <w:p w14:paraId="7DF93DF7"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The remainder of the article proceeds as follows. Section 2 describes the methods used to identify and select literature for this narrative review. Section 3 examines the architecture of public health data systems and the governance arrangements that shape their use. Section 4 considers the public health workforce and the institutional structures that mediate between analysts and policymakers. Section 5 addresses knowledge translation theory and practice as applied specifically to data-driven evidence. Section 6 examines artificial intelligence, algorithmic bias, and equity concerns as they intersect with policy trust. Section 7 turns to the communication of analytic findings through dashboards and visualisation. Section 8 considers the particular constraints and opportunities in low- and middle-income countries. Section 9 outlines future directions, Section 10 presents conclusions, and Section 11 discusses the limitations of this review.</w:t>
      </w:r>
    </w:p>
    <w:p w14:paraId="5DCB2ECE"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 xml:space="preserve">The scope of this review is confined to the translational interface between data analytics and policy decision-making in public health, rather than the technical performance of specific analytic methods, which is treated only insofar as it bears on policy uptake. The review does not attempt a comprehensive technical assessment of machine learning architectures, nor does it cover clinical decision support at the level of individual patient care, which falls outside the population-level focus of public health policy. The principal research gap motivating this review is that existing literature tends to treat the technical, workforce, institutional, and </w:t>
      </w:r>
      <w:r w:rsidRPr="003C1BA8">
        <w:rPr>
          <w:rFonts w:ascii="Times New Roman" w:eastAsia="Times New Roman" w:hAnsi="Times New Roman" w:cs="Times New Roman"/>
          <w:sz w:val="24"/>
          <w:szCs w:val="24"/>
          <w:lang w:eastAsia="en-GB"/>
        </w:rPr>
        <w:lastRenderedPageBreak/>
        <w:t>ethical barriers to translation as separate bodies of scholarship, each reviewed within its own disciplinary silo, with comparatively few syntheses that examine how these barriers interact across the full pathway from data generation to policy decision. The objectives of this review are threefold: to map the principal categories of translational barrier identified across recent literature; to characterise the emerging strategies and institutional arrangements that appear to mitigate these barriers; and to identify priority areas where research, investment, or policy attention would most plausibly narrow the gap between analytic capacity and policy action.</w:t>
      </w:r>
    </w:p>
    <w:p w14:paraId="56CF7B43" w14:textId="77777777" w:rsidR="003C1BA8" w:rsidRPr="003C1BA8" w:rsidRDefault="003C1BA8" w:rsidP="00895688">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C1BA8">
        <w:rPr>
          <w:rFonts w:ascii="Times New Roman" w:eastAsia="Times New Roman" w:hAnsi="Times New Roman" w:cs="Times New Roman"/>
          <w:b/>
          <w:bCs/>
          <w:sz w:val="27"/>
          <w:szCs w:val="27"/>
          <w:lang w:eastAsia="en-GB"/>
        </w:rPr>
        <w:t>2. Methods for Literature Selection</w:t>
      </w:r>
    </w:p>
    <w:p w14:paraId="70B89ECA" w14:textId="77777777" w:rsidR="003C1BA8" w:rsidRPr="003C1BA8" w:rsidRDefault="003C1BA8" w:rsidP="0089568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2.1 Review approach</w:t>
      </w:r>
    </w:p>
    <w:p w14:paraId="75B0A956"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This article adopts a narrative review design rather than a systematic review. Narrative reviews are appropriate where the aim is to integrate a heterogeneous evidence base spanning multiple disciplines, methodologies, and units of analysis into a coherent conceptual synthesis, rather than to answer a narrowly defined, effect-size question amenable to meta-analysis (</w:t>
      </w:r>
      <w:proofErr w:type="spellStart"/>
      <w:r w:rsidRPr="003C1BA8">
        <w:rPr>
          <w:rFonts w:ascii="Times New Roman" w:eastAsia="Times New Roman" w:hAnsi="Times New Roman" w:cs="Times New Roman"/>
          <w:sz w:val="24"/>
          <w:szCs w:val="24"/>
          <w:lang w:eastAsia="en-GB"/>
        </w:rPr>
        <w:t>Baethge</w:t>
      </w:r>
      <w:proofErr w:type="spellEnd"/>
      <w:r w:rsidRPr="003C1BA8">
        <w:rPr>
          <w:rFonts w:ascii="Times New Roman" w:eastAsia="Times New Roman" w:hAnsi="Times New Roman" w:cs="Times New Roman"/>
          <w:sz w:val="24"/>
          <w:szCs w:val="24"/>
          <w:lang w:eastAsia="en-GB"/>
        </w:rPr>
        <w:t xml:space="preserve"> et al., 2019). The literature bearing on the translation of data analytics into public health policy spans health informatics, implementation science, public administration, bioethics, and epidemiology, and includes qualitative case studies, scoping reviews, editorials, and quantitative workforce surveys that resist aggregation under a single systematic protocol. Greenhalgh and colleagues have argued that the assumed hierarchy placing systematic reviews categorically above narrative reviews is misleading for precisely this type of question, where conceptual integration across disparate literatures is the primary goal rather than precise effect estimation (Greenhalgh et al., 2018). The present review follows the quality principles articulated in the Scale for the Assessment of Narrative Review Articles, including explicit justification of the review question, transparent description of the search approach, and balanced presentation of literature reflecting differing perspectives (</w:t>
      </w:r>
      <w:proofErr w:type="spellStart"/>
      <w:r w:rsidRPr="003C1BA8">
        <w:rPr>
          <w:rFonts w:ascii="Times New Roman" w:eastAsia="Times New Roman" w:hAnsi="Times New Roman" w:cs="Times New Roman"/>
          <w:sz w:val="24"/>
          <w:szCs w:val="24"/>
          <w:lang w:eastAsia="en-GB"/>
        </w:rPr>
        <w:t>Baethge</w:t>
      </w:r>
      <w:proofErr w:type="spellEnd"/>
      <w:r w:rsidRPr="003C1BA8">
        <w:rPr>
          <w:rFonts w:ascii="Times New Roman" w:eastAsia="Times New Roman" w:hAnsi="Times New Roman" w:cs="Times New Roman"/>
          <w:sz w:val="24"/>
          <w:szCs w:val="24"/>
          <w:lang w:eastAsia="en-GB"/>
        </w:rPr>
        <w:t xml:space="preserve"> et al., 2019).</w:t>
      </w:r>
    </w:p>
    <w:p w14:paraId="155D2F1F" w14:textId="77777777" w:rsidR="003C1BA8" w:rsidRPr="003C1BA8" w:rsidRDefault="003C1BA8" w:rsidP="0089568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2.2 Databases and search strategy</w:t>
      </w:r>
    </w:p>
    <w:p w14:paraId="32E57AE0"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Literature was identified through searches of Web of Science, Scopus, Google Scholar, and PubMed, supplemented by five field-specific indexing resources selected for their relevance to the subject matter: a biomedical informatics-oriented index, a health policy and systems index, a digital health and global health index, an environmental and geospatial health index, and a health economics and management index. Searches combined terms relating to data analytics (including "big data," "predictive analytics," "machine learning," "artificial intelligence," "data science") with terms relating to public health policy and translation (including "health policy," "knowledge translation," "evidence-informed decision-making," "data governance," "public health surveillance"). Boolean operators were used to combine these term clusters, and searches were restricted to English-language, peer-reviewed journal articles.</w:t>
      </w:r>
    </w:p>
    <w:p w14:paraId="28A7A936" w14:textId="77777777" w:rsidR="003C1BA8" w:rsidRPr="003C1BA8" w:rsidRDefault="003C1BA8" w:rsidP="0089568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2.3 Date range and inclusion criteria</w:t>
      </w:r>
    </w:p>
    <w:p w14:paraId="43133B2F" w14:textId="4A342502"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 xml:space="preserve">The literature search prioritised publications appearing between January 2018 and March 2026, capturing the period during which data analytics applications in public health expanded substantially, including the COVID-19 pandemic and its aftermath. A small number of older, methodologically foundational references were retained outside this window where they remain the primary citation for a concept still in active use, consistent with standard narrative </w:t>
      </w:r>
      <w:r w:rsidRPr="003C1BA8">
        <w:rPr>
          <w:rFonts w:ascii="Times New Roman" w:eastAsia="Times New Roman" w:hAnsi="Times New Roman" w:cs="Times New Roman"/>
          <w:sz w:val="24"/>
          <w:szCs w:val="24"/>
          <w:lang w:eastAsia="en-GB"/>
        </w:rPr>
        <w:lastRenderedPageBreak/>
        <w:t>review practice. Inclusion criteria comprised peer-reviewed journal articles, scoping or systematic reviews, and editorials published in indexed journals that addressed the relationship between health-related data analytics and policy, governance, workforce capacity, or implementation outcomes at a population level. Authoritative institutional reports from bodies such as the World Health Organization, the World Bank, and national public health agencies were eligible for inclusion where no peer-reviewed equivalent existed and a verifiable uniform resource locator could be provided. Books, conference proceedings, trade publications, preprints, patents, and non-peer-reviewed grey literature were excluded, with the partial exception of editorial commentaries published within peer-reviewed journals, which were retained where they offered synthesis value.</w:t>
      </w:r>
    </w:p>
    <w:p w14:paraId="53D24740" w14:textId="77777777" w:rsidR="003C1BA8" w:rsidRPr="003C1BA8" w:rsidRDefault="003C1BA8" w:rsidP="0089568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2.4 Screening, duplicate handling, and selection of influential studies</w:t>
      </w:r>
    </w:p>
    <w:p w14:paraId="45043F89"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Search results were screened initially by title and abstract for topical relevance to the translational interface between analytics and policy, with full texts retrieved for articles meeting this threshold. Duplicate records returned across multiple databases were identified by matching digital object identifiers and removed prior to full-text screening. Given the narrative design, no fixed quota of included studies per theme was set; instead, studies were selected purposively to represent the principal conceptual strands identified during preliminary scoping, with priority given to studies that were highly cited within their subfield, that reported original empirical data on workforce capacity or governance arrangements, or that offered a synthesis function comparable to the present review. Non-English language studies were excluded, as were studies focused exclusively on clinical decision support without a population health or policy dimension.</w:t>
      </w:r>
    </w:p>
    <w:p w14:paraId="4F064A14" w14:textId="77777777" w:rsidR="003C1BA8" w:rsidRPr="003C1BA8" w:rsidRDefault="003C1BA8" w:rsidP="0089568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2.5 Summary of search strategy</w:t>
      </w:r>
    </w:p>
    <w:p w14:paraId="3F54BCE7"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Table 1 summarises the search strategy applied across databases.</w:t>
      </w:r>
    </w:p>
    <w:p w14:paraId="30DFC961"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b/>
          <w:bCs/>
          <w:sz w:val="24"/>
          <w:szCs w:val="24"/>
          <w:lang w:eastAsia="en-GB"/>
        </w:rPr>
        <w:t>Table 1. Summary of literature search strategy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74"/>
        <w:gridCol w:w="7742"/>
      </w:tblGrid>
      <w:tr w:rsidR="003C1BA8" w:rsidRPr="003C1BA8" w14:paraId="03BD1D9A" w14:textId="77777777" w:rsidTr="003C1BA8">
        <w:trPr>
          <w:tblHeader/>
          <w:tblCellSpacing w:w="15" w:type="dxa"/>
        </w:trPr>
        <w:tc>
          <w:tcPr>
            <w:tcW w:w="0" w:type="auto"/>
            <w:vAlign w:val="center"/>
            <w:hideMark/>
          </w:tcPr>
          <w:p w14:paraId="143D5174" w14:textId="77777777" w:rsidR="003C1BA8" w:rsidRPr="003C1BA8" w:rsidRDefault="003C1BA8" w:rsidP="00895688">
            <w:pPr>
              <w:spacing w:after="0" w:line="240" w:lineRule="auto"/>
              <w:jc w:val="both"/>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Element</w:t>
            </w:r>
          </w:p>
        </w:tc>
        <w:tc>
          <w:tcPr>
            <w:tcW w:w="0" w:type="auto"/>
            <w:vAlign w:val="center"/>
            <w:hideMark/>
          </w:tcPr>
          <w:p w14:paraId="0F6A7FFF" w14:textId="77777777" w:rsidR="003C1BA8" w:rsidRPr="003C1BA8" w:rsidRDefault="003C1BA8" w:rsidP="00895688">
            <w:pPr>
              <w:spacing w:after="0" w:line="240" w:lineRule="auto"/>
              <w:jc w:val="both"/>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Specification</w:t>
            </w:r>
          </w:p>
        </w:tc>
      </w:tr>
      <w:tr w:rsidR="003C1BA8" w:rsidRPr="003C1BA8" w14:paraId="1B9911C7" w14:textId="77777777" w:rsidTr="003C1BA8">
        <w:trPr>
          <w:tblCellSpacing w:w="15" w:type="dxa"/>
        </w:trPr>
        <w:tc>
          <w:tcPr>
            <w:tcW w:w="0" w:type="auto"/>
            <w:vAlign w:val="center"/>
            <w:hideMark/>
          </w:tcPr>
          <w:p w14:paraId="092546C2"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Databases searched</w:t>
            </w:r>
          </w:p>
        </w:tc>
        <w:tc>
          <w:tcPr>
            <w:tcW w:w="0" w:type="auto"/>
            <w:vAlign w:val="center"/>
            <w:hideMark/>
          </w:tcPr>
          <w:p w14:paraId="76184196"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Web of Science, Scopus, Google Scholar, PubMed, plus field-specific indices for biomedical informatics, health policy and systems, digital and global health, geospatial health, and health economics</w:t>
            </w:r>
          </w:p>
        </w:tc>
      </w:tr>
      <w:tr w:rsidR="003C1BA8" w:rsidRPr="003C1BA8" w14:paraId="55D7020F" w14:textId="77777777" w:rsidTr="003C1BA8">
        <w:trPr>
          <w:tblCellSpacing w:w="15" w:type="dxa"/>
        </w:trPr>
        <w:tc>
          <w:tcPr>
            <w:tcW w:w="0" w:type="auto"/>
            <w:vAlign w:val="center"/>
            <w:hideMark/>
          </w:tcPr>
          <w:p w14:paraId="5A4BC38D"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Search terms</w:t>
            </w:r>
          </w:p>
        </w:tc>
        <w:tc>
          <w:tcPr>
            <w:tcW w:w="0" w:type="auto"/>
            <w:vAlign w:val="center"/>
            <w:hideMark/>
          </w:tcPr>
          <w:p w14:paraId="2799E445"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Combinations of "data analytics," "big data," "artificial intelligence," "machine learning," "data science" with "public health policy," "knowledge translation," "evidence-informed decision-making," "data governance," "surveillance"</w:t>
            </w:r>
          </w:p>
        </w:tc>
      </w:tr>
      <w:tr w:rsidR="003C1BA8" w:rsidRPr="003C1BA8" w14:paraId="6D19AC6D" w14:textId="77777777" w:rsidTr="003C1BA8">
        <w:trPr>
          <w:tblCellSpacing w:w="15" w:type="dxa"/>
        </w:trPr>
        <w:tc>
          <w:tcPr>
            <w:tcW w:w="0" w:type="auto"/>
            <w:vAlign w:val="center"/>
            <w:hideMark/>
          </w:tcPr>
          <w:p w14:paraId="3476CEDE"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Date range</w:t>
            </w:r>
          </w:p>
        </w:tc>
        <w:tc>
          <w:tcPr>
            <w:tcW w:w="0" w:type="auto"/>
            <w:vAlign w:val="center"/>
            <w:hideMark/>
          </w:tcPr>
          <w:p w14:paraId="4CEAF72F"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January 2018 to 31 March 2026, with selected foundational sources retained outside this range</w:t>
            </w:r>
          </w:p>
        </w:tc>
      </w:tr>
      <w:tr w:rsidR="003C1BA8" w:rsidRPr="003C1BA8" w14:paraId="69455CE7" w14:textId="77777777" w:rsidTr="003C1BA8">
        <w:trPr>
          <w:tblCellSpacing w:w="15" w:type="dxa"/>
        </w:trPr>
        <w:tc>
          <w:tcPr>
            <w:tcW w:w="0" w:type="auto"/>
            <w:vAlign w:val="center"/>
            <w:hideMark/>
          </w:tcPr>
          <w:p w14:paraId="0CF8B016"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Language</w:t>
            </w:r>
          </w:p>
        </w:tc>
        <w:tc>
          <w:tcPr>
            <w:tcW w:w="0" w:type="auto"/>
            <w:vAlign w:val="center"/>
            <w:hideMark/>
          </w:tcPr>
          <w:p w14:paraId="3B87F16B"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English only</w:t>
            </w:r>
          </w:p>
        </w:tc>
      </w:tr>
      <w:tr w:rsidR="003C1BA8" w:rsidRPr="003C1BA8" w14:paraId="02FDF744" w14:textId="77777777" w:rsidTr="003C1BA8">
        <w:trPr>
          <w:tblCellSpacing w:w="15" w:type="dxa"/>
        </w:trPr>
        <w:tc>
          <w:tcPr>
            <w:tcW w:w="0" w:type="auto"/>
            <w:vAlign w:val="center"/>
            <w:hideMark/>
          </w:tcPr>
          <w:p w14:paraId="2509EB40"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Study types included</w:t>
            </w:r>
          </w:p>
        </w:tc>
        <w:tc>
          <w:tcPr>
            <w:tcW w:w="0" w:type="auto"/>
            <w:vAlign w:val="center"/>
            <w:hideMark/>
          </w:tcPr>
          <w:p w14:paraId="0892CE38"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Peer-reviewed journal articles, scoping and systematic reviews, editorials with synthesis value, authoritative institutional reports with verifiable URLs</w:t>
            </w:r>
          </w:p>
        </w:tc>
      </w:tr>
      <w:tr w:rsidR="003C1BA8" w:rsidRPr="003C1BA8" w14:paraId="42948141" w14:textId="77777777" w:rsidTr="003C1BA8">
        <w:trPr>
          <w:tblCellSpacing w:w="15" w:type="dxa"/>
        </w:trPr>
        <w:tc>
          <w:tcPr>
            <w:tcW w:w="0" w:type="auto"/>
            <w:vAlign w:val="center"/>
            <w:hideMark/>
          </w:tcPr>
          <w:p w14:paraId="640392AA"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Study types excluded</w:t>
            </w:r>
          </w:p>
        </w:tc>
        <w:tc>
          <w:tcPr>
            <w:tcW w:w="0" w:type="auto"/>
            <w:vAlign w:val="center"/>
            <w:hideMark/>
          </w:tcPr>
          <w:p w14:paraId="781E6EFB"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Books, conference proceedings, trade publications, preprints, patents, non-peer-reviewed grey literature</w:t>
            </w:r>
          </w:p>
        </w:tc>
      </w:tr>
      <w:tr w:rsidR="003C1BA8" w:rsidRPr="003C1BA8" w14:paraId="24F50D5B" w14:textId="77777777" w:rsidTr="003C1BA8">
        <w:trPr>
          <w:tblCellSpacing w:w="15" w:type="dxa"/>
        </w:trPr>
        <w:tc>
          <w:tcPr>
            <w:tcW w:w="0" w:type="auto"/>
            <w:vAlign w:val="center"/>
            <w:hideMark/>
          </w:tcPr>
          <w:p w14:paraId="562F6E02"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Screening</w:t>
            </w:r>
          </w:p>
        </w:tc>
        <w:tc>
          <w:tcPr>
            <w:tcW w:w="0" w:type="auto"/>
            <w:vAlign w:val="center"/>
            <w:hideMark/>
          </w:tcPr>
          <w:p w14:paraId="749C22EE"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Title and abstract screening for topical relevance, followed by full-text assessment; duplicates removed via digital object identifier matching</w:t>
            </w:r>
          </w:p>
        </w:tc>
      </w:tr>
    </w:tbl>
    <w:p w14:paraId="680E3080"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i/>
          <w:iCs/>
          <w:sz w:val="24"/>
          <w:szCs w:val="24"/>
          <w:lang w:eastAsia="en-GB"/>
        </w:rPr>
        <w:lastRenderedPageBreak/>
        <w:t xml:space="preserve">Sources: Search strategy informed by methodological guidance in </w:t>
      </w:r>
      <w:proofErr w:type="spellStart"/>
      <w:r w:rsidRPr="003C1BA8">
        <w:rPr>
          <w:rFonts w:ascii="Times New Roman" w:eastAsia="Times New Roman" w:hAnsi="Times New Roman" w:cs="Times New Roman"/>
          <w:i/>
          <w:iCs/>
          <w:sz w:val="24"/>
          <w:szCs w:val="24"/>
          <w:lang w:eastAsia="en-GB"/>
        </w:rPr>
        <w:t>Baethge</w:t>
      </w:r>
      <w:proofErr w:type="spellEnd"/>
      <w:r w:rsidRPr="003C1BA8">
        <w:rPr>
          <w:rFonts w:ascii="Times New Roman" w:eastAsia="Times New Roman" w:hAnsi="Times New Roman" w:cs="Times New Roman"/>
          <w:i/>
          <w:iCs/>
          <w:sz w:val="24"/>
          <w:szCs w:val="24"/>
          <w:lang w:eastAsia="en-GB"/>
        </w:rPr>
        <w:t xml:space="preserve"> et al. (2019).</w:t>
      </w:r>
    </w:p>
    <w:p w14:paraId="0367938B" w14:textId="77777777" w:rsidR="003C1BA8" w:rsidRPr="003C1BA8" w:rsidRDefault="003C1BA8" w:rsidP="00895688">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C1BA8">
        <w:rPr>
          <w:rFonts w:ascii="Times New Roman" w:eastAsia="Times New Roman" w:hAnsi="Times New Roman" w:cs="Times New Roman"/>
          <w:b/>
          <w:bCs/>
          <w:sz w:val="27"/>
          <w:szCs w:val="27"/>
          <w:lang w:eastAsia="en-GB"/>
        </w:rPr>
        <w:t>3. Data Infrastructure and Governance</w:t>
      </w:r>
    </w:p>
    <w:p w14:paraId="3793E455" w14:textId="77777777" w:rsidR="003C1BA8" w:rsidRPr="003C1BA8" w:rsidRDefault="003C1BA8" w:rsidP="0089568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3.1 Fragmentation and interoperability</w:t>
      </w:r>
    </w:p>
    <w:p w14:paraId="3FAB6A7E"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Public health data infrastructure in most jurisdictions remains fragmented across electronic health record systems, insurance claims databases, vital statistics registries, and disease-specific surveillance platforms that frequently use incompatible data standards and terminologies. A scoping review of data modernisation efforts within the United States public health system identified persistent gaps in interoperability, data quality, and resourcing, particularly among underfunded local health departments, despite federal investment through initiatives such as the Public Health Data Strategy. Primary data sources for public health analytics, including electronic health records, insurance claims, and disease surveillance registries, were found to vary substantially in completeness and timeliness, undermining the comparability of analytic outputs across jurisdictions and complicating the construction of national or regional policy evidence bases. This problem is not confined to chronic care reporting; surveillance of noncommunicable diseases similarly depends on linking disparate data streams, and the opportunities afforded by big data in this domain are correspondingly constrained by the same underlying fragmentation (Li et al., 2022).</w:t>
      </w:r>
    </w:p>
    <w:p w14:paraId="2E2146E8"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The structural origins of this fragmentation are partly historical. Health information systems were built incrementally, by different vendors, for different purposes, often predating modern interoperability standards. Mapping studies of electronic health record privacy and security similarly find that systems designed primarily for clinical documentation were not architected with secondary analytic use, let alone population-level policy analysis, as a design goal, creating persistent friction whenever data must be linked or aggregated across systems for surveillance or evaluation purposes. Cross-sectoral data linkage, which is frequently necessary to connect health outcomes to social determinants relevant for policy, such as housing, education, or environmental exposure, introduces an additional layer of governance complexity, as case studies from Scotland demonstrate. Researchers attempting to link data across health, social care, and other public sector domains reported that technical barriers were compounded by divergent legal bases for data use, inconsistent consent frameworks, and a lack of established institutional relationships between the holding agencies, each of which slowed projects intended to inform healthy public policy (</w:t>
      </w:r>
      <w:proofErr w:type="spellStart"/>
      <w:r w:rsidRPr="003C1BA8">
        <w:rPr>
          <w:rFonts w:ascii="Times New Roman" w:eastAsia="Times New Roman" w:hAnsi="Times New Roman" w:cs="Times New Roman"/>
          <w:sz w:val="24"/>
          <w:szCs w:val="24"/>
          <w:lang w:eastAsia="en-GB"/>
        </w:rPr>
        <w:t>Cimova</w:t>
      </w:r>
      <w:proofErr w:type="spellEnd"/>
      <w:r w:rsidRPr="003C1BA8">
        <w:rPr>
          <w:rFonts w:ascii="Times New Roman" w:eastAsia="Times New Roman" w:hAnsi="Times New Roman" w:cs="Times New Roman"/>
          <w:sz w:val="24"/>
          <w:szCs w:val="24"/>
          <w:lang w:eastAsia="en-GB"/>
        </w:rPr>
        <w:t xml:space="preserve"> et al., 2022).</w:t>
      </w:r>
    </w:p>
    <w:p w14:paraId="4DA9F1AC" w14:textId="77777777" w:rsidR="003C1BA8" w:rsidRPr="003C1BA8" w:rsidRDefault="003C1BA8" w:rsidP="0089568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3.2 Privacy, consent, and governance frameworks</w:t>
      </w:r>
    </w:p>
    <w:p w14:paraId="0BA92097"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Robust data governance is frequently identified as a precondition for trustworthy analytics, yet governance frameworks adequate to secondary, policy-relevant use of health data are unevenly developed. Work establishing an ethics and governance framework for a regional health data platform in Australia illustrates the scale of the task: developing streamlined but legally defensible mechanisms for data access, secure linkage, and incorporation of varied data types required sustained institutional investment well beyond the analytic work itself (Parker et al., 2022). In African contexts, data governance debates intersect with broader questions of genomic sovereignty, consent architecture, and the equitable distribution of research benefits, with editorial commentary calling for governance models that reflect the continent's specific legal, ethical, and social context rather than imported frameworks designed elsewhere (</w:t>
      </w:r>
      <w:proofErr w:type="spellStart"/>
      <w:r w:rsidRPr="003C1BA8">
        <w:rPr>
          <w:rFonts w:ascii="Times New Roman" w:eastAsia="Times New Roman" w:hAnsi="Times New Roman" w:cs="Times New Roman"/>
          <w:sz w:val="24"/>
          <w:szCs w:val="24"/>
          <w:lang w:eastAsia="en-GB"/>
        </w:rPr>
        <w:t>Thaldar</w:t>
      </w:r>
      <w:proofErr w:type="spellEnd"/>
      <w:r w:rsidRPr="003C1BA8">
        <w:rPr>
          <w:rFonts w:ascii="Times New Roman" w:eastAsia="Times New Roman" w:hAnsi="Times New Roman" w:cs="Times New Roman"/>
          <w:sz w:val="24"/>
          <w:szCs w:val="24"/>
          <w:lang w:eastAsia="en-GB"/>
        </w:rPr>
        <w:t xml:space="preserve">, 2024). These governance challenges are not incidental obstacles to be solved once and then forgotten; they recur continually as new data sources, </w:t>
      </w:r>
      <w:r w:rsidRPr="003C1BA8">
        <w:rPr>
          <w:rFonts w:ascii="Times New Roman" w:eastAsia="Times New Roman" w:hAnsi="Times New Roman" w:cs="Times New Roman"/>
          <w:sz w:val="24"/>
          <w:szCs w:val="24"/>
          <w:lang w:eastAsia="en-GB"/>
        </w:rPr>
        <w:lastRenderedPageBreak/>
        <w:t>partners, and analytic applications are introduced, meaning that governance capacity itself becomes a determinant of how quickly an agency can convert new analytic opportunities into policy-relevant evidence.</w:t>
      </w:r>
    </w:p>
    <w:p w14:paraId="7253F0CF" w14:textId="77777777" w:rsidR="003C1BA8" w:rsidRPr="003C1BA8" w:rsidRDefault="003C1BA8" w:rsidP="0089568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3.3 Lessons from the COVID-19 experience</w:t>
      </w:r>
    </w:p>
    <w:p w14:paraId="194A18A2"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The COVID-19 pandemic offers a natural experiment in rapid, high-stakes data-to-policy translation, and the resulting literature is informative precisely because it documents both acceleration and continued failure. An analysis of syndromic surveillance data sharing in the United States found that the pandemic intensified pre-existing structural problems in a decentralised public health system, with state, local, and federal partners facing persistent legal, technical, and trust-related obstacles to timely data exchange even as the urgency of the crisis increased pressure to share (Rigby et al., 2024). A qualitative study of lessons learnt across several countries reached a comparable conclusion from a different angle, finding that strengthening public health systems for future crises depended as much on relationships between institutions as on any single technical fix (Cardwell et al., 2023). A scoping review of lessons learned from the pandemic across World Health Organization regions catalogued 78 distinct lessons cited collectively more than 900 times across the included literature, with the extensive application of digital technologies and electronic health records identified as one of five major cross-cutting themes, alongside the continuing need for coordination between institutions (</w:t>
      </w:r>
      <w:proofErr w:type="spellStart"/>
      <w:r w:rsidRPr="003C1BA8">
        <w:rPr>
          <w:rFonts w:ascii="Times New Roman" w:eastAsia="Times New Roman" w:hAnsi="Times New Roman" w:cs="Times New Roman"/>
          <w:sz w:val="24"/>
          <w:szCs w:val="24"/>
          <w:lang w:eastAsia="en-GB"/>
        </w:rPr>
        <w:t>Marcassoli</w:t>
      </w:r>
      <w:proofErr w:type="spellEnd"/>
      <w:r w:rsidRPr="003C1BA8">
        <w:rPr>
          <w:rFonts w:ascii="Times New Roman" w:eastAsia="Times New Roman" w:hAnsi="Times New Roman" w:cs="Times New Roman"/>
          <w:sz w:val="24"/>
          <w:szCs w:val="24"/>
          <w:lang w:eastAsia="en-GB"/>
        </w:rPr>
        <w:t xml:space="preserve"> et al., 2023). An editorial reflecting on Portugal's pandemic data experience characterised the relationship between public health data and political decision-making as a Sisyphean task, in which data infrastructure built rapidly under emergency conditions risked being dismantled once the acute crisis passed, rather than consolidated into durable analytic capacity for future use (Farinha et al., 2022). Taken together, this body of evidence suggests that emergencies can compress the timeline for building data infrastructure but do not, by themselves, resolve the underlying governance and interoperability problems that re-emerge once the immediate political pressure subsides.</w:t>
      </w:r>
    </w:p>
    <w:p w14:paraId="4A9FB3D3"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Table 2 summarises the principal data infrastructure and governance barriers identified across this literature, illustrating how technical fragmentation, legal complexity, governance capacity, and crisis fragility reinforce one another rather than operating as isolated obstacles.</w:t>
      </w:r>
    </w:p>
    <w:p w14:paraId="6BC28F99"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b/>
          <w:bCs/>
          <w:sz w:val="24"/>
          <w:szCs w:val="24"/>
          <w:lang w:eastAsia="en-GB"/>
        </w:rPr>
        <w:t>Table 2. Principal data infrastructure and governance barriers identified in the literature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46"/>
        <w:gridCol w:w="3395"/>
        <w:gridCol w:w="3575"/>
      </w:tblGrid>
      <w:tr w:rsidR="003C1BA8" w:rsidRPr="003C1BA8" w14:paraId="598560CA" w14:textId="77777777" w:rsidTr="003C1BA8">
        <w:trPr>
          <w:tblHeader/>
          <w:tblCellSpacing w:w="15" w:type="dxa"/>
        </w:trPr>
        <w:tc>
          <w:tcPr>
            <w:tcW w:w="0" w:type="auto"/>
            <w:vAlign w:val="center"/>
            <w:hideMark/>
          </w:tcPr>
          <w:p w14:paraId="220BDAA4" w14:textId="77777777" w:rsidR="003C1BA8" w:rsidRPr="003C1BA8" w:rsidRDefault="003C1BA8" w:rsidP="00895688">
            <w:pPr>
              <w:spacing w:after="0" w:line="240" w:lineRule="auto"/>
              <w:jc w:val="both"/>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Barrier category</w:t>
            </w:r>
          </w:p>
        </w:tc>
        <w:tc>
          <w:tcPr>
            <w:tcW w:w="0" w:type="auto"/>
            <w:vAlign w:val="center"/>
            <w:hideMark/>
          </w:tcPr>
          <w:p w14:paraId="3BCF9B5F" w14:textId="77777777" w:rsidR="003C1BA8" w:rsidRPr="003C1BA8" w:rsidRDefault="003C1BA8" w:rsidP="00895688">
            <w:pPr>
              <w:spacing w:after="0" w:line="240" w:lineRule="auto"/>
              <w:jc w:val="both"/>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Manifestation</w:t>
            </w:r>
          </w:p>
        </w:tc>
        <w:tc>
          <w:tcPr>
            <w:tcW w:w="0" w:type="auto"/>
            <w:vAlign w:val="center"/>
            <w:hideMark/>
          </w:tcPr>
          <w:p w14:paraId="26886487" w14:textId="77777777" w:rsidR="003C1BA8" w:rsidRPr="003C1BA8" w:rsidRDefault="003C1BA8" w:rsidP="00895688">
            <w:pPr>
              <w:spacing w:after="0" w:line="240" w:lineRule="auto"/>
              <w:jc w:val="both"/>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Illustrative evidence</w:t>
            </w:r>
          </w:p>
        </w:tc>
      </w:tr>
      <w:tr w:rsidR="003C1BA8" w:rsidRPr="003C1BA8" w14:paraId="54D9E139" w14:textId="77777777" w:rsidTr="003C1BA8">
        <w:trPr>
          <w:tblCellSpacing w:w="15" w:type="dxa"/>
        </w:trPr>
        <w:tc>
          <w:tcPr>
            <w:tcW w:w="0" w:type="auto"/>
            <w:vAlign w:val="center"/>
            <w:hideMark/>
          </w:tcPr>
          <w:p w14:paraId="6CDF05BD"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System fragmentation</w:t>
            </w:r>
          </w:p>
        </w:tc>
        <w:tc>
          <w:tcPr>
            <w:tcW w:w="0" w:type="auto"/>
            <w:vAlign w:val="center"/>
            <w:hideMark/>
          </w:tcPr>
          <w:p w14:paraId="42EC1421"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Incompatible standards across electronic health records, claims, and registries</w:t>
            </w:r>
          </w:p>
        </w:tc>
        <w:tc>
          <w:tcPr>
            <w:tcW w:w="0" w:type="auto"/>
            <w:vAlign w:val="center"/>
            <w:hideMark/>
          </w:tcPr>
          <w:p w14:paraId="75CD0230"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Persistent interoperability and data quality gaps in national modernisation efforts</w:t>
            </w:r>
          </w:p>
        </w:tc>
      </w:tr>
      <w:tr w:rsidR="003C1BA8" w:rsidRPr="003C1BA8" w14:paraId="2137BB60" w14:textId="77777777" w:rsidTr="003C1BA8">
        <w:trPr>
          <w:tblCellSpacing w:w="15" w:type="dxa"/>
        </w:trPr>
        <w:tc>
          <w:tcPr>
            <w:tcW w:w="0" w:type="auto"/>
            <w:vAlign w:val="center"/>
            <w:hideMark/>
          </w:tcPr>
          <w:p w14:paraId="45A2363A"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Legal and consent complexity</w:t>
            </w:r>
          </w:p>
        </w:tc>
        <w:tc>
          <w:tcPr>
            <w:tcW w:w="0" w:type="auto"/>
            <w:vAlign w:val="center"/>
            <w:hideMark/>
          </w:tcPr>
          <w:p w14:paraId="7B0725D6"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Divergent legal bases for cross-sectoral data linkage</w:t>
            </w:r>
          </w:p>
        </w:tc>
        <w:tc>
          <w:tcPr>
            <w:tcW w:w="0" w:type="auto"/>
            <w:vAlign w:val="center"/>
            <w:hideMark/>
          </w:tcPr>
          <w:p w14:paraId="5C43699E"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Friction in Scottish data linkage case studies despite policy relevance</w:t>
            </w:r>
          </w:p>
        </w:tc>
      </w:tr>
      <w:tr w:rsidR="003C1BA8" w:rsidRPr="003C1BA8" w14:paraId="3E2147E8" w14:textId="77777777" w:rsidTr="003C1BA8">
        <w:trPr>
          <w:tblCellSpacing w:w="15" w:type="dxa"/>
        </w:trPr>
        <w:tc>
          <w:tcPr>
            <w:tcW w:w="0" w:type="auto"/>
            <w:vAlign w:val="center"/>
            <w:hideMark/>
          </w:tcPr>
          <w:p w14:paraId="721C17B5"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Governance capacity</w:t>
            </w:r>
          </w:p>
        </w:tc>
        <w:tc>
          <w:tcPr>
            <w:tcW w:w="0" w:type="auto"/>
            <w:vAlign w:val="center"/>
            <w:hideMark/>
          </w:tcPr>
          <w:p w14:paraId="3AC65FAF"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Slow development of access and linkage frameworks</w:t>
            </w:r>
          </w:p>
        </w:tc>
        <w:tc>
          <w:tcPr>
            <w:tcW w:w="0" w:type="auto"/>
            <w:vAlign w:val="center"/>
            <w:hideMark/>
          </w:tcPr>
          <w:p w14:paraId="675189D3"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Multi-year effort required to establish regional ethics and governance frameworks</w:t>
            </w:r>
          </w:p>
        </w:tc>
      </w:tr>
      <w:tr w:rsidR="003C1BA8" w:rsidRPr="003C1BA8" w14:paraId="114A24DC" w14:textId="77777777" w:rsidTr="003C1BA8">
        <w:trPr>
          <w:tblCellSpacing w:w="15" w:type="dxa"/>
        </w:trPr>
        <w:tc>
          <w:tcPr>
            <w:tcW w:w="0" w:type="auto"/>
            <w:vAlign w:val="center"/>
            <w:hideMark/>
          </w:tcPr>
          <w:p w14:paraId="1DD06A79"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Sovereignty and equity in governance</w:t>
            </w:r>
          </w:p>
        </w:tc>
        <w:tc>
          <w:tcPr>
            <w:tcW w:w="0" w:type="auto"/>
            <w:vAlign w:val="center"/>
            <w:hideMark/>
          </w:tcPr>
          <w:p w14:paraId="5F91599B"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Imported governance models poorly suited to local context</w:t>
            </w:r>
          </w:p>
        </w:tc>
        <w:tc>
          <w:tcPr>
            <w:tcW w:w="0" w:type="auto"/>
            <w:vAlign w:val="center"/>
            <w:hideMark/>
          </w:tcPr>
          <w:p w14:paraId="66276B3E"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Calls for African-specific data governance solutions</w:t>
            </w:r>
          </w:p>
        </w:tc>
      </w:tr>
      <w:tr w:rsidR="003C1BA8" w:rsidRPr="003C1BA8" w14:paraId="6A1386A3" w14:textId="77777777" w:rsidTr="003C1BA8">
        <w:trPr>
          <w:tblCellSpacing w:w="15" w:type="dxa"/>
        </w:trPr>
        <w:tc>
          <w:tcPr>
            <w:tcW w:w="0" w:type="auto"/>
            <w:vAlign w:val="center"/>
            <w:hideMark/>
          </w:tcPr>
          <w:p w14:paraId="6474BEA5"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 xml:space="preserve">Crisis-driven </w:t>
            </w:r>
            <w:r w:rsidRPr="003C1BA8">
              <w:rPr>
                <w:rFonts w:ascii="Times New Roman" w:eastAsia="Times New Roman" w:hAnsi="Times New Roman" w:cs="Times New Roman"/>
                <w:sz w:val="24"/>
                <w:szCs w:val="24"/>
                <w:lang w:eastAsia="en-GB"/>
              </w:rPr>
              <w:lastRenderedPageBreak/>
              <w:t>fragility</w:t>
            </w:r>
          </w:p>
        </w:tc>
        <w:tc>
          <w:tcPr>
            <w:tcW w:w="0" w:type="auto"/>
            <w:vAlign w:val="center"/>
            <w:hideMark/>
          </w:tcPr>
          <w:p w14:paraId="6DC2BF04"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lastRenderedPageBreak/>
              <w:t xml:space="preserve">Infrastructure built rapidly in </w:t>
            </w:r>
            <w:r w:rsidRPr="003C1BA8">
              <w:rPr>
                <w:rFonts w:ascii="Times New Roman" w:eastAsia="Times New Roman" w:hAnsi="Times New Roman" w:cs="Times New Roman"/>
                <w:sz w:val="24"/>
                <w:szCs w:val="24"/>
                <w:lang w:eastAsia="en-GB"/>
              </w:rPr>
              <w:lastRenderedPageBreak/>
              <w:t>emergencies not consolidated afterward</w:t>
            </w:r>
          </w:p>
        </w:tc>
        <w:tc>
          <w:tcPr>
            <w:tcW w:w="0" w:type="auto"/>
            <w:vAlign w:val="center"/>
            <w:hideMark/>
          </w:tcPr>
          <w:p w14:paraId="6326FF0D"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lastRenderedPageBreak/>
              <w:t xml:space="preserve">COVID-19 syndromic surveillance </w:t>
            </w:r>
            <w:r w:rsidRPr="003C1BA8">
              <w:rPr>
                <w:rFonts w:ascii="Times New Roman" w:eastAsia="Times New Roman" w:hAnsi="Times New Roman" w:cs="Times New Roman"/>
                <w:sz w:val="24"/>
                <w:szCs w:val="24"/>
                <w:lang w:eastAsia="en-GB"/>
              </w:rPr>
              <w:lastRenderedPageBreak/>
              <w:t>and pandemic data experiences</w:t>
            </w:r>
          </w:p>
        </w:tc>
      </w:tr>
    </w:tbl>
    <w:p w14:paraId="0A211128"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i/>
          <w:iCs/>
          <w:sz w:val="24"/>
          <w:szCs w:val="24"/>
          <w:lang w:eastAsia="en-GB"/>
        </w:rPr>
        <w:lastRenderedPageBreak/>
        <w:t xml:space="preserve">Sources: Cardwell et al. (2023); </w:t>
      </w:r>
      <w:proofErr w:type="spellStart"/>
      <w:r w:rsidRPr="003C1BA8">
        <w:rPr>
          <w:rFonts w:ascii="Times New Roman" w:eastAsia="Times New Roman" w:hAnsi="Times New Roman" w:cs="Times New Roman"/>
          <w:i/>
          <w:iCs/>
          <w:sz w:val="24"/>
          <w:szCs w:val="24"/>
          <w:lang w:eastAsia="en-GB"/>
        </w:rPr>
        <w:t>Cimova</w:t>
      </w:r>
      <w:proofErr w:type="spellEnd"/>
      <w:r w:rsidRPr="003C1BA8">
        <w:rPr>
          <w:rFonts w:ascii="Times New Roman" w:eastAsia="Times New Roman" w:hAnsi="Times New Roman" w:cs="Times New Roman"/>
          <w:i/>
          <w:iCs/>
          <w:sz w:val="24"/>
          <w:szCs w:val="24"/>
          <w:lang w:eastAsia="en-GB"/>
        </w:rPr>
        <w:t xml:space="preserve"> et al. (2022); Farinha et al. (2022); </w:t>
      </w:r>
      <w:proofErr w:type="spellStart"/>
      <w:r w:rsidRPr="003C1BA8">
        <w:rPr>
          <w:rFonts w:ascii="Times New Roman" w:eastAsia="Times New Roman" w:hAnsi="Times New Roman" w:cs="Times New Roman"/>
          <w:i/>
          <w:iCs/>
          <w:sz w:val="24"/>
          <w:szCs w:val="24"/>
          <w:lang w:eastAsia="en-GB"/>
        </w:rPr>
        <w:t>Marcassoli</w:t>
      </w:r>
      <w:proofErr w:type="spellEnd"/>
      <w:r w:rsidRPr="003C1BA8">
        <w:rPr>
          <w:rFonts w:ascii="Times New Roman" w:eastAsia="Times New Roman" w:hAnsi="Times New Roman" w:cs="Times New Roman"/>
          <w:i/>
          <w:iCs/>
          <w:sz w:val="24"/>
          <w:szCs w:val="24"/>
          <w:lang w:eastAsia="en-GB"/>
        </w:rPr>
        <w:t xml:space="preserve"> et al. (2023); Parker et al. (2022); Rigby et al. (2024); </w:t>
      </w:r>
      <w:proofErr w:type="spellStart"/>
      <w:r w:rsidRPr="003C1BA8">
        <w:rPr>
          <w:rFonts w:ascii="Times New Roman" w:eastAsia="Times New Roman" w:hAnsi="Times New Roman" w:cs="Times New Roman"/>
          <w:i/>
          <w:iCs/>
          <w:sz w:val="24"/>
          <w:szCs w:val="24"/>
          <w:lang w:eastAsia="en-GB"/>
        </w:rPr>
        <w:t>Thaldar</w:t>
      </w:r>
      <w:proofErr w:type="spellEnd"/>
      <w:r w:rsidRPr="003C1BA8">
        <w:rPr>
          <w:rFonts w:ascii="Times New Roman" w:eastAsia="Times New Roman" w:hAnsi="Times New Roman" w:cs="Times New Roman"/>
          <w:i/>
          <w:iCs/>
          <w:sz w:val="24"/>
          <w:szCs w:val="24"/>
          <w:lang w:eastAsia="en-GB"/>
        </w:rPr>
        <w:t xml:space="preserve"> (2024).</w:t>
      </w:r>
    </w:p>
    <w:p w14:paraId="319BDB43" w14:textId="77777777" w:rsidR="003C1BA8" w:rsidRPr="003C1BA8" w:rsidRDefault="003C1BA8" w:rsidP="00895688">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C1BA8">
        <w:rPr>
          <w:rFonts w:ascii="Times New Roman" w:eastAsia="Times New Roman" w:hAnsi="Times New Roman" w:cs="Times New Roman"/>
          <w:b/>
          <w:bCs/>
          <w:sz w:val="27"/>
          <w:szCs w:val="27"/>
          <w:lang w:eastAsia="en-GB"/>
        </w:rPr>
        <w:t>4. Workforce Capacity and Institutional Structures</w:t>
      </w:r>
    </w:p>
    <w:p w14:paraId="433767DD" w14:textId="77777777" w:rsidR="003C1BA8" w:rsidRPr="003C1BA8" w:rsidRDefault="003C1BA8" w:rsidP="0089568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4.1 The data and informatics skills gap</w:t>
      </w:r>
    </w:p>
    <w:p w14:paraId="3F9870E9"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Analytic infrastructure is of limited value without a workforce capable of operating it and a management structure capable of acting on its output. Survey evidence from the United States governmental public health workforce, drawn from the 2024 Public Health Workforce Interests and Needs Survey, documented substantial discordance between the importance assigned to data and informatics skills and the self-reported competence of public health employees across state and local health agencies, with the gap particularly pronounced among non-supervisory staff in central state offices (Rajamani et al., 2026). This is not a uniquely American phenomenon. Workforce development analyses from Eastern Europe and Central Asia similarly identify the absence of a sufficiently skilled public health data science workforce as a binding constraint on translating pandemic-era investments in digital infrastructure into durable analytic capacity, arguing that sustainable progress requires both short-term, problem-based training and longer-term human capital strategies embedded within national digital health policy (</w:t>
      </w:r>
      <w:proofErr w:type="spellStart"/>
      <w:r w:rsidRPr="003C1BA8">
        <w:rPr>
          <w:rFonts w:ascii="Times New Roman" w:eastAsia="Times New Roman" w:hAnsi="Times New Roman" w:cs="Times New Roman"/>
          <w:sz w:val="24"/>
          <w:szCs w:val="24"/>
          <w:lang w:eastAsia="en-GB"/>
        </w:rPr>
        <w:t>Gotsadze</w:t>
      </w:r>
      <w:proofErr w:type="spellEnd"/>
      <w:r w:rsidRPr="003C1BA8">
        <w:rPr>
          <w:rFonts w:ascii="Times New Roman" w:eastAsia="Times New Roman" w:hAnsi="Times New Roman" w:cs="Times New Roman"/>
          <w:sz w:val="24"/>
          <w:szCs w:val="24"/>
          <w:lang w:eastAsia="en-GB"/>
        </w:rPr>
        <w:t xml:space="preserve"> et al., 2026).</w:t>
      </w:r>
    </w:p>
    <w:p w14:paraId="56307C80"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The skills gap is not confined to technical proficiency in statistical or computational methods. It extends to the capacity to translate analytic findings into language and formats usable by non-technical decision-makers, a competency that sits at the interface between data science and communication. Workforce surveys consistently find that resource constraints compound the skills gap, with smaller and more rural health departments reporting the greatest difficulty accessing both training and the staff time needed to participate in it.</w:t>
      </w:r>
    </w:p>
    <w:p w14:paraId="1D251CE2" w14:textId="77777777" w:rsidR="003C1BA8" w:rsidRPr="003C1BA8" w:rsidRDefault="003C1BA8" w:rsidP="0089568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4.2 Institutional structures connecting analysts to decision-makers</w:t>
      </w:r>
    </w:p>
    <w:p w14:paraId="33D1D089"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Even where individual analytic competence exists, institutional structures determine whether that competence is connected to decision-making authority. Evidence-informed decision-making frameworks, reviewed comprehensively in a recent scoping synthesis covering fifteen distinct frameworks used in public health and infectious disease policy, reveal substantial heterogeneity in how formally analytic evidence is incorporated into governmental decision processes, with generic frameworks applicable across topics coexisting alongside narrowly scoped tools developed for specific domains such as immunisation policy (Song et al., 2025). The existence of multiple, only partially harmonised frameworks suggests that institutional mechanisms for evidence use remain an active area of methodological development rather than a settled practice, and that health agencies frequently must select or adapt frameworks without strong comparative evidence about which arrangements most reliably translate analytic findings into policy outcomes.</w:t>
      </w:r>
    </w:p>
    <w:p w14:paraId="1339E7B9" w14:textId="77777777" w:rsidR="003C1BA8" w:rsidRPr="003C1BA8" w:rsidRDefault="003C1BA8" w:rsidP="0089568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4.3 Translational research within institutional settings</w:t>
      </w:r>
    </w:p>
    <w:p w14:paraId="2F7B506B"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lastRenderedPageBreak/>
        <w:t>A systematic review examining barriers, enablers, and strategies for embedding translational research within public hospital systems, focused on nursing and allied health professions, found considerable interrelation between organisational culture, individual practitioner capacity, and the presence of dedicated translational infrastructure, concluding that organisational leadership and policymakers needed to treat research translation as a deliberate institutional priority rather than an incidental outcome of individual initiative (Smith &amp; Johnson, 2023). This finding generalises reasonably well to the broader question of data analytics translation: where institutions formally designate roles, budget lines, or reporting structures for connecting analytic units to policy units, translation appears more consistent, whereas where such connection depends on informal relationships between individuals, it proves fragile to staff turnover and competing priorities.</w:t>
      </w:r>
    </w:p>
    <w:p w14:paraId="28C8D2CB"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Table 3 brings together these workforce and institutional determinants, showing that technical skill gaps and structural design choices act on translation through distinct but mutually reinforcing pathways.</w:t>
      </w:r>
    </w:p>
    <w:p w14:paraId="3B4B78E2"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b/>
          <w:bCs/>
          <w:sz w:val="24"/>
          <w:szCs w:val="24"/>
          <w:lang w:eastAsia="en-GB"/>
        </w:rPr>
        <w:t>Table 3. Workforce and institutional determinants of translational capacity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23"/>
        <w:gridCol w:w="2852"/>
        <w:gridCol w:w="3741"/>
      </w:tblGrid>
      <w:tr w:rsidR="003C1BA8" w:rsidRPr="003C1BA8" w14:paraId="652AF95A" w14:textId="77777777" w:rsidTr="003C1BA8">
        <w:trPr>
          <w:tblHeader/>
          <w:tblCellSpacing w:w="15" w:type="dxa"/>
        </w:trPr>
        <w:tc>
          <w:tcPr>
            <w:tcW w:w="0" w:type="auto"/>
            <w:vAlign w:val="center"/>
            <w:hideMark/>
          </w:tcPr>
          <w:p w14:paraId="59694659" w14:textId="77777777" w:rsidR="003C1BA8" w:rsidRPr="003C1BA8" w:rsidRDefault="003C1BA8" w:rsidP="00895688">
            <w:pPr>
              <w:spacing w:after="0" w:line="240" w:lineRule="auto"/>
              <w:jc w:val="both"/>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Determinant</w:t>
            </w:r>
          </w:p>
        </w:tc>
        <w:tc>
          <w:tcPr>
            <w:tcW w:w="0" w:type="auto"/>
            <w:vAlign w:val="center"/>
            <w:hideMark/>
          </w:tcPr>
          <w:p w14:paraId="36BCB2C7" w14:textId="77777777" w:rsidR="003C1BA8" w:rsidRPr="003C1BA8" w:rsidRDefault="003C1BA8" w:rsidP="00895688">
            <w:pPr>
              <w:spacing w:after="0" w:line="240" w:lineRule="auto"/>
              <w:jc w:val="both"/>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Effect on translation</w:t>
            </w:r>
          </w:p>
        </w:tc>
        <w:tc>
          <w:tcPr>
            <w:tcW w:w="0" w:type="auto"/>
            <w:vAlign w:val="center"/>
            <w:hideMark/>
          </w:tcPr>
          <w:p w14:paraId="00234C19" w14:textId="77777777" w:rsidR="003C1BA8" w:rsidRPr="003C1BA8" w:rsidRDefault="003C1BA8" w:rsidP="00895688">
            <w:pPr>
              <w:spacing w:after="0" w:line="240" w:lineRule="auto"/>
              <w:jc w:val="both"/>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Supporting evidence</w:t>
            </w:r>
          </w:p>
        </w:tc>
      </w:tr>
      <w:tr w:rsidR="003C1BA8" w:rsidRPr="003C1BA8" w14:paraId="6DB81006" w14:textId="77777777" w:rsidTr="003C1BA8">
        <w:trPr>
          <w:tblCellSpacing w:w="15" w:type="dxa"/>
        </w:trPr>
        <w:tc>
          <w:tcPr>
            <w:tcW w:w="0" w:type="auto"/>
            <w:vAlign w:val="center"/>
            <w:hideMark/>
          </w:tcPr>
          <w:p w14:paraId="3CACDA39"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Technical data and informatics skills</w:t>
            </w:r>
          </w:p>
        </w:tc>
        <w:tc>
          <w:tcPr>
            <w:tcW w:w="0" w:type="auto"/>
            <w:vAlign w:val="center"/>
            <w:hideMark/>
          </w:tcPr>
          <w:p w14:paraId="4E3C8D7B"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Limits production and interpretation of analytic outputs</w:t>
            </w:r>
          </w:p>
        </w:tc>
        <w:tc>
          <w:tcPr>
            <w:tcW w:w="0" w:type="auto"/>
            <w:vAlign w:val="center"/>
            <w:hideMark/>
          </w:tcPr>
          <w:p w14:paraId="040C7A2F"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Skills gaps documented across US state and local public health workforce</w:t>
            </w:r>
          </w:p>
        </w:tc>
      </w:tr>
      <w:tr w:rsidR="003C1BA8" w:rsidRPr="003C1BA8" w14:paraId="12431346" w14:textId="77777777" w:rsidTr="003C1BA8">
        <w:trPr>
          <w:tblCellSpacing w:w="15" w:type="dxa"/>
        </w:trPr>
        <w:tc>
          <w:tcPr>
            <w:tcW w:w="0" w:type="auto"/>
            <w:vAlign w:val="center"/>
            <w:hideMark/>
          </w:tcPr>
          <w:p w14:paraId="494BA3CD"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Resource constraints in smaller agencies</w:t>
            </w:r>
          </w:p>
        </w:tc>
        <w:tc>
          <w:tcPr>
            <w:tcW w:w="0" w:type="auto"/>
            <w:vAlign w:val="center"/>
            <w:hideMark/>
          </w:tcPr>
          <w:p w14:paraId="75D7BF6B"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Compounds skills gap, restricts training uptake</w:t>
            </w:r>
          </w:p>
        </w:tc>
        <w:tc>
          <w:tcPr>
            <w:tcW w:w="0" w:type="auto"/>
            <w:vAlign w:val="center"/>
            <w:hideMark/>
          </w:tcPr>
          <w:p w14:paraId="70D764CD"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Disproportionate burden reported among under-resourced local health departments</w:t>
            </w:r>
          </w:p>
        </w:tc>
      </w:tr>
      <w:tr w:rsidR="003C1BA8" w:rsidRPr="003C1BA8" w14:paraId="71E19BAF" w14:textId="77777777" w:rsidTr="003C1BA8">
        <w:trPr>
          <w:tblCellSpacing w:w="15" w:type="dxa"/>
        </w:trPr>
        <w:tc>
          <w:tcPr>
            <w:tcW w:w="0" w:type="auto"/>
            <w:vAlign w:val="center"/>
            <w:hideMark/>
          </w:tcPr>
          <w:p w14:paraId="32470F37"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Formalised evidence-to-decision frameworks</w:t>
            </w:r>
          </w:p>
        </w:tc>
        <w:tc>
          <w:tcPr>
            <w:tcW w:w="0" w:type="auto"/>
            <w:vAlign w:val="center"/>
            <w:hideMark/>
          </w:tcPr>
          <w:p w14:paraId="6B1F7FF4"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Provides structured pathway from analysis to policy choice</w:t>
            </w:r>
          </w:p>
        </w:tc>
        <w:tc>
          <w:tcPr>
            <w:tcW w:w="0" w:type="auto"/>
            <w:vAlign w:val="center"/>
            <w:hideMark/>
          </w:tcPr>
          <w:p w14:paraId="327C9EB7"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Heterogeneous but expanding adoption of evidence-informed decision frameworks</w:t>
            </w:r>
          </w:p>
        </w:tc>
      </w:tr>
      <w:tr w:rsidR="003C1BA8" w:rsidRPr="003C1BA8" w14:paraId="09AF179A" w14:textId="77777777" w:rsidTr="003C1BA8">
        <w:trPr>
          <w:tblCellSpacing w:w="15" w:type="dxa"/>
        </w:trPr>
        <w:tc>
          <w:tcPr>
            <w:tcW w:w="0" w:type="auto"/>
            <w:vAlign w:val="center"/>
            <w:hideMark/>
          </w:tcPr>
          <w:p w14:paraId="771E742B"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Institutionalised translational roles</w:t>
            </w:r>
          </w:p>
        </w:tc>
        <w:tc>
          <w:tcPr>
            <w:tcW w:w="0" w:type="auto"/>
            <w:vAlign w:val="center"/>
            <w:hideMark/>
          </w:tcPr>
          <w:p w14:paraId="665B8F87"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Sustains translation independent of individual relationships</w:t>
            </w:r>
          </w:p>
        </w:tc>
        <w:tc>
          <w:tcPr>
            <w:tcW w:w="0" w:type="auto"/>
            <w:vAlign w:val="center"/>
            <w:hideMark/>
          </w:tcPr>
          <w:p w14:paraId="619E1C43"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Stronger translational outcomes where organisational structures are formalised</w:t>
            </w:r>
          </w:p>
        </w:tc>
      </w:tr>
      <w:tr w:rsidR="003C1BA8" w:rsidRPr="003C1BA8" w14:paraId="74B64FC8" w14:textId="77777777" w:rsidTr="003C1BA8">
        <w:trPr>
          <w:tblCellSpacing w:w="15" w:type="dxa"/>
        </w:trPr>
        <w:tc>
          <w:tcPr>
            <w:tcW w:w="0" w:type="auto"/>
            <w:vAlign w:val="center"/>
            <w:hideMark/>
          </w:tcPr>
          <w:p w14:paraId="1D291995"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Long-term human capital strategy</w:t>
            </w:r>
          </w:p>
        </w:tc>
        <w:tc>
          <w:tcPr>
            <w:tcW w:w="0" w:type="auto"/>
            <w:vAlign w:val="center"/>
            <w:hideMark/>
          </w:tcPr>
          <w:p w14:paraId="4CC72A2B"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Builds durable capacity beyond emergency-driven investment</w:t>
            </w:r>
          </w:p>
        </w:tc>
        <w:tc>
          <w:tcPr>
            <w:tcW w:w="0" w:type="auto"/>
            <w:vAlign w:val="center"/>
            <w:hideMark/>
          </w:tcPr>
          <w:p w14:paraId="0FA98093"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Calls for sustained data science capacity building in transitional health systems</w:t>
            </w:r>
          </w:p>
        </w:tc>
      </w:tr>
    </w:tbl>
    <w:p w14:paraId="111F9755"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i/>
          <w:iCs/>
          <w:sz w:val="24"/>
          <w:szCs w:val="24"/>
          <w:lang w:eastAsia="en-GB"/>
        </w:rPr>
        <w:t xml:space="preserve">Sources: </w:t>
      </w:r>
      <w:proofErr w:type="spellStart"/>
      <w:r w:rsidRPr="003C1BA8">
        <w:rPr>
          <w:rFonts w:ascii="Times New Roman" w:eastAsia="Times New Roman" w:hAnsi="Times New Roman" w:cs="Times New Roman"/>
          <w:i/>
          <w:iCs/>
          <w:sz w:val="24"/>
          <w:szCs w:val="24"/>
          <w:lang w:eastAsia="en-GB"/>
        </w:rPr>
        <w:t>Gotsadze</w:t>
      </w:r>
      <w:proofErr w:type="spellEnd"/>
      <w:r w:rsidRPr="003C1BA8">
        <w:rPr>
          <w:rFonts w:ascii="Times New Roman" w:eastAsia="Times New Roman" w:hAnsi="Times New Roman" w:cs="Times New Roman"/>
          <w:i/>
          <w:iCs/>
          <w:sz w:val="24"/>
          <w:szCs w:val="24"/>
          <w:lang w:eastAsia="en-GB"/>
        </w:rPr>
        <w:t xml:space="preserve"> et al. (2026); Rajamani et al. (2026); Smith &amp; Johnson (2023); Song et al. (2025).</w:t>
      </w:r>
    </w:p>
    <w:p w14:paraId="03FD4C1C" w14:textId="77777777" w:rsidR="003C1BA8" w:rsidRPr="003C1BA8" w:rsidRDefault="003C1BA8" w:rsidP="00895688">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C1BA8">
        <w:rPr>
          <w:rFonts w:ascii="Times New Roman" w:eastAsia="Times New Roman" w:hAnsi="Times New Roman" w:cs="Times New Roman"/>
          <w:b/>
          <w:bCs/>
          <w:sz w:val="27"/>
          <w:szCs w:val="27"/>
          <w:lang w:eastAsia="en-GB"/>
        </w:rPr>
        <w:t>5. Knowledge Translation and the Evidence-to-Policy Interface</w:t>
      </w:r>
    </w:p>
    <w:p w14:paraId="275D7270" w14:textId="77777777" w:rsidR="003C1BA8" w:rsidRPr="003C1BA8" w:rsidRDefault="003C1BA8" w:rsidP="0089568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5.1 Conceptual foundations</w:t>
      </w:r>
    </w:p>
    <w:p w14:paraId="46FC093B"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 xml:space="preserve">Knowledge translation describes the deliberate processes by which research evidence, including evidence derived from data analytics, is synthesised, disseminated, exchanged, and applied to improve outcomes through policy and practice. National strategies for knowledge translation vary considerably in their formality and institutional embedding; a scoping review of grey literature on national knowledge translation strategies found that while the underlying objective of bridging the evidence-policy gap is widely shared, the specific mechanisms </w:t>
      </w:r>
      <w:r w:rsidRPr="003C1BA8">
        <w:rPr>
          <w:rFonts w:ascii="Times New Roman" w:eastAsia="Times New Roman" w:hAnsi="Times New Roman" w:cs="Times New Roman"/>
          <w:sz w:val="24"/>
          <w:szCs w:val="24"/>
          <w:lang w:eastAsia="en-GB"/>
        </w:rPr>
        <w:lastRenderedPageBreak/>
        <w:t>employed, including evidence briefs, policy dialogues, and knowledge-broker positions, differ substantially across jurisdictions and are rarely evaluated rigorously for their comparative effectiveness (Babarczy et al., 2024). This heterogeneity matters for data analytics specifically because analytic products, unlike traditional research findings, often require continuous updating, real-time interpretation, and translation into operationally actionable thresholds, placing additional demands on knowledge translation infrastructure that was originally designed around discrete, finished research studies rather than live data streams.</w:t>
      </w:r>
    </w:p>
    <w:p w14:paraId="4DFAEE68" w14:textId="77777777" w:rsidR="003C1BA8" w:rsidRPr="003C1BA8" w:rsidRDefault="003C1BA8" w:rsidP="0089568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5.2 The analyst-policymaker relationship</w:t>
      </w:r>
    </w:p>
    <w:p w14:paraId="2E98DAAF"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A recurring theme across the literature is that data analysts and policymakers frequently operate with different time horizons, risk tolerances, and standards of evidentiary sufficiency. Policymakers must act under political and resource constraints that rarely permit waiting for analytically ideal evidence, while analysts are trained to qualify findings with appropriate statistical caveats that can be misread by non-technical audiences as a lack of confidence rather than appropriate scientific rigour. This mismatch is compounded where analytic units sit organisationally distant from policy units, with limited routine interaction outside of crisis periods. The evidence-informed decision-making frameworks reviewed by Song and colleagues attempt to formalise this interface, but their proliferation without strong comparative evaluation suggests the field has not yet converged on an optimal institutional design (Song et al., 2025).</w:t>
      </w:r>
    </w:p>
    <w:p w14:paraId="390A2951" w14:textId="77777777" w:rsidR="003C1BA8" w:rsidRPr="003C1BA8" w:rsidRDefault="003C1BA8" w:rsidP="0089568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5.3 Building trust through engagement</w:t>
      </w:r>
    </w:p>
    <w:p w14:paraId="55DFD5AD"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Trust between data producers and policy users appears repeatedly as a precondition for translation, distinct from the technical quality of the analysis itself. Workforce capacity-building programmes that embed analysts within applied policy projects, rather than training them in isolation, appear to generate stronger downstream translation, consistent with broader implementation science findings that co-production of knowledge between researchers and decision-makers improves uptake relative to one-directional dissemination models. This suggests that closing the translational gap is not solely a matter of improving the technical sophistication of analytic outputs, but of restructuring the relationships and routines through which those outputs reach decision-makers.</w:t>
      </w:r>
    </w:p>
    <w:p w14:paraId="0715321B" w14:textId="77777777" w:rsidR="003C1BA8" w:rsidRPr="003C1BA8" w:rsidRDefault="003C1BA8" w:rsidP="00895688">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C1BA8">
        <w:rPr>
          <w:rFonts w:ascii="Times New Roman" w:eastAsia="Times New Roman" w:hAnsi="Times New Roman" w:cs="Times New Roman"/>
          <w:b/>
          <w:bCs/>
          <w:sz w:val="27"/>
          <w:szCs w:val="27"/>
          <w:lang w:eastAsia="en-GB"/>
        </w:rPr>
        <w:t>6. Artificial Intelligence, Algorithmic Bias, and Equity</w:t>
      </w:r>
    </w:p>
    <w:p w14:paraId="532FEAA2" w14:textId="77777777" w:rsidR="003C1BA8" w:rsidRPr="003C1BA8" w:rsidRDefault="003C1BA8" w:rsidP="0089568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6.1 The promise and the risk</w:t>
      </w:r>
    </w:p>
    <w:p w14:paraId="704924DC"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 xml:space="preserve">Artificial intelligence and machine learning have been positioned as transformative tools for public health, with applications spanning outbreak forecasting, resource allocation, and risk stratification, and with some commentators arguing that these tools carry genuine potential to democratise diagnostic and predictive capability across health systems of varying resource levels (Deo, 2024; Wang et al., 2025). Random forest and related ensemble methods, for instance, have demonstrated strong predictive performance in community-based health management contexts, outperforming single decision-tree approaches in handling large, heterogeneous health datasets (Wang et al., 2025). Yet the same characteristics that make these tools powerful, their capacity to learn complex patterns from historical data, also make them vulnerable to reproducing and amplifying the structural inequities embedded within that </w:t>
      </w:r>
      <w:r w:rsidRPr="003C1BA8">
        <w:rPr>
          <w:rFonts w:ascii="Times New Roman" w:eastAsia="Times New Roman" w:hAnsi="Times New Roman" w:cs="Times New Roman"/>
          <w:sz w:val="24"/>
          <w:szCs w:val="24"/>
          <w:lang w:eastAsia="en-GB"/>
        </w:rPr>
        <w:lastRenderedPageBreak/>
        <w:t>historical data, and realising the equity-enhancing potential described above is by no means guaranteed without deliberate design choices (Deo, 2024).</w:t>
      </w:r>
    </w:p>
    <w:p w14:paraId="41180E39" w14:textId="77777777" w:rsidR="003C1BA8" w:rsidRPr="003C1BA8" w:rsidRDefault="003C1BA8" w:rsidP="0089568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6.2 Sources and consequences of algorithmic bias</w:t>
      </w:r>
    </w:p>
    <w:p w14:paraId="52E675C0"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Algorithmic bias in public health artificial intelligence has been characterised as a silent threat to equity, particularly in low-resource settings where training data may underrepresent the populations subsequently served by deployed models (Joseph, 2025). Representation bias, arising when historically marginalised groups are underrepresented in training datasets, interacts with pre-existing structural inequities, such as discriminatory access to care, to produce models that perform less reliably for the populations most in need of accurate public health intervention (Joseph, 2025). This is not a hypothetical concern; documented cases of underdiagnosis bias in algorithms applied to medical imaging among underserved populations illustrate the mechanism by which biased training data translates into biased clinical and, by extension, policy-relevant outputs.</w:t>
      </w:r>
    </w:p>
    <w:p w14:paraId="6E4026CE"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Health equity and ethical considerations therefore cannot be treated as a downstream add-on to artificial intelligence deployment in public health but must be integrated across the development lifecycle, from data collection through deployment and monitoring (Dankwa-Mullan, 2024). Frameworks proposing the integration of health equity and racial justice considerations directly into the artificial intelligence development lifecycle reflect a growing consensus that technical performance metrics alone are insufficient evaluation criteria for tools intended to inform population-level policy decisions (Dankwa-Mullan, 2024). Artificial intelligence is simultaneously framed as a tool with the potential to accelerate health disparities research itself, by enabling analysis of patterns across race, ethnicity, gender, and socioeconomic status at a scale not previously feasible, provided that bias mitigation is built into the analytic pipeline from the outset (Green et al., 2024).</w:t>
      </w:r>
    </w:p>
    <w:p w14:paraId="2E1DA7CB" w14:textId="77777777" w:rsidR="003C1BA8" w:rsidRPr="003C1BA8" w:rsidRDefault="003C1BA8" w:rsidP="0089568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6.3 Regulatory and ethical governance</w:t>
      </w:r>
    </w:p>
    <w:p w14:paraId="42BAF36F"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The regulatory environment for artificial intelligence in healthcare and public health remains in active development across jurisdictions. Ethical and regulatory analysis of artificial intelligence technologies in healthcare identifies persistent legal voids, particularly regarding accountability for algorithmic decisions that influence resource allocation or risk classification at a population level, alongside calls for international cooperation to harmonise oversight standards (Mennella et al., 2024). The absence of settled regulatory frameworks creates uncertainty for public health agencies considering whether and how to incorporate machine learning outputs into formal policy processes, since the legal and political consequences of relying on an algorithmically derived recommendation that later proves biased or erroneous remain only partially defined. This uncertainty itself functions as a translational barrier, as risk-averse policymakers may decline to act on analytically sound but procedurally untested artificial intelligence outputs in the absence of clear governance cover.</w:t>
      </w:r>
    </w:p>
    <w:p w14:paraId="1919B741"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Table 4 sets out the principal equity and governance considerations raised in this literature, together with the mitigating approaches that have been proposed in response.</w:t>
      </w:r>
    </w:p>
    <w:p w14:paraId="0A97E87F"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b/>
          <w:bCs/>
          <w:sz w:val="24"/>
          <w:szCs w:val="24"/>
          <w:lang w:eastAsia="en-GB"/>
        </w:rPr>
        <w:t>Table 4. Equity and governance considerations in artificial intelligence-enabled public health analytics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42"/>
        <w:gridCol w:w="3464"/>
        <w:gridCol w:w="3410"/>
      </w:tblGrid>
      <w:tr w:rsidR="003C1BA8" w:rsidRPr="003C1BA8" w14:paraId="5E90F83A" w14:textId="77777777" w:rsidTr="003C1BA8">
        <w:trPr>
          <w:tblHeader/>
          <w:tblCellSpacing w:w="15" w:type="dxa"/>
        </w:trPr>
        <w:tc>
          <w:tcPr>
            <w:tcW w:w="0" w:type="auto"/>
            <w:vAlign w:val="center"/>
            <w:hideMark/>
          </w:tcPr>
          <w:p w14:paraId="00BF063D" w14:textId="77777777" w:rsidR="003C1BA8" w:rsidRPr="003C1BA8" w:rsidRDefault="003C1BA8" w:rsidP="00895688">
            <w:pPr>
              <w:spacing w:after="0" w:line="240" w:lineRule="auto"/>
              <w:jc w:val="both"/>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lastRenderedPageBreak/>
              <w:t>Consideration</w:t>
            </w:r>
          </w:p>
        </w:tc>
        <w:tc>
          <w:tcPr>
            <w:tcW w:w="0" w:type="auto"/>
            <w:vAlign w:val="center"/>
            <w:hideMark/>
          </w:tcPr>
          <w:p w14:paraId="3B5F0B2E" w14:textId="77777777" w:rsidR="003C1BA8" w:rsidRPr="003C1BA8" w:rsidRDefault="003C1BA8" w:rsidP="00895688">
            <w:pPr>
              <w:spacing w:after="0" w:line="240" w:lineRule="auto"/>
              <w:jc w:val="both"/>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Risk if unaddressed</w:t>
            </w:r>
          </w:p>
        </w:tc>
        <w:tc>
          <w:tcPr>
            <w:tcW w:w="0" w:type="auto"/>
            <w:vAlign w:val="center"/>
            <w:hideMark/>
          </w:tcPr>
          <w:p w14:paraId="483CC651" w14:textId="77777777" w:rsidR="003C1BA8" w:rsidRPr="003C1BA8" w:rsidRDefault="003C1BA8" w:rsidP="00895688">
            <w:pPr>
              <w:spacing w:after="0" w:line="240" w:lineRule="auto"/>
              <w:jc w:val="both"/>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Mitigating approach identified in literature</w:t>
            </w:r>
          </w:p>
        </w:tc>
      </w:tr>
      <w:tr w:rsidR="003C1BA8" w:rsidRPr="003C1BA8" w14:paraId="088407DF" w14:textId="77777777" w:rsidTr="003C1BA8">
        <w:trPr>
          <w:tblCellSpacing w:w="15" w:type="dxa"/>
        </w:trPr>
        <w:tc>
          <w:tcPr>
            <w:tcW w:w="0" w:type="auto"/>
            <w:vAlign w:val="center"/>
            <w:hideMark/>
          </w:tcPr>
          <w:p w14:paraId="7A8FAB00"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Representation bias in training data</w:t>
            </w:r>
          </w:p>
        </w:tc>
        <w:tc>
          <w:tcPr>
            <w:tcW w:w="0" w:type="auto"/>
            <w:vAlign w:val="center"/>
            <w:hideMark/>
          </w:tcPr>
          <w:p w14:paraId="74A00859"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Reduced model accuracy for underrepresented populations</w:t>
            </w:r>
          </w:p>
        </w:tc>
        <w:tc>
          <w:tcPr>
            <w:tcW w:w="0" w:type="auto"/>
            <w:vAlign w:val="center"/>
            <w:hideMark/>
          </w:tcPr>
          <w:p w14:paraId="3A6D2728"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Inclusive data practices, community engagement in model design</w:t>
            </w:r>
          </w:p>
        </w:tc>
      </w:tr>
      <w:tr w:rsidR="003C1BA8" w:rsidRPr="003C1BA8" w14:paraId="4288C265" w14:textId="77777777" w:rsidTr="003C1BA8">
        <w:trPr>
          <w:tblCellSpacing w:w="15" w:type="dxa"/>
        </w:trPr>
        <w:tc>
          <w:tcPr>
            <w:tcW w:w="0" w:type="auto"/>
            <w:vAlign w:val="center"/>
            <w:hideMark/>
          </w:tcPr>
          <w:p w14:paraId="4C2E9D6C"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Lifecycle integration of equity</w:t>
            </w:r>
          </w:p>
        </w:tc>
        <w:tc>
          <w:tcPr>
            <w:tcW w:w="0" w:type="auto"/>
            <w:vAlign w:val="center"/>
            <w:hideMark/>
          </w:tcPr>
          <w:p w14:paraId="335A26E8"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Equity treated as afterthought rather than design principle</w:t>
            </w:r>
          </w:p>
        </w:tc>
        <w:tc>
          <w:tcPr>
            <w:tcW w:w="0" w:type="auto"/>
            <w:vAlign w:val="center"/>
            <w:hideMark/>
          </w:tcPr>
          <w:p w14:paraId="249350A0"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Frameworks embedding equity assessment across development lifecycle</w:t>
            </w:r>
          </w:p>
        </w:tc>
      </w:tr>
      <w:tr w:rsidR="003C1BA8" w:rsidRPr="003C1BA8" w14:paraId="0EB5E70B" w14:textId="77777777" w:rsidTr="003C1BA8">
        <w:trPr>
          <w:tblCellSpacing w:w="15" w:type="dxa"/>
        </w:trPr>
        <w:tc>
          <w:tcPr>
            <w:tcW w:w="0" w:type="auto"/>
            <w:vAlign w:val="center"/>
            <w:hideMark/>
          </w:tcPr>
          <w:p w14:paraId="13968658"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Accountability gaps</w:t>
            </w:r>
          </w:p>
        </w:tc>
        <w:tc>
          <w:tcPr>
            <w:tcW w:w="0" w:type="auto"/>
            <w:vAlign w:val="center"/>
            <w:hideMark/>
          </w:tcPr>
          <w:p w14:paraId="10AC95CB"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Unclear responsibility for biased or erroneous algorithmic outputs</w:t>
            </w:r>
          </w:p>
        </w:tc>
        <w:tc>
          <w:tcPr>
            <w:tcW w:w="0" w:type="auto"/>
            <w:vAlign w:val="center"/>
            <w:hideMark/>
          </w:tcPr>
          <w:p w14:paraId="47FB4C96"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Calls for harmonised international regulatory standards</w:t>
            </w:r>
          </w:p>
        </w:tc>
      </w:tr>
      <w:tr w:rsidR="003C1BA8" w:rsidRPr="003C1BA8" w14:paraId="4DCA4535" w14:textId="77777777" w:rsidTr="003C1BA8">
        <w:trPr>
          <w:tblCellSpacing w:w="15" w:type="dxa"/>
        </w:trPr>
        <w:tc>
          <w:tcPr>
            <w:tcW w:w="0" w:type="auto"/>
            <w:vAlign w:val="center"/>
            <w:hideMark/>
          </w:tcPr>
          <w:p w14:paraId="736D4E96"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Policymaker risk aversion</w:t>
            </w:r>
          </w:p>
        </w:tc>
        <w:tc>
          <w:tcPr>
            <w:tcW w:w="0" w:type="auto"/>
            <w:vAlign w:val="center"/>
            <w:hideMark/>
          </w:tcPr>
          <w:p w14:paraId="436CB62C"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Reluctance to act on untested AI-derived recommendations</w:t>
            </w:r>
          </w:p>
        </w:tc>
        <w:tc>
          <w:tcPr>
            <w:tcW w:w="0" w:type="auto"/>
            <w:vAlign w:val="center"/>
            <w:hideMark/>
          </w:tcPr>
          <w:p w14:paraId="3C957C31"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Transparent algorithm design and documented validation</w:t>
            </w:r>
          </w:p>
        </w:tc>
      </w:tr>
    </w:tbl>
    <w:p w14:paraId="63CDE130"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i/>
          <w:iCs/>
          <w:sz w:val="24"/>
          <w:szCs w:val="24"/>
          <w:lang w:eastAsia="en-GB"/>
        </w:rPr>
        <w:t>Sources: Dankwa-Mullan (2024); Deo (2024); Green et al. (2024); Joseph (2025); Mennella et al. (2024).</w:t>
      </w:r>
    </w:p>
    <w:p w14:paraId="6C44CD98" w14:textId="77777777" w:rsidR="003C1BA8" w:rsidRPr="003C1BA8" w:rsidRDefault="003C1BA8" w:rsidP="00895688">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C1BA8">
        <w:rPr>
          <w:rFonts w:ascii="Times New Roman" w:eastAsia="Times New Roman" w:hAnsi="Times New Roman" w:cs="Times New Roman"/>
          <w:b/>
          <w:bCs/>
          <w:sz w:val="27"/>
          <w:szCs w:val="27"/>
          <w:lang w:eastAsia="en-GB"/>
        </w:rPr>
        <w:t>7. Communicating Analytics to Policymakers: Dashboards and Visualisation</w:t>
      </w:r>
    </w:p>
    <w:p w14:paraId="26903449" w14:textId="77777777" w:rsidR="003C1BA8" w:rsidRPr="003C1BA8" w:rsidRDefault="003C1BA8" w:rsidP="0089568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7.1 The role of visual communication</w:t>
      </w:r>
    </w:p>
    <w:p w14:paraId="053295F0"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Even technically sound and equitably designed analytic outputs fail to inform policy if they are not communicated in a form decision-makers can interpret rapidly under time pressure. Dashboards have become a primary mechanism for this communication, particularly since the COVID-19 pandemic demonstrated both their value and their limitations as tools for public risk and crisis communication (Schulze et al., 2023). A systematic review of digital dashboards visualising public health data, encompassing sixty-five included studies, found considerable variation in the data sources, functions, and visualisation choices employed across dashboards, alongside comparatively limited rigorous user-centred evaluation of whether these design choices actually improved comprehension or decision quality among their intended audiences (Schulze et al., 2023).</w:t>
      </w:r>
    </w:p>
    <w:p w14:paraId="00AEBB42" w14:textId="77777777" w:rsidR="003C1BA8" w:rsidRPr="003C1BA8" w:rsidRDefault="003C1BA8" w:rsidP="0089568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7.2 Matching visualisation to communication goal</w:t>
      </w:r>
    </w:p>
    <w:p w14:paraId="4A5286C0"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A central methodological insight from the dashboard literature is that the optimal visualisation depends on the specific communication objective, whether that objective is promoting recall of key facts, shaping perceptions of risk, or directly influencing behaviour, and that a single dashboard design rarely serves all three objectives equally well. This has direct implications for policy translation, since policymakers, public health practitioners, and the general public represent distinct audiences with different baseline numeracy, time constraints, and decision authority, yet are frequently served by the same dashboard interface designed without explicit differentiation between these audiences.</w:t>
      </w:r>
    </w:p>
    <w:p w14:paraId="5B08614C" w14:textId="77777777" w:rsidR="003C1BA8" w:rsidRPr="003C1BA8" w:rsidRDefault="003C1BA8" w:rsidP="0089568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7.3 Persistent visual communication challenges</w:t>
      </w:r>
    </w:p>
    <w:p w14:paraId="6B8974FA"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 xml:space="preserve">Despite substantial public investment in health data accessibility, visual communication challenges including inadequate visual design, variable health and data literacy among intended audiences, and the compounding effects of misinformation continue to create gaps between the existence of analytic findings and their effective uptake, with these challenges most acute during public health emergencies when both the stakes and the volume of </w:t>
      </w:r>
      <w:r w:rsidRPr="003C1BA8">
        <w:rPr>
          <w:rFonts w:ascii="Times New Roman" w:eastAsia="Times New Roman" w:hAnsi="Times New Roman" w:cs="Times New Roman"/>
          <w:sz w:val="24"/>
          <w:szCs w:val="24"/>
          <w:lang w:eastAsia="en-GB"/>
        </w:rPr>
        <w:lastRenderedPageBreak/>
        <w:t>information are highest. The historical lineage of this challenge extends back to early epidemiological cartography, but contemporary dashboards introduce additional complexity through interactivity, real-time data refresh, and the layering of multiple data sources, each of which can either clarify or obscure the underlying signal depending on design quality.</w:t>
      </w:r>
    </w:p>
    <w:p w14:paraId="135988E5"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Table 5 summarises the principal communication factors found to shape whether analytic findings actually reach and influence decision-makers once produced.</w:t>
      </w:r>
    </w:p>
    <w:p w14:paraId="6CE56639"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b/>
          <w:bCs/>
          <w:sz w:val="24"/>
          <w:szCs w:val="24"/>
          <w:lang w:eastAsia="en-GB"/>
        </w:rPr>
        <w:t>Table 5. Communication factors influencing policy uptake of analytic findings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08"/>
        <w:gridCol w:w="3385"/>
        <w:gridCol w:w="3523"/>
      </w:tblGrid>
      <w:tr w:rsidR="003C1BA8" w:rsidRPr="003C1BA8" w14:paraId="0F327993" w14:textId="77777777" w:rsidTr="003C1BA8">
        <w:trPr>
          <w:tblHeader/>
          <w:tblCellSpacing w:w="15" w:type="dxa"/>
        </w:trPr>
        <w:tc>
          <w:tcPr>
            <w:tcW w:w="0" w:type="auto"/>
            <w:vAlign w:val="center"/>
            <w:hideMark/>
          </w:tcPr>
          <w:p w14:paraId="378F78EA" w14:textId="77777777" w:rsidR="003C1BA8" w:rsidRPr="003C1BA8" w:rsidRDefault="003C1BA8" w:rsidP="00895688">
            <w:pPr>
              <w:spacing w:after="0" w:line="240" w:lineRule="auto"/>
              <w:jc w:val="both"/>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Factor</w:t>
            </w:r>
          </w:p>
        </w:tc>
        <w:tc>
          <w:tcPr>
            <w:tcW w:w="0" w:type="auto"/>
            <w:vAlign w:val="center"/>
            <w:hideMark/>
          </w:tcPr>
          <w:p w14:paraId="161E8B8B" w14:textId="77777777" w:rsidR="003C1BA8" w:rsidRPr="003C1BA8" w:rsidRDefault="003C1BA8" w:rsidP="00895688">
            <w:pPr>
              <w:spacing w:after="0" w:line="240" w:lineRule="auto"/>
              <w:jc w:val="both"/>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Effect on translation</w:t>
            </w:r>
          </w:p>
        </w:tc>
        <w:tc>
          <w:tcPr>
            <w:tcW w:w="0" w:type="auto"/>
            <w:vAlign w:val="center"/>
            <w:hideMark/>
          </w:tcPr>
          <w:p w14:paraId="2CDC0181" w14:textId="77777777" w:rsidR="003C1BA8" w:rsidRPr="003C1BA8" w:rsidRDefault="003C1BA8" w:rsidP="00895688">
            <w:pPr>
              <w:spacing w:after="0" w:line="240" w:lineRule="auto"/>
              <w:jc w:val="both"/>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Evidence base</w:t>
            </w:r>
          </w:p>
        </w:tc>
      </w:tr>
      <w:tr w:rsidR="003C1BA8" w:rsidRPr="003C1BA8" w14:paraId="4B42315B" w14:textId="77777777" w:rsidTr="003C1BA8">
        <w:trPr>
          <w:tblCellSpacing w:w="15" w:type="dxa"/>
        </w:trPr>
        <w:tc>
          <w:tcPr>
            <w:tcW w:w="0" w:type="auto"/>
            <w:vAlign w:val="center"/>
            <w:hideMark/>
          </w:tcPr>
          <w:p w14:paraId="1E6EA95D"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Audience differentiation</w:t>
            </w:r>
          </w:p>
        </w:tc>
        <w:tc>
          <w:tcPr>
            <w:tcW w:w="0" w:type="auto"/>
            <w:vAlign w:val="center"/>
            <w:hideMark/>
          </w:tcPr>
          <w:p w14:paraId="166407AA"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Single-design dashboards may serve no audience optimally</w:t>
            </w:r>
          </w:p>
        </w:tc>
        <w:tc>
          <w:tcPr>
            <w:tcW w:w="0" w:type="auto"/>
            <w:vAlign w:val="center"/>
            <w:hideMark/>
          </w:tcPr>
          <w:p w14:paraId="1686C50D"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Communication-goal-specific visualisation guidance</w:t>
            </w:r>
          </w:p>
        </w:tc>
      </w:tr>
      <w:tr w:rsidR="003C1BA8" w:rsidRPr="003C1BA8" w14:paraId="7877458D" w14:textId="77777777" w:rsidTr="003C1BA8">
        <w:trPr>
          <w:tblCellSpacing w:w="15" w:type="dxa"/>
        </w:trPr>
        <w:tc>
          <w:tcPr>
            <w:tcW w:w="0" w:type="auto"/>
            <w:vAlign w:val="center"/>
            <w:hideMark/>
          </w:tcPr>
          <w:p w14:paraId="456C3B49"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Visual and data literacy variation</w:t>
            </w:r>
          </w:p>
        </w:tc>
        <w:tc>
          <w:tcPr>
            <w:tcW w:w="0" w:type="auto"/>
            <w:vAlign w:val="center"/>
            <w:hideMark/>
          </w:tcPr>
          <w:p w14:paraId="642B4771"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Limits comprehension among non-technical decision-makers</w:t>
            </w:r>
          </w:p>
        </w:tc>
        <w:tc>
          <w:tcPr>
            <w:tcW w:w="0" w:type="auto"/>
            <w:vAlign w:val="center"/>
            <w:hideMark/>
          </w:tcPr>
          <w:p w14:paraId="6B60B7C7"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Persistent gaps despite substantial infrastructure investment</w:t>
            </w:r>
          </w:p>
        </w:tc>
      </w:tr>
      <w:tr w:rsidR="003C1BA8" w:rsidRPr="003C1BA8" w14:paraId="0442395E" w14:textId="77777777" w:rsidTr="003C1BA8">
        <w:trPr>
          <w:tblCellSpacing w:w="15" w:type="dxa"/>
        </w:trPr>
        <w:tc>
          <w:tcPr>
            <w:tcW w:w="0" w:type="auto"/>
            <w:vAlign w:val="center"/>
            <w:hideMark/>
          </w:tcPr>
          <w:p w14:paraId="12B42098"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Real-time and interactive design</w:t>
            </w:r>
          </w:p>
        </w:tc>
        <w:tc>
          <w:tcPr>
            <w:tcW w:w="0" w:type="auto"/>
            <w:vAlign w:val="center"/>
            <w:hideMark/>
          </w:tcPr>
          <w:p w14:paraId="23533020"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Can clarify or obscure signal depending on execution</w:t>
            </w:r>
          </w:p>
        </w:tc>
        <w:tc>
          <w:tcPr>
            <w:tcW w:w="0" w:type="auto"/>
            <w:vAlign w:val="center"/>
            <w:hideMark/>
          </w:tcPr>
          <w:p w14:paraId="496A0B59"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Variable design quality across reviewed dashboards</w:t>
            </w:r>
          </w:p>
        </w:tc>
      </w:tr>
      <w:tr w:rsidR="003C1BA8" w:rsidRPr="003C1BA8" w14:paraId="5C4CCFAC" w14:textId="77777777" w:rsidTr="003C1BA8">
        <w:trPr>
          <w:tblCellSpacing w:w="15" w:type="dxa"/>
        </w:trPr>
        <w:tc>
          <w:tcPr>
            <w:tcW w:w="0" w:type="auto"/>
            <w:vAlign w:val="center"/>
            <w:hideMark/>
          </w:tcPr>
          <w:p w14:paraId="7B9F6B11"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Emergency-period demand surge</w:t>
            </w:r>
          </w:p>
        </w:tc>
        <w:tc>
          <w:tcPr>
            <w:tcW w:w="0" w:type="auto"/>
            <w:vAlign w:val="center"/>
            <w:hideMark/>
          </w:tcPr>
          <w:p w14:paraId="2DDB538D"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Compounds existing visual communication weaknesses</w:t>
            </w:r>
          </w:p>
        </w:tc>
        <w:tc>
          <w:tcPr>
            <w:tcW w:w="0" w:type="auto"/>
            <w:vAlign w:val="center"/>
            <w:hideMark/>
          </w:tcPr>
          <w:p w14:paraId="5221231C"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Dashboard use and limitations documented during COVID-19</w:t>
            </w:r>
          </w:p>
        </w:tc>
      </w:tr>
    </w:tbl>
    <w:p w14:paraId="09C7E5E9"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i/>
          <w:iCs/>
          <w:sz w:val="24"/>
          <w:szCs w:val="24"/>
          <w:lang w:eastAsia="en-GB"/>
        </w:rPr>
        <w:t>Source: Schulze et al. (2023).</w:t>
      </w:r>
    </w:p>
    <w:p w14:paraId="54CBC8C0" w14:textId="77777777" w:rsidR="003C1BA8" w:rsidRPr="003C1BA8" w:rsidRDefault="003C1BA8" w:rsidP="00895688">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C1BA8">
        <w:rPr>
          <w:rFonts w:ascii="Times New Roman" w:eastAsia="Times New Roman" w:hAnsi="Times New Roman" w:cs="Times New Roman"/>
          <w:b/>
          <w:bCs/>
          <w:sz w:val="27"/>
          <w:szCs w:val="27"/>
          <w:lang w:eastAsia="en-GB"/>
        </w:rPr>
        <w:t>8. Translational Constraints and Opportunities in Low- and Middle-Income Settings</w:t>
      </w:r>
    </w:p>
    <w:p w14:paraId="28E154EE" w14:textId="77777777" w:rsidR="003C1BA8" w:rsidRPr="003C1BA8" w:rsidRDefault="003C1BA8" w:rsidP="0089568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8.1 The digital divide as a translational barrier</w:t>
      </w:r>
    </w:p>
    <w:p w14:paraId="6783E681"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The barriers described in preceding sections are present, to varying degrees, in all settings, but they interact distinctively in low- and middle-income countries, where infrastructural, workforce, and financing constraints are typically more severe. A rapid systematic review spanning twenty-five years of digital health interventions aimed at universal health coverage in these settings identified persistent gaps in equitable access and inclusion, recommending targeted strategies such as subsidised device distribution and locally led training to narrow the digital divide and strengthen the foundation for analytic translation into policy (Sylla et al., 2025). A literature review focused specifically on the opportunities and challenges of big data analytics in developing-country healthcare settings reached a similar conclusion, noting that much routinely collected health data in these contexts remains unstructured and underutilised precisely because the surrounding infrastructure and analytic capacity have not kept pace with data generation (</w:t>
      </w:r>
      <w:proofErr w:type="spellStart"/>
      <w:r w:rsidRPr="003C1BA8">
        <w:rPr>
          <w:rFonts w:ascii="Times New Roman" w:eastAsia="Times New Roman" w:hAnsi="Times New Roman" w:cs="Times New Roman"/>
          <w:sz w:val="24"/>
          <w:szCs w:val="24"/>
          <w:lang w:eastAsia="en-GB"/>
        </w:rPr>
        <w:t>Muhunzi</w:t>
      </w:r>
      <w:proofErr w:type="spellEnd"/>
      <w:r w:rsidRPr="003C1BA8">
        <w:rPr>
          <w:rFonts w:ascii="Times New Roman" w:eastAsia="Times New Roman" w:hAnsi="Times New Roman" w:cs="Times New Roman"/>
          <w:sz w:val="24"/>
          <w:szCs w:val="24"/>
          <w:lang w:eastAsia="en-GB"/>
        </w:rPr>
        <w:t xml:space="preserve"> et al., 2024). Perspectives drawn from digital health innovation across South and Southeast Asia similarly emphasise that durable progress depends on locally grounded partnerships and an evidence-based approach to scaling national digital health infrastructure, rather than the wholesale transplantation of digital health models developed in higher-income contexts (Yi et al., 2024).</w:t>
      </w:r>
    </w:p>
    <w:p w14:paraId="4A2EDDF8" w14:textId="77777777" w:rsidR="003C1BA8" w:rsidRPr="003C1BA8" w:rsidRDefault="003C1BA8" w:rsidP="0089568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8.2 Workforce constraints in resource-limited settings</w:t>
      </w:r>
    </w:p>
    <w:p w14:paraId="03065DA5" w14:textId="4A97FBA6"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 xml:space="preserve">Health workforce adoption of digital health technology in low- and middle-income countries has been the subject of systematic review and meta-analysis, with findings indicating that </w:t>
      </w:r>
      <w:r w:rsidRPr="003C1BA8">
        <w:rPr>
          <w:rFonts w:ascii="Times New Roman" w:eastAsia="Times New Roman" w:hAnsi="Times New Roman" w:cs="Times New Roman"/>
          <w:sz w:val="24"/>
          <w:szCs w:val="24"/>
          <w:lang w:eastAsia="en-GB"/>
        </w:rPr>
        <w:lastRenderedPageBreak/>
        <w:t>adoption rates and the factors influencing them vary considerably depending on infrastructure readiness, training availability, and organisational support, with implications for how reliably analytic tools introduced into these settings can be expected to inform routine policy and programme decisions (Wang et al., 202</w:t>
      </w:r>
      <w:r w:rsidR="003E16CF">
        <w:rPr>
          <w:rFonts w:ascii="Times New Roman" w:eastAsia="Times New Roman" w:hAnsi="Times New Roman" w:cs="Times New Roman"/>
          <w:sz w:val="24"/>
          <w:szCs w:val="24"/>
          <w:lang w:eastAsia="en-GB"/>
        </w:rPr>
        <w:t>5</w:t>
      </w:r>
      <w:r w:rsidRPr="003C1BA8">
        <w:rPr>
          <w:rFonts w:ascii="Times New Roman" w:eastAsia="Times New Roman" w:hAnsi="Times New Roman" w:cs="Times New Roman"/>
          <w:sz w:val="24"/>
          <w:szCs w:val="24"/>
          <w:lang w:eastAsia="en-GB"/>
        </w:rPr>
        <w:t>). Complementary scoping review evidence on the digitalisation of human resources for health information systems similarly underscores that workforce-related bottlenecks, including insufficient numbers of trained informatics personnel and limited career pathways for health data professionals, constrain the translation of digital health investment into improved information system performance (Nagai et al., 2025).</w:t>
      </w:r>
    </w:p>
    <w:p w14:paraId="264341A9" w14:textId="77777777" w:rsidR="003C1BA8" w:rsidRPr="003C1BA8" w:rsidRDefault="003C1BA8" w:rsidP="00895688">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8.3 Building sustainable capacity</w:t>
      </w:r>
    </w:p>
    <w:p w14:paraId="7D3AA525"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Editorial commentary addressing the implementation of digital health in public health settings within low- and middle-income countries identifies a recurring tension between externally funded, often time-limited digital health projects and the longer-term institutional capacity needed to sustain and govern them after donor support concludes. Evidence from Eastern Europe and Central Asia reinforces the view that sustainable data science and informatics capacity requires deliberate, long-horizon investment in human capital embedded within national digital health strategy, rather than reliance on short-term project-based training alone (</w:t>
      </w:r>
      <w:proofErr w:type="spellStart"/>
      <w:r w:rsidRPr="003C1BA8">
        <w:rPr>
          <w:rFonts w:ascii="Times New Roman" w:eastAsia="Times New Roman" w:hAnsi="Times New Roman" w:cs="Times New Roman"/>
          <w:sz w:val="24"/>
          <w:szCs w:val="24"/>
          <w:lang w:eastAsia="en-GB"/>
        </w:rPr>
        <w:t>Gotsadze</w:t>
      </w:r>
      <w:proofErr w:type="spellEnd"/>
      <w:r w:rsidRPr="003C1BA8">
        <w:rPr>
          <w:rFonts w:ascii="Times New Roman" w:eastAsia="Times New Roman" w:hAnsi="Times New Roman" w:cs="Times New Roman"/>
          <w:sz w:val="24"/>
          <w:szCs w:val="24"/>
          <w:lang w:eastAsia="en-GB"/>
        </w:rPr>
        <w:t xml:space="preserve"> et al., 2026). Geospatial analytic tools, including geographic information systems applied to resource allocation and outbreak response, illustrate both the opportunity and the constraint clearly: such tools can substantially improve the precision of public health targeting in resource-constrained settings, but their value depends entirely on the availability of accurate underlying spatial and health data and on personnel trained to interpret spatial statistical output for policy audiences (Beard et al., 2018; Osei &amp; Sasidharan, 2023; Song et al., 2024; Xu et al., 2024).</w:t>
      </w:r>
    </w:p>
    <w:p w14:paraId="4DDE687D"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Table 6 sets out the principal constraints and emerging opportunities identified across this literature for low- and middle-income settings specifically.</w:t>
      </w:r>
    </w:p>
    <w:p w14:paraId="685B5A8D"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b/>
          <w:bCs/>
          <w:sz w:val="24"/>
          <w:szCs w:val="24"/>
          <w:lang w:eastAsia="en-GB"/>
        </w:rPr>
        <w:t>Table 6. Translational constraints and emerging opportunities in low- and middle-income settings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51"/>
        <w:gridCol w:w="2852"/>
        <w:gridCol w:w="4113"/>
      </w:tblGrid>
      <w:tr w:rsidR="003C1BA8" w:rsidRPr="003C1BA8" w14:paraId="6ED1E6A9" w14:textId="77777777" w:rsidTr="003C1BA8">
        <w:trPr>
          <w:tblHeader/>
          <w:tblCellSpacing w:w="15" w:type="dxa"/>
        </w:trPr>
        <w:tc>
          <w:tcPr>
            <w:tcW w:w="0" w:type="auto"/>
            <w:vAlign w:val="center"/>
            <w:hideMark/>
          </w:tcPr>
          <w:p w14:paraId="13ADB695" w14:textId="77777777" w:rsidR="003C1BA8" w:rsidRPr="003C1BA8" w:rsidRDefault="003C1BA8" w:rsidP="00895688">
            <w:pPr>
              <w:spacing w:after="0" w:line="240" w:lineRule="auto"/>
              <w:jc w:val="both"/>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Domain</w:t>
            </w:r>
          </w:p>
        </w:tc>
        <w:tc>
          <w:tcPr>
            <w:tcW w:w="0" w:type="auto"/>
            <w:vAlign w:val="center"/>
            <w:hideMark/>
          </w:tcPr>
          <w:p w14:paraId="0A422010" w14:textId="77777777" w:rsidR="003C1BA8" w:rsidRPr="003C1BA8" w:rsidRDefault="003C1BA8" w:rsidP="00895688">
            <w:pPr>
              <w:spacing w:after="0" w:line="240" w:lineRule="auto"/>
              <w:jc w:val="both"/>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Principal constraint</w:t>
            </w:r>
          </w:p>
        </w:tc>
        <w:tc>
          <w:tcPr>
            <w:tcW w:w="0" w:type="auto"/>
            <w:vAlign w:val="center"/>
            <w:hideMark/>
          </w:tcPr>
          <w:p w14:paraId="25D4C68D" w14:textId="77777777" w:rsidR="003C1BA8" w:rsidRPr="003C1BA8" w:rsidRDefault="003C1BA8" w:rsidP="00895688">
            <w:pPr>
              <w:spacing w:after="0" w:line="240" w:lineRule="auto"/>
              <w:jc w:val="both"/>
              <w:rPr>
                <w:rFonts w:ascii="Times New Roman" w:eastAsia="Times New Roman" w:hAnsi="Times New Roman" w:cs="Times New Roman"/>
                <w:b/>
                <w:bCs/>
                <w:sz w:val="24"/>
                <w:szCs w:val="24"/>
                <w:lang w:eastAsia="en-GB"/>
              </w:rPr>
            </w:pPr>
            <w:r w:rsidRPr="003C1BA8">
              <w:rPr>
                <w:rFonts w:ascii="Times New Roman" w:eastAsia="Times New Roman" w:hAnsi="Times New Roman" w:cs="Times New Roman"/>
                <w:b/>
                <w:bCs/>
                <w:sz w:val="24"/>
                <w:szCs w:val="24"/>
                <w:lang w:eastAsia="en-GB"/>
              </w:rPr>
              <w:t>Emerging opportunity</w:t>
            </w:r>
          </w:p>
        </w:tc>
      </w:tr>
      <w:tr w:rsidR="003C1BA8" w:rsidRPr="003C1BA8" w14:paraId="40EAECBC" w14:textId="77777777" w:rsidTr="003C1BA8">
        <w:trPr>
          <w:tblCellSpacing w:w="15" w:type="dxa"/>
        </w:trPr>
        <w:tc>
          <w:tcPr>
            <w:tcW w:w="0" w:type="auto"/>
            <w:vAlign w:val="center"/>
            <w:hideMark/>
          </w:tcPr>
          <w:p w14:paraId="058AE0A0"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Connectivity and device access</w:t>
            </w:r>
          </w:p>
        </w:tc>
        <w:tc>
          <w:tcPr>
            <w:tcW w:w="0" w:type="auto"/>
            <w:vAlign w:val="center"/>
            <w:hideMark/>
          </w:tcPr>
          <w:p w14:paraId="3BD81E16"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Substantial proportion of population remains offline</w:t>
            </w:r>
          </w:p>
        </w:tc>
        <w:tc>
          <w:tcPr>
            <w:tcW w:w="0" w:type="auto"/>
            <w:vAlign w:val="center"/>
            <w:hideMark/>
          </w:tcPr>
          <w:p w14:paraId="6D07022A"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Subsidised access programmes, locally tailored interventions</w:t>
            </w:r>
          </w:p>
        </w:tc>
      </w:tr>
      <w:tr w:rsidR="003C1BA8" w:rsidRPr="003C1BA8" w14:paraId="211CEE78" w14:textId="77777777" w:rsidTr="003C1BA8">
        <w:trPr>
          <w:tblCellSpacing w:w="15" w:type="dxa"/>
        </w:trPr>
        <w:tc>
          <w:tcPr>
            <w:tcW w:w="0" w:type="auto"/>
            <w:vAlign w:val="center"/>
            <w:hideMark/>
          </w:tcPr>
          <w:p w14:paraId="0F88BC4B"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Workforce</w:t>
            </w:r>
          </w:p>
        </w:tc>
        <w:tc>
          <w:tcPr>
            <w:tcW w:w="0" w:type="auto"/>
            <w:vAlign w:val="center"/>
            <w:hideMark/>
          </w:tcPr>
          <w:p w14:paraId="0BAC547A"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Shortage of trained data and informatics personnel</w:t>
            </w:r>
          </w:p>
        </w:tc>
        <w:tc>
          <w:tcPr>
            <w:tcW w:w="0" w:type="auto"/>
            <w:vAlign w:val="center"/>
            <w:hideMark/>
          </w:tcPr>
          <w:p w14:paraId="6D318DE1"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Scoping of digitalised human resource information systems to guide investment</w:t>
            </w:r>
          </w:p>
        </w:tc>
      </w:tr>
      <w:tr w:rsidR="003C1BA8" w:rsidRPr="003C1BA8" w14:paraId="28689780" w14:textId="77777777" w:rsidTr="003C1BA8">
        <w:trPr>
          <w:tblCellSpacing w:w="15" w:type="dxa"/>
        </w:trPr>
        <w:tc>
          <w:tcPr>
            <w:tcW w:w="0" w:type="auto"/>
            <w:vAlign w:val="center"/>
            <w:hideMark/>
          </w:tcPr>
          <w:p w14:paraId="6DF543A3"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Institutional sustainability</w:t>
            </w:r>
          </w:p>
        </w:tc>
        <w:tc>
          <w:tcPr>
            <w:tcW w:w="0" w:type="auto"/>
            <w:vAlign w:val="center"/>
            <w:hideMark/>
          </w:tcPr>
          <w:p w14:paraId="7530C071"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Donor-dependent, time-limited project funding</w:t>
            </w:r>
          </w:p>
        </w:tc>
        <w:tc>
          <w:tcPr>
            <w:tcW w:w="0" w:type="auto"/>
            <w:vAlign w:val="center"/>
            <w:hideMark/>
          </w:tcPr>
          <w:p w14:paraId="6A53B58B"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Long-horizon national digital health human capital strategies</w:t>
            </w:r>
          </w:p>
        </w:tc>
      </w:tr>
      <w:tr w:rsidR="003C1BA8" w:rsidRPr="003C1BA8" w14:paraId="28E5BBB1" w14:textId="77777777" w:rsidTr="003C1BA8">
        <w:trPr>
          <w:tblCellSpacing w:w="15" w:type="dxa"/>
        </w:trPr>
        <w:tc>
          <w:tcPr>
            <w:tcW w:w="0" w:type="auto"/>
            <w:vAlign w:val="center"/>
            <w:hideMark/>
          </w:tcPr>
          <w:p w14:paraId="4F88C298"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Spatial and geographic analytics</w:t>
            </w:r>
          </w:p>
        </w:tc>
        <w:tc>
          <w:tcPr>
            <w:tcW w:w="0" w:type="auto"/>
            <w:vAlign w:val="center"/>
            <w:hideMark/>
          </w:tcPr>
          <w:p w14:paraId="4C9E2ACB"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Limited underlying spatial and health data quality</w:t>
            </w:r>
          </w:p>
        </w:tc>
        <w:tc>
          <w:tcPr>
            <w:tcW w:w="0" w:type="auto"/>
            <w:vAlign w:val="center"/>
            <w:hideMark/>
          </w:tcPr>
          <w:p w14:paraId="6ADC84F6" w14:textId="77777777" w:rsidR="003C1BA8" w:rsidRPr="003C1BA8" w:rsidRDefault="003C1BA8" w:rsidP="00895688">
            <w:pPr>
              <w:spacing w:after="0"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Expanding geographic information system applications for resource allocation</w:t>
            </w:r>
          </w:p>
        </w:tc>
      </w:tr>
    </w:tbl>
    <w:p w14:paraId="105E458D" w14:textId="1E6D2671"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i/>
          <w:iCs/>
          <w:sz w:val="24"/>
          <w:szCs w:val="24"/>
          <w:lang w:eastAsia="en-GB"/>
        </w:rPr>
        <w:t xml:space="preserve">Sources: Beard et al. (2018); </w:t>
      </w:r>
      <w:proofErr w:type="spellStart"/>
      <w:r w:rsidRPr="003C1BA8">
        <w:rPr>
          <w:rFonts w:ascii="Times New Roman" w:eastAsia="Times New Roman" w:hAnsi="Times New Roman" w:cs="Times New Roman"/>
          <w:i/>
          <w:iCs/>
          <w:sz w:val="24"/>
          <w:szCs w:val="24"/>
          <w:lang w:eastAsia="en-GB"/>
        </w:rPr>
        <w:t>Gotsadze</w:t>
      </w:r>
      <w:proofErr w:type="spellEnd"/>
      <w:r w:rsidRPr="003C1BA8">
        <w:rPr>
          <w:rFonts w:ascii="Times New Roman" w:eastAsia="Times New Roman" w:hAnsi="Times New Roman" w:cs="Times New Roman"/>
          <w:i/>
          <w:iCs/>
          <w:sz w:val="24"/>
          <w:szCs w:val="24"/>
          <w:lang w:eastAsia="en-GB"/>
        </w:rPr>
        <w:t xml:space="preserve"> et al. (2026); </w:t>
      </w:r>
      <w:proofErr w:type="spellStart"/>
      <w:r w:rsidRPr="003C1BA8">
        <w:rPr>
          <w:rFonts w:ascii="Times New Roman" w:eastAsia="Times New Roman" w:hAnsi="Times New Roman" w:cs="Times New Roman"/>
          <w:i/>
          <w:iCs/>
          <w:sz w:val="24"/>
          <w:szCs w:val="24"/>
          <w:lang w:eastAsia="en-GB"/>
        </w:rPr>
        <w:t>Muhunzi</w:t>
      </w:r>
      <w:proofErr w:type="spellEnd"/>
      <w:r w:rsidRPr="003C1BA8">
        <w:rPr>
          <w:rFonts w:ascii="Times New Roman" w:eastAsia="Times New Roman" w:hAnsi="Times New Roman" w:cs="Times New Roman"/>
          <w:i/>
          <w:iCs/>
          <w:sz w:val="24"/>
          <w:szCs w:val="24"/>
          <w:lang w:eastAsia="en-GB"/>
        </w:rPr>
        <w:t xml:space="preserve"> et al. (2024); Nagai et al. (2025); Osei &amp; Sasidharan (2023); Song et al. (2024); Sylla et al. (2025); Wang et al. (202</w:t>
      </w:r>
      <w:r w:rsidR="003E16CF">
        <w:rPr>
          <w:rFonts w:ascii="Times New Roman" w:eastAsia="Times New Roman" w:hAnsi="Times New Roman" w:cs="Times New Roman"/>
          <w:i/>
          <w:iCs/>
          <w:sz w:val="24"/>
          <w:szCs w:val="24"/>
          <w:lang w:eastAsia="en-GB"/>
        </w:rPr>
        <w:t>5</w:t>
      </w:r>
      <w:r w:rsidRPr="003C1BA8">
        <w:rPr>
          <w:rFonts w:ascii="Times New Roman" w:eastAsia="Times New Roman" w:hAnsi="Times New Roman" w:cs="Times New Roman"/>
          <w:i/>
          <w:iCs/>
          <w:sz w:val="24"/>
          <w:szCs w:val="24"/>
          <w:lang w:eastAsia="en-GB"/>
        </w:rPr>
        <w:t>); Xu et al. (2024); Yi et al. (2024).</w:t>
      </w:r>
    </w:p>
    <w:p w14:paraId="0B9EFA4F" w14:textId="77777777" w:rsidR="003C1BA8" w:rsidRPr="003C1BA8" w:rsidRDefault="003C1BA8" w:rsidP="00895688">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C1BA8">
        <w:rPr>
          <w:rFonts w:ascii="Times New Roman" w:eastAsia="Times New Roman" w:hAnsi="Times New Roman" w:cs="Times New Roman"/>
          <w:b/>
          <w:bCs/>
          <w:sz w:val="27"/>
          <w:szCs w:val="27"/>
          <w:lang w:eastAsia="en-GB"/>
        </w:rPr>
        <w:t>9. Future Directions</w:t>
      </w:r>
    </w:p>
    <w:p w14:paraId="6CF55222"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lastRenderedPageBreak/>
        <w:t>Several priority areas emerge from this synthesis. Interoperability investment should be paired explicitly with governance capacity-building, since technical data linkage achieved without corresponding legal and institutional frameworks tends to stall before reaching policy application. Public health workforce development should treat data communication and policy literacy as core competencies alongside technical analytic skill, recognising that the translational bottleneck is frequently located at the interface between disciplines rather than within either discipline alone. Evidence-informed decision-making frameworks would benefit from comparative evaluation studies that move beyond cataloguing existing frameworks toward establishing which institutional designs most reliably convert analytic evidence into policy action under varying resource and political conditions. Artificial intelligence governance in public health should continue moving toward lifecycle-integrated equity assessment, with particular attention to validation in the specific populations where tools will be deployed rather than reliance on aggregate performance metrics derived from unrepresentative training data. Dashboard and visualisation design should be explicitly tailored to distinct audiences, with policymaker-facing products evaluated for their actual influence on decision quality rather than assessed primarily on technical sophistication or visual polish. Sustained, long-horizon investment in data science and informatics capacity in low- and middle-income countries should be prioritised over short-term, donor-driven projects, with attention to embedding this capacity within national digital health strategy rather than isolated programmatic initiatives. Finally, future research would benefit from longitudinal case studies tracing specific analytic products from generation through to documented policy outcome, since much of the existing literature characterises barriers and frameworks in the abstract without empirically tracing whether and how particular analytic findings ultimately influenced a specific, identifiable policy decision.</w:t>
      </w:r>
    </w:p>
    <w:p w14:paraId="1A5CCD5A" w14:textId="77777777" w:rsidR="003C1BA8" w:rsidRPr="003C1BA8" w:rsidRDefault="003C1BA8" w:rsidP="00895688">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C1BA8">
        <w:rPr>
          <w:rFonts w:ascii="Times New Roman" w:eastAsia="Times New Roman" w:hAnsi="Times New Roman" w:cs="Times New Roman"/>
          <w:b/>
          <w:bCs/>
          <w:sz w:val="27"/>
          <w:szCs w:val="27"/>
          <w:lang w:eastAsia="en-GB"/>
        </w:rPr>
        <w:t>10. Conclusions</w:t>
      </w:r>
    </w:p>
    <w:p w14:paraId="753EB7DB" w14:textId="77777777" w:rsidR="003C1BA8" w:rsidRP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The gap between data analytics and public health policy is not primarily a technical deficiency in analytic method but a structural and institutional one. Fragmented data infrastructure, uneven governance capacity, persistent workforce skills gaps, underdeveloped knowledge translation mechanisms, legitimate concerns about algorithmic bias, and communication practices not consistently designed for policy audiences each contribute independently to the gap and compound one another when present together. The COVID-19 pandemic demonstrated that this gap can narrow rapidly under sufficient political pressure and resourcing, but also that progress achieved under emergency conditions does not automatically translate into durable capacity once acute pressure subsides. Low- and middle-income settings face the same categories of barrier in more acute form, compounded by infrastructural and financing constraints, though emerging evidence on locally grounded digital health partnerships and sustained workforce investment offers a credible path forward. Closing the translational gap will require simultaneous, coordinated investment across data infrastructure, workforce capacity, institutional knowledge translation structures, equitable artificial intelligence governance, and policymaker-oriented communication design, rather than continued emphasis on analytic sophistication in isolation from the people, institutions, and relationships through which analytic findings must travel to become policy.</w:t>
      </w:r>
    </w:p>
    <w:p w14:paraId="02203550" w14:textId="77777777" w:rsidR="003C1BA8" w:rsidRPr="003C1BA8" w:rsidRDefault="003C1BA8" w:rsidP="00895688">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C1BA8">
        <w:rPr>
          <w:rFonts w:ascii="Times New Roman" w:eastAsia="Times New Roman" w:hAnsi="Times New Roman" w:cs="Times New Roman"/>
          <w:b/>
          <w:bCs/>
          <w:sz w:val="27"/>
          <w:szCs w:val="27"/>
          <w:lang w:eastAsia="en-GB"/>
        </w:rPr>
        <w:t>11. Limitations</w:t>
      </w:r>
    </w:p>
    <w:p w14:paraId="28A9EF24" w14:textId="77777777" w:rsidR="003C1BA8" w:rsidRDefault="003C1BA8"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r w:rsidRPr="003C1BA8">
        <w:rPr>
          <w:rFonts w:ascii="Times New Roman" w:eastAsia="Times New Roman" w:hAnsi="Times New Roman" w:cs="Times New Roman"/>
          <w:sz w:val="24"/>
          <w:szCs w:val="24"/>
          <w:lang w:eastAsia="en-GB"/>
        </w:rPr>
        <w:t xml:space="preserve">This review has several limitations. As a narrative rather than systematic review, the selection of literature, while guided by a defined search strategy, retained an element of purposive judgement regarding which studies best illustrated each conceptual theme, introducing the </w:t>
      </w:r>
      <w:r w:rsidRPr="003C1BA8">
        <w:rPr>
          <w:rFonts w:ascii="Times New Roman" w:eastAsia="Times New Roman" w:hAnsi="Times New Roman" w:cs="Times New Roman"/>
          <w:sz w:val="24"/>
          <w:szCs w:val="24"/>
          <w:lang w:eastAsia="en-GB"/>
        </w:rPr>
        <w:lastRenderedPageBreak/>
        <w:t>possibility of selection bias not fully mitigated by the search protocol described in Section 2. The review draws predominantly on literature published in English, which likely underrepresents experiences and innovations documented in other languages, particularly relevant given the review's attention to low- and middle-income settings where English-language publication may not reflect the full scope of local practice. The rapidly evolving nature of artificial intelligence regulation and digital health policy means that some specific regulatory and institutional details discussed in this review may have changed by the time of publication, even though the underlying structural barriers identified are likely to remain relevant over a longer horizon. Finally, the review synthesises evidence describing barriers and frameworks largely in qualitative or descriptive terms, reflecting the state of the underlying literature, and was unable to draw on a substantial body of quantitative, comparative evaluation evidence establishing which specific institutional interventions most effectively narrow the translational gap, since such evidence remains sparse across the literature reviewed.</w:t>
      </w:r>
    </w:p>
    <w:p w14:paraId="1A4810F3" w14:textId="77777777" w:rsidR="00BB529E" w:rsidRPr="000839CE" w:rsidRDefault="00BB529E" w:rsidP="00895688">
      <w:pPr>
        <w:spacing w:after="0" w:line="240" w:lineRule="auto"/>
        <w:jc w:val="both"/>
        <w:rPr>
          <w:rFonts w:ascii="Times New Roman" w:hAnsi="Times New Roman" w:cs="Times New Roman"/>
          <w:b/>
        </w:rPr>
      </w:pPr>
      <w:r w:rsidRPr="000839CE">
        <w:rPr>
          <w:rFonts w:ascii="Times New Roman" w:hAnsi="Times New Roman" w:cs="Times New Roman"/>
          <w:b/>
        </w:rPr>
        <w:t>Declaration of AI Use</w:t>
      </w:r>
    </w:p>
    <w:p w14:paraId="59BEEEBA" w14:textId="77777777" w:rsidR="00BB529E" w:rsidRPr="000839CE" w:rsidRDefault="00BB529E" w:rsidP="00895688">
      <w:pPr>
        <w:spacing w:after="0" w:line="240" w:lineRule="auto"/>
        <w:jc w:val="both"/>
        <w:rPr>
          <w:rFonts w:ascii="Times New Roman" w:hAnsi="Times New Roman" w:cs="Times New Roman"/>
        </w:rPr>
      </w:pPr>
    </w:p>
    <w:p w14:paraId="0CD9351B" w14:textId="77777777" w:rsidR="00BB529E" w:rsidRPr="000839CE" w:rsidRDefault="00BB529E" w:rsidP="00895688">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3D716FE" w14:textId="77777777" w:rsidR="00BB529E" w:rsidRPr="003C1BA8" w:rsidRDefault="00BB529E" w:rsidP="00895688">
      <w:pPr>
        <w:spacing w:before="100" w:beforeAutospacing="1" w:after="100" w:afterAutospacing="1" w:line="240" w:lineRule="auto"/>
        <w:jc w:val="both"/>
        <w:rPr>
          <w:rFonts w:ascii="Times New Roman" w:eastAsia="Times New Roman" w:hAnsi="Times New Roman" w:cs="Times New Roman"/>
          <w:sz w:val="24"/>
          <w:szCs w:val="24"/>
          <w:lang w:eastAsia="en-GB"/>
        </w:rPr>
      </w:pPr>
    </w:p>
    <w:p w14:paraId="6D99BB01" w14:textId="77777777" w:rsidR="003C1BA8" w:rsidRPr="003C1BA8" w:rsidRDefault="003C1BA8" w:rsidP="00895688">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3C1BA8">
        <w:rPr>
          <w:rFonts w:ascii="Times New Roman" w:eastAsia="Times New Roman" w:hAnsi="Times New Roman" w:cs="Times New Roman"/>
          <w:b/>
          <w:bCs/>
          <w:sz w:val="27"/>
          <w:szCs w:val="27"/>
          <w:lang w:eastAsia="en-GB"/>
        </w:rPr>
        <w:t>References</w:t>
      </w:r>
    </w:p>
    <w:p w14:paraId="114F8B4A" w14:textId="77777777" w:rsidR="000E7AD2" w:rsidRPr="000E7AD2" w:rsidRDefault="000E7AD2" w:rsidP="000E7AD2">
      <w:pPr>
        <w:spacing w:after="0" w:line="240" w:lineRule="auto"/>
        <w:rPr>
          <w:rFonts w:ascii="Times New Roman" w:eastAsia="Times New Roman" w:hAnsi="Times New Roman" w:cs="Times New Roman"/>
          <w:sz w:val="24"/>
          <w:szCs w:val="24"/>
          <w:lang w:val="en-US"/>
        </w:rPr>
      </w:pPr>
      <w:r w:rsidRPr="000E7AD2">
        <w:rPr>
          <w:rFonts w:ascii="Times New Roman" w:eastAsia="Times New Roman" w:hAnsi="Symbol" w:cs="Times New Roman"/>
          <w:sz w:val="24"/>
          <w:szCs w:val="24"/>
          <w:lang w:val="en-US"/>
        </w:rPr>
        <w:t></w:t>
      </w:r>
      <w:r w:rsidRPr="000E7AD2">
        <w:rPr>
          <w:rFonts w:ascii="Times New Roman" w:eastAsia="Times New Roman" w:hAnsi="Times New Roman" w:cs="Times New Roman"/>
          <w:sz w:val="24"/>
          <w:szCs w:val="24"/>
          <w:lang w:val="en-US"/>
        </w:rPr>
        <w:t xml:space="preserve">  Babarczy, B., Scarlett, J., Sharma, T., Gaál, P., Szécsényi-Nagy, B., &amp; </w:t>
      </w:r>
      <w:proofErr w:type="spellStart"/>
      <w:r w:rsidRPr="000E7AD2">
        <w:rPr>
          <w:rFonts w:ascii="Times New Roman" w:eastAsia="Times New Roman" w:hAnsi="Times New Roman" w:cs="Times New Roman"/>
          <w:sz w:val="24"/>
          <w:szCs w:val="24"/>
          <w:lang w:val="en-US"/>
        </w:rPr>
        <w:t>Kuchenmüller</w:t>
      </w:r>
      <w:proofErr w:type="spellEnd"/>
      <w:r w:rsidRPr="000E7AD2">
        <w:rPr>
          <w:rFonts w:ascii="Times New Roman" w:eastAsia="Times New Roman" w:hAnsi="Times New Roman" w:cs="Times New Roman"/>
          <w:sz w:val="24"/>
          <w:szCs w:val="24"/>
          <w:lang w:val="en-US"/>
        </w:rPr>
        <w:t xml:space="preserve">, T. (2024). National strategies for knowledge translation in health policy-making: A scoping review of grey literature. </w:t>
      </w:r>
      <w:r w:rsidRPr="000E7AD2">
        <w:rPr>
          <w:rFonts w:ascii="Times New Roman" w:eastAsia="Times New Roman" w:hAnsi="Times New Roman" w:cs="Times New Roman"/>
          <w:i/>
          <w:iCs/>
          <w:sz w:val="24"/>
          <w:szCs w:val="24"/>
          <w:lang w:val="en-US"/>
        </w:rPr>
        <w:t>Health Research Policy and Systems, 22</w:t>
      </w:r>
      <w:r w:rsidRPr="000E7AD2">
        <w:rPr>
          <w:rFonts w:ascii="Times New Roman" w:eastAsia="Times New Roman" w:hAnsi="Times New Roman" w:cs="Times New Roman"/>
          <w:sz w:val="24"/>
          <w:szCs w:val="24"/>
          <w:lang w:val="en-US"/>
        </w:rPr>
        <w:t xml:space="preserve">, Article 50. </w:t>
      </w:r>
      <w:hyperlink r:id="rId7" w:tgtFrame="_new" w:history="1">
        <w:r w:rsidRPr="000E7AD2">
          <w:rPr>
            <w:rFonts w:ascii="Times New Roman" w:eastAsia="Times New Roman" w:hAnsi="Times New Roman" w:cs="Times New Roman"/>
            <w:color w:val="0000FF"/>
            <w:sz w:val="24"/>
            <w:szCs w:val="24"/>
            <w:u w:val="single"/>
            <w:lang w:val="en-US"/>
          </w:rPr>
          <w:t>https://doi.org/10.1186/s12961-023-01089-0</w:t>
        </w:r>
      </w:hyperlink>
      <w:r w:rsidRPr="000E7AD2">
        <w:rPr>
          <w:rFonts w:ascii="Times New Roman" w:eastAsia="Times New Roman" w:hAnsi="Times New Roman" w:cs="Times New Roman"/>
          <w:sz w:val="24"/>
          <w:szCs w:val="24"/>
          <w:lang w:val="en-US"/>
        </w:rPr>
        <w:t xml:space="preserve"> </w:t>
      </w:r>
    </w:p>
    <w:p w14:paraId="339F60E3" w14:textId="77777777" w:rsidR="000E7AD2" w:rsidRPr="000E7AD2" w:rsidRDefault="000E7AD2" w:rsidP="000E7AD2">
      <w:pPr>
        <w:spacing w:after="0" w:line="240" w:lineRule="auto"/>
        <w:rPr>
          <w:rFonts w:ascii="Times New Roman" w:eastAsia="Times New Roman" w:hAnsi="Times New Roman" w:cs="Times New Roman"/>
          <w:sz w:val="24"/>
          <w:szCs w:val="24"/>
          <w:lang w:val="en-US"/>
        </w:rPr>
      </w:pPr>
      <w:r w:rsidRPr="000E7AD2">
        <w:rPr>
          <w:rFonts w:ascii="Times New Roman" w:eastAsia="Times New Roman" w:hAnsi="Symbol" w:cs="Times New Roman"/>
          <w:sz w:val="24"/>
          <w:szCs w:val="24"/>
          <w:lang w:val="en-US"/>
        </w:rPr>
        <w:t></w:t>
      </w:r>
      <w:r w:rsidRPr="000E7AD2">
        <w:rPr>
          <w:rFonts w:ascii="Times New Roman" w:eastAsia="Times New Roman" w:hAnsi="Times New Roman" w:cs="Times New Roman"/>
          <w:sz w:val="24"/>
          <w:szCs w:val="24"/>
          <w:lang w:val="en-US"/>
        </w:rPr>
        <w:t xml:space="preserve">  </w:t>
      </w:r>
      <w:proofErr w:type="spellStart"/>
      <w:r w:rsidRPr="000E7AD2">
        <w:rPr>
          <w:rFonts w:ascii="Times New Roman" w:eastAsia="Times New Roman" w:hAnsi="Times New Roman" w:cs="Times New Roman"/>
          <w:sz w:val="24"/>
          <w:szCs w:val="24"/>
          <w:lang w:val="en-US"/>
        </w:rPr>
        <w:t>Baethge</w:t>
      </w:r>
      <w:proofErr w:type="spellEnd"/>
      <w:r w:rsidRPr="000E7AD2">
        <w:rPr>
          <w:rFonts w:ascii="Times New Roman" w:eastAsia="Times New Roman" w:hAnsi="Times New Roman" w:cs="Times New Roman"/>
          <w:sz w:val="24"/>
          <w:szCs w:val="24"/>
          <w:lang w:val="en-US"/>
        </w:rPr>
        <w:t xml:space="preserve">, C., Goldbeck-Wood, S., &amp; Mertens, S. (2019). SANRA—a scale for the quality assessment of narrative review articles. </w:t>
      </w:r>
      <w:r w:rsidRPr="000E7AD2">
        <w:rPr>
          <w:rFonts w:ascii="Times New Roman" w:eastAsia="Times New Roman" w:hAnsi="Times New Roman" w:cs="Times New Roman"/>
          <w:i/>
          <w:iCs/>
          <w:sz w:val="24"/>
          <w:szCs w:val="24"/>
          <w:lang w:val="en-US"/>
        </w:rPr>
        <w:t>Research Integrity and Peer Review, 4</w:t>
      </w:r>
      <w:r w:rsidRPr="000E7AD2">
        <w:rPr>
          <w:rFonts w:ascii="Times New Roman" w:eastAsia="Times New Roman" w:hAnsi="Times New Roman" w:cs="Times New Roman"/>
          <w:sz w:val="24"/>
          <w:szCs w:val="24"/>
          <w:lang w:val="en-US"/>
        </w:rPr>
        <w:t xml:space="preserve">, Article 5. </w:t>
      </w:r>
      <w:hyperlink r:id="rId8" w:tgtFrame="_new" w:history="1">
        <w:r w:rsidRPr="000E7AD2">
          <w:rPr>
            <w:rFonts w:ascii="Times New Roman" w:eastAsia="Times New Roman" w:hAnsi="Times New Roman" w:cs="Times New Roman"/>
            <w:color w:val="0000FF"/>
            <w:sz w:val="24"/>
            <w:szCs w:val="24"/>
            <w:u w:val="single"/>
            <w:lang w:val="en-US"/>
          </w:rPr>
          <w:t>https://doi.org/10.1186/s41073-019-0064-8</w:t>
        </w:r>
      </w:hyperlink>
      <w:r w:rsidRPr="000E7AD2">
        <w:rPr>
          <w:rFonts w:ascii="Times New Roman" w:eastAsia="Times New Roman" w:hAnsi="Times New Roman" w:cs="Times New Roman"/>
          <w:sz w:val="24"/>
          <w:szCs w:val="24"/>
          <w:lang w:val="en-US"/>
        </w:rPr>
        <w:t xml:space="preserve"> </w:t>
      </w:r>
    </w:p>
    <w:p w14:paraId="0454B77D" w14:textId="77777777" w:rsidR="000E7AD2" w:rsidRPr="000E7AD2" w:rsidRDefault="000E7AD2" w:rsidP="000E7AD2">
      <w:pPr>
        <w:spacing w:after="0" w:line="240" w:lineRule="auto"/>
        <w:rPr>
          <w:rFonts w:ascii="Times New Roman" w:eastAsia="Times New Roman" w:hAnsi="Times New Roman" w:cs="Times New Roman"/>
          <w:sz w:val="24"/>
          <w:szCs w:val="24"/>
          <w:lang w:val="en-US"/>
        </w:rPr>
      </w:pPr>
      <w:r w:rsidRPr="000E7AD2">
        <w:rPr>
          <w:rFonts w:ascii="Times New Roman" w:eastAsia="Times New Roman" w:hAnsi="Symbol" w:cs="Times New Roman"/>
          <w:sz w:val="24"/>
          <w:szCs w:val="24"/>
          <w:lang w:val="en-US"/>
        </w:rPr>
        <w:t></w:t>
      </w:r>
      <w:r w:rsidRPr="000E7AD2">
        <w:rPr>
          <w:rFonts w:ascii="Times New Roman" w:eastAsia="Times New Roman" w:hAnsi="Times New Roman" w:cs="Times New Roman"/>
          <w:sz w:val="24"/>
          <w:szCs w:val="24"/>
          <w:lang w:val="en-US"/>
        </w:rPr>
        <w:t xml:space="preserve">  Beard, R., Wentz, E., &amp; Scotch, M. (2018). A systematic review of spatial decision support systems in public health informatics supporting the identification of high-risk areas for zoonotic disease outbreaks. </w:t>
      </w:r>
      <w:r w:rsidRPr="000E7AD2">
        <w:rPr>
          <w:rFonts w:ascii="Times New Roman" w:eastAsia="Times New Roman" w:hAnsi="Times New Roman" w:cs="Times New Roman"/>
          <w:i/>
          <w:iCs/>
          <w:sz w:val="24"/>
          <w:szCs w:val="24"/>
          <w:lang w:val="en-US"/>
        </w:rPr>
        <w:t>International Journal of Health Geographics, 17</w:t>
      </w:r>
      <w:r w:rsidRPr="000E7AD2">
        <w:rPr>
          <w:rFonts w:ascii="Times New Roman" w:eastAsia="Times New Roman" w:hAnsi="Times New Roman" w:cs="Times New Roman"/>
          <w:sz w:val="24"/>
          <w:szCs w:val="24"/>
          <w:lang w:val="en-US"/>
        </w:rPr>
        <w:t xml:space="preserve">, Article 38. </w:t>
      </w:r>
      <w:hyperlink r:id="rId9" w:tgtFrame="_new" w:history="1">
        <w:r w:rsidRPr="000E7AD2">
          <w:rPr>
            <w:rFonts w:ascii="Times New Roman" w:eastAsia="Times New Roman" w:hAnsi="Times New Roman" w:cs="Times New Roman"/>
            <w:color w:val="0000FF"/>
            <w:sz w:val="24"/>
            <w:szCs w:val="24"/>
            <w:u w:val="single"/>
            <w:lang w:val="en-US"/>
          </w:rPr>
          <w:t>https://doi.org/10.1186/s12942-018-0157-5</w:t>
        </w:r>
      </w:hyperlink>
      <w:r w:rsidRPr="000E7AD2">
        <w:rPr>
          <w:rFonts w:ascii="Times New Roman" w:eastAsia="Times New Roman" w:hAnsi="Times New Roman" w:cs="Times New Roman"/>
          <w:sz w:val="24"/>
          <w:szCs w:val="24"/>
          <w:lang w:val="en-US"/>
        </w:rPr>
        <w:t xml:space="preserve"> </w:t>
      </w:r>
    </w:p>
    <w:p w14:paraId="410FF3C7" w14:textId="77777777" w:rsidR="000E7AD2" w:rsidRPr="000E7AD2" w:rsidRDefault="000E7AD2" w:rsidP="000E7AD2">
      <w:pPr>
        <w:spacing w:after="0" w:line="240" w:lineRule="auto"/>
        <w:rPr>
          <w:rFonts w:ascii="Times New Roman" w:eastAsia="Times New Roman" w:hAnsi="Times New Roman" w:cs="Times New Roman"/>
          <w:sz w:val="24"/>
          <w:szCs w:val="24"/>
          <w:lang w:val="en-US"/>
        </w:rPr>
      </w:pPr>
      <w:r w:rsidRPr="000E7AD2">
        <w:rPr>
          <w:rFonts w:ascii="Times New Roman" w:eastAsia="Times New Roman" w:hAnsi="Symbol" w:cs="Times New Roman"/>
          <w:sz w:val="24"/>
          <w:szCs w:val="24"/>
          <w:lang w:val="en-US"/>
        </w:rPr>
        <w:t></w:t>
      </w:r>
      <w:r w:rsidRPr="000E7AD2">
        <w:rPr>
          <w:rFonts w:ascii="Times New Roman" w:eastAsia="Times New Roman" w:hAnsi="Times New Roman" w:cs="Times New Roman"/>
          <w:sz w:val="24"/>
          <w:szCs w:val="24"/>
          <w:lang w:val="en-US"/>
        </w:rPr>
        <w:t xml:space="preserve">  Cardwell, K., Clyne, B., Broderick, N., Tyner, B., Masukume, G., Larkin, L., McManus, L., Carrigan, M., Sharp, M., Smith, S. M., Harrington, P., Connolly, M., Ryan, M., &amp; O’Neill, M. (2023). Lessons learnt from the COVID-19 pandemic in selected countries to inform strengthening of public health systems: A qualitative study. </w:t>
      </w:r>
      <w:r w:rsidRPr="000E7AD2">
        <w:rPr>
          <w:rFonts w:ascii="Times New Roman" w:eastAsia="Times New Roman" w:hAnsi="Times New Roman" w:cs="Times New Roman"/>
          <w:i/>
          <w:iCs/>
          <w:sz w:val="24"/>
          <w:szCs w:val="24"/>
          <w:lang w:val="en-US"/>
        </w:rPr>
        <w:t>Public Health, 225</w:t>
      </w:r>
      <w:r w:rsidRPr="000E7AD2">
        <w:rPr>
          <w:rFonts w:ascii="Times New Roman" w:eastAsia="Times New Roman" w:hAnsi="Times New Roman" w:cs="Times New Roman"/>
          <w:sz w:val="24"/>
          <w:szCs w:val="24"/>
          <w:lang w:val="en-US"/>
        </w:rPr>
        <w:t xml:space="preserve">, 343–352. </w:t>
      </w:r>
      <w:hyperlink r:id="rId10" w:tgtFrame="_new" w:history="1">
        <w:r w:rsidRPr="000E7AD2">
          <w:rPr>
            <w:rFonts w:ascii="Times New Roman" w:eastAsia="Times New Roman" w:hAnsi="Times New Roman" w:cs="Times New Roman"/>
            <w:color w:val="0000FF"/>
            <w:sz w:val="24"/>
            <w:szCs w:val="24"/>
            <w:u w:val="single"/>
            <w:lang w:val="en-US"/>
          </w:rPr>
          <w:t>https://doi.org/10.1016/j.puhe.2023.10.024</w:t>
        </w:r>
      </w:hyperlink>
      <w:r w:rsidRPr="000E7AD2">
        <w:rPr>
          <w:rFonts w:ascii="Times New Roman" w:eastAsia="Times New Roman" w:hAnsi="Times New Roman" w:cs="Times New Roman"/>
          <w:sz w:val="24"/>
          <w:szCs w:val="24"/>
          <w:lang w:val="en-US"/>
        </w:rPr>
        <w:t xml:space="preserve"> </w:t>
      </w:r>
    </w:p>
    <w:p w14:paraId="1C07EA11" w14:textId="77777777" w:rsidR="000E7AD2" w:rsidRPr="000E7AD2" w:rsidRDefault="000E7AD2" w:rsidP="000E7AD2">
      <w:pPr>
        <w:spacing w:after="0" w:line="240" w:lineRule="auto"/>
        <w:rPr>
          <w:rFonts w:ascii="Times New Roman" w:eastAsia="Times New Roman" w:hAnsi="Times New Roman" w:cs="Times New Roman"/>
          <w:sz w:val="24"/>
          <w:szCs w:val="24"/>
          <w:lang w:val="en-US"/>
        </w:rPr>
      </w:pPr>
      <w:r w:rsidRPr="000E7AD2">
        <w:rPr>
          <w:rFonts w:ascii="Times New Roman" w:eastAsia="Times New Roman" w:hAnsi="Symbol" w:cs="Times New Roman"/>
          <w:sz w:val="24"/>
          <w:szCs w:val="24"/>
          <w:lang w:val="en-US"/>
        </w:rPr>
        <w:t></w:t>
      </w:r>
      <w:r w:rsidRPr="000E7AD2">
        <w:rPr>
          <w:rFonts w:ascii="Times New Roman" w:eastAsia="Times New Roman" w:hAnsi="Times New Roman" w:cs="Times New Roman"/>
          <w:sz w:val="24"/>
          <w:szCs w:val="24"/>
          <w:lang w:val="en-US"/>
        </w:rPr>
        <w:t xml:space="preserve">  </w:t>
      </w:r>
      <w:proofErr w:type="spellStart"/>
      <w:r w:rsidRPr="000E7AD2">
        <w:rPr>
          <w:rFonts w:ascii="Times New Roman" w:eastAsia="Times New Roman" w:hAnsi="Times New Roman" w:cs="Times New Roman"/>
          <w:sz w:val="24"/>
          <w:szCs w:val="24"/>
          <w:lang w:val="en-US"/>
        </w:rPr>
        <w:t>Cimova</w:t>
      </w:r>
      <w:proofErr w:type="spellEnd"/>
      <w:r w:rsidRPr="000E7AD2">
        <w:rPr>
          <w:rFonts w:ascii="Times New Roman" w:eastAsia="Times New Roman" w:hAnsi="Times New Roman" w:cs="Times New Roman"/>
          <w:sz w:val="24"/>
          <w:szCs w:val="24"/>
          <w:lang w:val="en-US"/>
        </w:rPr>
        <w:t xml:space="preserve">, K., Henderson, D., Allik, M., Brown, D., Meier, P., Mayor, C., Watson, N., Craig, P., &amp; Tweed, E. (2022). Barriers and facilitators of cross-sectoral data linkage to inform healthy public policy and practice: Lessons from three case study projects in Scotland. </w:t>
      </w:r>
      <w:r w:rsidRPr="000E7AD2">
        <w:rPr>
          <w:rFonts w:ascii="Times New Roman" w:eastAsia="Times New Roman" w:hAnsi="Times New Roman" w:cs="Times New Roman"/>
          <w:i/>
          <w:iCs/>
          <w:sz w:val="24"/>
          <w:szCs w:val="24"/>
          <w:lang w:val="en-US"/>
        </w:rPr>
        <w:lastRenderedPageBreak/>
        <w:t>International Journal of Population Data Science, 7</w:t>
      </w:r>
      <w:r w:rsidRPr="000E7AD2">
        <w:rPr>
          <w:rFonts w:ascii="Times New Roman" w:eastAsia="Times New Roman" w:hAnsi="Times New Roman" w:cs="Times New Roman"/>
          <w:sz w:val="24"/>
          <w:szCs w:val="24"/>
          <w:lang w:val="en-US"/>
        </w:rPr>
        <w:t xml:space="preserve">(3), Article 2062. </w:t>
      </w:r>
      <w:hyperlink r:id="rId11" w:tgtFrame="_new" w:history="1">
        <w:r w:rsidRPr="000E7AD2">
          <w:rPr>
            <w:rFonts w:ascii="Times New Roman" w:eastAsia="Times New Roman" w:hAnsi="Times New Roman" w:cs="Times New Roman"/>
            <w:color w:val="0000FF"/>
            <w:sz w:val="24"/>
            <w:szCs w:val="24"/>
            <w:u w:val="single"/>
            <w:lang w:val="en-US"/>
          </w:rPr>
          <w:t>https://doi.org/10.23889/ijpds.v7i3.2062</w:t>
        </w:r>
      </w:hyperlink>
      <w:r w:rsidRPr="000E7AD2">
        <w:rPr>
          <w:rFonts w:ascii="Times New Roman" w:eastAsia="Times New Roman" w:hAnsi="Times New Roman" w:cs="Times New Roman"/>
          <w:sz w:val="24"/>
          <w:szCs w:val="24"/>
          <w:lang w:val="en-US"/>
        </w:rPr>
        <w:t xml:space="preserve"> </w:t>
      </w:r>
    </w:p>
    <w:p w14:paraId="76AB60AB" w14:textId="77777777" w:rsidR="000E7AD2" w:rsidRPr="000E7AD2" w:rsidRDefault="000E7AD2" w:rsidP="000E7AD2">
      <w:pPr>
        <w:spacing w:after="0" w:line="240" w:lineRule="auto"/>
        <w:rPr>
          <w:rFonts w:ascii="Times New Roman" w:eastAsia="Times New Roman" w:hAnsi="Times New Roman" w:cs="Times New Roman"/>
          <w:sz w:val="24"/>
          <w:szCs w:val="24"/>
          <w:lang w:val="en-US"/>
        </w:rPr>
      </w:pPr>
      <w:r w:rsidRPr="000E7AD2">
        <w:rPr>
          <w:rFonts w:ascii="Times New Roman" w:eastAsia="Times New Roman" w:hAnsi="Symbol" w:cs="Times New Roman"/>
          <w:sz w:val="24"/>
          <w:szCs w:val="24"/>
          <w:lang w:val="en-US"/>
        </w:rPr>
        <w:t></w:t>
      </w:r>
      <w:r w:rsidRPr="000E7AD2">
        <w:rPr>
          <w:rFonts w:ascii="Times New Roman" w:eastAsia="Times New Roman" w:hAnsi="Times New Roman" w:cs="Times New Roman"/>
          <w:sz w:val="24"/>
          <w:szCs w:val="24"/>
          <w:lang w:val="en-US"/>
        </w:rPr>
        <w:t xml:space="preserve">  Dankwa-Mullan, I. (2024). Health equity and ethical considerations in using artificial intelligence in public health and medicine. </w:t>
      </w:r>
      <w:r w:rsidRPr="000E7AD2">
        <w:rPr>
          <w:rFonts w:ascii="Times New Roman" w:eastAsia="Times New Roman" w:hAnsi="Times New Roman" w:cs="Times New Roman"/>
          <w:i/>
          <w:iCs/>
          <w:sz w:val="24"/>
          <w:szCs w:val="24"/>
          <w:lang w:val="en-US"/>
        </w:rPr>
        <w:t>Preventing Chronic Disease, 21</w:t>
      </w:r>
      <w:r w:rsidRPr="000E7AD2">
        <w:rPr>
          <w:rFonts w:ascii="Times New Roman" w:eastAsia="Times New Roman" w:hAnsi="Times New Roman" w:cs="Times New Roman"/>
          <w:sz w:val="24"/>
          <w:szCs w:val="24"/>
          <w:lang w:val="en-US"/>
        </w:rPr>
        <w:t xml:space="preserve">, E64. </w:t>
      </w:r>
      <w:hyperlink r:id="rId12" w:tgtFrame="_new" w:history="1">
        <w:r w:rsidRPr="000E7AD2">
          <w:rPr>
            <w:rFonts w:ascii="Times New Roman" w:eastAsia="Times New Roman" w:hAnsi="Times New Roman" w:cs="Times New Roman"/>
            <w:color w:val="0000FF"/>
            <w:sz w:val="24"/>
            <w:szCs w:val="24"/>
            <w:u w:val="single"/>
            <w:lang w:val="en-US"/>
          </w:rPr>
          <w:t>https://doi.org/10.5888/pcd21.240245</w:t>
        </w:r>
      </w:hyperlink>
      <w:r w:rsidRPr="000E7AD2">
        <w:rPr>
          <w:rFonts w:ascii="Times New Roman" w:eastAsia="Times New Roman" w:hAnsi="Times New Roman" w:cs="Times New Roman"/>
          <w:sz w:val="24"/>
          <w:szCs w:val="24"/>
          <w:lang w:val="en-US"/>
        </w:rPr>
        <w:t xml:space="preserve"> </w:t>
      </w:r>
    </w:p>
    <w:p w14:paraId="27A87FCD" w14:textId="77777777" w:rsidR="000E7AD2" w:rsidRPr="000E7AD2" w:rsidRDefault="000E7AD2" w:rsidP="000E7AD2">
      <w:pPr>
        <w:spacing w:after="0" w:line="240" w:lineRule="auto"/>
        <w:rPr>
          <w:rFonts w:ascii="Times New Roman" w:eastAsia="Times New Roman" w:hAnsi="Times New Roman" w:cs="Times New Roman"/>
          <w:sz w:val="24"/>
          <w:szCs w:val="24"/>
          <w:lang w:val="en-US"/>
        </w:rPr>
      </w:pPr>
      <w:r w:rsidRPr="000E7AD2">
        <w:rPr>
          <w:rFonts w:ascii="Times New Roman" w:eastAsia="Times New Roman" w:hAnsi="Symbol" w:cs="Times New Roman"/>
          <w:sz w:val="24"/>
          <w:szCs w:val="24"/>
          <w:lang w:val="en-US"/>
        </w:rPr>
        <w:t></w:t>
      </w:r>
      <w:r w:rsidRPr="000E7AD2">
        <w:rPr>
          <w:rFonts w:ascii="Times New Roman" w:eastAsia="Times New Roman" w:hAnsi="Times New Roman" w:cs="Times New Roman"/>
          <w:sz w:val="24"/>
          <w:szCs w:val="24"/>
          <w:lang w:val="en-US"/>
        </w:rPr>
        <w:t xml:space="preserve">  Deo, R. C. (2024). Artificial intelligence and health equity: Opportunities and obstacles. </w:t>
      </w:r>
      <w:r w:rsidRPr="000E7AD2">
        <w:rPr>
          <w:rFonts w:ascii="Times New Roman" w:eastAsia="Times New Roman" w:hAnsi="Times New Roman" w:cs="Times New Roman"/>
          <w:i/>
          <w:iCs/>
          <w:sz w:val="24"/>
          <w:szCs w:val="24"/>
          <w:lang w:val="en-US"/>
        </w:rPr>
        <w:t>JACC: Advances, 3</w:t>
      </w:r>
      <w:r w:rsidRPr="000E7AD2">
        <w:rPr>
          <w:rFonts w:ascii="Times New Roman" w:eastAsia="Times New Roman" w:hAnsi="Times New Roman" w:cs="Times New Roman"/>
          <w:sz w:val="24"/>
          <w:szCs w:val="24"/>
          <w:lang w:val="en-US"/>
        </w:rPr>
        <w:t xml:space="preserve">(9 Part 2), Article 101045. </w:t>
      </w:r>
      <w:hyperlink r:id="rId13" w:tgtFrame="_new" w:history="1">
        <w:r w:rsidRPr="000E7AD2">
          <w:rPr>
            <w:rFonts w:ascii="Times New Roman" w:eastAsia="Times New Roman" w:hAnsi="Times New Roman" w:cs="Times New Roman"/>
            <w:color w:val="0000FF"/>
            <w:sz w:val="24"/>
            <w:szCs w:val="24"/>
            <w:u w:val="single"/>
            <w:lang w:val="en-US"/>
          </w:rPr>
          <w:t>https://doi.org/10.1016/j.jacadv.2024.101045</w:t>
        </w:r>
      </w:hyperlink>
      <w:r w:rsidRPr="000E7AD2">
        <w:rPr>
          <w:rFonts w:ascii="Times New Roman" w:eastAsia="Times New Roman" w:hAnsi="Times New Roman" w:cs="Times New Roman"/>
          <w:sz w:val="24"/>
          <w:szCs w:val="24"/>
          <w:lang w:val="en-US"/>
        </w:rPr>
        <w:t xml:space="preserve"> </w:t>
      </w:r>
    </w:p>
    <w:p w14:paraId="063BA2BC" w14:textId="77777777" w:rsidR="000E7AD2" w:rsidRPr="000E7AD2" w:rsidRDefault="000E7AD2" w:rsidP="000E7AD2">
      <w:pPr>
        <w:spacing w:after="0" w:line="240" w:lineRule="auto"/>
        <w:rPr>
          <w:rFonts w:ascii="Times New Roman" w:eastAsia="Times New Roman" w:hAnsi="Times New Roman" w:cs="Times New Roman"/>
          <w:sz w:val="24"/>
          <w:szCs w:val="24"/>
          <w:lang w:val="en-US"/>
        </w:rPr>
      </w:pPr>
      <w:r w:rsidRPr="000E7AD2">
        <w:rPr>
          <w:rFonts w:ascii="Times New Roman" w:eastAsia="Times New Roman" w:hAnsi="Symbol" w:cs="Times New Roman"/>
          <w:sz w:val="24"/>
          <w:szCs w:val="24"/>
          <w:lang w:val="en-US"/>
        </w:rPr>
        <w:t></w:t>
      </w:r>
      <w:r w:rsidRPr="000E7AD2">
        <w:rPr>
          <w:rFonts w:ascii="Times New Roman" w:eastAsia="Times New Roman" w:hAnsi="Times New Roman" w:cs="Times New Roman"/>
          <w:sz w:val="24"/>
          <w:szCs w:val="24"/>
          <w:lang w:val="en-US"/>
        </w:rPr>
        <w:t xml:space="preserve">  Duggal, M., El Ayadi, A., Duggal, B., Reynolds, N., &amp; </w:t>
      </w:r>
      <w:proofErr w:type="spellStart"/>
      <w:r w:rsidRPr="000E7AD2">
        <w:rPr>
          <w:rFonts w:ascii="Times New Roman" w:eastAsia="Times New Roman" w:hAnsi="Times New Roman" w:cs="Times New Roman"/>
          <w:sz w:val="24"/>
          <w:szCs w:val="24"/>
          <w:lang w:val="en-US"/>
        </w:rPr>
        <w:t>Bascaran</w:t>
      </w:r>
      <w:proofErr w:type="spellEnd"/>
      <w:r w:rsidRPr="000E7AD2">
        <w:rPr>
          <w:rFonts w:ascii="Times New Roman" w:eastAsia="Times New Roman" w:hAnsi="Times New Roman" w:cs="Times New Roman"/>
          <w:sz w:val="24"/>
          <w:szCs w:val="24"/>
          <w:lang w:val="en-US"/>
        </w:rPr>
        <w:t xml:space="preserve">, C. (2023). Editorial: Challenges in implementing digital health in public health settings in low- and middle-income countries. </w:t>
      </w:r>
      <w:r w:rsidRPr="000E7AD2">
        <w:rPr>
          <w:rFonts w:ascii="Times New Roman" w:eastAsia="Times New Roman" w:hAnsi="Times New Roman" w:cs="Times New Roman"/>
          <w:i/>
          <w:iCs/>
          <w:sz w:val="24"/>
          <w:szCs w:val="24"/>
          <w:lang w:val="en-US"/>
        </w:rPr>
        <w:t>Frontiers in Public Health, 10</w:t>
      </w:r>
      <w:r w:rsidRPr="000E7AD2">
        <w:rPr>
          <w:rFonts w:ascii="Times New Roman" w:eastAsia="Times New Roman" w:hAnsi="Times New Roman" w:cs="Times New Roman"/>
          <w:sz w:val="24"/>
          <w:szCs w:val="24"/>
          <w:lang w:val="en-US"/>
        </w:rPr>
        <w:t xml:space="preserve">, Article 1090303. </w:t>
      </w:r>
      <w:hyperlink r:id="rId14" w:tgtFrame="_new" w:history="1">
        <w:r w:rsidRPr="000E7AD2">
          <w:rPr>
            <w:rFonts w:ascii="Times New Roman" w:eastAsia="Times New Roman" w:hAnsi="Times New Roman" w:cs="Times New Roman"/>
            <w:color w:val="0000FF"/>
            <w:sz w:val="24"/>
            <w:szCs w:val="24"/>
            <w:u w:val="single"/>
            <w:lang w:val="en-US"/>
          </w:rPr>
          <w:t>https://doi.org/10.3389/fpubh.2022.1090303</w:t>
        </w:r>
      </w:hyperlink>
      <w:r w:rsidRPr="000E7AD2">
        <w:rPr>
          <w:rFonts w:ascii="Times New Roman" w:eastAsia="Times New Roman" w:hAnsi="Times New Roman" w:cs="Times New Roman"/>
          <w:sz w:val="24"/>
          <w:szCs w:val="24"/>
          <w:lang w:val="en-US"/>
        </w:rPr>
        <w:t xml:space="preserve"> </w:t>
      </w:r>
    </w:p>
    <w:p w14:paraId="38DEAFCF" w14:textId="77777777" w:rsidR="000E7AD2" w:rsidRPr="000E7AD2" w:rsidRDefault="000E7AD2" w:rsidP="000E7AD2">
      <w:pPr>
        <w:spacing w:after="0" w:line="240" w:lineRule="auto"/>
        <w:rPr>
          <w:rFonts w:ascii="Times New Roman" w:eastAsia="Times New Roman" w:hAnsi="Times New Roman" w:cs="Times New Roman"/>
          <w:sz w:val="24"/>
          <w:szCs w:val="24"/>
          <w:lang w:val="en-US"/>
        </w:rPr>
      </w:pPr>
      <w:r w:rsidRPr="000E7AD2">
        <w:rPr>
          <w:rFonts w:ascii="Times New Roman" w:eastAsia="Times New Roman" w:hAnsi="Symbol" w:cs="Times New Roman"/>
          <w:sz w:val="24"/>
          <w:szCs w:val="24"/>
          <w:lang w:val="en-US"/>
        </w:rPr>
        <w:t></w:t>
      </w:r>
      <w:r w:rsidRPr="000E7AD2">
        <w:rPr>
          <w:rFonts w:ascii="Times New Roman" w:eastAsia="Times New Roman" w:hAnsi="Times New Roman" w:cs="Times New Roman"/>
          <w:sz w:val="24"/>
          <w:szCs w:val="24"/>
          <w:lang w:val="en-US"/>
        </w:rPr>
        <w:t xml:space="preserve">  Farinha, C. S., Nogueira, P. J., Feteira-Santos, R., &amp; Costa, A. S. (2022). Editorial: Public health data challenges of the COVID-19 pandemic: A Sisyphean task! </w:t>
      </w:r>
      <w:r w:rsidRPr="000E7AD2">
        <w:rPr>
          <w:rFonts w:ascii="Times New Roman" w:eastAsia="Times New Roman" w:hAnsi="Times New Roman" w:cs="Times New Roman"/>
          <w:i/>
          <w:iCs/>
          <w:sz w:val="24"/>
          <w:szCs w:val="24"/>
          <w:lang w:val="en-US"/>
        </w:rPr>
        <w:t>Frontiers in Public Health, 10</w:t>
      </w:r>
      <w:r w:rsidRPr="000E7AD2">
        <w:rPr>
          <w:rFonts w:ascii="Times New Roman" w:eastAsia="Times New Roman" w:hAnsi="Times New Roman" w:cs="Times New Roman"/>
          <w:sz w:val="24"/>
          <w:szCs w:val="24"/>
          <w:lang w:val="en-US"/>
        </w:rPr>
        <w:t xml:space="preserve">, Article 1010055. </w:t>
      </w:r>
      <w:hyperlink r:id="rId15" w:tgtFrame="_new" w:history="1">
        <w:r w:rsidRPr="000E7AD2">
          <w:rPr>
            <w:rFonts w:ascii="Times New Roman" w:eastAsia="Times New Roman" w:hAnsi="Times New Roman" w:cs="Times New Roman"/>
            <w:color w:val="0000FF"/>
            <w:sz w:val="24"/>
            <w:szCs w:val="24"/>
            <w:u w:val="single"/>
            <w:lang w:val="en-US"/>
          </w:rPr>
          <w:t>https://doi.org/10.3389/fpubh.2022.1010055</w:t>
        </w:r>
      </w:hyperlink>
      <w:r w:rsidRPr="000E7AD2">
        <w:rPr>
          <w:rFonts w:ascii="Times New Roman" w:eastAsia="Times New Roman" w:hAnsi="Times New Roman" w:cs="Times New Roman"/>
          <w:sz w:val="24"/>
          <w:szCs w:val="24"/>
          <w:lang w:val="en-US"/>
        </w:rPr>
        <w:t xml:space="preserve"> </w:t>
      </w:r>
    </w:p>
    <w:p w14:paraId="520B63CD" w14:textId="77777777" w:rsidR="000E7AD2" w:rsidRPr="000E7AD2" w:rsidRDefault="000E7AD2" w:rsidP="000E7AD2">
      <w:pPr>
        <w:spacing w:after="0" w:line="240" w:lineRule="auto"/>
        <w:rPr>
          <w:rFonts w:ascii="Times New Roman" w:eastAsia="Times New Roman" w:hAnsi="Times New Roman" w:cs="Times New Roman"/>
          <w:sz w:val="24"/>
          <w:szCs w:val="24"/>
          <w:lang w:val="en-US"/>
        </w:rPr>
      </w:pPr>
      <w:r w:rsidRPr="000E7AD2">
        <w:rPr>
          <w:rFonts w:ascii="Times New Roman" w:eastAsia="Times New Roman" w:hAnsi="Symbol" w:cs="Times New Roman"/>
          <w:sz w:val="24"/>
          <w:szCs w:val="24"/>
          <w:lang w:val="en-US"/>
        </w:rPr>
        <w:t></w:t>
      </w:r>
      <w:r w:rsidRPr="000E7AD2">
        <w:rPr>
          <w:rFonts w:ascii="Times New Roman" w:eastAsia="Times New Roman" w:hAnsi="Times New Roman" w:cs="Times New Roman"/>
          <w:sz w:val="24"/>
          <w:szCs w:val="24"/>
          <w:lang w:val="en-US"/>
        </w:rPr>
        <w:t xml:space="preserve">  Gotsadze, G., Gelashvili, M., </w:t>
      </w:r>
      <w:proofErr w:type="spellStart"/>
      <w:r w:rsidRPr="000E7AD2">
        <w:rPr>
          <w:rFonts w:ascii="Times New Roman" w:eastAsia="Times New Roman" w:hAnsi="Times New Roman" w:cs="Times New Roman"/>
          <w:sz w:val="24"/>
          <w:szCs w:val="24"/>
          <w:lang w:val="en-US"/>
        </w:rPr>
        <w:t>Zhuravliova</w:t>
      </w:r>
      <w:proofErr w:type="spellEnd"/>
      <w:r w:rsidRPr="000E7AD2">
        <w:rPr>
          <w:rFonts w:ascii="Times New Roman" w:eastAsia="Times New Roman" w:hAnsi="Times New Roman" w:cs="Times New Roman"/>
          <w:sz w:val="24"/>
          <w:szCs w:val="24"/>
          <w:lang w:val="en-US"/>
        </w:rPr>
        <w:t xml:space="preserve">, E., Barbakadze, T., Gilvydis, J., Levine, R., &amp; Becknell, S. (2026). Building sustainable public health data science and informatics capacity: Possibilities for Eastern Europe and Central Asia. </w:t>
      </w:r>
      <w:r w:rsidRPr="000E7AD2">
        <w:rPr>
          <w:rFonts w:ascii="Times New Roman" w:eastAsia="Times New Roman" w:hAnsi="Times New Roman" w:cs="Times New Roman"/>
          <w:i/>
          <w:iCs/>
          <w:sz w:val="24"/>
          <w:szCs w:val="24"/>
          <w:lang w:val="en-US"/>
        </w:rPr>
        <w:t>Health Policy and Planning, 41</w:t>
      </w:r>
      <w:r w:rsidRPr="000E7AD2">
        <w:rPr>
          <w:rFonts w:ascii="Times New Roman" w:eastAsia="Times New Roman" w:hAnsi="Times New Roman" w:cs="Times New Roman"/>
          <w:sz w:val="24"/>
          <w:szCs w:val="24"/>
          <w:lang w:val="en-US"/>
        </w:rPr>
        <w:t xml:space="preserve">(5), 821–830. </w:t>
      </w:r>
      <w:hyperlink r:id="rId16" w:tgtFrame="_new" w:history="1">
        <w:r w:rsidRPr="000E7AD2">
          <w:rPr>
            <w:rFonts w:ascii="Times New Roman" w:eastAsia="Times New Roman" w:hAnsi="Times New Roman" w:cs="Times New Roman"/>
            <w:color w:val="0000FF"/>
            <w:sz w:val="24"/>
            <w:szCs w:val="24"/>
            <w:u w:val="single"/>
            <w:lang w:val="en-US"/>
          </w:rPr>
          <w:t>https://doi.org/10.1093/heapol/czag046</w:t>
        </w:r>
      </w:hyperlink>
      <w:r w:rsidRPr="000E7AD2">
        <w:rPr>
          <w:rFonts w:ascii="Times New Roman" w:eastAsia="Times New Roman" w:hAnsi="Times New Roman" w:cs="Times New Roman"/>
          <w:sz w:val="24"/>
          <w:szCs w:val="24"/>
          <w:lang w:val="en-US"/>
        </w:rPr>
        <w:t xml:space="preserve"> </w:t>
      </w:r>
    </w:p>
    <w:p w14:paraId="1A0093E1" w14:textId="77777777" w:rsidR="000E7AD2" w:rsidRPr="000E7AD2" w:rsidRDefault="000E7AD2" w:rsidP="000E7AD2">
      <w:pPr>
        <w:spacing w:after="0" w:line="240" w:lineRule="auto"/>
        <w:rPr>
          <w:rFonts w:ascii="Times New Roman" w:eastAsia="Times New Roman" w:hAnsi="Times New Roman" w:cs="Times New Roman"/>
          <w:sz w:val="24"/>
          <w:szCs w:val="24"/>
          <w:lang w:val="en-US"/>
        </w:rPr>
      </w:pPr>
      <w:r w:rsidRPr="000E7AD2">
        <w:rPr>
          <w:rFonts w:ascii="Times New Roman" w:eastAsia="Times New Roman" w:hAnsi="Symbol" w:cs="Times New Roman"/>
          <w:sz w:val="24"/>
          <w:szCs w:val="24"/>
          <w:lang w:val="en-US"/>
        </w:rPr>
        <w:t></w:t>
      </w:r>
      <w:r w:rsidRPr="000E7AD2">
        <w:rPr>
          <w:rFonts w:ascii="Times New Roman" w:eastAsia="Times New Roman" w:hAnsi="Times New Roman" w:cs="Times New Roman"/>
          <w:sz w:val="24"/>
          <w:szCs w:val="24"/>
          <w:lang w:val="en-US"/>
        </w:rPr>
        <w:t xml:space="preserve">  Green, B. L., Murphy, A., &amp; Robinson, E. (2024). Accelerating health disparities research with artificial intelligence. </w:t>
      </w:r>
      <w:r w:rsidRPr="000E7AD2">
        <w:rPr>
          <w:rFonts w:ascii="Times New Roman" w:eastAsia="Times New Roman" w:hAnsi="Times New Roman" w:cs="Times New Roman"/>
          <w:i/>
          <w:iCs/>
          <w:sz w:val="24"/>
          <w:szCs w:val="24"/>
          <w:lang w:val="en-US"/>
        </w:rPr>
        <w:t>Frontiers in Digital Health, 6</w:t>
      </w:r>
      <w:r w:rsidRPr="000E7AD2">
        <w:rPr>
          <w:rFonts w:ascii="Times New Roman" w:eastAsia="Times New Roman" w:hAnsi="Times New Roman" w:cs="Times New Roman"/>
          <w:sz w:val="24"/>
          <w:szCs w:val="24"/>
          <w:lang w:val="en-US"/>
        </w:rPr>
        <w:t xml:space="preserve">, Article 1330160. </w:t>
      </w:r>
      <w:hyperlink r:id="rId17" w:tgtFrame="_new" w:history="1">
        <w:r w:rsidRPr="000E7AD2">
          <w:rPr>
            <w:rFonts w:ascii="Times New Roman" w:eastAsia="Times New Roman" w:hAnsi="Times New Roman" w:cs="Times New Roman"/>
            <w:color w:val="0000FF"/>
            <w:sz w:val="24"/>
            <w:szCs w:val="24"/>
            <w:u w:val="single"/>
            <w:lang w:val="en-US"/>
          </w:rPr>
          <w:t>https://doi.org/10.3389/fdgth.2024.1330160</w:t>
        </w:r>
      </w:hyperlink>
      <w:r w:rsidRPr="000E7AD2">
        <w:rPr>
          <w:rFonts w:ascii="Times New Roman" w:eastAsia="Times New Roman" w:hAnsi="Times New Roman" w:cs="Times New Roman"/>
          <w:sz w:val="24"/>
          <w:szCs w:val="24"/>
          <w:lang w:val="en-US"/>
        </w:rPr>
        <w:t xml:space="preserve"> </w:t>
      </w:r>
    </w:p>
    <w:p w14:paraId="2335E180" w14:textId="77777777" w:rsidR="000E7AD2" w:rsidRPr="000E7AD2" w:rsidRDefault="000E7AD2" w:rsidP="000E7AD2">
      <w:pPr>
        <w:spacing w:after="0" w:line="240" w:lineRule="auto"/>
        <w:rPr>
          <w:rFonts w:ascii="Times New Roman" w:eastAsia="Times New Roman" w:hAnsi="Times New Roman" w:cs="Times New Roman"/>
          <w:sz w:val="24"/>
          <w:szCs w:val="24"/>
          <w:lang w:val="en-US"/>
        </w:rPr>
      </w:pPr>
      <w:r w:rsidRPr="000E7AD2">
        <w:rPr>
          <w:rFonts w:ascii="Times New Roman" w:eastAsia="Times New Roman" w:hAnsi="Symbol" w:cs="Times New Roman"/>
          <w:sz w:val="24"/>
          <w:szCs w:val="24"/>
          <w:lang w:val="en-US"/>
        </w:rPr>
        <w:t></w:t>
      </w:r>
      <w:r w:rsidRPr="000E7AD2">
        <w:rPr>
          <w:rFonts w:ascii="Times New Roman" w:eastAsia="Times New Roman" w:hAnsi="Times New Roman" w:cs="Times New Roman"/>
          <w:sz w:val="24"/>
          <w:szCs w:val="24"/>
          <w:lang w:val="en-US"/>
        </w:rPr>
        <w:t xml:space="preserve">  Greenhalgh, T., Thorne, S., &amp; </w:t>
      </w:r>
      <w:proofErr w:type="spellStart"/>
      <w:r w:rsidRPr="000E7AD2">
        <w:rPr>
          <w:rFonts w:ascii="Times New Roman" w:eastAsia="Times New Roman" w:hAnsi="Times New Roman" w:cs="Times New Roman"/>
          <w:sz w:val="24"/>
          <w:szCs w:val="24"/>
          <w:lang w:val="en-US"/>
        </w:rPr>
        <w:t>Malterud</w:t>
      </w:r>
      <w:proofErr w:type="spellEnd"/>
      <w:r w:rsidRPr="000E7AD2">
        <w:rPr>
          <w:rFonts w:ascii="Times New Roman" w:eastAsia="Times New Roman" w:hAnsi="Times New Roman" w:cs="Times New Roman"/>
          <w:sz w:val="24"/>
          <w:szCs w:val="24"/>
          <w:lang w:val="en-US"/>
        </w:rPr>
        <w:t xml:space="preserve">, K. (2018). Time to challenge the spurious hierarchy of systematic over narrative reviews? </w:t>
      </w:r>
      <w:r w:rsidRPr="000E7AD2">
        <w:rPr>
          <w:rFonts w:ascii="Times New Roman" w:eastAsia="Times New Roman" w:hAnsi="Times New Roman" w:cs="Times New Roman"/>
          <w:i/>
          <w:iCs/>
          <w:sz w:val="24"/>
          <w:szCs w:val="24"/>
          <w:lang w:val="en-US"/>
        </w:rPr>
        <w:t>European Journal of Clinical Investigation, 48</w:t>
      </w:r>
      <w:r w:rsidRPr="000E7AD2">
        <w:rPr>
          <w:rFonts w:ascii="Times New Roman" w:eastAsia="Times New Roman" w:hAnsi="Times New Roman" w:cs="Times New Roman"/>
          <w:sz w:val="24"/>
          <w:szCs w:val="24"/>
          <w:lang w:val="en-US"/>
        </w:rPr>
        <w:t xml:space="preserve">(6), Article e12931. </w:t>
      </w:r>
      <w:hyperlink r:id="rId18" w:tgtFrame="_new" w:history="1">
        <w:r w:rsidRPr="000E7AD2">
          <w:rPr>
            <w:rFonts w:ascii="Times New Roman" w:eastAsia="Times New Roman" w:hAnsi="Times New Roman" w:cs="Times New Roman"/>
            <w:color w:val="0000FF"/>
            <w:sz w:val="24"/>
            <w:szCs w:val="24"/>
            <w:u w:val="single"/>
            <w:lang w:val="en-US"/>
          </w:rPr>
          <w:t>https://doi.org/10.1111/eci.12931</w:t>
        </w:r>
      </w:hyperlink>
      <w:r w:rsidRPr="000E7AD2">
        <w:rPr>
          <w:rFonts w:ascii="Times New Roman" w:eastAsia="Times New Roman" w:hAnsi="Times New Roman" w:cs="Times New Roman"/>
          <w:sz w:val="24"/>
          <w:szCs w:val="24"/>
          <w:lang w:val="en-US"/>
        </w:rPr>
        <w:t xml:space="preserve"> </w:t>
      </w:r>
    </w:p>
    <w:p w14:paraId="6518BF45" w14:textId="77777777" w:rsidR="000E7AD2" w:rsidRPr="000E7AD2" w:rsidRDefault="000E7AD2" w:rsidP="000E7AD2">
      <w:pPr>
        <w:spacing w:after="0" w:line="240" w:lineRule="auto"/>
        <w:rPr>
          <w:rFonts w:ascii="Times New Roman" w:eastAsia="Times New Roman" w:hAnsi="Times New Roman" w:cs="Times New Roman"/>
          <w:sz w:val="24"/>
          <w:szCs w:val="24"/>
          <w:lang w:val="en-US"/>
        </w:rPr>
      </w:pPr>
      <w:r w:rsidRPr="000E7AD2">
        <w:rPr>
          <w:rFonts w:ascii="Times New Roman" w:eastAsia="Times New Roman" w:hAnsi="Symbol" w:cs="Times New Roman"/>
          <w:sz w:val="24"/>
          <w:szCs w:val="24"/>
          <w:lang w:val="en-US"/>
        </w:rPr>
        <w:t></w:t>
      </w:r>
      <w:r w:rsidRPr="000E7AD2">
        <w:rPr>
          <w:rFonts w:ascii="Times New Roman" w:eastAsia="Times New Roman" w:hAnsi="Times New Roman" w:cs="Times New Roman"/>
          <w:sz w:val="24"/>
          <w:szCs w:val="24"/>
          <w:lang w:val="en-US"/>
        </w:rPr>
        <w:t xml:space="preserve">  Haby, M. M., Reveiz, L., Thomas, R., &amp; Jordan, H. (2025). An integrated framework to guide evidence-informed public health policymaking. </w:t>
      </w:r>
      <w:r w:rsidRPr="000E7AD2">
        <w:rPr>
          <w:rFonts w:ascii="Times New Roman" w:eastAsia="Times New Roman" w:hAnsi="Times New Roman" w:cs="Times New Roman"/>
          <w:i/>
          <w:iCs/>
          <w:sz w:val="24"/>
          <w:szCs w:val="24"/>
          <w:lang w:val="en-US"/>
        </w:rPr>
        <w:t>Journal of Public Health Policy, 46</w:t>
      </w:r>
      <w:r w:rsidRPr="000E7AD2">
        <w:rPr>
          <w:rFonts w:ascii="Times New Roman" w:eastAsia="Times New Roman" w:hAnsi="Times New Roman" w:cs="Times New Roman"/>
          <w:sz w:val="24"/>
          <w:szCs w:val="24"/>
          <w:lang w:val="en-US"/>
        </w:rPr>
        <w:t xml:space="preserve">, 193–210. </w:t>
      </w:r>
      <w:hyperlink r:id="rId19" w:tgtFrame="_new" w:history="1">
        <w:r w:rsidRPr="000E7AD2">
          <w:rPr>
            <w:rFonts w:ascii="Times New Roman" w:eastAsia="Times New Roman" w:hAnsi="Times New Roman" w:cs="Times New Roman"/>
            <w:color w:val="0000FF"/>
            <w:sz w:val="24"/>
            <w:szCs w:val="24"/>
            <w:u w:val="single"/>
            <w:lang w:val="en-US"/>
          </w:rPr>
          <w:t>https://doi.org/10.1057/s41271-024-00535-9</w:t>
        </w:r>
      </w:hyperlink>
      <w:r w:rsidRPr="000E7AD2">
        <w:rPr>
          <w:rFonts w:ascii="Times New Roman" w:eastAsia="Times New Roman" w:hAnsi="Times New Roman" w:cs="Times New Roman"/>
          <w:sz w:val="24"/>
          <w:szCs w:val="24"/>
          <w:lang w:val="en-US"/>
        </w:rPr>
        <w:t xml:space="preserve"> </w:t>
      </w:r>
    </w:p>
    <w:p w14:paraId="016E96C2" w14:textId="77777777" w:rsidR="000E7AD2" w:rsidRPr="000E7AD2" w:rsidRDefault="000E7AD2" w:rsidP="000E7AD2">
      <w:pPr>
        <w:spacing w:after="0" w:line="240" w:lineRule="auto"/>
        <w:rPr>
          <w:rFonts w:ascii="Times New Roman" w:eastAsia="Times New Roman" w:hAnsi="Times New Roman" w:cs="Times New Roman"/>
          <w:sz w:val="24"/>
          <w:szCs w:val="24"/>
          <w:lang w:val="en-US"/>
        </w:rPr>
      </w:pPr>
      <w:r w:rsidRPr="000E7AD2">
        <w:rPr>
          <w:rFonts w:ascii="Times New Roman" w:eastAsia="Times New Roman" w:hAnsi="Symbol" w:cs="Times New Roman"/>
          <w:sz w:val="24"/>
          <w:szCs w:val="24"/>
          <w:lang w:val="en-US"/>
        </w:rPr>
        <w:t></w:t>
      </w:r>
      <w:r w:rsidRPr="000E7AD2">
        <w:rPr>
          <w:rFonts w:ascii="Times New Roman" w:eastAsia="Times New Roman" w:hAnsi="Times New Roman" w:cs="Times New Roman"/>
          <w:sz w:val="24"/>
          <w:szCs w:val="24"/>
          <w:lang w:val="en-US"/>
        </w:rPr>
        <w:t xml:space="preserve">  Joseph, J. (2025). Algorithmic bias in public health AI: A silent threat to equity in low-resource settings. </w:t>
      </w:r>
      <w:r w:rsidRPr="000E7AD2">
        <w:rPr>
          <w:rFonts w:ascii="Times New Roman" w:eastAsia="Times New Roman" w:hAnsi="Times New Roman" w:cs="Times New Roman"/>
          <w:i/>
          <w:iCs/>
          <w:sz w:val="24"/>
          <w:szCs w:val="24"/>
          <w:lang w:val="en-US"/>
        </w:rPr>
        <w:t>Frontiers in Public Health, 13</w:t>
      </w:r>
      <w:r w:rsidRPr="000E7AD2">
        <w:rPr>
          <w:rFonts w:ascii="Times New Roman" w:eastAsia="Times New Roman" w:hAnsi="Times New Roman" w:cs="Times New Roman"/>
          <w:sz w:val="24"/>
          <w:szCs w:val="24"/>
          <w:lang w:val="en-US"/>
        </w:rPr>
        <w:t xml:space="preserve">, Article 1643180. </w:t>
      </w:r>
      <w:hyperlink r:id="rId20" w:tgtFrame="_new" w:history="1">
        <w:r w:rsidRPr="000E7AD2">
          <w:rPr>
            <w:rFonts w:ascii="Times New Roman" w:eastAsia="Times New Roman" w:hAnsi="Times New Roman" w:cs="Times New Roman"/>
            <w:color w:val="0000FF"/>
            <w:sz w:val="24"/>
            <w:szCs w:val="24"/>
            <w:u w:val="single"/>
            <w:lang w:val="en-US"/>
          </w:rPr>
          <w:t>https://doi.org/10.3389/fpubh.2025.1643180</w:t>
        </w:r>
      </w:hyperlink>
      <w:r w:rsidRPr="000E7AD2">
        <w:rPr>
          <w:rFonts w:ascii="Times New Roman" w:eastAsia="Times New Roman" w:hAnsi="Times New Roman" w:cs="Times New Roman"/>
          <w:sz w:val="24"/>
          <w:szCs w:val="24"/>
          <w:lang w:val="en-US"/>
        </w:rPr>
        <w:t xml:space="preserve"> </w:t>
      </w:r>
    </w:p>
    <w:p w14:paraId="0A9A380B" w14:textId="77777777" w:rsidR="000E7AD2" w:rsidRPr="000E7AD2" w:rsidRDefault="000E7AD2" w:rsidP="000E7AD2">
      <w:pPr>
        <w:spacing w:after="0" w:line="240" w:lineRule="auto"/>
        <w:rPr>
          <w:rFonts w:ascii="Times New Roman" w:eastAsia="Times New Roman" w:hAnsi="Times New Roman" w:cs="Times New Roman"/>
          <w:sz w:val="24"/>
          <w:szCs w:val="24"/>
          <w:lang w:val="en-US"/>
        </w:rPr>
      </w:pPr>
      <w:r w:rsidRPr="000E7AD2">
        <w:rPr>
          <w:rFonts w:ascii="Times New Roman" w:eastAsia="Times New Roman" w:hAnsi="Symbol" w:cs="Times New Roman"/>
          <w:sz w:val="24"/>
          <w:szCs w:val="24"/>
          <w:lang w:val="en-US"/>
        </w:rPr>
        <w:t></w:t>
      </w:r>
      <w:r w:rsidRPr="000E7AD2">
        <w:rPr>
          <w:rFonts w:ascii="Times New Roman" w:eastAsia="Times New Roman" w:hAnsi="Times New Roman" w:cs="Times New Roman"/>
          <w:sz w:val="24"/>
          <w:szCs w:val="24"/>
          <w:lang w:val="en-US"/>
        </w:rPr>
        <w:t xml:space="preserve">  Li, P., Ma, L., Liu, J., &amp; Zhang, L. (2022). Surveillance of noncommunicable diseases: Opportunities in the era of big data. </w:t>
      </w:r>
      <w:r w:rsidRPr="000E7AD2">
        <w:rPr>
          <w:rFonts w:ascii="Times New Roman" w:eastAsia="Times New Roman" w:hAnsi="Times New Roman" w:cs="Times New Roman"/>
          <w:i/>
          <w:iCs/>
          <w:sz w:val="24"/>
          <w:szCs w:val="24"/>
          <w:lang w:val="en-US"/>
        </w:rPr>
        <w:t>Health Data Science, 2022</w:t>
      </w:r>
      <w:r w:rsidRPr="000E7AD2">
        <w:rPr>
          <w:rFonts w:ascii="Times New Roman" w:eastAsia="Times New Roman" w:hAnsi="Times New Roman" w:cs="Times New Roman"/>
          <w:sz w:val="24"/>
          <w:szCs w:val="24"/>
          <w:lang w:val="en-US"/>
        </w:rPr>
        <w:t xml:space="preserve">, Article 9893703. </w:t>
      </w:r>
      <w:hyperlink r:id="rId21" w:tgtFrame="_new" w:history="1">
        <w:r w:rsidRPr="000E7AD2">
          <w:rPr>
            <w:rFonts w:ascii="Times New Roman" w:eastAsia="Times New Roman" w:hAnsi="Times New Roman" w:cs="Times New Roman"/>
            <w:color w:val="0000FF"/>
            <w:sz w:val="24"/>
            <w:szCs w:val="24"/>
            <w:u w:val="single"/>
            <w:lang w:val="en-US"/>
          </w:rPr>
          <w:t>https://doi.org/10.34133/2022/9893703</w:t>
        </w:r>
      </w:hyperlink>
      <w:r w:rsidRPr="000E7AD2">
        <w:rPr>
          <w:rFonts w:ascii="Times New Roman" w:eastAsia="Times New Roman" w:hAnsi="Times New Roman" w:cs="Times New Roman"/>
          <w:sz w:val="24"/>
          <w:szCs w:val="24"/>
          <w:lang w:val="en-US"/>
        </w:rPr>
        <w:t xml:space="preserve"> </w:t>
      </w:r>
    </w:p>
    <w:p w14:paraId="5964ADE0" w14:textId="77777777" w:rsidR="000E7AD2" w:rsidRPr="000E7AD2" w:rsidRDefault="000E7AD2" w:rsidP="000E7AD2">
      <w:pPr>
        <w:spacing w:after="0" w:line="240" w:lineRule="auto"/>
        <w:rPr>
          <w:rFonts w:ascii="Times New Roman" w:eastAsia="Times New Roman" w:hAnsi="Times New Roman" w:cs="Times New Roman"/>
          <w:sz w:val="24"/>
          <w:szCs w:val="24"/>
          <w:lang w:val="en-US"/>
        </w:rPr>
      </w:pPr>
      <w:r w:rsidRPr="000E7AD2">
        <w:rPr>
          <w:rFonts w:ascii="Times New Roman" w:eastAsia="Times New Roman" w:hAnsi="Symbol" w:cs="Times New Roman"/>
          <w:sz w:val="24"/>
          <w:szCs w:val="24"/>
          <w:lang w:val="en-US"/>
        </w:rPr>
        <w:t></w:t>
      </w:r>
      <w:r w:rsidRPr="000E7AD2">
        <w:rPr>
          <w:rFonts w:ascii="Times New Roman" w:eastAsia="Times New Roman" w:hAnsi="Times New Roman" w:cs="Times New Roman"/>
          <w:sz w:val="24"/>
          <w:szCs w:val="24"/>
          <w:lang w:val="en-US"/>
        </w:rPr>
        <w:t xml:space="preserve">  </w:t>
      </w:r>
      <w:proofErr w:type="spellStart"/>
      <w:r w:rsidRPr="000E7AD2">
        <w:rPr>
          <w:rFonts w:ascii="Times New Roman" w:eastAsia="Times New Roman" w:hAnsi="Times New Roman" w:cs="Times New Roman"/>
          <w:sz w:val="24"/>
          <w:szCs w:val="24"/>
          <w:lang w:val="en-US"/>
        </w:rPr>
        <w:t>Marcassoli</w:t>
      </w:r>
      <w:proofErr w:type="spellEnd"/>
      <w:r w:rsidRPr="000E7AD2">
        <w:rPr>
          <w:rFonts w:ascii="Times New Roman" w:eastAsia="Times New Roman" w:hAnsi="Times New Roman" w:cs="Times New Roman"/>
          <w:sz w:val="24"/>
          <w:szCs w:val="24"/>
          <w:lang w:val="en-US"/>
        </w:rPr>
        <w:t xml:space="preserve">, A., Leonardi, M., </w:t>
      </w:r>
      <w:proofErr w:type="spellStart"/>
      <w:r w:rsidRPr="000E7AD2">
        <w:rPr>
          <w:rFonts w:ascii="Times New Roman" w:eastAsia="Times New Roman" w:hAnsi="Times New Roman" w:cs="Times New Roman"/>
          <w:sz w:val="24"/>
          <w:szCs w:val="24"/>
          <w:lang w:val="en-US"/>
        </w:rPr>
        <w:t>Passavanti</w:t>
      </w:r>
      <w:proofErr w:type="spellEnd"/>
      <w:r w:rsidRPr="000E7AD2">
        <w:rPr>
          <w:rFonts w:ascii="Times New Roman" w:eastAsia="Times New Roman" w:hAnsi="Times New Roman" w:cs="Times New Roman"/>
          <w:sz w:val="24"/>
          <w:szCs w:val="24"/>
          <w:lang w:val="en-US"/>
        </w:rPr>
        <w:t xml:space="preserve">, M., De Angelis, V., Bentivegna, E., </w:t>
      </w:r>
      <w:proofErr w:type="spellStart"/>
      <w:r w:rsidRPr="000E7AD2">
        <w:rPr>
          <w:rFonts w:ascii="Times New Roman" w:eastAsia="Times New Roman" w:hAnsi="Times New Roman" w:cs="Times New Roman"/>
          <w:sz w:val="24"/>
          <w:szCs w:val="24"/>
          <w:lang w:val="en-US"/>
        </w:rPr>
        <w:t>Martelletti</w:t>
      </w:r>
      <w:proofErr w:type="spellEnd"/>
      <w:r w:rsidRPr="000E7AD2">
        <w:rPr>
          <w:rFonts w:ascii="Times New Roman" w:eastAsia="Times New Roman" w:hAnsi="Times New Roman" w:cs="Times New Roman"/>
          <w:sz w:val="24"/>
          <w:szCs w:val="24"/>
          <w:lang w:val="en-US"/>
        </w:rPr>
        <w:t xml:space="preserve">, P., &amp; Raggi, A. (2023). Lessons learned from the lessons learned in public health during the first years of COVID-19 pandemic. </w:t>
      </w:r>
      <w:r w:rsidRPr="000E7AD2">
        <w:rPr>
          <w:rFonts w:ascii="Times New Roman" w:eastAsia="Times New Roman" w:hAnsi="Times New Roman" w:cs="Times New Roman"/>
          <w:i/>
          <w:iCs/>
          <w:sz w:val="24"/>
          <w:szCs w:val="24"/>
          <w:lang w:val="en-US"/>
        </w:rPr>
        <w:t>International Journal of Environmental Research and Public Health, 20</w:t>
      </w:r>
      <w:r w:rsidRPr="000E7AD2">
        <w:rPr>
          <w:rFonts w:ascii="Times New Roman" w:eastAsia="Times New Roman" w:hAnsi="Times New Roman" w:cs="Times New Roman"/>
          <w:sz w:val="24"/>
          <w:szCs w:val="24"/>
          <w:lang w:val="en-US"/>
        </w:rPr>
        <w:t xml:space="preserve">(3), Article 1785. </w:t>
      </w:r>
      <w:hyperlink r:id="rId22" w:tgtFrame="_new" w:history="1">
        <w:r w:rsidRPr="000E7AD2">
          <w:rPr>
            <w:rFonts w:ascii="Times New Roman" w:eastAsia="Times New Roman" w:hAnsi="Times New Roman" w:cs="Times New Roman"/>
            <w:color w:val="0000FF"/>
            <w:sz w:val="24"/>
            <w:szCs w:val="24"/>
            <w:u w:val="single"/>
            <w:lang w:val="en-US"/>
          </w:rPr>
          <w:t>https://doi.org/10.3390/ijerph20031785</w:t>
        </w:r>
      </w:hyperlink>
      <w:r w:rsidRPr="000E7AD2">
        <w:rPr>
          <w:rFonts w:ascii="Times New Roman" w:eastAsia="Times New Roman" w:hAnsi="Times New Roman" w:cs="Times New Roman"/>
          <w:sz w:val="24"/>
          <w:szCs w:val="24"/>
          <w:lang w:val="en-US"/>
        </w:rPr>
        <w:t xml:space="preserve"> </w:t>
      </w:r>
    </w:p>
    <w:p w14:paraId="066F5258" w14:textId="77777777" w:rsidR="000E7AD2" w:rsidRPr="000E7AD2" w:rsidRDefault="000E7AD2" w:rsidP="000E7AD2">
      <w:pPr>
        <w:spacing w:after="0" w:line="240" w:lineRule="auto"/>
        <w:rPr>
          <w:rFonts w:ascii="Times New Roman" w:eastAsia="Times New Roman" w:hAnsi="Times New Roman" w:cs="Times New Roman"/>
          <w:sz w:val="24"/>
          <w:szCs w:val="24"/>
          <w:lang w:val="en-US"/>
        </w:rPr>
      </w:pPr>
      <w:r w:rsidRPr="000E7AD2">
        <w:rPr>
          <w:rFonts w:ascii="Times New Roman" w:eastAsia="Times New Roman" w:hAnsi="Symbol" w:cs="Times New Roman"/>
          <w:sz w:val="24"/>
          <w:szCs w:val="24"/>
          <w:lang w:val="en-US"/>
        </w:rPr>
        <w:t></w:t>
      </w:r>
      <w:r w:rsidRPr="000E7AD2">
        <w:rPr>
          <w:rFonts w:ascii="Times New Roman" w:eastAsia="Times New Roman" w:hAnsi="Times New Roman" w:cs="Times New Roman"/>
          <w:sz w:val="24"/>
          <w:szCs w:val="24"/>
          <w:lang w:val="en-US"/>
        </w:rPr>
        <w:t xml:space="preserve">  Mennella, C., Maniscalco, U., De Pietro, G., &amp; Esposito, M. (2024). Ethical and regulatory challenges of AI technologies in healthcare: A narrative review. </w:t>
      </w:r>
      <w:proofErr w:type="spellStart"/>
      <w:r w:rsidRPr="000E7AD2">
        <w:rPr>
          <w:rFonts w:ascii="Times New Roman" w:eastAsia="Times New Roman" w:hAnsi="Times New Roman" w:cs="Times New Roman"/>
          <w:i/>
          <w:iCs/>
          <w:sz w:val="24"/>
          <w:szCs w:val="24"/>
          <w:lang w:val="en-US"/>
        </w:rPr>
        <w:t>Heliyon</w:t>
      </w:r>
      <w:proofErr w:type="spellEnd"/>
      <w:r w:rsidRPr="000E7AD2">
        <w:rPr>
          <w:rFonts w:ascii="Times New Roman" w:eastAsia="Times New Roman" w:hAnsi="Times New Roman" w:cs="Times New Roman"/>
          <w:i/>
          <w:iCs/>
          <w:sz w:val="24"/>
          <w:szCs w:val="24"/>
          <w:lang w:val="en-US"/>
        </w:rPr>
        <w:t>, 10</w:t>
      </w:r>
      <w:r w:rsidRPr="000E7AD2">
        <w:rPr>
          <w:rFonts w:ascii="Times New Roman" w:eastAsia="Times New Roman" w:hAnsi="Times New Roman" w:cs="Times New Roman"/>
          <w:sz w:val="24"/>
          <w:szCs w:val="24"/>
          <w:lang w:val="en-US"/>
        </w:rPr>
        <w:t xml:space="preserve">(4), Article e26297. </w:t>
      </w:r>
      <w:hyperlink r:id="rId23" w:tgtFrame="_new" w:history="1">
        <w:r w:rsidRPr="000E7AD2">
          <w:rPr>
            <w:rFonts w:ascii="Times New Roman" w:eastAsia="Times New Roman" w:hAnsi="Times New Roman" w:cs="Times New Roman"/>
            <w:color w:val="0000FF"/>
            <w:sz w:val="24"/>
            <w:szCs w:val="24"/>
            <w:u w:val="single"/>
            <w:lang w:val="en-US"/>
          </w:rPr>
          <w:t>https://doi.org/10.1016/j.heliyon.2024.e26297</w:t>
        </w:r>
      </w:hyperlink>
      <w:r w:rsidRPr="000E7AD2">
        <w:rPr>
          <w:rFonts w:ascii="Times New Roman" w:eastAsia="Times New Roman" w:hAnsi="Times New Roman" w:cs="Times New Roman"/>
          <w:sz w:val="24"/>
          <w:szCs w:val="24"/>
          <w:lang w:val="en-US"/>
        </w:rPr>
        <w:t xml:space="preserve"> </w:t>
      </w:r>
    </w:p>
    <w:p w14:paraId="77B69B3C" w14:textId="77777777" w:rsidR="000E7AD2" w:rsidRPr="000E7AD2" w:rsidRDefault="000E7AD2" w:rsidP="000E7AD2">
      <w:pPr>
        <w:spacing w:after="0" w:line="240" w:lineRule="auto"/>
        <w:rPr>
          <w:rFonts w:ascii="Times New Roman" w:eastAsia="Times New Roman" w:hAnsi="Times New Roman" w:cs="Times New Roman"/>
          <w:sz w:val="24"/>
          <w:szCs w:val="24"/>
          <w:lang w:val="en-US"/>
        </w:rPr>
      </w:pPr>
      <w:r w:rsidRPr="000E7AD2">
        <w:rPr>
          <w:rFonts w:ascii="Times New Roman" w:eastAsia="Times New Roman" w:hAnsi="Symbol" w:cs="Times New Roman"/>
          <w:sz w:val="24"/>
          <w:szCs w:val="24"/>
          <w:lang w:val="en-US"/>
        </w:rPr>
        <w:t></w:t>
      </w:r>
      <w:r w:rsidRPr="000E7AD2">
        <w:rPr>
          <w:rFonts w:ascii="Times New Roman" w:eastAsia="Times New Roman" w:hAnsi="Times New Roman" w:cs="Times New Roman"/>
          <w:sz w:val="24"/>
          <w:szCs w:val="24"/>
          <w:lang w:val="en-US"/>
        </w:rPr>
        <w:t xml:space="preserve">  Muhunzi, D., Kitambala, L., &amp; </w:t>
      </w:r>
      <w:proofErr w:type="spellStart"/>
      <w:r w:rsidRPr="000E7AD2">
        <w:rPr>
          <w:rFonts w:ascii="Times New Roman" w:eastAsia="Times New Roman" w:hAnsi="Times New Roman" w:cs="Times New Roman"/>
          <w:sz w:val="24"/>
          <w:szCs w:val="24"/>
          <w:lang w:val="en-US"/>
        </w:rPr>
        <w:t>Mashauri</w:t>
      </w:r>
      <w:proofErr w:type="spellEnd"/>
      <w:r w:rsidRPr="000E7AD2">
        <w:rPr>
          <w:rFonts w:ascii="Times New Roman" w:eastAsia="Times New Roman" w:hAnsi="Times New Roman" w:cs="Times New Roman"/>
          <w:sz w:val="24"/>
          <w:szCs w:val="24"/>
          <w:lang w:val="en-US"/>
        </w:rPr>
        <w:t xml:space="preserve">, H. L. (2024). Big data analytics in the healthcare sector: Opportunities and challenges in developing countries. A literature review. </w:t>
      </w:r>
      <w:r w:rsidRPr="000E7AD2">
        <w:rPr>
          <w:rFonts w:ascii="Times New Roman" w:eastAsia="Times New Roman" w:hAnsi="Times New Roman" w:cs="Times New Roman"/>
          <w:i/>
          <w:iCs/>
          <w:sz w:val="24"/>
          <w:szCs w:val="24"/>
          <w:lang w:val="en-US"/>
        </w:rPr>
        <w:t>Health Informatics Journal, 30</w:t>
      </w:r>
      <w:r w:rsidRPr="000E7AD2">
        <w:rPr>
          <w:rFonts w:ascii="Times New Roman" w:eastAsia="Times New Roman" w:hAnsi="Times New Roman" w:cs="Times New Roman"/>
          <w:sz w:val="24"/>
          <w:szCs w:val="24"/>
          <w:lang w:val="en-US"/>
        </w:rPr>
        <w:t xml:space="preserve">(4). </w:t>
      </w:r>
      <w:hyperlink r:id="rId24" w:tgtFrame="_new" w:history="1">
        <w:r w:rsidRPr="000E7AD2">
          <w:rPr>
            <w:rFonts w:ascii="Times New Roman" w:eastAsia="Times New Roman" w:hAnsi="Times New Roman" w:cs="Times New Roman"/>
            <w:color w:val="0000FF"/>
            <w:sz w:val="24"/>
            <w:szCs w:val="24"/>
            <w:u w:val="single"/>
            <w:lang w:val="en-US"/>
          </w:rPr>
          <w:t>https://doi.org/10.1177/14604582241294217</w:t>
        </w:r>
      </w:hyperlink>
      <w:r w:rsidRPr="000E7AD2">
        <w:rPr>
          <w:rFonts w:ascii="Times New Roman" w:eastAsia="Times New Roman" w:hAnsi="Times New Roman" w:cs="Times New Roman"/>
          <w:sz w:val="24"/>
          <w:szCs w:val="24"/>
          <w:lang w:val="en-US"/>
        </w:rPr>
        <w:t xml:space="preserve"> </w:t>
      </w:r>
    </w:p>
    <w:p w14:paraId="336E3F83" w14:textId="77777777" w:rsidR="000E7AD2" w:rsidRPr="000E7AD2" w:rsidRDefault="000E7AD2" w:rsidP="000E7AD2">
      <w:pPr>
        <w:spacing w:after="0" w:line="240" w:lineRule="auto"/>
        <w:rPr>
          <w:rFonts w:ascii="Times New Roman" w:eastAsia="Times New Roman" w:hAnsi="Times New Roman" w:cs="Times New Roman"/>
          <w:sz w:val="24"/>
          <w:szCs w:val="24"/>
          <w:lang w:val="en-US"/>
        </w:rPr>
      </w:pPr>
      <w:r w:rsidRPr="000E7AD2">
        <w:rPr>
          <w:rFonts w:ascii="Times New Roman" w:eastAsia="Times New Roman" w:hAnsi="Symbol" w:cs="Times New Roman"/>
          <w:sz w:val="24"/>
          <w:szCs w:val="24"/>
          <w:lang w:val="en-US"/>
        </w:rPr>
        <w:t></w:t>
      </w:r>
      <w:r w:rsidRPr="000E7AD2">
        <w:rPr>
          <w:rFonts w:ascii="Times New Roman" w:eastAsia="Times New Roman" w:hAnsi="Times New Roman" w:cs="Times New Roman"/>
          <w:sz w:val="24"/>
          <w:szCs w:val="24"/>
          <w:lang w:val="en-US"/>
        </w:rPr>
        <w:t xml:space="preserve">  Nagai, M., Mufwaya-</w:t>
      </w:r>
      <w:proofErr w:type="spellStart"/>
      <w:r w:rsidRPr="000E7AD2">
        <w:rPr>
          <w:rFonts w:ascii="Times New Roman" w:eastAsia="Times New Roman" w:hAnsi="Times New Roman" w:cs="Times New Roman"/>
          <w:sz w:val="24"/>
          <w:szCs w:val="24"/>
          <w:lang w:val="en-US"/>
        </w:rPr>
        <w:t>Nsene</w:t>
      </w:r>
      <w:proofErr w:type="spellEnd"/>
      <w:r w:rsidRPr="000E7AD2">
        <w:rPr>
          <w:rFonts w:ascii="Times New Roman" w:eastAsia="Times New Roman" w:hAnsi="Times New Roman" w:cs="Times New Roman"/>
          <w:sz w:val="24"/>
          <w:szCs w:val="24"/>
          <w:lang w:val="en-US"/>
        </w:rPr>
        <w:t xml:space="preserve">, R., Thandar, M. M., Matsuoka, S., Okawa, S., &amp; Fujita, N. (2025). Digitalized human resources for health information systems in low- and middle-income countries: A scoping review. </w:t>
      </w:r>
      <w:r w:rsidRPr="000E7AD2">
        <w:rPr>
          <w:rFonts w:ascii="Times New Roman" w:eastAsia="Times New Roman" w:hAnsi="Times New Roman" w:cs="Times New Roman"/>
          <w:i/>
          <w:iCs/>
          <w:sz w:val="24"/>
          <w:szCs w:val="24"/>
          <w:lang w:val="en-US"/>
        </w:rPr>
        <w:t>Human Resources for Health, 24</w:t>
      </w:r>
      <w:r w:rsidRPr="000E7AD2">
        <w:rPr>
          <w:rFonts w:ascii="Times New Roman" w:eastAsia="Times New Roman" w:hAnsi="Times New Roman" w:cs="Times New Roman"/>
          <w:sz w:val="24"/>
          <w:szCs w:val="24"/>
          <w:lang w:val="en-US"/>
        </w:rPr>
        <w:t xml:space="preserve">(1), Article 3. </w:t>
      </w:r>
      <w:hyperlink r:id="rId25" w:tgtFrame="_new" w:history="1">
        <w:r w:rsidRPr="000E7AD2">
          <w:rPr>
            <w:rFonts w:ascii="Times New Roman" w:eastAsia="Times New Roman" w:hAnsi="Times New Roman" w:cs="Times New Roman"/>
            <w:color w:val="0000FF"/>
            <w:sz w:val="24"/>
            <w:szCs w:val="24"/>
            <w:u w:val="single"/>
            <w:lang w:val="en-US"/>
          </w:rPr>
          <w:t>https://doi.org/10.1186/s12960-025-01043-x</w:t>
        </w:r>
      </w:hyperlink>
      <w:r w:rsidRPr="000E7AD2">
        <w:rPr>
          <w:rFonts w:ascii="Times New Roman" w:eastAsia="Times New Roman" w:hAnsi="Times New Roman" w:cs="Times New Roman"/>
          <w:sz w:val="24"/>
          <w:szCs w:val="24"/>
          <w:lang w:val="en-US"/>
        </w:rPr>
        <w:t xml:space="preserve"> </w:t>
      </w:r>
    </w:p>
    <w:p w14:paraId="27876207" w14:textId="77777777" w:rsidR="000E7AD2" w:rsidRPr="000E7AD2" w:rsidRDefault="000E7AD2" w:rsidP="000E7AD2">
      <w:pPr>
        <w:spacing w:after="0" w:line="240" w:lineRule="auto"/>
        <w:rPr>
          <w:rFonts w:ascii="Times New Roman" w:eastAsia="Times New Roman" w:hAnsi="Times New Roman" w:cs="Times New Roman"/>
          <w:sz w:val="24"/>
          <w:szCs w:val="24"/>
          <w:lang w:val="en-US"/>
        </w:rPr>
      </w:pPr>
      <w:r w:rsidRPr="000E7AD2">
        <w:rPr>
          <w:rFonts w:ascii="Times New Roman" w:eastAsia="Times New Roman" w:hAnsi="Symbol" w:cs="Times New Roman"/>
          <w:sz w:val="24"/>
          <w:szCs w:val="24"/>
          <w:lang w:val="en-US"/>
        </w:rPr>
        <w:lastRenderedPageBreak/>
        <w:t></w:t>
      </w:r>
      <w:r w:rsidRPr="000E7AD2">
        <w:rPr>
          <w:rFonts w:ascii="Times New Roman" w:eastAsia="Times New Roman" w:hAnsi="Times New Roman" w:cs="Times New Roman"/>
          <w:sz w:val="24"/>
          <w:szCs w:val="24"/>
          <w:lang w:val="en-US"/>
        </w:rPr>
        <w:t xml:space="preserve">  Osei, F. B., &amp; Sasidharan, S. (2023). Geospatial health (</w:t>
      </w:r>
      <w:proofErr w:type="spellStart"/>
      <w:r w:rsidRPr="000E7AD2">
        <w:rPr>
          <w:rFonts w:ascii="Times New Roman" w:eastAsia="Times New Roman" w:hAnsi="Times New Roman" w:cs="Times New Roman"/>
          <w:sz w:val="24"/>
          <w:szCs w:val="24"/>
          <w:lang w:val="en-US"/>
        </w:rPr>
        <w:t>GeoHealth</w:t>
      </w:r>
      <w:proofErr w:type="spellEnd"/>
      <w:r w:rsidRPr="000E7AD2">
        <w:rPr>
          <w:rFonts w:ascii="Times New Roman" w:eastAsia="Times New Roman" w:hAnsi="Times New Roman" w:cs="Times New Roman"/>
          <w:sz w:val="24"/>
          <w:szCs w:val="24"/>
          <w:lang w:val="en-US"/>
        </w:rPr>
        <w:t xml:space="preserve">): Current trends, methods, and applications. </w:t>
      </w:r>
      <w:r w:rsidRPr="000E7AD2">
        <w:rPr>
          <w:rFonts w:ascii="Times New Roman" w:eastAsia="Times New Roman" w:hAnsi="Times New Roman" w:cs="Times New Roman"/>
          <w:i/>
          <w:iCs/>
          <w:sz w:val="24"/>
          <w:szCs w:val="24"/>
          <w:lang w:val="en-US"/>
        </w:rPr>
        <w:t>Tropical Medicine and Infectious Disease, 8</w:t>
      </w:r>
      <w:r w:rsidRPr="000E7AD2">
        <w:rPr>
          <w:rFonts w:ascii="Times New Roman" w:eastAsia="Times New Roman" w:hAnsi="Times New Roman" w:cs="Times New Roman"/>
          <w:sz w:val="24"/>
          <w:szCs w:val="24"/>
          <w:lang w:val="en-US"/>
        </w:rPr>
        <w:t xml:space="preserve">(7), Article 366. </w:t>
      </w:r>
      <w:hyperlink r:id="rId26" w:tgtFrame="_new" w:history="1">
        <w:r w:rsidRPr="000E7AD2">
          <w:rPr>
            <w:rFonts w:ascii="Times New Roman" w:eastAsia="Times New Roman" w:hAnsi="Times New Roman" w:cs="Times New Roman"/>
            <w:color w:val="0000FF"/>
            <w:sz w:val="24"/>
            <w:szCs w:val="24"/>
            <w:u w:val="single"/>
            <w:lang w:val="en-US"/>
          </w:rPr>
          <w:t>https://doi.org/10.3390/tropicalmed8070366</w:t>
        </w:r>
      </w:hyperlink>
      <w:r w:rsidRPr="000E7AD2">
        <w:rPr>
          <w:rFonts w:ascii="Times New Roman" w:eastAsia="Times New Roman" w:hAnsi="Times New Roman" w:cs="Times New Roman"/>
          <w:sz w:val="24"/>
          <w:szCs w:val="24"/>
          <w:lang w:val="en-US"/>
        </w:rPr>
        <w:t xml:space="preserve"> </w:t>
      </w:r>
    </w:p>
    <w:p w14:paraId="0FC86D6E" w14:textId="77777777" w:rsidR="000E7AD2" w:rsidRPr="000E7AD2" w:rsidRDefault="000E7AD2" w:rsidP="000E7AD2">
      <w:pPr>
        <w:spacing w:after="0" w:line="240" w:lineRule="auto"/>
        <w:rPr>
          <w:rFonts w:ascii="Times New Roman" w:eastAsia="Times New Roman" w:hAnsi="Times New Roman" w:cs="Times New Roman"/>
          <w:sz w:val="24"/>
          <w:szCs w:val="24"/>
          <w:lang w:val="en-US"/>
        </w:rPr>
      </w:pPr>
      <w:r w:rsidRPr="000E7AD2">
        <w:rPr>
          <w:rFonts w:ascii="Times New Roman" w:eastAsia="Times New Roman" w:hAnsi="Symbol" w:cs="Times New Roman"/>
          <w:sz w:val="24"/>
          <w:szCs w:val="24"/>
          <w:lang w:val="en-US"/>
        </w:rPr>
        <w:t></w:t>
      </w:r>
      <w:r w:rsidRPr="000E7AD2">
        <w:rPr>
          <w:rFonts w:ascii="Times New Roman" w:eastAsia="Times New Roman" w:hAnsi="Times New Roman" w:cs="Times New Roman"/>
          <w:sz w:val="24"/>
          <w:szCs w:val="24"/>
          <w:lang w:val="en-US"/>
        </w:rPr>
        <w:t xml:space="preserve">  Parker, E., Ravipati, T., Beare, R., Srikanth, V., &amp; Andrew, N. (2022). Establishing an ethics and governance framework for access to and linkage of electronic health data for research projects. </w:t>
      </w:r>
      <w:r w:rsidRPr="000E7AD2">
        <w:rPr>
          <w:rFonts w:ascii="Times New Roman" w:eastAsia="Times New Roman" w:hAnsi="Times New Roman" w:cs="Times New Roman"/>
          <w:i/>
          <w:iCs/>
          <w:sz w:val="24"/>
          <w:szCs w:val="24"/>
          <w:lang w:val="en-US"/>
        </w:rPr>
        <w:t>International Journal of Population Data Science, 7</w:t>
      </w:r>
      <w:r w:rsidRPr="000E7AD2">
        <w:rPr>
          <w:rFonts w:ascii="Times New Roman" w:eastAsia="Times New Roman" w:hAnsi="Times New Roman" w:cs="Times New Roman"/>
          <w:sz w:val="24"/>
          <w:szCs w:val="24"/>
          <w:lang w:val="en-US"/>
        </w:rPr>
        <w:t xml:space="preserve">(3), Article 1958. </w:t>
      </w:r>
      <w:hyperlink r:id="rId27" w:tgtFrame="_new" w:history="1">
        <w:r w:rsidRPr="000E7AD2">
          <w:rPr>
            <w:rFonts w:ascii="Times New Roman" w:eastAsia="Times New Roman" w:hAnsi="Times New Roman" w:cs="Times New Roman"/>
            <w:color w:val="0000FF"/>
            <w:sz w:val="24"/>
            <w:szCs w:val="24"/>
            <w:u w:val="single"/>
            <w:lang w:val="en-US"/>
          </w:rPr>
          <w:t>https://doi.org/10.23889/ijpds.v7i3.1958</w:t>
        </w:r>
      </w:hyperlink>
      <w:r w:rsidRPr="000E7AD2">
        <w:rPr>
          <w:rFonts w:ascii="Times New Roman" w:eastAsia="Times New Roman" w:hAnsi="Times New Roman" w:cs="Times New Roman"/>
          <w:sz w:val="24"/>
          <w:szCs w:val="24"/>
          <w:lang w:val="en-US"/>
        </w:rPr>
        <w:t xml:space="preserve"> </w:t>
      </w:r>
    </w:p>
    <w:p w14:paraId="171AC1FF" w14:textId="77777777" w:rsidR="000E7AD2" w:rsidRPr="000E7AD2" w:rsidRDefault="000E7AD2" w:rsidP="000E7AD2">
      <w:pPr>
        <w:spacing w:after="0" w:line="240" w:lineRule="auto"/>
        <w:rPr>
          <w:rFonts w:ascii="Times New Roman" w:eastAsia="Times New Roman" w:hAnsi="Times New Roman" w:cs="Times New Roman"/>
          <w:sz w:val="24"/>
          <w:szCs w:val="24"/>
          <w:lang w:val="en-US"/>
        </w:rPr>
      </w:pPr>
      <w:r w:rsidRPr="000E7AD2">
        <w:rPr>
          <w:rFonts w:ascii="Times New Roman" w:eastAsia="Times New Roman" w:hAnsi="Symbol" w:cs="Times New Roman"/>
          <w:sz w:val="24"/>
          <w:szCs w:val="24"/>
          <w:lang w:val="en-US"/>
        </w:rPr>
        <w:t></w:t>
      </w:r>
      <w:r w:rsidRPr="000E7AD2">
        <w:rPr>
          <w:rFonts w:ascii="Times New Roman" w:eastAsia="Times New Roman" w:hAnsi="Times New Roman" w:cs="Times New Roman"/>
          <w:sz w:val="24"/>
          <w:szCs w:val="24"/>
          <w:lang w:val="en-US"/>
        </w:rPr>
        <w:t xml:space="preserve">  </w:t>
      </w:r>
      <w:proofErr w:type="spellStart"/>
      <w:r w:rsidRPr="000E7AD2">
        <w:rPr>
          <w:rFonts w:ascii="Times New Roman" w:eastAsia="Times New Roman" w:hAnsi="Times New Roman" w:cs="Times New Roman"/>
          <w:sz w:val="24"/>
          <w:szCs w:val="24"/>
          <w:lang w:val="en-US"/>
        </w:rPr>
        <w:t>Rabiei</w:t>
      </w:r>
      <w:proofErr w:type="spellEnd"/>
      <w:r w:rsidRPr="000E7AD2">
        <w:rPr>
          <w:rFonts w:ascii="Times New Roman" w:eastAsia="Times New Roman" w:hAnsi="Times New Roman" w:cs="Times New Roman"/>
          <w:sz w:val="24"/>
          <w:szCs w:val="24"/>
          <w:lang w:val="en-US"/>
        </w:rPr>
        <w:t xml:space="preserve">, R., Bastani, P., Ahmadi, H., Dehghan, S., &amp; Almasi, S. (2024). Developing public health surveillance dashboards: A scoping review on the design principles. </w:t>
      </w:r>
      <w:r w:rsidRPr="000E7AD2">
        <w:rPr>
          <w:rFonts w:ascii="Times New Roman" w:eastAsia="Times New Roman" w:hAnsi="Times New Roman" w:cs="Times New Roman"/>
          <w:i/>
          <w:iCs/>
          <w:sz w:val="24"/>
          <w:szCs w:val="24"/>
          <w:lang w:val="en-US"/>
        </w:rPr>
        <w:t>BMC Public Health, 24</w:t>
      </w:r>
      <w:r w:rsidRPr="000E7AD2">
        <w:rPr>
          <w:rFonts w:ascii="Times New Roman" w:eastAsia="Times New Roman" w:hAnsi="Times New Roman" w:cs="Times New Roman"/>
          <w:sz w:val="24"/>
          <w:szCs w:val="24"/>
          <w:lang w:val="en-US"/>
        </w:rPr>
        <w:t xml:space="preserve">, Article 392. </w:t>
      </w:r>
      <w:hyperlink r:id="rId28" w:tgtFrame="_new" w:history="1">
        <w:r w:rsidRPr="000E7AD2">
          <w:rPr>
            <w:rFonts w:ascii="Times New Roman" w:eastAsia="Times New Roman" w:hAnsi="Times New Roman" w:cs="Times New Roman"/>
            <w:color w:val="0000FF"/>
            <w:sz w:val="24"/>
            <w:szCs w:val="24"/>
            <w:u w:val="single"/>
            <w:lang w:val="en-US"/>
          </w:rPr>
          <w:t>https://doi.org/10.1186/s12889-024-17841-2</w:t>
        </w:r>
      </w:hyperlink>
      <w:r w:rsidRPr="000E7AD2">
        <w:rPr>
          <w:rFonts w:ascii="Times New Roman" w:eastAsia="Times New Roman" w:hAnsi="Times New Roman" w:cs="Times New Roman"/>
          <w:sz w:val="24"/>
          <w:szCs w:val="24"/>
          <w:lang w:val="en-US"/>
        </w:rPr>
        <w:t xml:space="preserve"> </w:t>
      </w:r>
    </w:p>
    <w:p w14:paraId="78910D7A" w14:textId="77777777" w:rsidR="000E7AD2" w:rsidRPr="000E7AD2" w:rsidRDefault="000E7AD2" w:rsidP="000E7AD2">
      <w:pPr>
        <w:spacing w:after="0" w:line="240" w:lineRule="auto"/>
        <w:rPr>
          <w:rFonts w:ascii="Times New Roman" w:eastAsia="Times New Roman" w:hAnsi="Times New Roman" w:cs="Times New Roman"/>
          <w:sz w:val="24"/>
          <w:szCs w:val="24"/>
          <w:lang w:val="en-US"/>
        </w:rPr>
      </w:pPr>
      <w:r w:rsidRPr="000E7AD2">
        <w:rPr>
          <w:rFonts w:ascii="Times New Roman" w:eastAsia="Times New Roman" w:hAnsi="Symbol" w:cs="Times New Roman"/>
          <w:sz w:val="24"/>
          <w:szCs w:val="24"/>
          <w:lang w:val="en-US"/>
        </w:rPr>
        <w:t></w:t>
      </w:r>
      <w:r w:rsidRPr="000E7AD2">
        <w:rPr>
          <w:rFonts w:ascii="Times New Roman" w:eastAsia="Times New Roman" w:hAnsi="Times New Roman" w:cs="Times New Roman"/>
          <w:sz w:val="24"/>
          <w:szCs w:val="24"/>
          <w:lang w:val="en-US"/>
        </w:rPr>
        <w:t xml:space="preserve">  Rajamani, S., Gunashekar, D. R., Ghimire, U., Leider, J. P., &amp; Dixon, B. E. (2026). Training needs in data, informatics and technical skills in the US governmental public health workforce. </w:t>
      </w:r>
      <w:r w:rsidRPr="000E7AD2">
        <w:rPr>
          <w:rFonts w:ascii="Times New Roman" w:eastAsia="Times New Roman" w:hAnsi="Times New Roman" w:cs="Times New Roman"/>
          <w:i/>
          <w:iCs/>
          <w:sz w:val="24"/>
          <w:szCs w:val="24"/>
          <w:lang w:val="en-US"/>
        </w:rPr>
        <w:t>Frontiers in Public Health, 14</w:t>
      </w:r>
      <w:r w:rsidRPr="000E7AD2">
        <w:rPr>
          <w:rFonts w:ascii="Times New Roman" w:eastAsia="Times New Roman" w:hAnsi="Times New Roman" w:cs="Times New Roman"/>
          <w:sz w:val="24"/>
          <w:szCs w:val="24"/>
          <w:lang w:val="en-US"/>
        </w:rPr>
        <w:t xml:space="preserve">, Article 1766682. </w:t>
      </w:r>
      <w:hyperlink r:id="rId29" w:tgtFrame="_new" w:history="1">
        <w:r w:rsidRPr="000E7AD2">
          <w:rPr>
            <w:rFonts w:ascii="Times New Roman" w:eastAsia="Times New Roman" w:hAnsi="Times New Roman" w:cs="Times New Roman"/>
            <w:color w:val="0000FF"/>
            <w:sz w:val="24"/>
            <w:szCs w:val="24"/>
            <w:u w:val="single"/>
            <w:lang w:val="en-US"/>
          </w:rPr>
          <w:t>https://doi.org/10.3389/fpubh.2026.1766682</w:t>
        </w:r>
      </w:hyperlink>
      <w:r w:rsidRPr="000E7AD2">
        <w:rPr>
          <w:rFonts w:ascii="Times New Roman" w:eastAsia="Times New Roman" w:hAnsi="Times New Roman" w:cs="Times New Roman"/>
          <w:sz w:val="24"/>
          <w:szCs w:val="24"/>
          <w:lang w:val="en-US"/>
        </w:rPr>
        <w:t xml:space="preserve"> </w:t>
      </w:r>
    </w:p>
    <w:p w14:paraId="6FBF0A36" w14:textId="77777777" w:rsidR="000E7AD2" w:rsidRPr="000E7AD2" w:rsidRDefault="000E7AD2" w:rsidP="000E7AD2">
      <w:pPr>
        <w:spacing w:after="0" w:line="240" w:lineRule="auto"/>
        <w:rPr>
          <w:rFonts w:ascii="Times New Roman" w:eastAsia="Times New Roman" w:hAnsi="Times New Roman" w:cs="Times New Roman"/>
          <w:sz w:val="24"/>
          <w:szCs w:val="24"/>
          <w:lang w:val="en-US"/>
        </w:rPr>
      </w:pPr>
      <w:r w:rsidRPr="000E7AD2">
        <w:rPr>
          <w:rFonts w:ascii="Times New Roman" w:eastAsia="Times New Roman" w:hAnsi="Symbol" w:cs="Times New Roman"/>
          <w:sz w:val="24"/>
          <w:szCs w:val="24"/>
          <w:lang w:val="en-US"/>
        </w:rPr>
        <w:t></w:t>
      </w:r>
      <w:r w:rsidRPr="000E7AD2">
        <w:rPr>
          <w:rFonts w:ascii="Times New Roman" w:eastAsia="Times New Roman" w:hAnsi="Times New Roman" w:cs="Times New Roman"/>
          <w:sz w:val="24"/>
          <w:szCs w:val="24"/>
          <w:lang w:val="en-US"/>
        </w:rPr>
        <w:t xml:space="preserve">  Rigby, R. C., Ferdinand, A. O., Kum, H.-C., &amp; Schmit, C. (2024). Data sharing in a decentralized public health system: Lessons from COVID-19 syndromic surveillance. </w:t>
      </w:r>
      <w:r w:rsidRPr="000E7AD2">
        <w:rPr>
          <w:rFonts w:ascii="Times New Roman" w:eastAsia="Times New Roman" w:hAnsi="Times New Roman" w:cs="Times New Roman"/>
          <w:i/>
          <w:iCs/>
          <w:sz w:val="24"/>
          <w:szCs w:val="24"/>
          <w:lang w:val="en-US"/>
        </w:rPr>
        <w:t>JMIR Public Health and Surveillance, 10</w:t>
      </w:r>
      <w:r w:rsidRPr="000E7AD2">
        <w:rPr>
          <w:rFonts w:ascii="Times New Roman" w:eastAsia="Times New Roman" w:hAnsi="Times New Roman" w:cs="Times New Roman"/>
          <w:sz w:val="24"/>
          <w:szCs w:val="24"/>
          <w:lang w:val="en-US"/>
        </w:rPr>
        <w:t xml:space="preserve">, Article e52587. </w:t>
      </w:r>
      <w:hyperlink r:id="rId30" w:tgtFrame="_new" w:history="1">
        <w:r w:rsidRPr="000E7AD2">
          <w:rPr>
            <w:rFonts w:ascii="Times New Roman" w:eastAsia="Times New Roman" w:hAnsi="Times New Roman" w:cs="Times New Roman"/>
            <w:color w:val="0000FF"/>
            <w:sz w:val="24"/>
            <w:szCs w:val="24"/>
            <w:u w:val="single"/>
            <w:lang w:val="en-US"/>
          </w:rPr>
          <w:t>https://doi.org/10.2196/52587</w:t>
        </w:r>
      </w:hyperlink>
      <w:r w:rsidRPr="000E7AD2">
        <w:rPr>
          <w:rFonts w:ascii="Times New Roman" w:eastAsia="Times New Roman" w:hAnsi="Times New Roman" w:cs="Times New Roman"/>
          <w:sz w:val="24"/>
          <w:szCs w:val="24"/>
          <w:lang w:val="en-US"/>
        </w:rPr>
        <w:t xml:space="preserve"> </w:t>
      </w:r>
    </w:p>
    <w:p w14:paraId="479948FE" w14:textId="0EF7B46E" w:rsidR="004841B3" w:rsidRDefault="000E7AD2" w:rsidP="000E7AD2">
      <w:pPr>
        <w:jc w:val="both"/>
        <w:rPr>
          <w:rFonts w:ascii="Times New Roman" w:eastAsia="Times New Roman" w:hAnsi="Times New Roman" w:cs="Times New Roman"/>
          <w:sz w:val="24"/>
          <w:szCs w:val="24"/>
          <w:lang w:val="en-US"/>
        </w:rPr>
      </w:pPr>
      <w:r w:rsidRPr="000E7AD2">
        <w:rPr>
          <w:rFonts w:ascii="Times New Roman" w:eastAsia="Times New Roman" w:hAnsi="Symbol" w:cs="Times New Roman"/>
          <w:sz w:val="24"/>
          <w:szCs w:val="24"/>
          <w:lang w:val="en-US"/>
        </w:rPr>
        <w:t></w:t>
      </w:r>
      <w:r w:rsidRPr="000E7AD2">
        <w:rPr>
          <w:rFonts w:ascii="Times New Roman" w:eastAsia="Times New Roman" w:hAnsi="Times New Roman" w:cs="Times New Roman"/>
          <w:sz w:val="24"/>
          <w:szCs w:val="24"/>
          <w:lang w:val="en-US"/>
        </w:rPr>
        <w:t xml:space="preserve">  Rosenthal, S., Adler-Milstein, J., &amp; Patel, V. (2024). Public health data exchange through health information exchange organizations: National survey study. </w:t>
      </w:r>
      <w:r w:rsidRPr="000E7AD2">
        <w:rPr>
          <w:rFonts w:ascii="Times New Roman" w:eastAsia="Times New Roman" w:hAnsi="Times New Roman" w:cs="Times New Roman"/>
          <w:i/>
          <w:iCs/>
          <w:sz w:val="24"/>
          <w:szCs w:val="24"/>
          <w:lang w:val="en-US"/>
        </w:rPr>
        <w:t>JMIR Public Health and Surveillance, 10</w:t>
      </w:r>
      <w:r w:rsidRPr="000E7AD2">
        <w:rPr>
          <w:rFonts w:ascii="Times New Roman" w:eastAsia="Times New Roman" w:hAnsi="Times New Roman" w:cs="Times New Roman"/>
          <w:sz w:val="24"/>
          <w:szCs w:val="24"/>
          <w:lang w:val="en-US"/>
        </w:rPr>
        <w:t xml:space="preserve">, Article e64969. </w:t>
      </w:r>
      <w:hyperlink r:id="rId31" w:tgtFrame="_new" w:history="1">
        <w:r w:rsidRPr="000E7AD2">
          <w:rPr>
            <w:rFonts w:ascii="Times New Roman" w:eastAsia="Times New Roman" w:hAnsi="Times New Roman" w:cs="Times New Roman"/>
            <w:color w:val="0000FF"/>
            <w:sz w:val="24"/>
            <w:szCs w:val="24"/>
            <w:u w:val="single"/>
            <w:lang w:val="en-US"/>
          </w:rPr>
          <w:t>https://doi.org/10.2196/64969</w:t>
        </w:r>
      </w:hyperlink>
    </w:p>
    <w:p w14:paraId="1CC36C4E" w14:textId="77777777" w:rsidR="000E7AD2" w:rsidRPr="000E7AD2" w:rsidRDefault="000E7AD2" w:rsidP="000E7AD2">
      <w:pPr>
        <w:spacing w:after="0" w:line="240" w:lineRule="auto"/>
        <w:rPr>
          <w:rFonts w:ascii="Times New Roman" w:eastAsia="Times New Roman" w:hAnsi="Times New Roman" w:cs="Times New Roman"/>
          <w:sz w:val="24"/>
          <w:szCs w:val="24"/>
          <w:lang w:val="en-US"/>
        </w:rPr>
      </w:pPr>
      <w:r w:rsidRPr="000E7AD2">
        <w:rPr>
          <w:rFonts w:ascii="Times New Roman" w:eastAsia="Times New Roman" w:hAnsi="Symbol" w:cs="Times New Roman"/>
          <w:sz w:val="24"/>
          <w:szCs w:val="24"/>
          <w:lang w:val="en-US"/>
        </w:rPr>
        <w:t></w:t>
      </w:r>
      <w:r w:rsidRPr="000E7AD2">
        <w:rPr>
          <w:rFonts w:ascii="Times New Roman" w:eastAsia="Times New Roman" w:hAnsi="Times New Roman" w:cs="Times New Roman"/>
          <w:sz w:val="24"/>
          <w:szCs w:val="24"/>
          <w:lang w:val="en-US"/>
        </w:rPr>
        <w:t xml:space="preserve">  Schulze, A., Brand, F., Geppert, J., &amp; </w:t>
      </w:r>
      <w:proofErr w:type="spellStart"/>
      <w:r w:rsidRPr="000E7AD2">
        <w:rPr>
          <w:rFonts w:ascii="Times New Roman" w:eastAsia="Times New Roman" w:hAnsi="Times New Roman" w:cs="Times New Roman"/>
          <w:sz w:val="24"/>
          <w:szCs w:val="24"/>
          <w:lang w:val="en-US"/>
        </w:rPr>
        <w:t>Böl</w:t>
      </w:r>
      <w:proofErr w:type="spellEnd"/>
      <w:r w:rsidRPr="000E7AD2">
        <w:rPr>
          <w:rFonts w:ascii="Times New Roman" w:eastAsia="Times New Roman" w:hAnsi="Times New Roman" w:cs="Times New Roman"/>
          <w:sz w:val="24"/>
          <w:szCs w:val="24"/>
          <w:lang w:val="en-US"/>
        </w:rPr>
        <w:t xml:space="preserve">, G.-F. (2023). Digital dashboards visualizing public health data: A systematic review. </w:t>
      </w:r>
      <w:r w:rsidRPr="000E7AD2">
        <w:rPr>
          <w:rFonts w:ascii="Times New Roman" w:eastAsia="Times New Roman" w:hAnsi="Times New Roman" w:cs="Times New Roman"/>
          <w:i/>
          <w:iCs/>
          <w:sz w:val="24"/>
          <w:szCs w:val="24"/>
          <w:lang w:val="en-US"/>
        </w:rPr>
        <w:t>Frontiers in Public Health, 11</w:t>
      </w:r>
      <w:r w:rsidRPr="000E7AD2">
        <w:rPr>
          <w:rFonts w:ascii="Times New Roman" w:eastAsia="Times New Roman" w:hAnsi="Times New Roman" w:cs="Times New Roman"/>
          <w:sz w:val="24"/>
          <w:szCs w:val="24"/>
          <w:lang w:val="en-US"/>
        </w:rPr>
        <w:t xml:space="preserve">, Article 999958. </w:t>
      </w:r>
      <w:hyperlink r:id="rId32" w:tgtFrame="_new" w:history="1">
        <w:r w:rsidRPr="000E7AD2">
          <w:rPr>
            <w:rFonts w:ascii="Times New Roman" w:eastAsia="Times New Roman" w:hAnsi="Times New Roman" w:cs="Times New Roman"/>
            <w:color w:val="0000FF"/>
            <w:sz w:val="24"/>
            <w:szCs w:val="24"/>
            <w:u w:val="single"/>
            <w:lang w:val="en-US"/>
          </w:rPr>
          <w:t>https://doi.org/10.3389/fpubh.2023.999958</w:t>
        </w:r>
      </w:hyperlink>
      <w:r w:rsidRPr="000E7AD2">
        <w:rPr>
          <w:rFonts w:ascii="Times New Roman" w:eastAsia="Times New Roman" w:hAnsi="Times New Roman" w:cs="Times New Roman"/>
          <w:sz w:val="24"/>
          <w:szCs w:val="24"/>
          <w:lang w:val="en-US"/>
        </w:rPr>
        <w:t xml:space="preserve"> </w:t>
      </w:r>
    </w:p>
    <w:p w14:paraId="101EA86F" w14:textId="77777777" w:rsidR="000E7AD2" w:rsidRPr="000E7AD2" w:rsidRDefault="000E7AD2" w:rsidP="000E7AD2">
      <w:pPr>
        <w:spacing w:after="0" w:line="240" w:lineRule="auto"/>
        <w:rPr>
          <w:rFonts w:ascii="Times New Roman" w:eastAsia="Times New Roman" w:hAnsi="Times New Roman" w:cs="Times New Roman"/>
          <w:sz w:val="24"/>
          <w:szCs w:val="24"/>
          <w:lang w:val="en-US"/>
        </w:rPr>
      </w:pPr>
      <w:r w:rsidRPr="000E7AD2">
        <w:rPr>
          <w:rFonts w:ascii="Times New Roman" w:eastAsia="Times New Roman" w:hAnsi="Symbol" w:cs="Times New Roman"/>
          <w:sz w:val="24"/>
          <w:szCs w:val="24"/>
          <w:lang w:val="en-US"/>
        </w:rPr>
        <w:t></w:t>
      </w:r>
      <w:r w:rsidRPr="000E7AD2">
        <w:rPr>
          <w:rFonts w:ascii="Times New Roman" w:eastAsia="Times New Roman" w:hAnsi="Times New Roman" w:cs="Times New Roman"/>
          <w:sz w:val="24"/>
          <w:szCs w:val="24"/>
          <w:lang w:val="en-US"/>
        </w:rPr>
        <w:t xml:space="preserve">  Smith, S., &amp; Johnson, G. (2023). A systematic review of the barriers, enablers and strategies to embedding translational research within the public hospital system focusing on nursing and allied health professions. </w:t>
      </w:r>
      <w:r w:rsidRPr="000E7AD2">
        <w:rPr>
          <w:rFonts w:ascii="Times New Roman" w:eastAsia="Times New Roman" w:hAnsi="Times New Roman" w:cs="Times New Roman"/>
          <w:i/>
          <w:iCs/>
          <w:sz w:val="24"/>
          <w:szCs w:val="24"/>
          <w:lang w:val="en-US"/>
        </w:rPr>
        <w:t>PLOS ONE, 18</w:t>
      </w:r>
      <w:r w:rsidRPr="000E7AD2">
        <w:rPr>
          <w:rFonts w:ascii="Times New Roman" w:eastAsia="Times New Roman" w:hAnsi="Times New Roman" w:cs="Times New Roman"/>
          <w:sz w:val="24"/>
          <w:szCs w:val="24"/>
          <w:lang w:val="en-US"/>
        </w:rPr>
        <w:t xml:space="preserve">(2), Article e0281819. </w:t>
      </w:r>
      <w:hyperlink r:id="rId33" w:tgtFrame="_new" w:history="1">
        <w:r w:rsidRPr="000E7AD2">
          <w:rPr>
            <w:rFonts w:ascii="Times New Roman" w:eastAsia="Times New Roman" w:hAnsi="Times New Roman" w:cs="Times New Roman"/>
            <w:color w:val="0000FF"/>
            <w:sz w:val="24"/>
            <w:szCs w:val="24"/>
            <w:u w:val="single"/>
            <w:lang w:val="en-US"/>
          </w:rPr>
          <w:t>https://doi.org/10.1371/journal.pone.0281819</w:t>
        </w:r>
      </w:hyperlink>
      <w:r w:rsidRPr="000E7AD2">
        <w:rPr>
          <w:rFonts w:ascii="Times New Roman" w:eastAsia="Times New Roman" w:hAnsi="Times New Roman" w:cs="Times New Roman"/>
          <w:sz w:val="24"/>
          <w:szCs w:val="24"/>
          <w:lang w:val="en-US"/>
        </w:rPr>
        <w:t xml:space="preserve"> </w:t>
      </w:r>
    </w:p>
    <w:p w14:paraId="03305CDE" w14:textId="77777777" w:rsidR="000E7AD2" w:rsidRPr="000E7AD2" w:rsidRDefault="000E7AD2" w:rsidP="000E7AD2">
      <w:pPr>
        <w:spacing w:after="0" w:line="240" w:lineRule="auto"/>
        <w:rPr>
          <w:rFonts w:ascii="Times New Roman" w:eastAsia="Times New Roman" w:hAnsi="Times New Roman" w:cs="Times New Roman"/>
          <w:sz w:val="24"/>
          <w:szCs w:val="24"/>
          <w:lang w:val="en-US"/>
        </w:rPr>
      </w:pPr>
      <w:r w:rsidRPr="000E7AD2">
        <w:rPr>
          <w:rFonts w:ascii="Times New Roman" w:eastAsia="Times New Roman" w:hAnsi="Symbol" w:cs="Times New Roman"/>
          <w:sz w:val="24"/>
          <w:szCs w:val="24"/>
          <w:lang w:val="en-US"/>
        </w:rPr>
        <w:t></w:t>
      </w:r>
      <w:r w:rsidRPr="000E7AD2">
        <w:rPr>
          <w:rFonts w:ascii="Times New Roman" w:eastAsia="Times New Roman" w:hAnsi="Times New Roman" w:cs="Times New Roman"/>
          <w:sz w:val="24"/>
          <w:szCs w:val="24"/>
          <w:lang w:val="en-US"/>
        </w:rPr>
        <w:t xml:space="preserve">  Song, C., Wang, X., Ge, E., Shi, X., &amp; Pan, J. (2024). Editorial: Applications of geospatial information technologies and spatial statistics in health services research. </w:t>
      </w:r>
      <w:r w:rsidRPr="000E7AD2">
        <w:rPr>
          <w:rFonts w:ascii="Times New Roman" w:eastAsia="Times New Roman" w:hAnsi="Times New Roman" w:cs="Times New Roman"/>
          <w:i/>
          <w:iCs/>
          <w:sz w:val="24"/>
          <w:szCs w:val="24"/>
          <w:lang w:val="en-US"/>
        </w:rPr>
        <w:t>Frontiers in Public Health, 11</w:t>
      </w:r>
      <w:r w:rsidRPr="000E7AD2">
        <w:rPr>
          <w:rFonts w:ascii="Times New Roman" w:eastAsia="Times New Roman" w:hAnsi="Times New Roman" w:cs="Times New Roman"/>
          <w:sz w:val="24"/>
          <w:szCs w:val="24"/>
          <w:lang w:val="en-US"/>
        </w:rPr>
        <w:t xml:space="preserve">, Article 1349985. </w:t>
      </w:r>
      <w:hyperlink r:id="rId34" w:tgtFrame="_new" w:history="1">
        <w:r w:rsidRPr="000E7AD2">
          <w:rPr>
            <w:rFonts w:ascii="Times New Roman" w:eastAsia="Times New Roman" w:hAnsi="Times New Roman" w:cs="Times New Roman"/>
            <w:color w:val="0000FF"/>
            <w:sz w:val="24"/>
            <w:szCs w:val="24"/>
            <w:u w:val="single"/>
            <w:lang w:val="en-US"/>
          </w:rPr>
          <w:t>https://doi.org/10.3389/fpubh.2023.1349985</w:t>
        </w:r>
      </w:hyperlink>
      <w:r w:rsidRPr="000E7AD2">
        <w:rPr>
          <w:rFonts w:ascii="Times New Roman" w:eastAsia="Times New Roman" w:hAnsi="Times New Roman" w:cs="Times New Roman"/>
          <w:sz w:val="24"/>
          <w:szCs w:val="24"/>
          <w:lang w:val="en-US"/>
        </w:rPr>
        <w:t xml:space="preserve"> </w:t>
      </w:r>
    </w:p>
    <w:p w14:paraId="716764C2" w14:textId="77777777" w:rsidR="000E7AD2" w:rsidRPr="000E7AD2" w:rsidRDefault="000E7AD2" w:rsidP="000E7AD2">
      <w:pPr>
        <w:spacing w:after="0" w:line="240" w:lineRule="auto"/>
        <w:rPr>
          <w:rFonts w:ascii="Times New Roman" w:eastAsia="Times New Roman" w:hAnsi="Times New Roman" w:cs="Times New Roman"/>
          <w:sz w:val="24"/>
          <w:szCs w:val="24"/>
          <w:lang w:val="en-US"/>
        </w:rPr>
      </w:pPr>
      <w:r w:rsidRPr="000E7AD2">
        <w:rPr>
          <w:rFonts w:ascii="Times New Roman" w:eastAsia="Times New Roman" w:hAnsi="Symbol" w:cs="Times New Roman"/>
          <w:sz w:val="24"/>
          <w:szCs w:val="24"/>
          <w:lang w:val="en-US"/>
        </w:rPr>
        <w:t></w:t>
      </w:r>
      <w:r w:rsidRPr="000E7AD2">
        <w:rPr>
          <w:rFonts w:ascii="Times New Roman" w:eastAsia="Times New Roman" w:hAnsi="Times New Roman" w:cs="Times New Roman"/>
          <w:sz w:val="24"/>
          <w:szCs w:val="24"/>
          <w:lang w:val="en-US"/>
        </w:rPr>
        <w:t xml:space="preserve">  Song, Y., </w:t>
      </w:r>
      <w:proofErr w:type="spellStart"/>
      <w:r w:rsidRPr="000E7AD2">
        <w:rPr>
          <w:rFonts w:ascii="Times New Roman" w:eastAsia="Times New Roman" w:hAnsi="Times New Roman" w:cs="Times New Roman"/>
          <w:sz w:val="24"/>
          <w:szCs w:val="24"/>
          <w:lang w:val="en-US"/>
        </w:rPr>
        <w:t>Bracchiglione</w:t>
      </w:r>
      <w:proofErr w:type="spellEnd"/>
      <w:r w:rsidRPr="000E7AD2">
        <w:rPr>
          <w:rFonts w:ascii="Times New Roman" w:eastAsia="Times New Roman" w:hAnsi="Times New Roman" w:cs="Times New Roman"/>
          <w:sz w:val="24"/>
          <w:szCs w:val="24"/>
          <w:lang w:val="en-US"/>
        </w:rPr>
        <w:t>, J., Meneses-</w:t>
      </w:r>
      <w:proofErr w:type="spellStart"/>
      <w:r w:rsidRPr="000E7AD2">
        <w:rPr>
          <w:rFonts w:ascii="Times New Roman" w:eastAsia="Times New Roman" w:hAnsi="Times New Roman" w:cs="Times New Roman"/>
          <w:sz w:val="24"/>
          <w:szCs w:val="24"/>
          <w:lang w:val="en-US"/>
        </w:rPr>
        <w:t>Echávez</w:t>
      </w:r>
      <w:proofErr w:type="spellEnd"/>
      <w:r w:rsidRPr="000E7AD2">
        <w:rPr>
          <w:rFonts w:ascii="Times New Roman" w:eastAsia="Times New Roman" w:hAnsi="Times New Roman" w:cs="Times New Roman"/>
          <w:sz w:val="24"/>
          <w:szCs w:val="24"/>
          <w:lang w:val="en-US"/>
        </w:rPr>
        <w:t xml:space="preserve">, J. F., de Carvalho Gomes, H., </w:t>
      </w:r>
      <w:proofErr w:type="spellStart"/>
      <w:r w:rsidRPr="000E7AD2">
        <w:rPr>
          <w:rFonts w:ascii="Times New Roman" w:eastAsia="Times New Roman" w:hAnsi="Times New Roman" w:cs="Times New Roman"/>
          <w:sz w:val="24"/>
          <w:szCs w:val="24"/>
          <w:lang w:val="en-US"/>
        </w:rPr>
        <w:t>Albiger</w:t>
      </w:r>
      <w:proofErr w:type="spellEnd"/>
      <w:r w:rsidRPr="000E7AD2">
        <w:rPr>
          <w:rFonts w:ascii="Times New Roman" w:eastAsia="Times New Roman" w:hAnsi="Times New Roman" w:cs="Times New Roman"/>
          <w:sz w:val="24"/>
          <w:szCs w:val="24"/>
          <w:lang w:val="en-US"/>
        </w:rPr>
        <w:t xml:space="preserve">, B., </w:t>
      </w:r>
      <w:proofErr w:type="spellStart"/>
      <w:r w:rsidRPr="000E7AD2">
        <w:rPr>
          <w:rFonts w:ascii="Times New Roman" w:eastAsia="Times New Roman" w:hAnsi="Times New Roman" w:cs="Times New Roman"/>
          <w:sz w:val="24"/>
          <w:szCs w:val="24"/>
          <w:lang w:val="en-US"/>
        </w:rPr>
        <w:t>Solà</w:t>
      </w:r>
      <w:proofErr w:type="spellEnd"/>
      <w:r w:rsidRPr="000E7AD2">
        <w:rPr>
          <w:rFonts w:ascii="Times New Roman" w:eastAsia="Times New Roman" w:hAnsi="Times New Roman" w:cs="Times New Roman"/>
          <w:sz w:val="24"/>
          <w:szCs w:val="24"/>
          <w:lang w:val="en-US"/>
        </w:rPr>
        <w:t xml:space="preserve">, I., Rigau, D., &amp; Alonso-Coello, P. (2025). Frameworks to support evidence-informed public health decision-making for infectious disease prevention and control: A scoping review. </w:t>
      </w:r>
      <w:r w:rsidRPr="000E7AD2">
        <w:rPr>
          <w:rFonts w:ascii="Times New Roman" w:eastAsia="Times New Roman" w:hAnsi="Times New Roman" w:cs="Times New Roman"/>
          <w:i/>
          <w:iCs/>
          <w:sz w:val="24"/>
          <w:szCs w:val="24"/>
          <w:lang w:val="en-US"/>
        </w:rPr>
        <w:t>Eurosurveillance, 30</w:t>
      </w:r>
      <w:r w:rsidRPr="000E7AD2">
        <w:rPr>
          <w:rFonts w:ascii="Times New Roman" w:eastAsia="Times New Roman" w:hAnsi="Times New Roman" w:cs="Times New Roman"/>
          <w:sz w:val="24"/>
          <w:szCs w:val="24"/>
          <w:lang w:val="en-US"/>
        </w:rPr>
        <w:t xml:space="preserve">(19), Article 2400185. </w:t>
      </w:r>
      <w:hyperlink r:id="rId35" w:tgtFrame="_new" w:history="1">
        <w:r w:rsidRPr="000E7AD2">
          <w:rPr>
            <w:rFonts w:ascii="Times New Roman" w:eastAsia="Times New Roman" w:hAnsi="Times New Roman" w:cs="Times New Roman"/>
            <w:color w:val="0000FF"/>
            <w:sz w:val="24"/>
            <w:szCs w:val="24"/>
            <w:u w:val="single"/>
            <w:lang w:val="en-US"/>
          </w:rPr>
          <w:t>https://doi.org/10.2807/1560-7917.ES.2025.30.19.2400185</w:t>
        </w:r>
      </w:hyperlink>
      <w:r w:rsidRPr="000E7AD2">
        <w:rPr>
          <w:rFonts w:ascii="Times New Roman" w:eastAsia="Times New Roman" w:hAnsi="Times New Roman" w:cs="Times New Roman"/>
          <w:sz w:val="24"/>
          <w:szCs w:val="24"/>
          <w:lang w:val="en-US"/>
        </w:rPr>
        <w:t xml:space="preserve"> </w:t>
      </w:r>
    </w:p>
    <w:p w14:paraId="26916034" w14:textId="77777777" w:rsidR="000E7AD2" w:rsidRPr="000E7AD2" w:rsidRDefault="000E7AD2" w:rsidP="000E7AD2">
      <w:pPr>
        <w:spacing w:after="0" w:line="240" w:lineRule="auto"/>
        <w:rPr>
          <w:rFonts w:ascii="Times New Roman" w:eastAsia="Times New Roman" w:hAnsi="Times New Roman" w:cs="Times New Roman"/>
          <w:sz w:val="24"/>
          <w:szCs w:val="24"/>
          <w:lang w:val="en-US"/>
        </w:rPr>
      </w:pPr>
      <w:r w:rsidRPr="000E7AD2">
        <w:rPr>
          <w:rFonts w:ascii="Times New Roman" w:eastAsia="Times New Roman" w:hAnsi="Symbol" w:cs="Times New Roman"/>
          <w:sz w:val="24"/>
          <w:szCs w:val="24"/>
          <w:lang w:val="en-US"/>
        </w:rPr>
        <w:t></w:t>
      </w:r>
      <w:r w:rsidRPr="000E7AD2">
        <w:rPr>
          <w:rFonts w:ascii="Times New Roman" w:eastAsia="Times New Roman" w:hAnsi="Times New Roman" w:cs="Times New Roman"/>
          <w:sz w:val="24"/>
          <w:szCs w:val="24"/>
          <w:lang w:val="en-US"/>
        </w:rPr>
        <w:t xml:space="preserve">  Sylla, B., Ismaila, O., &amp; Diallo, G. (2025). 25 years of digital health toward universal health coverage in low- and middle-income countries: Rapid systematic review. </w:t>
      </w:r>
      <w:r w:rsidRPr="000E7AD2">
        <w:rPr>
          <w:rFonts w:ascii="Times New Roman" w:eastAsia="Times New Roman" w:hAnsi="Times New Roman" w:cs="Times New Roman"/>
          <w:i/>
          <w:iCs/>
          <w:sz w:val="24"/>
          <w:szCs w:val="24"/>
          <w:lang w:val="en-US"/>
        </w:rPr>
        <w:t>Journal of Medical Internet Research, 27</w:t>
      </w:r>
      <w:r w:rsidRPr="000E7AD2">
        <w:rPr>
          <w:rFonts w:ascii="Times New Roman" w:eastAsia="Times New Roman" w:hAnsi="Times New Roman" w:cs="Times New Roman"/>
          <w:sz w:val="24"/>
          <w:szCs w:val="24"/>
          <w:lang w:val="en-US"/>
        </w:rPr>
        <w:t xml:space="preserve">, Article e59042. </w:t>
      </w:r>
      <w:hyperlink r:id="rId36" w:tgtFrame="_new" w:history="1">
        <w:r w:rsidRPr="000E7AD2">
          <w:rPr>
            <w:rFonts w:ascii="Times New Roman" w:eastAsia="Times New Roman" w:hAnsi="Times New Roman" w:cs="Times New Roman"/>
            <w:color w:val="0000FF"/>
            <w:sz w:val="24"/>
            <w:szCs w:val="24"/>
            <w:u w:val="single"/>
            <w:lang w:val="en-US"/>
          </w:rPr>
          <w:t>https://doi.org/10.2196/59042</w:t>
        </w:r>
      </w:hyperlink>
      <w:r w:rsidRPr="000E7AD2">
        <w:rPr>
          <w:rFonts w:ascii="Times New Roman" w:eastAsia="Times New Roman" w:hAnsi="Times New Roman" w:cs="Times New Roman"/>
          <w:sz w:val="24"/>
          <w:szCs w:val="24"/>
          <w:lang w:val="en-US"/>
        </w:rPr>
        <w:t xml:space="preserve"> </w:t>
      </w:r>
    </w:p>
    <w:p w14:paraId="3224651C" w14:textId="77777777" w:rsidR="000E7AD2" w:rsidRPr="000E7AD2" w:rsidRDefault="000E7AD2" w:rsidP="000E7AD2">
      <w:pPr>
        <w:spacing w:after="0" w:line="240" w:lineRule="auto"/>
        <w:rPr>
          <w:rFonts w:ascii="Times New Roman" w:eastAsia="Times New Roman" w:hAnsi="Times New Roman" w:cs="Times New Roman"/>
          <w:sz w:val="24"/>
          <w:szCs w:val="24"/>
          <w:lang w:val="en-US"/>
        </w:rPr>
      </w:pPr>
      <w:r w:rsidRPr="000E7AD2">
        <w:rPr>
          <w:rFonts w:ascii="Times New Roman" w:eastAsia="Times New Roman" w:hAnsi="Symbol" w:cs="Times New Roman"/>
          <w:sz w:val="24"/>
          <w:szCs w:val="24"/>
          <w:lang w:val="en-US"/>
        </w:rPr>
        <w:t></w:t>
      </w:r>
      <w:r w:rsidRPr="000E7AD2">
        <w:rPr>
          <w:rFonts w:ascii="Times New Roman" w:eastAsia="Times New Roman" w:hAnsi="Times New Roman" w:cs="Times New Roman"/>
          <w:sz w:val="24"/>
          <w:szCs w:val="24"/>
          <w:lang w:val="en-US"/>
        </w:rPr>
        <w:t xml:space="preserve">  </w:t>
      </w:r>
      <w:proofErr w:type="spellStart"/>
      <w:r w:rsidRPr="000E7AD2">
        <w:rPr>
          <w:rFonts w:ascii="Times New Roman" w:eastAsia="Times New Roman" w:hAnsi="Times New Roman" w:cs="Times New Roman"/>
          <w:sz w:val="24"/>
          <w:szCs w:val="24"/>
          <w:lang w:val="en-US"/>
        </w:rPr>
        <w:t>Thaldar</w:t>
      </w:r>
      <w:proofErr w:type="spellEnd"/>
      <w:r w:rsidRPr="000E7AD2">
        <w:rPr>
          <w:rFonts w:ascii="Times New Roman" w:eastAsia="Times New Roman" w:hAnsi="Times New Roman" w:cs="Times New Roman"/>
          <w:sz w:val="24"/>
          <w:szCs w:val="24"/>
          <w:lang w:val="en-US"/>
        </w:rPr>
        <w:t xml:space="preserve">, D. (2024). Editorial: Data governance in African health research: ELSI challenges and solutions. </w:t>
      </w:r>
      <w:r w:rsidRPr="000E7AD2">
        <w:rPr>
          <w:rFonts w:ascii="Times New Roman" w:eastAsia="Times New Roman" w:hAnsi="Times New Roman" w:cs="Times New Roman"/>
          <w:i/>
          <w:iCs/>
          <w:sz w:val="24"/>
          <w:szCs w:val="24"/>
          <w:lang w:val="en-US"/>
        </w:rPr>
        <w:t>Frontiers in Pharmacology, 15</w:t>
      </w:r>
      <w:r w:rsidRPr="000E7AD2">
        <w:rPr>
          <w:rFonts w:ascii="Times New Roman" w:eastAsia="Times New Roman" w:hAnsi="Times New Roman" w:cs="Times New Roman"/>
          <w:sz w:val="24"/>
          <w:szCs w:val="24"/>
          <w:lang w:val="en-US"/>
        </w:rPr>
        <w:t xml:space="preserve">, Article 1525434. </w:t>
      </w:r>
      <w:hyperlink r:id="rId37" w:tgtFrame="_new" w:history="1">
        <w:r w:rsidRPr="000E7AD2">
          <w:rPr>
            <w:rFonts w:ascii="Times New Roman" w:eastAsia="Times New Roman" w:hAnsi="Times New Roman" w:cs="Times New Roman"/>
            <w:color w:val="0000FF"/>
            <w:sz w:val="24"/>
            <w:szCs w:val="24"/>
            <w:u w:val="single"/>
            <w:lang w:val="en-US"/>
          </w:rPr>
          <w:t>https://doi.org/10.3389/fphar.2024.1525434</w:t>
        </w:r>
      </w:hyperlink>
      <w:r w:rsidRPr="000E7AD2">
        <w:rPr>
          <w:rFonts w:ascii="Times New Roman" w:eastAsia="Times New Roman" w:hAnsi="Times New Roman" w:cs="Times New Roman"/>
          <w:sz w:val="24"/>
          <w:szCs w:val="24"/>
          <w:lang w:val="en-US"/>
        </w:rPr>
        <w:t xml:space="preserve"> </w:t>
      </w:r>
    </w:p>
    <w:p w14:paraId="3947C22F" w14:textId="77777777" w:rsidR="000E7AD2" w:rsidRPr="000E7AD2" w:rsidRDefault="000E7AD2" w:rsidP="000E7AD2">
      <w:pPr>
        <w:spacing w:after="0" w:line="240" w:lineRule="auto"/>
        <w:rPr>
          <w:rFonts w:ascii="Times New Roman" w:eastAsia="Times New Roman" w:hAnsi="Times New Roman" w:cs="Times New Roman"/>
          <w:sz w:val="24"/>
          <w:szCs w:val="24"/>
          <w:lang w:val="en-US"/>
        </w:rPr>
      </w:pPr>
      <w:r w:rsidRPr="000E7AD2">
        <w:rPr>
          <w:rFonts w:ascii="Times New Roman" w:eastAsia="Times New Roman" w:hAnsi="Symbol" w:cs="Times New Roman"/>
          <w:sz w:val="24"/>
          <w:szCs w:val="24"/>
          <w:lang w:val="en-US"/>
        </w:rPr>
        <w:t></w:t>
      </w:r>
      <w:r w:rsidRPr="000E7AD2">
        <w:rPr>
          <w:rFonts w:ascii="Times New Roman" w:eastAsia="Times New Roman" w:hAnsi="Times New Roman" w:cs="Times New Roman"/>
          <w:sz w:val="24"/>
          <w:szCs w:val="24"/>
          <w:lang w:val="en-US"/>
        </w:rPr>
        <w:t xml:space="preserve">  Wagner, J. K., Doerr, M., &amp; Schmit, C. D. (2024). AI governance: A challenge for public health. </w:t>
      </w:r>
      <w:r w:rsidRPr="000E7AD2">
        <w:rPr>
          <w:rFonts w:ascii="Times New Roman" w:eastAsia="Times New Roman" w:hAnsi="Times New Roman" w:cs="Times New Roman"/>
          <w:i/>
          <w:iCs/>
          <w:sz w:val="24"/>
          <w:szCs w:val="24"/>
          <w:lang w:val="en-US"/>
        </w:rPr>
        <w:t>JMIR Public Health and Surveillance, 10</w:t>
      </w:r>
      <w:r w:rsidRPr="000E7AD2">
        <w:rPr>
          <w:rFonts w:ascii="Times New Roman" w:eastAsia="Times New Roman" w:hAnsi="Times New Roman" w:cs="Times New Roman"/>
          <w:sz w:val="24"/>
          <w:szCs w:val="24"/>
          <w:lang w:val="en-US"/>
        </w:rPr>
        <w:t xml:space="preserve">, Article e58358. </w:t>
      </w:r>
      <w:hyperlink r:id="rId38" w:tgtFrame="_new" w:history="1">
        <w:r w:rsidRPr="000E7AD2">
          <w:rPr>
            <w:rFonts w:ascii="Times New Roman" w:eastAsia="Times New Roman" w:hAnsi="Times New Roman" w:cs="Times New Roman"/>
            <w:color w:val="0000FF"/>
            <w:sz w:val="24"/>
            <w:szCs w:val="24"/>
            <w:u w:val="single"/>
            <w:lang w:val="en-US"/>
          </w:rPr>
          <w:t>https://doi.org/10.2196/58358</w:t>
        </w:r>
      </w:hyperlink>
      <w:r w:rsidRPr="000E7AD2">
        <w:rPr>
          <w:rFonts w:ascii="Times New Roman" w:eastAsia="Times New Roman" w:hAnsi="Times New Roman" w:cs="Times New Roman"/>
          <w:sz w:val="24"/>
          <w:szCs w:val="24"/>
          <w:lang w:val="en-US"/>
        </w:rPr>
        <w:t xml:space="preserve"> </w:t>
      </w:r>
    </w:p>
    <w:p w14:paraId="10F144D7" w14:textId="77777777" w:rsidR="000E7AD2" w:rsidRPr="000E7AD2" w:rsidRDefault="000E7AD2" w:rsidP="000E7AD2">
      <w:pPr>
        <w:spacing w:after="0" w:line="240" w:lineRule="auto"/>
        <w:rPr>
          <w:rFonts w:ascii="Times New Roman" w:eastAsia="Times New Roman" w:hAnsi="Times New Roman" w:cs="Times New Roman"/>
          <w:sz w:val="24"/>
          <w:szCs w:val="24"/>
          <w:lang w:val="en-US"/>
        </w:rPr>
      </w:pPr>
      <w:r w:rsidRPr="000E7AD2">
        <w:rPr>
          <w:rFonts w:ascii="Times New Roman" w:eastAsia="Times New Roman" w:hAnsi="Symbol" w:cs="Times New Roman"/>
          <w:sz w:val="24"/>
          <w:szCs w:val="24"/>
          <w:lang w:val="en-US"/>
        </w:rPr>
        <w:t></w:t>
      </w:r>
      <w:r w:rsidRPr="000E7AD2">
        <w:rPr>
          <w:rFonts w:ascii="Times New Roman" w:eastAsia="Times New Roman" w:hAnsi="Times New Roman" w:cs="Times New Roman"/>
          <w:sz w:val="24"/>
          <w:szCs w:val="24"/>
          <w:lang w:val="en-US"/>
        </w:rPr>
        <w:t xml:space="preserve">  Wang, H., Song, Y., &amp; Bi, H. (2025). Optimizing public health management with predictive analytics: Leveraging the power of random forest. </w:t>
      </w:r>
      <w:r w:rsidRPr="000E7AD2">
        <w:rPr>
          <w:rFonts w:ascii="Times New Roman" w:eastAsia="Times New Roman" w:hAnsi="Times New Roman" w:cs="Times New Roman"/>
          <w:i/>
          <w:iCs/>
          <w:sz w:val="24"/>
          <w:szCs w:val="24"/>
          <w:lang w:val="en-US"/>
        </w:rPr>
        <w:t>Frontiers in Big Data, 8</w:t>
      </w:r>
      <w:r w:rsidRPr="000E7AD2">
        <w:rPr>
          <w:rFonts w:ascii="Times New Roman" w:eastAsia="Times New Roman" w:hAnsi="Times New Roman" w:cs="Times New Roman"/>
          <w:sz w:val="24"/>
          <w:szCs w:val="24"/>
          <w:lang w:val="en-US"/>
        </w:rPr>
        <w:t xml:space="preserve">, Article 1574683. </w:t>
      </w:r>
      <w:hyperlink r:id="rId39" w:tgtFrame="_new" w:history="1">
        <w:r w:rsidRPr="000E7AD2">
          <w:rPr>
            <w:rFonts w:ascii="Times New Roman" w:eastAsia="Times New Roman" w:hAnsi="Times New Roman" w:cs="Times New Roman"/>
            <w:color w:val="0000FF"/>
            <w:sz w:val="24"/>
            <w:szCs w:val="24"/>
            <w:u w:val="single"/>
            <w:lang w:val="en-US"/>
          </w:rPr>
          <w:t>https://doi.org/10.3389/fdata.2025.1574683</w:t>
        </w:r>
      </w:hyperlink>
      <w:r w:rsidRPr="000E7AD2">
        <w:rPr>
          <w:rFonts w:ascii="Times New Roman" w:eastAsia="Times New Roman" w:hAnsi="Times New Roman" w:cs="Times New Roman"/>
          <w:sz w:val="24"/>
          <w:szCs w:val="24"/>
          <w:lang w:val="en-US"/>
        </w:rPr>
        <w:t xml:space="preserve"> </w:t>
      </w:r>
    </w:p>
    <w:p w14:paraId="12EAB5B0" w14:textId="16A191DF" w:rsidR="000E7AD2" w:rsidRPr="000E7AD2" w:rsidRDefault="000E7AD2" w:rsidP="000E7AD2">
      <w:pPr>
        <w:spacing w:after="0" w:line="240" w:lineRule="auto"/>
        <w:rPr>
          <w:rFonts w:ascii="Times New Roman" w:eastAsia="Times New Roman" w:hAnsi="Times New Roman" w:cs="Times New Roman"/>
          <w:sz w:val="24"/>
          <w:szCs w:val="24"/>
          <w:lang w:val="en-US"/>
        </w:rPr>
      </w:pPr>
      <w:r w:rsidRPr="000E7AD2">
        <w:rPr>
          <w:rFonts w:ascii="Times New Roman" w:eastAsia="Times New Roman" w:hAnsi="Symbol" w:cs="Times New Roman"/>
          <w:sz w:val="24"/>
          <w:szCs w:val="24"/>
          <w:lang w:val="en-US"/>
        </w:rPr>
        <w:lastRenderedPageBreak/>
        <w:t></w:t>
      </w:r>
      <w:r w:rsidRPr="000E7AD2">
        <w:rPr>
          <w:rFonts w:ascii="Times New Roman" w:eastAsia="Times New Roman" w:hAnsi="Times New Roman" w:cs="Times New Roman"/>
          <w:sz w:val="24"/>
          <w:szCs w:val="24"/>
          <w:lang w:val="en-US"/>
        </w:rPr>
        <w:t xml:space="preserve">  Wang, M., Huang, K., Li, X., Zhao, X., Downey, L., </w:t>
      </w:r>
      <w:proofErr w:type="spellStart"/>
      <w:r w:rsidRPr="000E7AD2">
        <w:rPr>
          <w:rFonts w:ascii="Times New Roman" w:eastAsia="Times New Roman" w:hAnsi="Times New Roman" w:cs="Times New Roman"/>
          <w:sz w:val="24"/>
          <w:szCs w:val="24"/>
          <w:lang w:val="en-US"/>
        </w:rPr>
        <w:t>Hassounah</w:t>
      </w:r>
      <w:proofErr w:type="spellEnd"/>
      <w:r w:rsidRPr="000E7AD2">
        <w:rPr>
          <w:rFonts w:ascii="Times New Roman" w:eastAsia="Times New Roman" w:hAnsi="Times New Roman" w:cs="Times New Roman"/>
          <w:sz w:val="24"/>
          <w:szCs w:val="24"/>
          <w:lang w:val="en-US"/>
        </w:rPr>
        <w:t xml:space="preserve">, S., Liu, X., Jin, Y., &amp; Ren, M. (2025). Health workers’ adoption of digital health technology in low- and middle-income countries: A systematic review and meta-analysis. </w:t>
      </w:r>
      <w:r w:rsidRPr="000E7AD2">
        <w:rPr>
          <w:rFonts w:ascii="Times New Roman" w:eastAsia="Times New Roman" w:hAnsi="Times New Roman" w:cs="Times New Roman"/>
          <w:i/>
          <w:iCs/>
          <w:sz w:val="24"/>
          <w:szCs w:val="24"/>
          <w:lang w:val="en-US"/>
        </w:rPr>
        <w:t>Bulletin of the World Health Organization, 103</w:t>
      </w:r>
      <w:r w:rsidRPr="000E7AD2">
        <w:rPr>
          <w:rFonts w:ascii="Times New Roman" w:eastAsia="Times New Roman" w:hAnsi="Times New Roman" w:cs="Times New Roman"/>
          <w:sz w:val="24"/>
          <w:szCs w:val="24"/>
          <w:lang w:val="en-US"/>
        </w:rPr>
        <w:t xml:space="preserve">(2), 126–135F. </w:t>
      </w:r>
      <w:hyperlink r:id="rId40" w:tgtFrame="_new" w:history="1">
        <w:r w:rsidRPr="000E7AD2">
          <w:rPr>
            <w:rFonts w:ascii="Times New Roman" w:eastAsia="Times New Roman" w:hAnsi="Times New Roman" w:cs="Times New Roman"/>
            <w:color w:val="0000FF"/>
            <w:sz w:val="24"/>
            <w:szCs w:val="24"/>
            <w:u w:val="single"/>
            <w:lang w:val="en-US"/>
          </w:rPr>
          <w:t>https://doi.org/10.2471/BLT.24.292157</w:t>
        </w:r>
      </w:hyperlink>
      <w:r w:rsidRPr="000E7AD2">
        <w:rPr>
          <w:rFonts w:ascii="Times New Roman" w:eastAsia="Times New Roman" w:hAnsi="Times New Roman" w:cs="Times New Roman"/>
          <w:sz w:val="24"/>
          <w:szCs w:val="24"/>
          <w:lang w:val="en-US"/>
        </w:rPr>
        <w:t xml:space="preserve">  </w:t>
      </w:r>
    </w:p>
    <w:p w14:paraId="5148E2A6" w14:textId="77777777" w:rsidR="000E7AD2" w:rsidRPr="000E7AD2" w:rsidRDefault="000E7AD2" w:rsidP="000E7AD2">
      <w:pPr>
        <w:spacing w:after="0" w:line="240" w:lineRule="auto"/>
        <w:rPr>
          <w:rFonts w:ascii="Times New Roman" w:eastAsia="Times New Roman" w:hAnsi="Times New Roman" w:cs="Times New Roman"/>
          <w:sz w:val="24"/>
          <w:szCs w:val="24"/>
          <w:lang w:val="en-US"/>
        </w:rPr>
      </w:pPr>
      <w:r w:rsidRPr="000E7AD2">
        <w:rPr>
          <w:rFonts w:ascii="Times New Roman" w:eastAsia="Times New Roman" w:hAnsi="Symbol" w:cs="Times New Roman"/>
          <w:sz w:val="24"/>
          <w:szCs w:val="24"/>
          <w:lang w:val="en-US"/>
        </w:rPr>
        <w:t></w:t>
      </w:r>
      <w:r w:rsidRPr="000E7AD2">
        <w:rPr>
          <w:rFonts w:ascii="Times New Roman" w:eastAsia="Times New Roman" w:hAnsi="Times New Roman" w:cs="Times New Roman"/>
          <w:sz w:val="24"/>
          <w:szCs w:val="24"/>
          <w:lang w:val="en-US"/>
        </w:rPr>
        <w:t xml:space="preserve">  Xu, M., Cao, C., Li, Z., &amp; Zhao, L. (2024). Editorial: Application of spatial information technology in infectious disease surveillance. </w:t>
      </w:r>
      <w:r w:rsidRPr="000E7AD2">
        <w:rPr>
          <w:rFonts w:ascii="Times New Roman" w:eastAsia="Times New Roman" w:hAnsi="Times New Roman" w:cs="Times New Roman"/>
          <w:i/>
          <w:iCs/>
          <w:sz w:val="24"/>
          <w:szCs w:val="24"/>
          <w:lang w:val="en-US"/>
        </w:rPr>
        <w:t>Frontiers in Public Health, 12</w:t>
      </w:r>
      <w:r w:rsidRPr="000E7AD2">
        <w:rPr>
          <w:rFonts w:ascii="Times New Roman" w:eastAsia="Times New Roman" w:hAnsi="Times New Roman" w:cs="Times New Roman"/>
          <w:sz w:val="24"/>
          <w:szCs w:val="24"/>
          <w:lang w:val="en-US"/>
        </w:rPr>
        <w:t xml:space="preserve">, Article 1435397. </w:t>
      </w:r>
      <w:hyperlink r:id="rId41" w:tgtFrame="_new" w:history="1">
        <w:r w:rsidRPr="000E7AD2">
          <w:rPr>
            <w:rFonts w:ascii="Times New Roman" w:eastAsia="Times New Roman" w:hAnsi="Times New Roman" w:cs="Times New Roman"/>
            <w:color w:val="0000FF"/>
            <w:sz w:val="24"/>
            <w:szCs w:val="24"/>
            <w:u w:val="single"/>
            <w:lang w:val="en-US"/>
          </w:rPr>
          <w:t>https://doi.org/10.3389/fpubh.2024.1435397</w:t>
        </w:r>
      </w:hyperlink>
      <w:r w:rsidRPr="000E7AD2">
        <w:rPr>
          <w:rFonts w:ascii="Times New Roman" w:eastAsia="Times New Roman" w:hAnsi="Times New Roman" w:cs="Times New Roman"/>
          <w:sz w:val="24"/>
          <w:szCs w:val="24"/>
          <w:lang w:val="en-US"/>
        </w:rPr>
        <w:t xml:space="preserve"> </w:t>
      </w:r>
    </w:p>
    <w:p w14:paraId="6B82421B" w14:textId="742BDF9B" w:rsidR="000E7AD2" w:rsidRDefault="000E7AD2" w:rsidP="000E7AD2">
      <w:pPr>
        <w:jc w:val="both"/>
      </w:pPr>
      <w:r w:rsidRPr="000E7AD2">
        <w:rPr>
          <w:rFonts w:ascii="Times New Roman" w:eastAsia="Times New Roman" w:hAnsi="Symbol" w:cs="Times New Roman"/>
          <w:sz w:val="24"/>
          <w:szCs w:val="24"/>
          <w:lang w:val="en-US"/>
        </w:rPr>
        <w:t></w:t>
      </w:r>
      <w:r w:rsidRPr="000E7AD2">
        <w:rPr>
          <w:rFonts w:ascii="Times New Roman" w:eastAsia="Times New Roman" w:hAnsi="Times New Roman" w:cs="Times New Roman"/>
          <w:sz w:val="24"/>
          <w:szCs w:val="24"/>
          <w:lang w:val="en-US"/>
        </w:rPr>
        <w:t xml:space="preserve">  Yi, S., Yam, E. L. Y., </w:t>
      </w:r>
      <w:proofErr w:type="spellStart"/>
      <w:r w:rsidRPr="000E7AD2">
        <w:rPr>
          <w:rFonts w:ascii="Times New Roman" w:eastAsia="Times New Roman" w:hAnsi="Times New Roman" w:cs="Times New Roman"/>
          <w:sz w:val="24"/>
          <w:szCs w:val="24"/>
          <w:lang w:val="en-US"/>
        </w:rPr>
        <w:t>Cheruvettolil</w:t>
      </w:r>
      <w:proofErr w:type="spellEnd"/>
      <w:r w:rsidRPr="000E7AD2">
        <w:rPr>
          <w:rFonts w:ascii="Times New Roman" w:eastAsia="Times New Roman" w:hAnsi="Times New Roman" w:cs="Times New Roman"/>
          <w:sz w:val="24"/>
          <w:szCs w:val="24"/>
          <w:lang w:val="en-US"/>
        </w:rPr>
        <w:t xml:space="preserve">, K., Linos, E., Gupta, A., Palaniappan, L. P., Rajeshuni, N. A., Vaska, K. G., Schulman, K. A., &amp; Eggleston, K. N. (2024). Perspectives of digital health innovations in low- and middle-income health care systems from South and Southeast Asia. </w:t>
      </w:r>
      <w:r w:rsidRPr="000E7AD2">
        <w:rPr>
          <w:rFonts w:ascii="Times New Roman" w:eastAsia="Times New Roman" w:hAnsi="Times New Roman" w:cs="Times New Roman"/>
          <w:i/>
          <w:iCs/>
          <w:sz w:val="24"/>
          <w:szCs w:val="24"/>
          <w:lang w:val="en-US"/>
        </w:rPr>
        <w:t>Journal of Medical Internet Research, 26</w:t>
      </w:r>
      <w:r w:rsidRPr="000E7AD2">
        <w:rPr>
          <w:rFonts w:ascii="Times New Roman" w:eastAsia="Times New Roman" w:hAnsi="Times New Roman" w:cs="Times New Roman"/>
          <w:sz w:val="24"/>
          <w:szCs w:val="24"/>
          <w:lang w:val="en-US"/>
        </w:rPr>
        <w:t xml:space="preserve">, Article e57612. </w:t>
      </w:r>
      <w:hyperlink r:id="rId42" w:tgtFrame="_new" w:history="1">
        <w:r w:rsidRPr="000E7AD2">
          <w:rPr>
            <w:rFonts w:ascii="Times New Roman" w:eastAsia="Times New Roman" w:hAnsi="Times New Roman" w:cs="Times New Roman"/>
            <w:color w:val="0000FF"/>
            <w:sz w:val="24"/>
            <w:szCs w:val="24"/>
            <w:u w:val="single"/>
            <w:lang w:val="en-US"/>
          </w:rPr>
          <w:t>https://doi.org/10.2196/57612</w:t>
        </w:r>
      </w:hyperlink>
    </w:p>
    <w:sectPr w:rsidR="000E7AD2" w:rsidSect="004841B3">
      <w:headerReference w:type="even" r:id="rId43"/>
      <w:headerReference w:type="default" r:id="rId44"/>
      <w:footerReference w:type="even" r:id="rId45"/>
      <w:footerReference w:type="default" r:id="rId46"/>
      <w:headerReference w:type="first" r:id="rId47"/>
      <w:footerReference w:type="first" r:id="rId4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96C66" w14:textId="77777777" w:rsidR="00E224EE" w:rsidRDefault="00E224EE" w:rsidP="005810AB">
      <w:pPr>
        <w:spacing w:after="0" w:line="240" w:lineRule="auto"/>
      </w:pPr>
      <w:r>
        <w:separator/>
      </w:r>
    </w:p>
  </w:endnote>
  <w:endnote w:type="continuationSeparator" w:id="0">
    <w:p w14:paraId="51C5449C" w14:textId="77777777" w:rsidR="00E224EE" w:rsidRDefault="00E224EE" w:rsidP="00581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BE190" w14:textId="77777777" w:rsidR="005810AB" w:rsidRDefault="005810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4A91D" w14:textId="77777777" w:rsidR="005810AB" w:rsidRDefault="005810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3A7C3" w14:textId="77777777" w:rsidR="005810AB" w:rsidRDefault="005810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A620C" w14:textId="77777777" w:rsidR="00E224EE" w:rsidRDefault="00E224EE" w:rsidP="005810AB">
      <w:pPr>
        <w:spacing w:after="0" w:line="240" w:lineRule="auto"/>
      </w:pPr>
      <w:r>
        <w:separator/>
      </w:r>
    </w:p>
  </w:footnote>
  <w:footnote w:type="continuationSeparator" w:id="0">
    <w:p w14:paraId="56A6898B" w14:textId="77777777" w:rsidR="00E224EE" w:rsidRDefault="00E224EE" w:rsidP="005810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A12E3" w14:textId="77777777" w:rsidR="005810AB" w:rsidRDefault="00E224EE">
    <w:pPr>
      <w:pStyle w:val="Header"/>
    </w:pPr>
    <w:r>
      <w:rPr>
        <w:noProof/>
      </w:rPr>
      <w:pict w14:anchorId="509717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604876"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A4B3B" w14:textId="77777777" w:rsidR="005810AB" w:rsidRDefault="00E224EE">
    <w:pPr>
      <w:pStyle w:val="Header"/>
    </w:pPr>
    <w:r>
      <w:rPr>
        <w:noProof/>
      </w:rPr>
      <w:pict w14:anchorId="0F9584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604877"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696" w14:textId="77777777" w:rsidR="005810AB" w:rsidRDefault="00E224EE">
    <w:pPr>
      <w:pStyle w:val="Header"/>
    </w:pPr>
    <w:r>
      <w:rPr>
        <w:noProof/>
      </w:rPr>
      <w:pict w14:anchorId="641778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604875"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33E04"/>
    <w:multiLevelType w:val="hybridMultilevel"/>
    <w:tmpl w:val="AE7A2B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2E3C4F"/>
    <w:multiLevelType w:val="hybridMultilevel"/>
    <w:tmpl w:val="B2642E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FA1847"/>
    <w:multiLevelType w:val="hybridMultilevel"/>
    <w:tmpl w:val="3BD01E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C1118A"/>
    <w:multiLevelType w:val="hybridMultilevel"/>
    <w:tmpl w:val="3BD6D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0527838">
    <w:abstractNumId w:val="1"/>
  </w:num>
  <w:num w:numId="2" w16cid:durableId="344285457">
    <w:abstractNumId w:val="2"/>
  </w:num>
  <w:num w:numId="3" w16cid:durableId="2130127696">
    <w:abstractNumId w:val="0"/>
  </w:num>
  <w:num w:numId="4" w16cid:durableId="447660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mailMerge>
    <w:mainDocumentType w:val="email"/>
    <w:dataType w:val="textFile"/>
    <w:activeRecord w:val="-1"/>
  </w:mailMerg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jc1MTM0NjKwsDA2MzJT0lEKTi0uzszPAykwrAUAci3poywAAAA="/>
  </w:docVars>
  <w:rsids>
    <w:rsidRoot w:val="003C1BA8"/>
    <w:rsid w:val="00086A35"/>
    <w:rsid w:val="000E7AD2"/>
    <w:rsid w:val="001D08F2"/>
    <w:rsid w:val="002A0745"/>
    <w:rsid w:val="00345F3B"/>
    <w:rsid w:val="0038616C"/>
    <w:rsid w:val="003A0022"/>
    <w:rsid w:val="003A6A24"/>
    <w:rsid w:val="003C1BA8"/>
    <w:rsid w:val="003E16CF"/>
    <w:rsid w:val="003E4042"/>
    <w:rsid w:val="004841B3"/>
    <w:rsid w:val="004B690C"/>
    <w:rsid w:val="005650B4"/>
    <w:rsid w:val="005810AB"/>
    <w:rsid w:val="00800149"/>
    <w:rsid w:val="00824882"/>
    <w:rsid w:val="008366D6"/>
    <w:rsid w:val="0084570C"/>
    <w:rsid w:val="00893A52"/>
    <w:rsid w:val="00895688"/>
    <w:rsid w:val="00A528CF"/>
    <w:rsid w:val="00AB1203"/>
    <w:rsid w:val="00AD3384"/>
    <w:rsid w:val="00BB529E"/>
    <w:rsid w:val="00E224EE"/>
    <w:rsid w:val="00F0383A"/>
    <w:rsid w:val="00F740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1250C"/>
  <w15:docId w15:val="{B2699911-569B-4B66-BEDD-4B80D84C7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3C1BA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3C1BA8"/>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3C1BA8"/>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Shading1-Accent1">
    <w:name w:val="Medium Shading 1 Accent 1"/>
    <w:basedOn w:val="TableNormal"/>
    <w:uiPriority w:val="63"/>
    <w:rsid w:val="0082488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2Char">
    <w:name w:val="Heading 2 Char"/>
    <w:basedOn w:val="DefaultParagraphFont"/>
    <w:link w:val="Heading2"/>
    <w:uiPriority w:val="9"/>
    <w:rsid w:val="003C1BA8"/>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3C1BA8"/>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3C1BA8"/>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3C1BA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C1BA8"/>
    <w:rPr>
      <w:b/>
      <w:bCs/>
    </w:rPr>
  </w:style>
  <w:style w:type="character" w:styleId="Emphasis">
    <w:name w:val="Emphasis"/>
    <w:basedOn w:val="DefaultParagraphFont"/>
    <w:uiPriority w:val="20"/>
    <w:qFormat/>
    <w:rsid w:val="003C1BA8"/>
    <w:rPr>
      <w:i/>
      <w:iCs/>
    </w:rPr>
  </w:style>
  <w:style w:type="character" w:styleId="Hyperlink">
    <w:name w:val="Hyperlink"/>
    <w:basedOn w:val="DefaultParagraphFont"/>
    <w:uiPriority w:val="99"/>
    <w:semiHidden/>
    <w:unhideWhenUsed/>
    <w:rsid w:val="003C1BA8"/>
    <w:rPr>
      <w:color w:val="0000FF"/>
      <w:u w:val="single"/>
    </w:rPr>
  </w:style>
  <w:style w:type="paragraph" w:styleId="ListParagraph">
    <w:name w:val="List Paragraph"/>
    <w:basedOn w:val="Normal"/>
    <w:uiPriority w:val="34"/>
    <w:qFormat/>
    <w:rsid w:val="003C1BA8"/>
    <w:pPr>
      <w:ind w:left="720"/>
      <w:contextualSpacing/>
    </w:pPr>
  </w:style>
  <w:style w:type="paragraph" w:customStyle="1" w:styleId="pdq2pgselectionanchorcontainer">
    <w:name w:val="pdq2pg_selectionanchorcontainer"/>
    <w:basedOn w:val="Normal"/>
    <w:rsid w:val="003C1BA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3C1BA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5810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10AB"/>
  </w:style>
  <w:style w:type="paragraph" w:styleId="Footer">
    <w:name w:val="footer"/>
    <w:basedOn w:val="Normal"/>
    <w:link w:val="FooterChar"/>
    <w:uiPriority w:val="99"/>
    <w:unhideWhenUsed/>
    <w:rsid w:val="005810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10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146424">
      <w:bodyDiv w:val="1"/>
      <w:marLeft w:val="0"/>
      <w:marRight w:val="0"/>
      <w:marTop w:val="0"/>
      <w:marBottom w:val="0"/>
      <w:divBdr>
        <w:top w:val="none" w:sz="0" w:space="0" w:color="auto"/>
        <w:left w:val="none" w:sz="0" w:space="0" w:color="auto"/>
        <w:bottom w:val="none" w:sz="0" w:space="0" w:color="auto"/>
        <w:right w:val="none" w:sz="0" w:space="0" w:color="auto"/>
      </w:divBdr>
      <w:divsChild>
        <w:div w:id="364335510">
          <w:marLeft w:val="0"/>
          <w:marRight w:val="0"/>
          <w:marTop w:val="0"/>
          <w:marBottom w:val="0"/>
          <w:divBdr>
            <w:top w:val="none" w:sz="0" w:space="0" w:color="auto"/>
            <w:left w:val="none" w:sz="0" w:space="0" w:color="auto"/>
            <w:bottom w:val="none" w:sz="0" w:space="0" w:color="auto"/>
            <w:right w:val="none" w:sz="0" w:space="0" w:color="auto"/>
          </w:divBdr>
        </w:div>
        <w:div w:id="170024070">
          <w:marLeft w:val="0"/>
          <w:marRight w:val="0"/>
          <w:marTop w:val="0"/>
          <w:marBottom w:val="0"/>
          <w:divBdr>
            <w:top w:val="none" w:sz="0" w:space="0" w:color="auto"/>
            <w:left w:val="none" w:sz="0" w:space="0" w:color="auto"/>
            <w:bottom w:val="none" w:sz="0" w:space="0" w:color="auto"/>
            <w:right w:val="none" w:sz="0" w:space="0" w:color="auto"/>
          </w:divBdr>
        </w:div>
        <w:div w:id="422461302">
          <w:marLeft w:val="0"/>
          <w:marRight w:val="0"/>
          <w:marTop w:val="0"/>
          <w:marBottom w:val="0"/>
          <w:divBdr>
            <w:top w:val="none" w:sz="0" w:space="0" w:color="auto"/>
            <w:left w:val="none" w:sz="0" w:space="0" w:color="auto"/>
            <w:bottom w:val="none" w:sz="0" w:space="0" w:color="auto"/>
            <w:right w:val="none" w:sz="0" w:space="0" w:color="auto"/>
          </w:divBdr>
        </w:div>
        <w:div w:id="603462217">
          <w:marLeft w:val="0"/>
          <w:marRight w:val="0"/>
          <w:marTop w:val="0"/>
          <w:marBottom w:val="0"/>
          <w:divBdr>
            <w:top w:val="none" w:sz="0" w:space="0" w:color="auto"/>
            <w:left w:val="none" w:sz="0" w:space="0" w:color="auto"/>
            <w:bottom w:val="none" w:sz="0" w:space="0" w:color="auto"/>
            <w:right w:val="none" w:sz="0" w:space="0" w:color="auto"/>
          </w:divBdr>
        </w:div>
        <w:div w:id="1631787833">
          <w:marLeft w:val="0"/>
          <w:marRight w:val="0"/>
          <w:marTop w:val="0"/>
          <w:marBottom w:val="0"/>
          <w:divBdr>
            <w:top w:val="none" w:sz="0" w:space="0" w:color="auto"/>
            <w:left w:val="none" w:sz="0" w:space="0" w:color="auto"/>
            <w:bottom w:val="none" w:sz="0" w:space="0" w:color="auto"/>
            <w:right w:val="none" w:sz="0" w:space="0" w:color="auto"/>
          </w:divBdr>
        </w:div>
        <w:div w:id="1858424885">
          <w:marLeft w:val="0"/>
          <w:marRight w:val="0"/>
          <w:marTop w:val="0"/>
          <w:marBottom w:val="0"/>
          <w:divBdr>
            <w:top w:val="none" w:sz="0" w:space="0" w:color="auto"/>
            <w:left w:val="none" w:sz="0" w:space="0" w:color="auto"/>
            <w:bottom w:val="none" w:sz="0" w:space="0" w:color="auto"/>
            <w:right w:val="none" w:sz="0" w:space="0" w:color="auto"/>
          </w:divBdr>
        </w:div>
      </w:divsChild>
    </w:div>
    <w:div w:id="75189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jacadv.2024.101045" TargetMode="External"/><Relationship Id="rId18" Type="http://schemas.openxmlformats.org/officeDocument/2006/relationships/hyperlink" Target="https://doi.org/10.1111/eci.12931" TargetMode="External"/><Relationship Id="rId26" Type="http://schemas.openxmlformats.org/officeDocument/2006/relationships/hyperlink" Target="https://doi.org/10.3390/tropicalmed8070366" TargetMode="External"/><Relationship Id="rId39" Type="http://schemas.openxmlformats.org/officeDocument/2006/relationships/hyperlink" Target="https://doi.org/10.3389/fdata.2025.1574683" TargetMode="External"/><Relationship Id="rId21" Type="http://schemas.openxmlformats.org/officeDocument/2006/relationships/hyperlink" Target="https://doi.org/10.34133/2022/9893703" TargetMode="External"/><Relationship Id="rId34" Type="http://schemas.openxmlformats.org/officeDocument/2006/relationships/hyperlink" Target="https://doi.org/10.3389/fpubh.2023.1349985" TargetMode="External"/><Relationship Id="rId42" Type="http://schemas.openxmlformats.org/officeDocument/2006/relationships/hyperlink" Target="https://doi.org/10.2196/57612"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hyperlink" Target="https://doi.org/10.1186/s12961-023-01089-0" TargetMode="External"/><Relationship Id="rId2" Type="http://schemas.openxmlformats.org/officeDocument/2006/relationships/styles" Target="styles.xml"/><Relationship Id="rId16" Type="http://schemas.openxmlformats.org/officeDocument/2006/relationships/hyperlink" Target="https://doi.org/10.1093/heapol/czag046" TargetMode="External"/><Relationship Id="rId29" Type="http://schemas.openxmlformats.org/officeDocument/2006/relationships/hyperlink" Target="https://doi.org/10.3389/fpubh.2026.1766682" TargetMode="External"/><Relationship Id="rId11" Type="http://schemas.openxmlformats.org/officeDocument/2006/relationships/hyperlink" Target="https://doi.org/10.23889/ijpds.v7i3.2062" TargetMode="External"/><Relationship Id="rId24" Type="http://schemas.openxmlformats.org/officeDocument/2006/relationships/hyperlink" Target="https://doi.org/10.1177/14604582241294217" TargetMode="External"/><Relationship Id="rId32" Type="http://schemas.openxmlformats.org/officeDocument/2006/relationships/hyperlink" Target="https://doi.org/10.3389/fpubh.2023.999958" TargetMode="External"/><Relationship Id="rId37" Type="http://schemas.openxmlformats.org/officeDocument/2006/relationships/hyperlink" Target="https://doi.org/10.3389/fphar.2024.1525434" TargetMode="External"/><Relationship Id="rId40" Type="http://schemas.openxmlformats.org/officeDocument/2006/relationships/hyperlink" Target="https://doi.org/10.2471/BLT.24.292157"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oi.org/10.3389/fpubh.2022.1010055" TargetMode="External"/><Relationship Id="rId23" Type="http://schemas.openxmlformats.org/officeDocument/2006/relationships/hyperlink" Target="https://doi.org/10.1016/j.heliyon.2024.e26297" TargetMode="External"/><Relationship Id="rId28" Type="http://schemas.openxmlformats.org/officeDocument/2006/relationships/hyperlink" Target="https://doi.org/10.1186/s12889-024-17841-2" TargetMode="External"/><Relationship Id="rId36" Type="http://schemas.openxmlformats.org/officeDocument/2006/relationships/hyperlink" Target="https://doi.org/10.2196/59042" TargetMode="External"/><Relationship Id="rId49" Type="http://schemas.openxmlformats.org/officeDocument/2006/relationships/fontTable" Target="fontTable.xml"/><Relationship Id="rId10" Type="http://schemas.openxmlformats.org/officeDocument/2006/relationships/hyperlink" Target="https://doi.org/10.1016/j.puhe.2023.10.024" TargetMode="External"/><Relationship Id="rId19" Type="http://schemas.openxmlformats.org/officeDocument/2006/relationships/hyperlink" Target="https://doi.org/10.1057/s41271-024-00535-9" TargetMode="External"/><Relationship Id="rId31" Type="http://schemas.openxmlformats.org/officeDocument/2006/relationships/hyperlink" Target="https://doi.org/10.2196/64969" TargetMode="External"/><Relationship Id="rId44"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doi.org/10.1186/s12942-018-0157-5" TargetMode="External"/><Relationship Id="rId14" Type="http://schemas.openxmlformats.org/officeDocument/2006/relationships/hyperlink" Target="https://doi.org/10.3389/fpubh.2022.1090303" TargetMode="External"/><Relationship Id="rId22" Type="http://schemas.openxmlformats.org/officeDocument/2006/relationships/hyperlink" Target="https://doi.org/10.3390/ijerph20031785" TargetMode="External"/><Relationship Id="rId27" Type="http://schemas.openxmlformats.org/officeDocument/2006/relationships/hyperlink" Target="https://doi.org/10.23889/ijpds.v7i3.1958" TargetMode="External"/><Relationship Id="rId30" Type="http://schemas.openxmlformats.org/officeDocument/2006/relationships/hyperlink" Target="https://doi.org/10.2196/52587" TargetMode="External"/><Relationship Id="rId35" Type="http://schemas.openxmlformats.org/officeDocument/2006/relationships/hyperlink" Target="https://doi.org/10.2807/1560-7917.ES.2025.30.19.2400185"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hyperlink" Target="https://doi.org/10.1186/s41073-019-0064-8" TargetMode="External"/><Relationship Id="rId3" Type="http://schemas.openxmlformats.org/officeDocument/2006/relationships/settings" Target="settings.xml"/><Relationship Id="rId12" Type="http://schemas.openxmlformats.org/officeDocument/2006/relationships/hyperlink" Target="https://doi.org/10.5888/pcd21.240245" TargetMode="External"/><Relationship Id="rId17" Type="http://schemas.openxmlformats.org/officeDocument/2006/relationships/hyperlink" Target="https://doi.org/10.3389/fdgth.2024.1330160" TargetMode="External"/><Relationship Id="rId25" Type="http://schemas.openxmlformats.org/officeDocument/2006/relationships/hyperlink" Target="https://doi.org/10.1186/s12960-025-01043-x" TargetMode="External"/><Relationship Id="rId33" Type="http://schemas.openxmlformats.org/officeDocument/2006/relationships/hyperlink" Target="https://doi.org/10.1371/journal.pone.0281819" TargetMode="External"/><Relationship Id="rId38" Type="http://schemas.openxmlformats.org/officeDocument/2006/relationships/hyperlink" Target="https://doi.org/10.2196/58358" TargetMode="External"/><Relationship Id="rId46" Type="http://schemas.openxmlformats.org/officeDocument/2006/relationships/footer" Target="footer2.xml"/><Relationship Id="rId20" Type="http://schemas.openxmlformats.org/officeDocument/2006/relationships/hyperlink" Target="https://doi.org/10.3389/fpubh.2025.1643180" TargetMode="External"/><Relationship Id="rId41" Type="http://schemas.openxmlformats.org/officeDocument/2006/relationships/hyperlink" Target="https://doi.org/10.3389/fpubh.2024.1435397"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18</Pages>
  <Words>9142</Words>
  <Characters>52111</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SDI 1087</cp:lastModifiedBy>
  <cp:revision>13</cp:revision>
  <dcterms:created xsi:type="dcterms:W3CDTF">2026-06-30T17:03:00Z</dcterms:created>
  <dcterms:modified xsi:type="dcterms:W3CDTF">2026-07-04T09:27:00Z</dcterms:modified>
</cp:coreProperties>
</file>