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4CA77" w14:textId="77777777" w:rsidR="008665DB" w:rsidRPr="008665DB" w:rsidRDefault="008665DB" w:rsidP="00D718CA">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8665DB">
        <w:rPr>
          <w:rFonts w:ascii="Times New Roman" w:eastAsia="Times New Roman" w:hAnsi="Times New Roman" w:cs="Times New Roman"/>
          <w:b/>
          <w:bCs/>
          <w:sz w:val="36"/>
          <w:szCs w:val="36"/>
          <w:lang w:eastAsia="en-GB"/>
        </w:rPr>
        <w:t>Artificial Intelligence for Malnutrition Prediction: Integrating Clinical, Socioeconomic, and Environmental Determinants for Sustainable Development</w:t>
      </w:r>
    </w:p>
    <w:p w14:paraId="2E0804EF"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04B2062A"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Abstract</w:t>
      </w:r>
    </w:p>
    <w:p w14:paraId="3CA33BB8"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Malnutrition in all its forms continues to represent one of the most severe and preventable threats to human health and development, affecting an estimated 2.5 billion people globally and imposing profound burdens on low- and middle-income countries. Conventional nutrition surveillance tools remain episodic, resource-intensive, and inadequate for capturing the complex multidimensional determinants — clinical, socioeconomic, and environmental — that collectively drive malnutrition outcomes. The rapid maturation of artificial intelligence (AI) and machine learning (ML) offers transformative possibilities for malnutrition prediction by enabling the integration of heterogeneous data streams at scales and resolutions previously beyond reach. This review critically examines the application of AI approaches — including supervised ML algorithms, deep learning architectures, natural language processing (NLP), and geospatial analytics — to malnutrition prediction across diverse populations and contexts. It evaluates the evidence for multi-domain data integration within predictive frameworks, situates these developments within the agenda of the United Nations Sustainable Development Goals (SDGs), and identifies critical gaps concerning algorithmic bias, model interpretability, data privacy, and equitable deployment in resource-constrained settings. Evidence indicates that ensemble ML models incorporating remotely sensed environmental data, household socioeconomic indicators, and clinical measurements achieve substantially improved predictive performance relative to single-domain approaches. Significant barriers persist, however, particularly with respect to data governance, infrastructure deficits, and ethical accountability. This review calls for a transdisciplinary research agenda uniting nutrition science, data science, environmental epidemiology, and development policy to harness AI responsibly for malnutrition prevention and management, in alignment with the ambitions of sustainable development.</w:t>
      </w:r>
    </w:p>
    <w:p w14:paraId="5D36E01A" w14:textId="2FBC9933"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Keywords:</w:t>
      </w:r>
      <w:r w:rsidRPr="008665DB">
        <w:rPr>
          <w:rFonts w:ascii="Times New Roman" w:eastAsia="Times New Roman" w:hAnsi="Times New Roman" w:cs="Times New Roman"/>
          <w:sz w:val="24"/>
          <w:szCs w:val="24"/>
          <w:lang w:eastAsia="en-GB"/>
        </w:rPr>
        <w:t xml:space="preserve"> </w:t>
      </w:r>
      <w:r w:rsidR="00D718CA">
        <w:rPr>
          <w:rFonts w:ascii="Times New Roman" w:eastAsia="Times New Roman" w:hAnsi="Times New Roman" w:cs="Times New Roman"/>
          <w:sz w:val="24"/>
          <w:szCs w:val="24"/>
          <w:lang w:eastAsia="en-GB"/>
        </w:rPr>
        <w:t>A</w:t>
      </w:r>
      <w:r w:rsidRPr="008665DB">
        <w:rPr>
          <w:rFonts w:ascii="Times New Roman" w:eastAsia="Times New Roman" w:hAnsi="Times New Roman" w:cs="Times New Roman"/>
          <w:sz w:val="24"/>
          <w:szCs w:val="24"/>
          <w:lang w:eastAsia="en-GB"/>
        </w:rPr>
        <w:t>rtificial intelligence; machine learning; malnutrition prediction; stunting; wasting; food security; sustainable development goals; geospatial analysis; deep learning; socioeconomic determinants</w:t>
      </w:r>
    </w:p>
    <w:p w14:paraId="1D40329E"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42E2A3D3"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1. Introduction</w:t>
      </w:r>
    </w:p>
    <w:p w14:paraId="0BB3B9FC"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1.1 The Global Burden of Malnutrition</w:t>
      </w:r>
    </w:p>
    <w:p w14:paraId="08F2B458"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Malnutrition in all its forms — undernutrition, micronutrient deficiency, and overweight — constitutes one of the gravest and most enduring challenges in global public health. According to the United Nations joint estimates, approximately 148 million children under the age of five years were stunted (low height-for-age), 45 million were wasted (low weight-for-height), and 37 million were overweight globally in 2022, with the disproportionate burden concentrated in Sub-Saharan Africa and South Asia (UNICEF, WHO, &amp; World Bank, </w:t>
      </w:r>
      <w:r w:rsidRPr="008665DB">
        <w:rPr>
          <w:rFonts w:ascii="Times New Roman" w:eastAsia="Times New Roman" w:hAnsi="Times New Roman" w:cs="Times New Roman"/>
          <w:sz w:val="24"/>
          <w:szCs w:val="24"/>
          <w:lang w:eastAsia="en-GB"/>
        </w:rPr>
        <w:lastRenderedPageBreak/>
        <w:t>2023). These figures represent not only a failure of food systems and health infrastructure but a profound violation of children's rights to health and development. The consequences of early-onset undernutrition extend far beyond childhood, with a well-documented continuum linking growth faltering to impaired cognitive development, reduced educational attainment, diminished economic productivity, and heightened vulnerability to non-communicable diseases in adult life (Black et al., 2013). The global hunger situation has further deteriorated in recent years; the Food and Agriculture Organization of the United Nations estimated that between 691 and 783 million people experienced hunger in 2022, and projections indicate that, under current trajectories, the world will not achieve the goal of zero hunger by 2030 (FAO, IFAD, UNICEF, WFP, &amp; WHO, 2023).</w:t>
      </w:r>
    </w:p>
    <w:p w14:paraId="61FD457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aetiology of malnutrition is inherently multidimensional, and this complexity is a defining feature of the problem that any serious analytical approach must confront. The conceptual framework developed over three decades by the United Nations Children's Fund classifies the causes of child malnutrition across three nested levels: immediate causes at the individual level (inadequate dietary intake and disease), underlying causes at the household and community level (food insecurity, inadequate caregiving, and poor water, sanitation, and hygiene [WASH] environments), and basic causes at the structural level (poverty, inequality, governance, and the political economy of food) (Black et al., 2008; Black et al., 2013). This hierarchy underscores the inadequacy of purely clinical approaches to prediction and prevention, and demands that analytical frameworks encompass the broader social, economic, and environmental determinants of nutritional status.</w:t>
      </w:r>
    </w:p>
    <w:p w14:paraId="4C5FF573"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1.2 Limitations of Conventional Nutrition Surveillance</w:t>
      </w:r>
    </w:p>
    <w:p w14:paraId="18580E3A"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Despite substantial international investments in nutrition surveillance over recent decades, existing systems remain insufficient in timeliness, geographic resolution, and analytical scope. Conventional approaches to identifying malnutrition risk — including mid-upper arm circumference (MUAC) measurement, anthropometric surveys, and dietary recall instruments — are labour-intensive, episodic, and dependent on health systems that are characteristically under-resourced in high-burden settings (Victora et al., 2021). National nutrition surveys such as Demographic and Health Surveys (DHS) and Multiple Indicator Cluster Surveys (MICS) provide population-level estimates but are conducted at multi-year intervals, rendering them unsuitable for real-time risk stratification or timely early warning. Classical statistical methods — principally logistic regression and analysis of variance — that have long anchored nutrition epidemiology are limited in their capacity to capture the nonlinear and interactive relationships among the many determinants of malnutrition, and they perform poorly when confronted with high-dimensional, heterogeneous datasets that combine clinical measurements, household survey variables, and environmental indicators (Obermeyer &amp; Emanuel, 2016).</w:t>
      </w:r>
    </w:p>
    <w:p w14:paraId="371AD050" w14:textId="57C62E4D" w:rsidR="008665DB" w:rsidRPr="00D718CA"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The COVID-19 pandemic exposed the full fragility of existing surveillance infrastructure with particular clarity, disrupting data collection, straining health system capacity, and exacerbating nutritional vulnerabilities across virtually every world region (Akseer et al., 2020). The compounding effects of conflict, climate shocks, and economic instability have further amplified the inadequacy of conventional approaches. There is, therefore, an urgent need for scalable, adaptive, and data-driven tools capable of integrating diverse data streams to identify at-risk individuals and populations with greater precision, timeliness, and </w:t>
      </w:r>
      <w:r w:rsidRPr="008665DB">
        <w:rPr>
          <w:rFonts w:ascii="Times New Roman" w:eastAsia="Times New Roman" w:hAnsi="Times New Roman" w:cs="Times New Roman"/>
          <w:sz w:val="24"/>
          <w:szCs w:val="24"/>
          <w:lang w:eastAsia="en-GB"/>
        </w:rPr>
        <w:lastRenderedPageBreak/>
        <w:t>contextual relevance than current methods permit.</w:t>
      </w:r>
      <w:r w:rsidR="00D718CA">
        <w:rPr>
          <w:rFonts w:ascii="Times New Roman" w:eastAsia="Times New Roman" w:hAnsi="Times New Roman" w:cs="Times New Roman"/>
          <w:sz w:val="24"/>
          <w:szCs w:val="24"/>
          <w:lang w:eastAsia="en-GB"/>
        </w:rPr>
        <w:t xml:space="preserve"> </w:t>
      </w:r>
      <w:r w:rsidRPr="00D718CA">
        <w:rPr>
          <w:bCs/>
          <w:sz w:val="24"/>
          <w:szCs w:val="24"/>
          <w:highlight w:val="yellow"/>
        </w:rPr>
        <w:t>Recent district-level work from Somalia further supports this direction, showing that rainfall, vegetation quality, food security, crop production and demographic indicators can be combined with tree-based machine-learning methods to strengthen acute malnutrition forecasting (Reusken et al., 2025).</w:t>
      </w:r>
    </w:p>
    <w:p w14:paraId="32C4A12D"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1.3 Emergence of Artificial Intelligence in Nutritional Science</w:t>
      </w:r>
    </w:p>
    <w:p w14:paraId="1AB65226" w14:textId="2071F968"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The deployment of AI in medicine and public health has accelerated dramatically over the past decade, propelled by advances in computational power, algorithmic development, and the proliferation of large-scale digital datasets. ML algorithms — including random forests (RFs), gradient boosting machines, support vector machines (SVMs), and deep neural networks (DNNs) — have demonstrated capacity to detect complex patterns in high-dimensional data that elude conventional statistical techniques </w:t>
      </w:r>
      <w:r w:rsidRPr="008665DB">
        <w:rPr>
          <w:rFonts w:ascii="Times New Roman" w:eastAsia="Times New Roman" w:hAnsi="Times New Roman" w:cs="Times New Roman"/>
          <w:b/>
          <w:bCs/>
          <w:sz w:val="24"/>
          <w:szCs w:val="24"/>
          <w:lang w:eastAsia="en-GB"/>
        </w:rPr>
        <w:t>(LeCun et al., 2015)</w:t>
      </w:r>
      <w:r w:rsidRPr="008665DB">
        <w:rPr>
          <w:rFonts w:ascii="Times New Roman" w:eastAsia="Times New Roman" w:hAnsi="Times New Roman" w:cs="Times New Roman"/>
          <w:sz w:val="24"/>
          <w:szCs w:val="24"/>
          <w:lang w:eastAsia="en-GB"/>
        </w:rPr>
        <w:t xml:space="preserve">. Topol (2019) characterised this convergence of human and artificial intelligence in medicine as a fundamental transformation of clinical practice, enabling diagnostic and prognostic capabilities that challenge and often surpass those of individual clinicians in specific domains. In global health more broadly, AI has been applied to disease surveillance, epidemic forecasting, clinical diagnosis, and health systems planning, with a growing body of evidence supporting utility in low- and middle-income countries (LMICs) </w:t>
      </w:r>
      <w:r w:rsidRPr="008665DB">
        <w:rPr>
          <w:rFonts w:ascii="Times New Roman" w:eastAsia="Times New Roman" w:hAnsi="Times New Roman" w:cs="Times New Roman"/>
          <w:b/>
          <w:bCs/>
          <w:sz w:val="24"/>
          <w:szCs w:val="24"/>
          <w:lang w:eastAsia="en-GB"/>
        </w:rPr>
        <w:t>(Wahl et al., 2018)</w:t>
      </w:r>
      <w:r w:rsidRPr="008665DB">
        <w:rPr>
          <w:rFonts w:ascii="Times New Roman" w:eastAsia="Times New Roman" w:hAnsi="Times New Roman" w:cs="Times New Roman"/>
          <w:sz w:val="24"/>
          <w:szCs w:val="24"/>
          <w:lang w:eastAsia="en-GB"/>
        </w:rPr>
        <w:t>.</w:t>
      </w:r>
      <w:r w:rsidR="00D718CA">
        <w:rPr>
          <w:rFonts w:ascii="Times New Roman" w:eastAsia="Times New Roman" w:hAnsi="Times New Roman" w:cs="Times New Roman"/>
          <w:sz w:val="24"/>
          <w:szCs w:val="24"/>
          <w:lang w:eastAsia="en-GB"/>
        </w:rPr>
        <w:t xml:space="preserve"> </w:t>
      </w:r>
      <w:r w:rsidRPr="00D718CA">
        <w:rPr>
          <w:bCs/>
          <w:sz w:val="24"/>
          <w:szCs w:val="24"/>
          <w:highlight w:val="yellow"/>
        </w:rPr>
        <w:t>Recent systematic evidence confirms that AI-based malnutrition tools are increasingly studied across screening, diagnostic and prediction contexts, but that many models remain insufficiently translated into routine practice (Janssen et al., 2024).</w:t>
      </w:r>
    </w:p>
    <w:p w14:paraId="5F7A4169" w14:textId="0E9B6399"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Within nutritional science, AI has been applied to dietary assessment, food recognition from photographic images, early prediction of nutrition-related disease risk, and subnational mapping of malnutrition using geospatial data </w:t>
      </w:r>
      <w:r w:rsidRPr="008665DB">
        <w:rPr>
          <w:rFonts w:ascii="Times New Roman" w:eastAsia="Times New Roman" w:hAnsi="Times New Roman" w:cs="Times New Roman"/>
          <w:b/>
          <w:bCs/>
          <w:sz w:val="24"/>
          <w:szCs w:val="24"/>
          <w:lang w:eastAsia="en-GB"/>
        </w:rPr>
        <w:t>(Rajpurkar et al., 2022)</w:t>
      </w:r>
      <w:r w:rsidRPr="008665DB">
        <w:rPr>
          <w:rFonts w:ascii="Times New Roman" w:eastAsia="Times New Roman" w:hAnsi="Times New Roman" w:cs="Times New Roman"/>
          <w:sz w:val="24"/>
          <w:szCs w:val="24"/>
          <w:lang w:eastAsia="en-GB"/>
        </w:rPr>
        <w:t>. The integration of clinical records, household survey data, satellite remote sensing imagery, and environmental measurements within unified AI prediction frameworks represents a paradigm shift from single-indicator screening to holistic, multi-domain risk modelling. These approaches hold particular promise for advancing progress towards the SDGs, most notably SDG 2 (Zero Hunger) and SDG 3 (Good Health and Well-Being), by enabling more targeted, equitable, and efficient allocation of nutrition interventions.</w:t>
      </w:r>
      <w:r w:rsidR="00D718CA">
        <w:rPr>
          <w:rFonts w:ascii="Times New Roman" w:eastAsia="Times New Roman" w:hAnsi="Times New Roman" w:cs="Times New Roman"/>
          <w:sz w:val="24"/>
          <w:szCs w:val="24"/>
          <w:lang w:eastAsia="en-GB"/>
        </w:rPr>
        <w:t xml:space="preserve"> </w:t>
      </w:r>
      <w:r w:rsidRPr="00D718CA">
        <w:rPr>
          <w:bCs/>
          <w:highlight w:val="yellow"/>
        </w:rPr>
        <w:t>A recent meta-analysis of machine-learning models based on Demographic and Health Surveys data reported moderate-to-good predictive performance for child stunting, wasting and underweight while emphasising substantial heterogeneity across studies (Rao et al., 2025).</w:t>
      </w:r>
    </w:p>
    <w:p w14:paraId="702C4F87" w14:textId="77777777" w:rsidR="008665DB" w:rsidRPr="00D718CA" w:rsidRDefault="008665DB" w:rsidP="00D718CA">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D718CA">
        <w:rPr>
          <w:bCs/>
          <w:highlight w:val="yellow"/>
        </w:rPr>
        <w:t>New region-level evidence also indicates the practical value of interpretable ensemble methods for identifying severe stunting determinants using household and maternal variables, supporting the need for careful model explanation in nutrition prediction research (Jemil et al., 2026).</w:t>
      </w:r>
    </w:p>
    <w:p w14:paraId="682BA7C1"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1.4 Scope, Research Gap, and Objectives</w:t>
      </w:r>
    </w:p>
    <w:p w14:paraId="6DCF8C86"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Despite rapid growth in the literature at the intersection of AI and nutrition science, no comprehensive critical review has mapped the integration of clinical, socioeconomic, and environmental determinants within AI-based malnutrition prediction frameworks, nor situated these developments within the broader SDG agenda. Existing reviews have tended to focus on single AI modalities, specific population subgroups, or isolated determinant domains, leaving significant gaps in understanding of how multi-domain data integration performs across diverse geographical and programmatic contexts, and what ethical and implementation challenges attend the translation of AI tools into operational nutrition </w:t>
      </w:r>
      <w:r w:rsidRPr="008665DB">
        <w:rPr>
          <w:rFonts w:ascii="Times New Roman" w:eastAsia="Times New Roman" w:hAnsi="Times New Roman" w:cs="Times New Roman"/>
          <w:sz w:val="24"/>
          <w:szCs w:val="24"/>
          <w:lang w:eastAsia="en-GB"/>
        </w:rPr>
        <w:lastRenderedPageBreak/>
        <w:t>programmes. This review addresses those gaps by critically synthesising the evidence on AI methods applied to malnutrition prediction, evaluating the contribution of multi-domain data integration to predictive performance, examining the alignment of AI nutrition tools with SDG targets, identifying ethical and implementation challenges, and articulating priorities for a responsible and equitable AI-nutrition research agenda.</w:t>
      </w:r>
    </w:p>
    <w:p w14:paraId="4E4EE2B8"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435C985E"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2. Methods for Literature Selection</w:t>
      </w:r>
    </w:p>
    <w:p w14:paraId="524E1AB9"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2.1 Databases Searched and Search Strategy</w:t>
      </w:r>
    </w:p>
    <w:p w14:paraId="19641D7A"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 structured literature search was conducted across multiple electronic bibliographic databases to identify peer-reviewed studies concerning AI, ML, and deep learning applications in malnutrition prediction, classification, and surveillance. The databases searched were Web of Science, Scopus, Google Scholar, PubMed/MEDLINE, and five field-specific indexing sources: the Global Health database (CAB International), the Food and Agriculture Organization AGRIS database, the International Food Policy Research Institute (IFPRI) publications repository, the Cochrane Library for methodological and evidence synthesis resources, and the Global Index Medicus for literature from LMICs and regional health research. The primary literature search covered publications from January 2010 to April 1, 2026, reflecting the period during which modern ML methods became established in health and nutrition research contexts. Classic foundational references from prior periods supplement the evidence base where they provide essential theoretical or empirical context.</w:t>
      </w:r>
    </w:p>
    <w:p w14:paraId="30CB84D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search strategy used Boolean operators combining controlled vocabulary terms and free-text keywords. The primary search string was structured as: ("artificial intelligence" OR "machine learning" OR "deep learning" OR "neural network" OR "random forest" OR "gradient boosting" OR "natural language processing") AND ("malnutrition" OR "stunting" OR "wasting" OR "undernutrition" OR "food insecurity" OR "child nutrition" OR "nutritional status"). Secondary searches incorporated additional terms including "geospatial analysis," "remote sensing," "environmental determinants," "socioeconomic factors," "sustainable development goals," "nutrition surveillance," "early warning," and "low- and middle-income countries." All searches were conducted in English.</w:t>
      </w:r>
    </w:p>
    <w:p w14:paraId="0AB537A8"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2.2 Inclusion and Exclusion Criteria</w:t>
      </w:r>
    </w:p>
    <w:p w14:paraId="6524D6E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Studies were included when they: (a) applied AI, ML, or deep learning methods to predict, classify, or map malnutrition outcomes in human populations; (b) incorporated at least one clinical, socioeconomic, or environmental variable within the analytical framework; and (c) were published in peer-reviewed academic journals. Authoritative institutional reports from organisations including WHO, FAO, UNICEF, the World Bank, and the United Nations (UN) were included as supplementary evidence where verifiable URLs were provided. Studies were excluded if they were conference abstracts, preprints, grey literature publications, book chapters, trade magazine articles, patent documents, or restricted to non-human subjects or purely food composition analysis without a population health application.</w:t>
      </w:r>
    </w:p>
    <w:p w14:paraId="515683C9"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2.3 Screening Workflow, Duplicate Handling, and Language Restrictions</w:t>
      </w:r>
    </w:p>
    <w:p w14:paraId="7F0AA49C"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Retrieved records were imported into a reference management system and subjected to automated deduplication followed by manual verification. Title and abstract screening was performed against the inclusion and exclusion criteria, with full-text review applied to all records identified as potentially eligible. Records available only in languages other than English were excluded. Where multiple publications reported overlapping analyses from the same dataset or cohort, the most methodologically rigorous or most recently published report was retained to avoid double-counting of evidence. No formal quality scoring was applied, but methodological rigour and publication in high-impact journals served as informal indicators of study influence during selection.</w:t>
      </w:r>
    </w:p>
    <w:p w14:paraId="5659F8C5"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2.4 Rationale for a Narrative Review Approach</w:t>
      </w:r>
    </w:p>
    <w:p w14:paraId="54A98065"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A narrative rather than systematic review approach was adopted, given the substantial heterogeneity in AI methodologies, malnutrition outcome definitions, population contexts, and data types across the retrieved literature. As Snyder (2019) argues, narrative reviews are well suited to synthesising evidence in rapidly evolving fields where standardised reporting frameworks are not yet universally adopted, and where the primary objective is conceptual and thematic synthesis rather than quantitative effect estimation. </w:t>
      </w:r>
      <w:r w:rsidRPr="008665DB">
        <w:rPr>
          <w:rFonts w:ascii="Times New Roman" w:eastAsia="Times New Roman" w:hAnsi="Times New Roman" w:cs="Times New Roman"/>
          <w:b/>
          <w:bCs/>
          <w:sz w:val="24"/>
          <w:szCs w:val="24"/>
          <w:lang w:eastAsia="en-GB"/>
        </w:rPr>
        <w:t>Green et al. (2006)</w:t>
      </w:r>
      <w:r w:rsidRPr="008665DB">
        <w:rPr>
          <w:rFonts w:ascii="Times New Roman" w:eastAsia="Times New Roman" w:hAnsi="Times New Roman" w:cs="Times New Roman"/>
          <w:sz w:val="24"/>
          <w:szCs w:val="24"/>
          <w:lang w:eastAsia="en-GB"/>
        </w:rPr>
        <w:t xml:space="preserve"> further note that narrative reviews allow authors to address broad, complex questions that cannot be usefully constrained to a single PICO (population, intervention, comparison, outcome) framework, as is the case in this multidisciplinary field. A formal meta-analysis was precluded by the diversity of AI methods, outcome measures, and performance metrics reported across studies, which would have rendered pooled estimates statistically misleading. </w:t>
      </w:r>
      <w:r w:rsidRPr="008665DB">
        <w:rPr>
          <w:rFonts w:ascii="Times New Roman" w:eastAsia="Times New Roman" w:hAnsi="Times New Roman" w:cs="Times New Roman"/>
          <w:bCs/>
          <w:sz w:val="24"/>
          <w:szCs w:val="24"/>
          <w:lang w:eastAsia="en-GB"/>
        </w:rPr>
        <w:t>The literature search strategy is summarised in Table 1.</w:t>
      </w:r>
    </w:p>
    <w:p w14:paraId="05AF92F0"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Table 1. Summary of Literature Search Strategy</w:t>
      </w:r>
    </w:p>
    <w:tbl>
      <w:tblPr>
        <w:tblStyle w:val="TableGrid"/>
        <w:tblW w:w="0" w:type="auto"/>
        <w:tblLook w:val="04A0" w:firstRow="1" w:lastRow="0" w:firstColumn="1" w:lastColumn="0" w:noHBand="0" w:noVBand="1"/>
      </w:tblPr>
      <w:tblGrid>
        <w:gridCol w:w="2044"/>
        <w:gridCol w:w="7198"/>
      </w:tblGrid>
      <w:tr w:rsidR="008665DB" w:rsidRPr="008665DB" w14:paraId="6A1E96E2" w14:textId="77777777" w:rsidTr="008665DB">
        <w:tc>
          <w:tcPr>
            <w:tcW w:w="0" w:type="auto"/>
            <w:hideMark/>
          </w:tcPr>
          <w:p w14:paraId="3BA4B869"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Parameter</w:t>
            </w:r>
          </w:p>
        </w:tc>
        <w:tc>
          <w:tcPr>
            <w:tcW w:w="0" w:type="auto"/>
            <w:hideMark/>
          </w:tcPr>
          <w:p w14:paraId="394368F7"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Details</w:t>
            </w:r>
          </w:p>
        </w:tc>
      </w:tr>
      <w:tr w:rsidR="008665DB" w:rsidRPr="008665DB" w14:paraId="23091FB6" w14:textId="77777777" w:rsidTr="008665DB">
        <w:tc>
          <w:tcPr>
            <w:tcW w:w="0" w:type="auto"/>
            <w:hideMark/>
          </w:tcPr>
          <w:p w14:paraId="328F3D0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Databases searched</w:t>
            </w:r>
          </w:p>
        </w:tc>
        <w:tc>
          <w:tcPr>
            <w:tcW w:w="0" w:type="auto"/>
            <w:hideMark/>
          </w:tcPr>
          <w:p w14:paraId="3C2643F0"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Web of Science, Scopus, Google Scholar, PubMed/MEDLINE, Global Health (CAB International), AGRIS (FAO), IFPRI repository, Cochrane Library, Global Index Medicus</w:t>
            </w:r>
          </w:p>
        </w:tc>
      </w:tr>
      <w:tr w:rsidR="008665DB" w:rsidRPr="008665DB" w14:paraId="104EB53C" w14:textId="77777777" w:rsidTr="008665DB">
        <w:tc>
          <w:tcPr>
            <w:tcW w:w="0" w:type="auto"/>
            <w:hideMark/>
          </w:tcPr>
          <w:p w14:paraId="30125492"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Date range</w:t>
            </w:r>
          </w:p>
        </w:tc>
        <w:tc>
          <w:tcPr>
            <w:tcW w:w="0" w:type="auto"/>
            <w:hideMark/>
          </w:tcPr>
          <w:p w14:paraId="4A433B82"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January 2010 – April 1, 2026</w:t>
            </w:r>
          </w:p>
        </w:tc>
      </w:tr>
      <w:tr w:rsidR="008665DB" w:rsidRPr="008665DB" w14:paraId="09E14FCA" w14:textId="77777777" w:rsidTr="008665DB">
        <w:tc>
          <w:tcPr>
            <w:tcW w:w="0" w:type="auto"/>
            <w:hideMark/>
          </w:tcPr>
          <w:p w14:paraId="368B6B7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Supplementary older references</w:t>
            </w:r>
          </w:p>
        </w:tc>
        <w:tc>
          <w:tcPr>
            <w:tcW w:w="0" w:type="auto"/>
            <w:hideMark/>
          </w:tcPr>
          <w:p w14:paraId="1DA624D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Included where foundational for theoretical context</w:t>
            </w:r>
          </w:p>
        </w:tc>
      </w:tr>
      <w:tr w:rsidR="008665DB" w:rsidRPr="008665DB" w14:paraId="799A5F52" w14:textId="77777777" w:rsidTr="008665DB">
        <w:tc>
          <w:tcPr>
            <w:tcW w:w="0" w:type="auto"/>
            <w:hideMark/>
          </w:tcPr>
          <w:p w14:paraId="23BEA485"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Primary search terms</w:t>
            </w:r>
          </w:p>
        </w:tc>
        <w:tc>
          <w:tcPr>
            <w:tcW w:w="0" w:type="auto"/>
            <w:hideMark/>
          </w:tcPr>
          <w:p w14:paraId="63BA354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"artificial intelligence," "machine learning," "deep learning," "neural network," "random forest," "gradient boosting," "natural language processing," "malnutrition," "stunting," "wasting," "undernutrition," "food insecurity," "nutritional status"</w:t>
            </w:r>
          </w:p>
        </w:tc>
      </w:tr>
      <w:tr w:rsidR="008665DB" w:rsidRPr="008665DB" w14:paraId="6F7EC296" w14:textId="77777777" w:rsidTr="008665DB">
        <w:tc>
          <w:tcPr>
            <w:tcW w:w="0" w:type="auto"/>
            <w:hideMark/>
          </w:tcPr>
          <w:p w14:paraId="3247C30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Secondary search terms</w:t>
            </w:r>
          </w:p>
        </w:tc>
        <w:tc>
          <w:tcPr>
            <w:tcW w:w="0" w:type="auto"/>
            <w:hideMark/>
          </w:tcPr>
          <w:p w14:paraId="0611AF4D"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"remote sensing," "geospatial analysis," "socioeconomic determinants," "sustainable development goals," "nutrition surveillance," "early warning," "LMIC," "environmental determinants"</w:t>
            </w:r>
          </w:p>
        </w:tc>
      </w:tr>
      <w:tr w:rsidR="008665DB" w:rsidRPr="008665DB" w14:paraId="67271047" w14:textId="77777777" w:rsidTr="008665DB">
        <w:tc>
          <w:tcPr>
            <w:tcW w:w="0" w:type="auto"/>
            <w:hideMark/>
          </w:tcPr>
          <w:p w14:paraId="6CFBD55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Language restriction</w:t>
            </w:r>
          </w:p>
        </w:tc>
        <w:tc>
          <w:tcPr>
            <w:tcW w:w="0" w:type="auto"/>
            <w:hideMark/>
          </w:tcPr>
          <w:p w14:paraId="14359879"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English</w:t>
            </w:r>
          </w:p>
        </w:tc>
      </w:tr>
      <w:tr w:rsidR="008665DB" w:rsidRPr="008665DB" w14:paraId="20401E7A" w14:textId="77777777" w:rsidTr="008665DB">
        <w:tc>
          <w:tcPr>
            <w:tcW w:w="0" w:type="auto"/>
            <w:hideMark/>
          </w:tcPr>
          <w:p w14:paraId="60A8681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Inclusion criteria</w:t>
            </w:r>
          </w:p>
        </w:tc>
        <w:tc>
          <w:tcPr>
            <w:tcW w:w="0" w:type="auto"/>
            <w:hideMark/>
          </w:tcPr>
          <w:p w14:paraId="37ADC3D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Peer-reviewed; AI or ML methods applied to malnutrition outcomes; human populations; at least one clinical, socioeconomic, or environmental variable</w:t>
            </w:r>
          </w:p>
        </w:tc>
      </w:tr>
      <w:tr w:rsidR="008665DB" w:rsidRPr="008665DB" w14:paraId="2D4D0DF5" w14:textId="77777777" w:rsidTr="008665DB">
        <w:tc>
          <w:tcPr>
            <w:tcW w:w="0" w:type="auto"/>
            <w:hideMark/>
          </w:tcPr>
          <w:p w14:paraId="56DDE75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Exclusion criteria</w:t>
            </w:r>
          </w:p>
        </w:tc>
        <w:tc>
          <w:tcPr>
            <w:tcW w:w="0" w:type="auto"/>
            <w:hideMark/>
          </w:tcPr>
          <w:p w14:paraId="1A00D73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Grey literature, preprints, books, conference papers, patents, trade publications, non-peer-reviewed sources</w:t>
            </w:r>
          </w:p>
        </w:tc>
      </w:tr>
      <w:tr w:rsidR="008665DB" w:rsidRPr="008665DB" w14:paraId="6CCF25F1" w14:textId="77777777" w:rsidTr="008665DB">
        <w:tc>
          <w:tcPr>
            <w:tcW w:w="0" w:type="auto"/>
            <w:hideMark/>
          </w:tcPr>
          <w:p w14:paraId="001D3398"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Institutional sources</w:t>
            </w:r>
          </w:p>
        </w:tc>
        <w:tc>
          <w:tcPr>
            <w:tcW w:w="0" w:type="auto"/>
            <w:hideMark/>
          </w:tcPr>
          <w:p w14:paraId="7B50FB8C"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WHO, FAO, UNICEF, World Bank, UN — with verifiable URLs</w:t>
            </w:r>
          </w:p>
        </w:tc>
      </w:tr>
      <w:tr w:rsidR="008665DB" w:rsidRPr="008665DB" w14:paraId="39B29DA4" w14:textId="77777777" w:rsidTr="008665DB">
        <w:tc>
          <w:tcPr>
            <w:tcW w:w="0" w:type="auto"/>
            <w:hideMark/>
          </w:tcPr>
          <w:p w14:paraId="61EF6EFB"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Review type</w:t>
            </w:r>
          </w:p>
        </w:tc>
        <w:tc>
          <w:tcPr>
            <w:tcW w:w="0" w:type="auto"/>
            <w:hideMark/>
          </w:tcPr>
          <w:p w14:paraId="39818AB2"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Narrative review</w:t>
            </w:r>
          </w:p>
        </w:tc>
      </w:tr>
    </w:tbl>
    <w:p w14:paraId="1456614A"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i/>
          <w:iCs/>
          <w:sz w:val="24"/>
          <w:szCs w:val="24"/>
          <w:lang w:eastAsia="en-GB"/>
        </w:rPr>
        <w:t>Sources: Green et al. (2006); Snyder (2019)</w:t>
      </w:r>
    </w:p>
    <w:p w14:paraId="50DF1D03"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1A68E0B9"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3. The Multidimensional Determinants of Malnutrition</w:t>
      </w:r>
    </w:p>
    <w:p w14:paraId="4481CA83"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3.1 Clinical and Biological Determinants</w:t>
      </w:r>
    </w:p>
    <w:p w14:paraId="4242CAF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Clinical determinants of malnutrition encompass a range of physiological, microbiological, and anthropometric parameters whose interactions produce the complex phenotypes of stunting, wasting, and micronutrient deficiency observed in affected populations. Anthropometric status in children is assessed using WHO-standardised indices — height-for-age Z-score (HAZ), weight-for-height Z-score (WHZ), and weight-for-age Z-score (WAZ) — referenced against the WHO Multicentre Growth Reference Study standards established from longitudinal data collected in children raised under optimal conditions across six countries (de Onis &amp; Branca, 2016). The co-occurrence of stunting and wasting is particularly clinically significant: children simultaneously affected by both conditions face a substantially elevated risk of mortality compared with those affected by either alone, as their combined anthropometric deficits reflect severe and compound physiological compromise (Myatt et al., 2018).</w:t>
      </w:r>
    </w:p>
    <w:p w14:paraId="17727673"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Low birth weight (LBW) and intrauterine growth restriction represent important precursors to childhood stunting and wasting, establishing trajectories of nutritional disadvantage that can persist across the life course through epigenetic, metabolic, and developmental mechanisms (Black et al., 2013). Maternal nutritional status is itself a powerful determinant; anaemia, inadequate gestational weight gain, and micronutrient deficiencies during pregnancy are independently associated with adverse offspring growth outcomes and elevate the intergenerational transmission of undernutrition (Victora et al., 2021). Breastfeeding duration, timing of complementary feeding introduction, and dietary diversity in early life represent additional clinical determinants that interact with biological vulnerability.</w:t>
      </w:r>
    </w:p>
    <w:p w14:paraId="1D36DD24"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Recurrent infection, particularly enteric disease and intestinal parasitic infestation, perpetuates the nutrition-infection cycle central to the pathophysiology of wasting in resource-limited settings </w:t>
      </w:r>
      <w:r w:rsidRPr="008665DB">
        <w:rPr>
          <w:rFonts w:ascii="Times New Roman" w:eastAsia="Times New Roman" w:hAnsi="Times New Roman" w:cs="Times New Roman"/>
          <w:b/>
          <w:bCs/>
          <w:sz w:val="24"/>
          <w:szCs w:val="24"/>
          <w:lang w:eastAsia="en-GB"/>
        </w:rPr>
        <w:t>(Guerrant et al., 2013)</w:t>
      </w:r>
      <w:r w:rsidRPr="008665DB">
        <w:rPr>
          <w:rFonts w:ascii="Times New Roman" w:eastAsia="Times New Roman" w:hAnsi="Times New Roman" w:cs="Times New Roman"/>
          <w:sz w:val="24"/>
          <w:szCs w:val="24"/>
          <w:lang w:eastAsia="en-GB"/>
        </w:rPr>
        <w:t xml:space="preserve">. Environmental enteric dysfunction (EED), a subclinical condition characterised by altered gut permeability, villous atrophy, and chronic intestinal inflammation, has emerged as a key mechanistic mediator linking environmental contamination with linear growth faltering in children exposed to inadequate sanitation conditions </w:t>
      </w:r>
      <w:r w:rsidRPr="008665DB">
        <w:rPr>
          <w:rFonts w:ascii="Times New Roman" w:eastAsia="Times New Roman" w:hAnsi="Times New Roman" w:cs="Times New Roman"/>
          <w:b/>
          <w:bCs/>
          <w:sz w:val="24"/>
          <w:szCs w:val="24"/>
          <w:lang w:eastAsia="en-GB"/>
        </w:rPr>
        <w:t>(Crane et al., 2015)</w:t>
      </w:r>
      <w:r w:rsidRPr="008665DB">
        <w:rPr>
          <w:rFonts w:ascii="Times New Roman" w:eastAsia="Times New Roman" w:hAnsi="Times New Roman" w:cs="Times New Roman"/>
          <w:sz w:val="24"/>
          <w:szCs w:val="24"/>
          <w:lang w:eastAsia="en-GB"/>
        </w:rPr>
        <w:t>. The complexity of these clinical interactions — each variable influencing and being influenced by others — makes them a challenging but rewarding target for AI methods capable of modelling high-dimensional, nonlinear relationships.</w:t>
      </w:r>
    </w:p>
    <w:p w14:paraId="5CCE6CDE"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3.2 Socioeconomic Determinants</w:t>
      </w:r>
    </w:p>
    <w:p w14:paraId="763362BA"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Poverty remains the most fundamental structural determinant of malnutrition at household and community levels, operating through multiple pathways that constrain dietary quality, limit healthcare access, and reduce investments in sanitation infrastructure. Household income poverty limits the availability and affordability of diverse, nutrient-dense foods, </w:t>
      </w:r>
      <w:r w:rsidRPr="008665DB">
        <w:rPr>
          <w:rFonts w:ascii="Times New Roman" w:eastAsia="Times New Roman" w:hAnsi="Times New Roman" w:cs="Times New Roman"/>
          <w:sz w:val="24"/>
          <w:szCs w:val="24"/>
          <w:lang w:eastAsia="en-GB"/>
        </w:rPr>
        <w:lastRenderedPageBreak/>
        <w:t>making poor households disproportionately reliant on energy-dense but micronutrient-poor staple diets (Smith &amp; Haddad, 2015). Maternal education consistently emerges as one of the strongest predictors of child nutritional status across LMICs: educated mothers demonstrate improved infant and young child feeding practices, greater healthcare-seeking behaviour, and a greater capacity to translate income into nutritional outcomes for their children (Bhutta et al., 2013). The mechanisms through which education influences nutrition span knowledge, autonomy, and social status within the household, making it a cross-cutting socioeconomic predictor of considerable importance.</w:t>
      </w:r>
    </w:p>
    <w:p w14:paraId="2C5F70DC"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Gender inequality intersects with malnutrition through overlapping pathways including women's dietary autonomy, control over household resources, time allocation, and social status. Food price volatility and limited market access represent additional socioeconomic risk factors, particularly where food systems are fragile, transport costs are high, and smallholder farmers are poorly integrated into commodity markets (FAO, IFAD, UNICEF, WFP, &amp; WHO, 2023). The phenomenon of the double burden of malnutrition — the co-existence of undernutrition and overweight or obesity within the same household, community, or individual across the life course — adds further complexity to the socioeconomic patterning of malnutrition in rapidly urbanising LMICs </w:t>
      </w:r>
      <w:r w:rsidRPr="008665DB">
        <w:rPr>
          <w:rFonts w:ascii="Times New Roman" w:eastAsia="Times New Roman" w:hAnsi="Times New Roman" w:cs="Times New Roman"/>
          <w:b/>
          <w:bCs/>
          <w:sz w:val="24"/>
          <w:szCs w:val="24"/>
          <w:lang w:eastAsia="en-GB"/>
        </w:rPr>
        <w:t>(Popkin et al., 2020)</w:t>
      </w:r>
      <w:r w:rsidRPr="008665DB">
        <w:rPr>
          <w:rFonts w:ascii="Times New Roman" w:eastAsia="Times New Roman" w:hAnsi="Times New Roman" w:cs="Times New Roman"/>
          <w:sz w:val="24"/>
          <w:szCs w:val="24"/>
          <w:lang w:eastAsia="en-GB"/>
        </w:rPr>
        <w:t>. Urban populations face a distinct nutritional risk landscape in which energy-dense processed foods are more accessible than nutritious alternatives, caregiving time is constrained by women's workforce participation, and the protective factors of traditional food environments have diminished.</w:t>
      </w:r>
    </w:p>
    <w:p w14:paraId="647961FD"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3.3 Environmental Determinants</w:t>
      </w:r>
    </w:p>
    <w:p w14:paraId="1FB11E59"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Environmental determinants of malnutrition operate across multiple spatial and temporal scales, from the microenvironment of the household water source to the macroscale dynamics of climate systems. Climate variability and change exert direct effects on agricultural production, food availability, and diet quality, with disproportionate impacts on smallholder farming communities in Sub-Saharan Africa and South Asia who depend on rain-fed agriculture for both subsistence and income </w:t>
      </w:r>
      <w:r w:rsidRPr="008665DB">
        <w:rPr>
          <w:rFonts w:ascii="Times New Roman" w:eastAsia="Times New Roman" w:hAnsi="Times New Roman" w:cs="Times New Roman"/>
          <w:b/>
          <w:bCs/>
          <w:sz w:val="24"/>
          <w:szCs w:val="24"/>
          <w:lang w:eastAsia="en-GB"/>
        </w:rPr>
        <w:t>(Lloyd et al., 2011)</w:t>
      </w:r>
      <w:r w:rsidRPr="008665DB">
        <w:rPr>
          <w:rFonts w:ascii="Times New Roman" w:eastAsia="Times New Roman" w:hAnsi="Times New Roman" w:cs="Times New Roman"/>
          <w:sz w:val="24"/>
          <w:szCs w:val="24"/>
          <w:lang w:eastAsia="en-GB"/>
        </w:rPr>
        <w:t>. Drought, flooding, and temperature extremes reduce crop yields, disrupt supply chains, and increase household food insecurity, with downstream consequences for child nutritional status that may manifest weeks to months after the initial climatic event. The relationship between climate shocks and malnutrition is characterised by nonlinearity and threshold effects, whereby small cumulative changes in rainfall or temperature produce disproportionate deteriorations in nutritional outcomes once agronomic or livelihood thresholds are crossed.</w:t>
      </w:r>
    </w:p>
    <w:p w14:paraId="68E60456"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Land use change and deforestation alter the availability of wild foods and transform local agricultural systems, reducing dietary diversity in affected communities in ways that are often difficult to capture through standard dietary surveys </w:t>
      </w:r>
      <w:r w:rsidRPr="008665DB">
        <w:rPr>
          <w:rFonts w:ascii="Times New Roman" w:eastAsia="Times New Roman" w:hAnsi="Times New Roman" w:cs="Times New Roman"/>
          <w:b/>
          <w:bCs/>
          <w:sz w:val="24"/>
          <w:szCs w:val="24"/>
          <w:lang w:eastAsia="en-GB"/>
        </w:rPr>
        <w:t>(Fanzo et al., 2018)</w:t>
      </w:r>
      <w:r w:rsidRPr="008665DB">
        <w:rPr>
          <w:rFonts w:ascii="Times New Roman" w:eastAsia="Times New Roman" w:hAnsi="Times New Roman" w:cs="Times New Roman"/>
          <w:sz w:val="24"/>
          <w:szCs w:val="24"/>
          <w:lang w:eastAsia="en-GB"/>
        </w:rPr>
        <w:t>. Water quality and availability intersect with malnutrition through their effects on pathogen exposure, personal hygiene, and sanitation, contributing to the EED-growth faltering pathway described in Section 3.1. Household air pollution arising from the combustion of solid biomass fuels for cooking and heating represents an independent environmental risk factor for child growth faltering, mediated through respiratory morbidity and systemic inflammation (Dherani et al., 2008). The aggregate effect of these environmental determinants constitutes a dynamic and spatially heterogeneous risk landscape that demands analytical tools capable of processing geospatial data at scale and integrating temporal dynamics.</w:t>
      </w:r>
      <w:r>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bCs/>
          <w:sz w:val="24"/>
          <w:szCs w:val="24"/>
          <w:lang w:eastAsia="en-GB"/>
        </w:rPr>
        <w:t xml:space="preserve">Table 2 summarises the key determinant domains, representative variables, levels of action, and primary data sources </w:t>
      </w:r>
      <w:r w:rsidRPr="008665DB">
        <w:rPr>
          <w:rFonts w:ascii="Times New Roman" w:eastAsia="Times New Roman" w:hAnsi="Times New Roman" w:cs="Times New Roman"/>
          <w:bCs/>
          <w:sz w:val="24"/>
          <w:szCs w:val="24"/>
          <w:lang w:eastAsia="en-GB"/>
        </w:rPr>
        <w:lastRenderedPageBreak/>
        <w:t>relevant to AI-based malnutrition research across the clinical, socioeconomic, environmental, food systems, and governance dimensions discussed in this section.</w:t>
      </w:r>
    </w:p>
    <w:p w14:paraId="5B41466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Table 2. Key Determinant Domains, Variables, and Data Sources in Malnutrition Research</w:t>
      </w:r>
    </w:p>
    <w:tbl>
      <w:tblPr>
        <w:tblStyle w:val="TableGrid"/>
        <w:tblW w:w="0" w:type="auto"/>
        <w:tblLook w:val="04A0" w:firstRow="1" w:lastRow="0" w:firstColumn="1" w:lastColumn="0" w:noHBand="0" w:noVBand="1"/>
      </w:tblPr>
      <w:tblGrid>
        <w:gridCol w:w="2089"/>
        <w:gridCol w:w="3140"/>
        <w:gridCol w:w="1680"/>
        <w:gridCol w:w="2333"/>
      </w:tblGrid>
      <w:tr w:rsidR="008665DB" w:rsidRPr="008665DB" w14:paraId="606D2190" w14:textId="77777777" w:rsidTr="008665DB">
        <w:tc>
          <w:tcPr>
            <w:tcW w:w="0" w:type="auto"/>
            <w:hideMark/>
          </w:tcPr>
          <w:p w14:paraId="7237FF71"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Determinant Domain</w:t>
            </w:r>
          </w:p>
        </w:tc>
        <w:tc>
          <w:tcPr>
            <w:tcW w:w="0" w:type="auto"/>
            <w:hideMark/>
          </w:tcPr>
          <w:p w14:paraId="694F7A33"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Representative Variables</w:t>
            </w:r>
          </w:p>
        </w:tc>
        <w:tc>
          <w:tcPr>
            <w:tcW w:w="0" w:type="auto"/>
            <w:hideMark/>
          </w:tcPr>
          <w:p w14:paraId="290FE2F3"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Level of Action</w:t>
            </w:r>
          </w:p>
        </w:tc>
        <w:tc>
          <w:tcPr>
            <w:tcW w:w="0" w:type="auto"/>
            <w:hideMark/>
          </w:tcPr>
          <w:p w14:paraId="618257BF"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Primary Data Sources</w:t>
            </w:r>
          </w:p>
        </w:tc>
      </w:tr>
      <w:tr w:rsidR="008665DB" w:rsidRPr="008665DB" w14:paraId="0DBE8BCB" w14:textId="77777777" w:rsidTr="008665DB">
        <w:tc>
          <w:tcPr>
            <w:tcW w:w="0" w:type="auto"/>
            <w:hideMark/>
          </w:tcPr>
          <w:p w14:paraId="55AD6FB9"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Clinical/biological</w:t>
            </w:r>
          </w:p>
        </w:tc>
        <w:tc>
          <w:tcPr>
            <w:tcW w:w="0" w:type="auto"/>
            <w:hideMark/>
          </w:tcPr>
          <w:p w14:paraId="79A3E0F3"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HAZ, WHZ, WAZ; LBW; maternal anaemia; enteric infection; EED; birth interval; gestational age</w:t>
            </w:r>
          </w:p>
        </w:tc>
        <w:tc>
          <w:tcPr>
            <w:tcW w:w="0" w:type="auto"/>
            <w:hideMark/>
          </w:tcPr>
          <w:p w14:paraId="1EF9B4D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Individual, household</w:t>
            </w:r>
          </w:p>
        </w:tc>
        <w:tc>
          <w:tcPr>
            <w:tcW w:w="0" w:type="auto"/>
            <w:hideMark/>
          </w:tcPr>
          <w:p w14:paraId="6C9AE7E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Clinical records, DHS/MICS surveys, hospital databases</w:t>
            </w:r>
          </w:p>
        </w:tc>
      </w:tr>
      <w:tr w:rsidR="008665DB" w:rsidRPr="008665DB" w14:paraId="3122B6C4" w14:textId="77777777" w:rsidTr="008665DB">
        <w:tc>
          <w:tcPr>
            <w:tcW w:w="0" w:type="auto"/>
            <w:hideMark/>
          </w:tcPr>
          <w:p w14:paraId="62059155"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Socioeconomic</w:t>
            </w:r>
          </w:p>
        </w:tc>
        <w:tc>
          <w:tcPr>
            <w:tcW w:w="0" w:type="auto"/>
            <w:hideMark/>
          </w:tcPr>
          <w:p w14:paraId="0AA558A0"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Household wealth index; maternal education; food expenditure; market access; WASH access; social protection participation</w:t>
            </w:r>
          </w:p>
        </w:tc>
        <w:tc>
          <w:tcPr>
            <w:tcW w:w="0" w:type="auto"/>
            <w:hideMark/>
          </w:tcPr>
          <w:p w14:paraId="0445B770"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Household, community, national</w:t>
            </w:r>
          </w:p>
        </w:tc>
        <w:tc>
          <w:tcPr>
            <w:tcW w:w="0" w:type="auto"/>
            <w:hideMark/>
          </w:tcPr>
          <w:p w14:paraId="019AF7D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DHS, MICS, household expenditure surveys, administrative records</w:t>
            </w:r>
          </w:p>
        </w:tc>
      </w:tr>
      <w:tr w:rsidR="008665DB" w:rsidRPr="008665DB" w14:paraId="2B94B3EE" w14:textId="77777777" w:rsidTr="008665DB">
        <w:tc>
          <w:tcPr>
            <w:tcW w:w="0" w:type="auto"/>
            <w:hideMark/>
          </w:tcPr>
          <w:p w14:paraId="1BCA57D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Environmental</w:t>
            </w:r>
          </w:p>
        </w:tc>
        <w:tc>
          <w:tcPr>
            <w:tcW w:w="0" w:type="auto"/>
            <w:hideMark/>
          </w:tcPr>
          <w:p w14:paraId="3C99BCB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Rainfall anomalies; temperature; NDVI; land use; WASH infrastructure; household air quality</w:t>
            </w:r>
          </w:p>
        </w:tc>
        <w:tc>
          <w:tcPr>
            <w:tcW w:w="0" w:type="auto"/>
            <w:hideMark/>
          </w:tcPr>
          <w:p w14:paraId="70EACC7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Community, regional, national</w:t>
            </w:r>
          </w:p>
        </w:tc>
        <w:tc>
          <w:tcPr>
            <w:tcW w:w="0" w:type="auto"/>
            <w:hideMark/>
          </w:tcPr>
          <w:p w14:paraId="7AB27739"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Remote sensing platforms, meteorological datasets, GIS layers</w:t>
            </w:r>
          </w:p>
        </w:tc>
      </w:tr>
      <w:tr w:rsidR="008665DB" w:rsidRPr="008665DB" w14:paraId="4F00DFD5" w14:textId="77777777" w:rsidTr="008665DB">
        <w:tc>
          <w:tcPr>
            <w:tcW w:w="0" w:type="auto"/>
            <w:hideMark/>
          </w:tcPr>
          <w:p w14:paraId="02C76C6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Food systems</w:t>
            </w:r>
          </w:p>
        </w:tc>
        <w:tc>
          <w:tcPr>
            <w:tcW w:w="0" w:type="auto"/>
            <w:hideMark/>
          </w:tcPr>
          <w:p w14:paraId="37978FED"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Market price indices; dietary diversity score; crop production; food retail access</w:t>
            </w:r>
          </w:p>
        </w:tc>
        <w:tc>
          <w:tcPr>
            <w:tcW w:w="0" w:type="auto"/>
            <w:hideMark/>
          </w:tcPr>
          <w:p w14:paraId="4C795A6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Household, regional</w:t>
            </w:r>
          </w:p>
        </w:tc>
        <w:tc>
          <w:tcPr>
            <w:tcW w:w="0" w:type="auto"/>
            <w:hideMark/>
          </w:tcPr>
          <w:p w14:paraId="668D1F9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Market monitoring, HDDS surveys, agricultural census</w:t>
            </w:r>
          </w:p>
        </w:tc>
      </w:tr>
      <w:tr w:rsidR="008665DB" w:rsidRPr="008665DB" w14:paraId="03776CD4" w14:textId="77777777" w:rsidTr="008665DB">
        <w:tc>
          <w:tcPr>
            <w:tcW w:w="0" w:type="auto"/>
            <w:hideMark/>
          </w:tcPr>
          <w:p w14:paraId="6F97C64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Governance/policy</w:t>
            </w:r>
          </w:p>
        </w:tc>
        <w:tc>
          <w:tcPr>
            <w:tcW w:w="0" w:type="auto"/>
            <w:hideMark/>
          </w:tcPr>
          <w:p w14:paraId="2C9E216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Primary healthcare coverage; immunisation uptake; social protection reach; agricultural subsidy structure</w:t>
            </w:r>
          </w:p>
        </w:tc>
        <w:tc>
          <w:tcPr>
            <w:tcW w:w="0" w:type="auto"/>
            <w:hideMark/>
          </w:tcPr>
          <w:p w14:paraId="497357A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National, subnational</w:t>
            </w:r>
          </w:p>
        </w:tc>
        <w:tc>
          <w:tcPr>
            <w:tcW w:w="0" w:type="auto"/>
            <w:hideMark/>
          </w:tcPr>
          <w:p w14:paraId="68F7BF6B"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Administrative health records, policy databases</w:t>
            </w:r>
          </w:p>
        </w:tc>
      </w:tr>
    </w:tbl>
    <w:p w14:paraId="1796A549"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i/>
          <w:iCs/>
          <w:sz w:val="24"/>
          <w:szCs w:val="24"/>
          <w:lang w:eastAsia="en-GB"/>
        </w:rPr>
        <w:t>Sources: Black et al. (2008); Black et al. (2013); Bhutta et al. (2013); FAO, IFAD, UNICEF, WFP, &amp; WHO (2023); Victora et al. (2021)</w:t>
      </w:r>
    </w:p>
    <w:p w14:paraId="094F91B4"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HAZ = height-for-age Z-score; WHZ = weight-for-height Z-score; WAZ = weight-for-age Z-score; LBW = low birth weight; EED = environmental enteric dysfunction; DHS = Demographic and Health Survey; MICS = Multiple Indicator Cluster Survey; NDVI = normalised difference vegetation index; WASH = water, sanitation, and hygiene; GIS = geographic information system; HDDS = Household Dietary Diversity Score.</w:t>
      </w:r>
    </w:p>
    <w:p w14:paraId="4C955200"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177798E7"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4. Artificial Intelligence Approaches for Malnutrition Prediction</w:t>
      </w:r>
    </w:p>
    <w:p w14:paraId="623193A8"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4.1 Supervised Machine Learning Algorithms</w:t>
      </w:r>
    </w:p>
    <w:p w14:paraId="22FA87A6"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Supervised ML algorithms have been the most widely applied AI category in malnutrition prediction, trained on labelled datasets in which nutritional outcomes — commonly stunting status, wasting status, or underweight classification — serve as the target variable against which model parameters are optimised. The RF algorithm, introduced by Breiman (2001), constructs an ensemble of decision trees using bootstrap samples of the training data and random subsets of predictor variables, aggregating predictions across trees to produce stable </w:t>
      </w:r>
      <w:r w:rsidRPr="008665DB">
        <w:rPr>
          <w:rFonts w:ascii="Times New Roman" w:eastAsia="Times New Roman" w:hAnsi="Times New Roman" w:cs="Times New Roman"/>
          <w:sz w:val="24"/>
          <w:szCs w:val="24"/>
          <w:lang w:eastAsia="en-GB"/>
        </w:rPr>
        <w:lastRenderedPageBreak/>
        <w:t>and accurate classifications. RF has become a particularly common method in nutrition research owing to its robustness to overfitting, capacity to handle datasets with missing values, built-in estimation of variable importance through permutation methods, and ability to detect nonlinear interactions without requiring feature transformation. Studies applying RF to DHS and MICS survey data for prediction of stunting and wasting have consistently demonstrated improved discrimination relative to logistic regression, particularly when multi-domain features spanning clinical, socioeconomic, and environmental predictors are incorporated jointly.</w:t>
      </w:r>
    </w:p>
    <w:p w14:paraId="0032A933"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Gradient boosting algorithms — most notably Extreme Gradient Boosting (XGBoost) and Light Gradient Boosting Machine (LightGBM) — build sequential ensembles of trees in which each successive tree corrects the residual errors of its predecessors, producing models of high predictive fidelity for complex classification tasks (Obermeyer &amp; Emanuel, 2016). These methods have been applied across multiple national contexts in South Asia and Sub-Saharan Africa, where they demonstrate consistently strong sensitivity and specificity for identifying nutritionally vulnerable children under five years when trained on integrated household and environmental feature sets. SVMs, which identify optimal hyperplanes to maximally separate classes in a transformed feature space, have also been applied in nutrition classification tasks (Cortes &amp; Vapnik, 1995). While SVMs perform well in small and moderate samples, their performance is more sensitive to feature scaling, kernel selection, and class imbalance than ensemble tree methods, and their computational cost scales less favourably with increasing dataset size.</w:t>
      </w:r>
    </w:p>
    <w:p w14:paraId="3291BE5A"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comparative advantage of ML algorithms over classical statistical models manifests most clearly when numerous predictors, complex interaction structures, and nonlinear relationships co-exist — conditions that characterise multi-domain malnutrition datasets assembled from diverse sources. Logistic regression and its extensions retain value as interpretable benchmarks against which ML performance gains are measured, and as methodological reference points for communicating model findings to non-specialist audiences in policy and programme settings.</w:t>
      </w:r>
    </w:p>
    <w:p w14:paraId="1C405EB6"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4.2 Deep Learning Architectures</w:t>
      </w:r>
    </w:p>
    <w:p w14:paraId="6C7E3013"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DNNs and their specialised variants have expanded the frontier of AI-based malnutrition prediction, particularly in domains involving unstructured data — medical images, satellite imagery, and free-text clinical records — that cannot be directly ingested by tabular ML algorithms. Convolutional neural networks (CNNs) apply learned hierarchical filters to extract spatially meaningful features from two-dimensional or three-dimensional inputs, and have been adapted for anthropometric screening applications in which photographs of children are processed to estimate growth indicators without physical measurement (LeCun et al., 2015). In mobile health (mHealth) contexts, CNN-based systems that estimate MUAC and weight from smartphone photographs hold substantial promise for scalable, low-cost screening in settings where trained health workers and weighing equipment are scarce, enabling community-level identification of children at risk of severe acute malnutrition (SAM). Translating such approaches from research prototypes to robust field tools requires careful attention to image quality variability, diverse skin tones and body positions, and the maintenance of accuracy across heterogeneous photographic conditions.</w:t>
      </w:r>
    </w:p>
    <w:p w14:paraId="40073F70"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Recurrent neural networks (RNNs) and their long short-term memory (LSTM) variant are architecturally suited to modelling sequential and temporal data, making them appropriate for </w:t>
      </w:r>
      <w:r w:rsidRPr="008665DB">
        <w:rPr>
          <w:rFonts w:ascii="Times New Roman" w:eastAsia="Times New Roman" w:hAnsi="Times New Roman" w:cs="Times New Roman"/>
          <w:sz w:val="24"/>
          <w:szCs w:val="24"/>
          <w:lang w:eastAsia="en-GB"/>
        </w:rPr>
        <w:lastRenderedPageBreak/>
        <w:t>capturing the longitudinal trajectories of child growth and the seasonal dynamics of food insecurity (Rajpurkar et al., 2022). LSTM models trained on multi-year time series of rainfall data, agricultural production indices, market price observations, and child anthropometric measurements have demonstrated capacity to forecast wasting incidence in advance of its peak, providing actionable lead time for early intervention and pre-positioning of therapeutic feeding supplies. Transfer learning — the fine-tuning of DNNs pre-trained on large external datasets for nutrition-specific tasks with smaller local training samples — has been proposed as a strategy to address the persistent challenge of limited labelled nutritional outcome data in LMICs, although the extent to which representations learned from radically different domains transfer usefully to nutrition contexts requires empirical scrutiny.</w:t>
      </w:r>
    </w:p>
    <w:p w14:paraId="71199350"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4.3 Natural Language Processing</w:t>
      </w:r>
    </w:p>
    <w:p w14:paraId="7D3545EA"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NLP, the branch of AI concerned with automated understanding and generation of human language, offers emerging but underexplored utility in nutrition surveillance and research. Clinical notes, hospital discharge summaries, community health worker records, and electronic health records (EHRs) contain rich nutritional information that is rarely captured in structured databases, including dietary histories, caregiving assessments, and socioeconomic narratives documented by frontline health workers. Transformer-based NLP models — including architectures built on the Bidirectional Encoder Representations from Transformers (BERT) framework — have demonstrated the capacity to extract structured nutritional information from unstructured clinical text, offering a pathway to population-level nutritional surveillance from routinely collected clinical documentation (Wahl et al., 2018).</w:t>
      </w:r>
    </w:p>
    <w:p w14:paraId="7FC82AE6"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Beyond clinical settings, NLP has been applied to social media platforms, news archives, and community-generated text to detect food insecurity signals in near-real-time, anticipating formal nutrition survey findings by weeks to months. Sentiment analysis, topic modelling, and event extraction algorithms applied to digital text data have been used to identify nutrition-relevant events — crop failures, food price spikes, displacement, and market disruptions — and to track public discourse around hunger and food access in affected communities </w:t>
      </w:r>
      <w:r w:rsidRPr="008665DB">
        <w:rPr>
          <w:rFonts w:ascii="Times New Roman" w:eastAsia="Times New Roman" w:hAnsi="Times New Roman" w:cs="Times New Roman"/>
          <w:b/>
          <w:bCs/>
          <w:sz w:val="24"/>
          <w:szCs w:val="24"/>
          <w:lang w:eastAsia="en-GB"/>
        </w:rPr>
        <w:t>(Brownstein et al., 2009)</w:t>
      </w:r>
      <w:r w:rsidRPr="008665DB">
        <w:rPr>
          <w:rFonts w:ascii="Times New Roman" w:eastAsia="Times New Roman" w:hAnsi="Times New Roman" w:cs="Times New Roman"/>
          <w:sz w:val="24"/>
          <w:szCs w:val="24"/>
          <w:lang w:eastAsia="en-GB"/>
        </w:rPr>
        <w:t>. While these approaches remain at early stages of validation and carry inherent risks related to sampling bias — overrepresenting internet-connected, urban, and literate populations — they represent a potentially important complement to conventional surveillance in data-sparse environments, especially when integrated with traditional epidemiological data streams.</w:t>
      </w:r>
    </w:p>
    <w:p w14:paraId="3D22B45D"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4.4 Geospatial Artificial Intelligence and Remote Sensing</w:t>
      </w:r>
    </w:p>
    <w:p w14:paraId="776E2288"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Geospatial AI integrates remotely sensed data from satellite platforms with ground-based measurements and household survey data to produce spatially explicit, high-resolution predictions of malnutrition risk that extend beyond the geographic coverage of survey clusters. The normalised difference vegetation index (NDVI) derived from multispectral satellite sensors serves as a proxy for vegetation density and crop productivity, and has been linked to nutritional outcomes in smallholder farming communities across Sub-Saharan Africa and South Asia, where agricultural livelihoods directly translate environmental conditions into household food availability </w:t>
      </w:r>
      <w:r w:rsidRPr="008665DB">
        <w:rPr>
          <w:rFonts w:ascii="Times New Roman" w:eastAsia="Times New Roman" w:hAnsi="Times New Roman" w:cs="Times New Roman"/>
          <w:b/>
          <w:bCs/>
          <w:sz w:val="24"/>
          <w:szCs w:val="24"/>
          <w:lang w:eastAsia="en-GB"/>
        </w:rPr>
        <w:t>(Osgood-Zimmerman et al., 2018)</w:t>
      </w:r>
      <w:r w:rsidRPr="008665DB">
        <w:rPr>
          <w:rFonts w:ascii="Times New Roman" w:eastAsia="Times New Roman" w:hAnsi="Times New Roman" w:cs="Times New Roman"/>
          <w:sz w:val="24"/>
          <w:szCs w:val="24"/>
          <w:lang w:eastAsia="en-GB"/>
        </w:rPr>
        <w:t>. Rainfall estimates from datasets such as CHIRPS provide temporally regular, spatially continuous characterisation of precipitation variability, enabling the identification of drought conditions, abnormal seasonal deficits, and long-term rainfall trends that bear on food production and child nutrition (Funk et al., 2015).</w:t>
      </w:r>
    </w:p>
    <w:p w14:paraId="572FB7F0"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Model-based geostatistics — combining Bayesian spatial modelling with ML algorithms — enables the production of continuous subnational maps of malnutrition prevalence from geographically sparse survey data, filling spatial gaps between survey clusters with uncertainty-quantified predictions. These spatially explicit estimates have been used to identify pockets of high malnutrition burden that would be invisible in national-level summary statistics and to monitor changes in the geographic distribution of nutritional risk over time (Osgood-Zimmerman et al., 2018). Platforms such as Google Earth Engine, which provides cloud-based access to decades of archived satellite imagery and computational tools for large-scale geospatial analysis, have substantially reduced the technical barriers to geospatial AI in LMIC research contexts.</w:t>
      </w:r>
      <w:r>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bCs/>
          <w:sz w:val="24"/>
          <w:szCs w:val="24"/>
          <w:lang w:eastAsia="en-GB"/>
        </w:rPr>
        <w:t>The principal AI methods applied to malnutrition prediction research, together with their primary applications, key advantages, and main limitations, are summarised in Table 3.</w:t>
      </w:r>
    </w:p>
    <w:p w14:paraId="5CB047D4"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t>Table 3. Summary of AI Methods Applied in Malnutrition Prediction Research</w:t>
      </w:r>
    </w:p>
    <w:tbl>
      <w:tblPr>
        <w:tblStyle w:val="TableGrid"/>
        <w:tblW w:w="0" w:type="auto"/>
        <w:tblLook w:val="04A0" w:firstRow="1" w:lastRow="0" w:firstColumn="1" w:lastColumn="0" w:noHBand="0" w:noVBand="1"/>
      </w:tblPr>
      <w:tblGrid>
        <w:gridCol w:w="1962"/>
        <w:gridCol w:w="2375"/>
        <w:gridCol w:w="2433"/>
        <w:gridCol w:w="2472"/>
      </w:tblGrid>
      <w:tr w:rsidR="008665DB" w:rsidRPr="008665DB" w14:paraId="30114E1E" w14:textId="77777777" w:rsidTr="008665DB">
        <w:tc>
          <w:tcPr>
            <w:tcW w:w="0" w:type="auto"/>
            <w:hideMark/>
          </w:tcPr>
          <w:p w14:paraId="71C08174"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AI Method</w:t>
            </w:r>
          </w:p>
        </w:tc>
        <w:tc>
          <w:tcPr>
            <w:tcW w:w="0" w:type="auto"/>
            <w:hideMark/>
          </w:tcPr>
          <w:p w14:paraId="01333F7F"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Primary Malnutrition Application</w:t>
            </w:r>
          </w:p>
        </w:tc>
        <w:tc>
          <w:tcPr>
            <w:tcW w:w="0" w:type="auto"/>
            <w:hideMark/>
          </w:tcPr>
          <w:p w14:paraId="2617A475"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Key Advantage</w:t>
            </w:r>
          </w:p>
        </w:tc>
        <w:tc>
          <w:tcPr>
            <w:tcW w:w="0" w:type="auto"/>
            <w:hideMark/>
          </w:tcPr>
          <w:p w14:paraId="740CF49E"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Key Limitation</w:t>
            </w:r>
          </w:p>
        </w:tc>
      </w:tr>
      <w:tr w:rsidR="008665DB" w:rsidRPr="008665DB" w14:paraId="095BB47C" w14:textId="77777777" w:rsidTr="008665DB">
        <w:tc>
          <w:tcPr>
            <w:tcW w:w="0" w:type="auto"/>
            <w:hideMark/>
          </w:tcPr>
          <w:p w14:paraId="22EEA8B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Random forest</w:t>
            </w:r>
          </w:p>
        </w:tc>
        <w:tc>
          <w:tcPr>
            <w:tcW w:w="0" w:type="auto"/>
            <w:hideMark/>
          </w:tcPr>
          <w:p w14:paraId="38CC64AE"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Stunting and wasting classification from survey data</w:t>
            </w:r>
          </w:p>
        </w:tc>
        <w:tc>
          <w:tcPr>
            <w:tcW w:w="0" w:type="auto"/>
            <w:hideMark/>
          </w:tcPr>
          <w:p w14:paraId="143F3105"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Robustness to overfitting; built-in feature importance; handles missing data</w:t>
            </w:r>
          </w:p>
        </w:tc>
        <w:tc>
          <w:tcPr>
            <w:tcW w:w="0" w:type="auto"/>
            <w:hideMark/>
          </w:tcPr>
          <w:p w14:paraId="57483D12"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Less effective with high-dimensional unstructured data</w:t>
            </w:r>
          </w:p>
        </w:tc>
      </w:tr>
      <w:tr w:rsidR="008665DB" w:rsidRPr="008665DB" w14:paraId="6498F8ED" w14:textId="77777777" w:rsidTr="008665DB">
        <w:tc>
          <w:tcPr>
            <w:tcW w:w="0" w:type="auto"/>
            <w:hideMark/>
          </w:tcPr>
          <w:p w14:paraId="1E279D7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Gradient boosting (XGBoost, LightGBM)</w:t>
            </w:r>
          </w:p>
        </w:tc>
        <w:tc>
          <w:tcPr>
            <w:tcW w:w="0" w:type="auto"/>
            <w:hideMark/>
          </w:tcPr>
          <w:p w14:paraId="70D09C58"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Wasting risk stratification from multi-domain features</w:t>
            </w:r>
          </w:p>
        </w:tc>
        <w:tc>
          <w:tcPr>
            <w:tcW w:w="0" w:type="auto"/>
            <w:hideMark/>
          </w:tcPr>
          <w:p w14:paraId="0E0ACC1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High predictive accuracy; handles class imbalance effectively</w:t>
            </w:r>
          </w:p>
        </w:tc>
        <w:tc>
          <w:tcPr>
            <w:tcW w:w="0" w:type="auto"/>
            <w:hideMark/>
          </w:tcPr>
          <w:p w14:paraId="4F435176"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Computationally intensive; hyperparameter sensitivity</w:t>
            </w:r>
          </w:p>
        </w:tc>
      </w:tr>
      <w:tr w:rsidR="008665DB" w:rsidRPr="008665DB" w14:paraId="729B968C" w14:textId="77777777" w:rsidTr="008665DB">
        <w:tc>
          <w:tcPr>
            <w:tcW w:w="0" w:type="auto"/>
            <w:hideMark/>
          </w:tcPr>
          <w:p w14:paraId="5B928CDD"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Support vector machine</w:t>
            </w:r>
          </w:p>
        </w:tc>
        <w:tc>
          <w:tcPr>
            <w:tcW w:w="0" w:type="auto"/>
            <w:hideMark/>
          </w:tcPr>
          <w:p w14:paraId="2032E24A"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Binary malnutrition classification in moderate samples</w:t>
            </w:r>
          </w:p>
        </w:tc>
        <w:tc>
          <w:tcPr>
            <w:tcW w:w="0" w:type="auto"/>
            <w:hideMark/>
          </w:tcPr>
          <w:p w14:paraId="5B1FE8DA"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Effective in smaller datasets; strong theoretical basis</w:t>
            </w:r>
          </w:p>
        </w:tc>
        <w:tc>
          <w:tcPr>
            <w:tcW w:w="0" w:type="auto"/>
            <w:hideMark/>
          </w:tcPr>
          <w:p w14:paraId="7234E755"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Sensitive to feature scaling; reduced interpretability</w:t>
            </w:r>
          </w:p>
        </w:tc>
      </w:tr>
      <w:tr w:rsidR="008665DB" w:rsidRPr="008665DB" w14:paraId="369FFBE9" w14:textId="77777777" w:rsidTr="008665DB">
        <w:tc>
          <w:tcPr>
            <w:tcW w:w="0" w:type="auto"/>
            <w:hideMark/>
          </w:tcPr>
          <w:p w14:paraId="55EB5DA3"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Convolutional neural network</w:t>
            </w:r>
          </w:p>
        </w:tc>
        <w:tc>
          <w:tcPr>
            <w:tcW w:w="0" w:type="auto"/>
            <w:hideMark/>
          </w:tcPr>
          <w:p w14:paraId="41741BE5"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Image-based anthropometric screening; dietary food recognition</w:t>
            </w:r>
          </w:p>
        </w:tc>
        <w:tc>
          <w:tcPr>
            <w:tcW w:w="0" w:type="auto"/>
            <w:hideMark/>
          </w:tcPr>
          <w:p w14:paraId="1E5EE65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Processes unstructured imagery; scalable for mHealth</w:t>
            </w:r>
          </w:p>
        </w:tc>
        <w:tc>
          <w:tcPr>
            <w:tcW w:w="0" w:type="auto"/>
            <w:hideMark/>
          </w:tcPr>
          <w:p w14:paraId="39B6D89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Requires large labelled datasets; computationally opaque</w:t>
            </w:r>
          </w:p>
        </w:tc>
      </w:tr>
      <w:tr w:rsidR="008665DB" w:rsidRPr="008665DB" w14:paraId="55C88149" w14:textId="77777777" w:rsidTr="008665DB">
        <w:tc>
          <w:tcPr>
            <w:tcW w:w="0" w:type="auto"/>
            <w:hideMark/>
          </w:tcPr>
          <w:p w14:paraId="328FF86E"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LSTM/RNN</w:t>
            </w:r>
          </w:p>
        </w:tc>
        <w:tc>
          <w:tcPr>
            <w:tcW w:w="0" w:type="auto"/>
            <w:hideMark/>
          </w:tcPr>
          <w:p w14:paraId="583A652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Longitudinal growth trajectories; famine early warning forecasting</w:t>
            </w:r>
          </w:p>
        </w:tc>
        <w:tc>
          <w:tcPr>
            <w:tcW w:w="0" w:type="auto"/>
            <w:hideMark/>
          </w:tcPr>
          <w:p w14:paraId="5348920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Captures temporal dynamics and seasonal patterns</w:t>
            </w:r>
          </w:p>
        </w:tc>
        <w:tc>
          <w:tcPr>
            <w:tcW w:w="0" w:type="auto"/>
            <w:hideMark/>
          </w:tcPr>
          <w:p w14:paraId="22168A68"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Demands longitudinal training data; computationally demanding</w:t>
            </w:r>
          </w:p>
        </w:tc>
      </w:tr>
      <w:tr w:rsidR="008665DB" w:rsidRPr="008665DB" w14:paraId="44F88F9A" w14:textId="77777777" w:rsidTr="008665DB">
        <w:tc>
          <w:tcPr>
            <w:tcW w:w="0" w:type="auto"/>
            <w:hideMark/>
          </w:tcPr>
          <w:p w14:paraId="0814AEA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Bayesian geospatial models</w:t>
            </w:r>
          </w:p>
        </w:tc>
        <w:tc>
          <w:tcPr>
            <w:tcW w:w="0" w:type="auto"/>
            <w:hideMark/>
          </w:tcPr>
          <w:p w14:paraId="1C7C198D"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Subnational malnutrition prevalence mapping</w:t>
            </w:r>
          </w:p>
        </w:tc>
        <w:tc>
          <w:tcPr>
            <w:tcW w:w="0" w:type="auto"/>
            <w:hideMark/>
          </w:tcPr>
          <w:p w14:paraId="5FECFF80"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Spatial uncertainty quantification; interpolation beyond survey clusters</w:t>
            </w:r>
          </w:p>
        </w:tc>
        <w:tc>
          <w:tcPr>
            <w:tcW w:w="0" w:type="auto"/>
            <w:hideMark/>
          </w:tcPr>
          <w:p w14:paraId="2212C41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Requires georeferenced survey data; specialist expertise</w:t>
            </w:r>
          </w:p>
        </w:tc>
      </w:tr>
      <w:tr w:rsidR="008665DB" w:rsidRPr="008665DB" w14:paraId="2BCF26B7" w14:textId="77777777" w:rsidTr="008665DB">
        <w:tc>
          <w:tcPr>
            <w:tcW w:w="0" w:type="auto"/>
            <w:hideMark/>
          </w:tcPr>
          <w:p w14:paraId="0EA9CF1B"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NLP and transformer models</w:t>
            </w:r>
          </w:p>
        </w:tc>
        <w:tc>
          <w:tcPr>
            <w:tcW w:w="0" w:type="auto"/>
            <w:hideMark/>
          </w:tcPr>
          <w:p w14:paraId="237AEF3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EHR extraction; social media food insecurity surveillance</w:t>
            </w:r>
          </w:p>
        </w:tc>
        <w:tc>
          <w:tcPr>
            <w:tcW w:w="0" w:type="auto"/>
            <w:hideMark/>
          </w:tcPr>
          <w:p w14:paraId="3E37D17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Leverages routinely collected unstructured text</w:t>
            </w:r>
          </w:p>
        </w:tc>
        <w:tc>
          <w:tcPr>
            <w:tcW w:w="0" w:type="auto"/>
            <w:hideMark/>
          </w:tcPr>
          <w:p w14:paraId="7E6CB7AB"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Sampling bias; limited performance in non-English LMIC text</w:t>
            </w:r>
          </w:p>
        </w:tc>
      </w:tr>
    </w:tbl>
    <w:p w14:paraId="450CFD3E"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D1F05">
        <w:rPr>
          <w:rFonts w:ascii="Times New Roman" w:eastAsia="Times New Roman" w:hAnsi="Times New Roman" w:cs="Times New Roman"/>
          <w:i/>
          <w:iCs/>
          <w:sz w:val="24"/>
          <w:szCs w:val="24"/>
          <w:lang w:val="nl-BE" w:eastAsia="en-GB"/>
        </w:rPr>
        <w:t xml:space="preserve">Sources: Breiman (2001); Cortes &amp; Vapnik (1995); LeCun et al. (2015); Rajpurkar et al. </w:t>
      </w:r>
      <w:r w:rsidRPr="008665DB">
        <w:rPr>
          <w:rFonts w:ascii="Times New Roman" w:eastAsia="Times New Roman" w:hAnsi="Times New Roman" w:cs="Times New Roman"/>
          <w:i/>
          <w:iCs/>
          <w:sz w:val="24"/>
          <w:szCs w:val="24"/>
          <w:lang w:eastAsia="en-GB"/>
        </w:rPr>
        <w:t>(2022)</w:t>
      </w:r>
    </w:p>
    <w:p w14:paraId="1E5C074C"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LSTM = long short-term memory; RNN = recurrent neural network; NLP = natural language processing; EHR = electronic health record; mHealth = mobile health; LMIC = low- and middle-income country.</w:t>
      </w:r>
    </w:p>
    <w:p w14:paraId="4B90A4EF"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071432C1"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5. Integration of Multi-Domain Data in Artificial Intelligence Malnutrition Models</w:t>
      </w:r>
    </w:p>
    <w:p w14:paraId="2CEBC5FE"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5.1 Data Integration Frameworks</w:t>
      </w:r>
    </w:p>
    <w:p w14:paraId="6C177DBC"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integration of heterogeneous data sources — clinical records, household survey data, satellite imagery, economic indicators, and environmental measurements — is simultaneously the central promise and the principal methodological challenge of AI-based malnutrition prediction. Multi-domain integration requires systematic decisions about data linkage strategies, variable harmonisation across different measurement instruments, handling of spatial and temporal mismatches between data layers, and treatment of missing data in contexts where certain data types may be entirely absent for some study units. Two broad integration architectures dominate the literature: early integration (data-level fusion), in which variables from multiple data streams are combined into a unified feature matrix before model training, and late integration (decision-level fusion), in which separately trained domain-specific models are combined through ensemble or stacking strategies (Rajpurkar et al., 2022).</w:t>
      </w:r>
    </w:p>
    <w:p w14:paraId="5C3F74AE"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Early integration is computationally straightforward and preserves cross-domain interaction effects — the way in which, for instance, a rainfall deficit modifies the effect of household poverty on child wasting — but is sensitive to differences in data quality, measurement scale, and temporal alignment across sources. Late integration is more resilient to heterogeneous data quality and permits specialised model architectures for each data type, but risks losing the cross-domain interaction information that early fusion naturally preserves. Multi-input deep learning architectures have emerged as a technically sophisticated alternative, processing structured tabular data, time-series data, and imagery through domain-specific subnetworks and combining their learned representations in a joint embedding layer before final prediction (LeCun et al., 2015). These architectures are computationally demanding and require larger training datasets than tabular ML methods, but offer the most flexible representation of multi-domain relationships.</w:t>
      </w:r>
    </w:p>
    <w:p w14:paraId="096C19E5"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5.2 Feature Engineering and Variable Selection</w:t>
      </w:r>
    </w:p>
    <w:p w14:paraId="132A2223"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Feature engineering — the principled transformation of raw data into informative model inputs — substantially determines the predictive performance of AI malnutrition models across all integration architectures. In the clinical domain, derived features such as rate of MUAC change over a defined period, Z-score velocity between measurement occasions, and composite infection burden indices have been shown to capture nutritional dynamics more sensitively than single-timepoint anthropometric values. In the socioeconomic domain, composite indices — such as the DHS Wealth Index derived from asset ownership and housing characteristics, Household Dietary Diversity Scores (HDDS), and the Household Food Insecurity Access Scale (HFIAS) — provide more sensitive and contextually appropriate predictors of nutritional vulnerability than income or expenditure measures in isolation (Smith &amp; Haddad, 2015).</w:t>
      </w:r>
    </w:p>
    <w:p w14:paraId="526C582E"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Environmental feature engineering involves constructing lagged and cumulative exposure variables that capture the delayed pathways through which environmental conditions affect nutritional status. Rainfall deficits accumulated over 90-day periods, mean NDVI in the three months preceding an anthropometric assessment, and seasonal anomalies relative to long-term climatological means provide more biologically and agronomically meaningful predictors than contemporaneous point measurements. Feature selection and dimensionality reduction methods — including LASSO (least absolute shrinkage and selection operator) regularisation, recursive feature elimination, and SHAP (SHapley Additive exPlanations) value-based importance ranking — have been applied to identify parsimonious and generalisable subsets of predictors from high-dimensional feature spaces (Lundberg et al., 2020). SHAP-based analyses of malnutrition prediction models have consistently identified maternal education, WASH access, and rainfall anomalies among the top-ranked predictors, findings that align well with established nutritional theory and reinforce confidence in model validity.</w:t>
      </w:r>
    </w:p>
    <w:p w14:paraId="217FB0C8"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5.3 Predictive Performance of Integrated Models</w:t>
      </w:r>
    </w:p>
    <w:p w14:paraId="3AADBADA"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Evidence from comparative studies conducted across LMIC settings consistently supports the superiority of models integrating multiple data domains over those relying on any single data type. The incremental contribution of environmental and socioeconomic features to models that begin with clinical anthropometric variables alone is well-documented, </w:t>
      </w:r>
      <w:r w:rsidRPr="008665DB">
        <w:rPr>
          <w:rFonts w:ascii="Times New Roman" w:eastAsia="Times New Roman" w:hAnsi="Times New Roman" w:cs="Times New Roman"/>
          <w:bCs/>
          <w:sz w:val="24"/>
          <w:szCs w:val="24"/>
          <w:lang w:eastAsia="en-GB"/>
        </w:rPr>
        <w:t>with reported area under the receiver operating characteristic curve (AUC) values for integrated approaches typically falling in the range of 0.80–0.90 for binary classification tasks across the reviewed literature, compared with clinical-only baselines that more commonly fall in the 0.65–0.75 range.</w:t>
      </w:r>
      <w:r w:rsidRPr="008665DB">
        <w:rPr>
          <w:rFonts w:ascii="Times New Roman" w:eastAsia="Times New Roman" w:hAnsi="Times New Roman" w:cs="Times New Roman"/>
          <w:sz w:val="24"/>
          <w:szCs w:val="24"/>
          <w:lang w:eastAsia="en-GB"/>
        </w:rPr>
        <w:t xml:space="preserve"> Ensemble methods that combine predictions from models trained on domain-specific features — for example, a geospatial model for environmental risk and an RF model for household socioeconomic risk — have demonstrated particularly strong overall performance, suggesting that the complementarity of information across domains translates into measurable predictive gains.</w:t>
      </w:r>
    </w:p>
    <w:p w14:paraId="35E62100"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Reporting and interpretation of performance metrics require careful attention to the epidemiological characteristics of the study population. Class imbalance — reflecting the lower prevalence of severe malnutrition relative to mild or borderline cases in many national survey datasets — can produce misleadingly high overall accuracy whilst masking poor sensitivity for the highest-risk individuals who are the intended target of predictive models. The F1 score, precision-recall curves, and calibration plots provide complementary metrics to AUC that are more informative in imbalanced classification settings and should be standard components of AI malnutrition model evaluation.</w:t>
      </w:r>
    </w:p>
    <w:p w14:paraId="588CD4BD"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2DCA4B66"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6. The Role of Socioeconomic and Environmental Data in Artificial Intelligence Models</w:t>
      </w:r>
    </w:p>
    <w:p w14:paraId="44BB61BE"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6.1 Socioeconomic Variables as Predictors</w:t>
      </w:r>
    </w:p>
    <w:p w14:paraId="63A1A01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Among the socioeconomic features incorporated in AI malnutrition models, maternal education and household wealth consistently rank among the most important predictors in variable importance analyses across diverse country contexts. The mechanisms through which maternal education influences child nutrition are multiple and interacting: educated </w:t>
      </w:r>
      <w:r w:rsidRPr="008665DB">
        <w:rPr>
          <w:rFonts w:ascii="Times New Roman" w:eastAsia="Times New Roman" w:hAnsi="Times New Roman" w:cs="Times New Roman"/>
          <w:sz w:val="24"/>
          <w:szCs w:val="24"/>
          <w:lang w:eastAsia="en-GB"/>
        </w:rPr>
        <w:lastRenderedPageBreak/>
        <w:t>mothers possess greater nutritional knowledge, demonstrate improved infant and young child feeding practices, engage more effectively with healthcare services, and command greater decision-making authority over household food purchases and healthcare expenditures (Bhutta et al., 2013). WASH access variables are significant contributors to malnutrition risk models, particularly for wasting outcomes where the pathways linking environmental contamination to gut inflammation and growth faltering are most direct (Guerrant et al., 2013). The joint effect of maternal education and WASH access is often synergistic rather than simply additive, as educated mothers are better positioned to utilise available WASH infrastructure and to implement hygiene practices that reduce pathogen exposure.</w:t>
      </w:r>
    </w:p>
    <w:p w14:paraId="4A88A6E5"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Social protection indicators — including participation in conditional cash transfer programmes, food assistance schemes, and community therapeutic feeding — are increasingly incorporated as dynamic socioeconomic predictors, though their availability in routinely collected datasets remains inconsistent across LMICs. The emergence of mobile phone-derived data, including call detail records and mobile money transaction patterns, as proxies for socioeconomic status and residential mobility opens new avenues for real-time socioeconomic feature generation that supplements episodic survey measurements. Mobile penetration rates in Sub-Saharan Africa and South Asia have risen substantially, and AI approaches that leverage passively collected mobile data for nutritional risk assessment could provide continuous monitoring capacity in contexts where periodic surveys are impractical </w:t>
      </w:r>
      <w:r w:rsidRPr="008665DB">
        <w:rPr>
          <w:rFonts w:ascii="Times New Roman" w:eastAsia="Times New Roman" w:hAnsi="Times New Roman" w:cs="Times New Roman"/>
          <w:b/>
          <w:bCs/>
          <w:sz w:val="24"/>
          <w:szCs w:val="24"/>
          <w:lang w:eastAsia="en-GB"/>
        </w:rPr>
        <w:t>(Labrique et al., 2013)</w:t>
      </w:r>
      <w:r w:rsidRPr="008665DB">
        <w:rPr>
          <w:rFonts w:ascii="Times New Roman" w:eastAsia="Times New Roman" w:hAnsi="Times New Roman" w:cs="Times New Roman"/>
          <w:sz w:val="24"/>
          <w:szCs w:val="24"/>
          <w:lang w:eastAsia="en-GB"/>
        </w:rPr>
        <w:t>.</w:t>
      </w:r>
    </w:p>
    <w:p w14:paraId="77776CAA"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6.2 Remote Sensing and Geospatial Environmental Features</w:t>
      </w:r>
    </w:p>
    <w:p w14:paraId="3B90AEEB"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Remote sensing data provide spatially continuous and temporally regular measurements of environmental conditions that are directly relevant to agricultural productivity, livelihood viability, and nutritional risk. The CHIRPS rainfall dataset, available at approximately 5 km × 5 km spatial resolution from 1981 to the present, enables characterisation of rainfall anomalies, seasonal drought indices, and long-term precipitation trends at a resolution sufficient to distinguish conditions across different agro-ecological zones within a single country (Funk et al., 2015). The NDVI derived from sensors including the Moderate Resolution Imaging Spectroradiometer (MODIS) and Landsat tracks vegetation phenology and crop productivity over time, providing leading indicators of agricultural harvest quality and pasture availability for pastoralist communities that are directly linked to household food security.</w:t>
      </w:r>
    </w:p>
    <w:p w14:paraId="38933C45"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Land surface temperature, evapotranspiration estimates derived from energy balance models, and soil moisture products from the Soil Moisture Active Passive (SMAP) satellite mission capture heat stress, drought severity, and irrigation adequacy across spatial extents that match the operational scale of district-level nutrition programme planning. The integration of these multi-source environmental layers with community-level socioeconomic data in subnational mapping exercises has produced high-resolution predictions of malnutrition risk that reveal geographic heterogeneity — including pockets of extreme vulnerability within broadly food-secure regions — that national average statistics would entirely obscure (Osgood-Zimmerman et al., 2018). Such spatially explicit risk surfaces are directly actionable in the targeting of community-based management of acute malnutrition (CMAM) programmes and in the design of humanitarian early warning systems.</w:t>
      </w:r>
      <w:r>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bCs/>
          <w:sz w:val="24"/>
          <w:szCs w:val="24"/>
          <w:lang w:eastAsia="en-GB"/>
        </w:rPr>
        <w:t>Table 4 provides an overview of the principal environmental and geospatial data sources used in AI-based malnutrition prediction research, including their primary variables, spatial resolution, temporal coverage, and relevance to nutritional risk.</w:t>
      </w:r>
    </w:p>
    <w:p w14:paraId="037C072D"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lastRenderedPageBreak/>
        <w:t>Table 4. Environmental and Geospatial Data Sources Used in AI-Based Malnutrition Prediction</w:t>
      </w:r>
    </w:p>
    <w:tbl>
      <w:tblPr>
        <w:tblStyle w:val="TableGrid"/>
        <w:tblW w:w="0" w:type="auto"/>
        <w:tblLook w:val="04A0" w:firstRow="1" w:lastRow="0" w:firstColumn="1" w:lastColumn="0" w:noHBand="0" w:noVBand="1"/>
      </w:tblPr>
      <w:tblGrid>
        <w:gridCol w:w="2230"/>
        <w:gridCol w:w="2210"/>
        <w:gridCol w:w="1675"/>
        <w:gridCol w:w="1409"/>
        <w:gridCol w:w="1718"/>
      </w:tblGrid>
      <w:tr w:rsidR="008665DB" w:rsidRPr="008665DB" w14:paraId="630E1010" w14:textId="77777777" w:rsidTr="008665DB">
        <w:tc>
          <w:tcPr>
            <w:tcW w:w="0" w:type="auto"/>
            <w:hideMark/>
          </w:tcPr>
          <w:p w14:paraId="482BF03C"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Data Source</w:t>
            </w:r>
          </w:p>
        </w:tc>
        <w:tc>
          <w:tcPr>
            <w:tcW w:w="0" w:type="auto"/>
            <w:hideMark/>
          </w:tcPr>
          <w:p w14:paraId="58AC120D"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Primary Variable</w:t>
            </w:r>
          </w:p>
        </w:tc>
        <w:tc>
          <w:tcPr>
            <w:tcW w:w="0" w:type="auto"/>
            <w:hideMark/>
          </w:tcPr>
          <w:p w14:paraId="5C3D57E9"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Approximate Spatial Resolution</w:t>
            </w:r>
          </w:p>
        </w:tc>
        <w:tc>
          <w:tcPr>
            <w:tcW w:w="0" w:type="auto"/>
            <w:hideMark/>
          </w:tcPr>
          <w:p w14:paraId="386261A8"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Temporal Coverage</w:t>
            </w:r>
          </w:p>
        </w:tc>
        <w:tc>
          <w:tcPr>
            <w:tcW w:w="0" w:type="auto"/>
            <w:hideMark/>
          </w:tcPr>
          <w:p w14:paraId="314945F8"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Relevance to Malnutrition Risk</w:t>
            </w:r>
          </w:p>
        </w:tc>
      </w:tr>
      <w:tr w:rsidR="008665DB" w:rsidRPr="008665DB" w14:paraId="5D1B799F" w14:textId="77777777" w:rsidTr="008665DB">
        <w:tc>
          <w:tcPr>
            <w:tcW w:w="0" w:type="auto"/>
            <w:hideMark/>
          </w:tcPr>
          <w:p w14:paraId="2D8B0EE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CHIRPS</w:t>
            </w:r>
          </w:p>
        </w:tc>
        <w:tc>
          <w:tcPr>
            <w:tcW w:w="0" w:type="auto"/>
            <w:hideMark/>
          </w:tcPr>
          <w:p w14:paraId="4AC78CA2"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Rainfall, drought index</w:t>
            </w:r>
          </w:p>
        </w:tc>
        <w:tc>
          <w:tcPr>
            <w:tcW w:w="0" w:type="auto"/>
            <w:hideMark/>
          </w:tcPr>
          <w:p w14:paraId="646AFF16"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~5 km</w:t>
            </w:r>
          </w:p>
        </w:tc>
        <w:tc>
          <w:tcPr>
            <w:tcW w:w="0" w:type="auto"/>
            <w:hideMark/>
          </w:tcPr>
          <w:p w14:paraId="77C8DFD5"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1981–present</w:t>
            </w:r>
          </w:p>
        </w:tc>
        <w:tc>
          <w:tcPr>
            <w:tcW w:w="0" w:type="auto"/>
            <w:hideMark/>
          </w:tcPr>
          <w:p w14:paraId="703FDD58"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Agricultural productivity; food availability</w:t>
            </w:r>
          </w:p>
        </w:tc>
      </w:tr>
      <w:tr w:rsidR="008665DB" w:rsidRPr="008665DB" w14:paraId="03255DD0" w14:textId="77777777" w:rsidTr="008665DB">
        <w:tc>
          <w:tcPr>
            <w:tcW w:w="0" w:type="auto"/>
            <w:hideMark/>
          </w:tcPr>
          <w:p w14:paraId="02159DF6"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MODIS/Landsat</w:t>
            </w:r>
          </w:p>
        </w:tc>
        <w:tc>
          <w:tcPr>
            <w:tcW w:w="0" w:type="auto"/>
            <w:hideMark/>
          </w:tcPr>
          <w:p w14:paraId="125987A3"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NDVI; land surface temperature; evapotranspiration</w:t>
            </w:r>
          </w:p>
        </w:tc>
        <w:tc>
          <w:tcPr>
            <w:tcW w:w="0" w:type="auto"/>
            <w:hideMark/>
          </w:tcPr>
          <w:p w14:paraId="0FB54493"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30 m – 1 km</w:t>
            </w:r>
          </w:p>
        </w:tc>
        <w:tc>
          <w:tcPr>
            <w:tcW w:w="0" w:type="auto"/>
            <w:hideMark/>
          </w:tcPr>
          <w:p w14:paraId="3814630A"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2000/1972–present</w:t>
            </w:r>
          </w:p>
        </w:tc>
        <w:tc>
          <w:tcPr>
            <w:tcW w:w="0" w:type="auto"/>
            <w:hideMark/>
          </w:tcPr>
          <w:p w14:paraId="012853D9"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Vegetation and crop productivity; heat stress</w:t>
            </w:r>
          </w:p>
        </w:tc>
      </w:tr>
      <w:tr w:rsidR="008665DB" w:rsidRPr="008665DB" w14:paraId="672F0AC1" w14:textId="77777777" w:rsidTr="008665DB">
        <w:tc>
          <w:tcPr>
            <w:tcW w:w="0" w:type="auto"/>
            <w:hideMark/>
          </w:tcPr>
          <w:p w14:paraId="4B8CADF5"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SMAP/GRACE</w:t>
            </w:r>
          </w:p>
        </w:tc>
        <w:tc>
          <w:tcPr>
            <w:tcW w:w="0" w:type="auto"/>
            <w:hideMark/>
          </w:tcPr>
          <w:p w14:paraId="6EFA7A96"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Soil moisture; groundwater anomaly</w:t>
            </w:r>
          </w:p>
        </w:tc>
        <w:tc>
          <w:tcPr>
            <w:tcW w:w="0" w:type="auto"/>
            <w:hideMark/>
          </w:tcPr>
          <w:p w14:paraId="1A3DB146"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9–36 km</w:t>
            </w:r>
          </w:p>
        </w:tc>
        <w:tc>
          <w:tcPr>
            <w:tcW w:w="0" w:type="auto"/>
            <w:hideMark/>
          </w:tcPr>
          <w:p w14:paraId="4BC689BE"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2015/2002–present</w:t>
            </w:r>
          </w:p>
        </w:tc>
        <w:tc>
          <w:tcPr>
            <w:tcW w:w="0" w:type="auto"/>
            <w:hideMark/>
          </w:tcPr>
          <w:p w14:paraId="1A9F2A86"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Agricultural water stress; irrigation adequacy</w:t>
            </w:r>
          </w:p>
        </w:tc>
      </w:tr>
      <w:tr w:rsidR="008665DB" w:rsidRPr="008665DB" w14:paraId="771C6741" w14:textId="77777777" w:rsidTr="008665DB">
        <w:tc>
          <w:tcPr>
            <w:tcW w:w="0" w:type="auto"/>
            <w:hideMark/>
          </w:tcPr>
          <w:p w14:paraId="12BC712C"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DHS/MICS clusters</w:t>
            </w:r>
          </w:p>
        </w:tc>
        <w:tc>
          <w:tcPr>
            <w:tcW w:w="0" w:type="auto"/>
            <w:hideMark/>
          </w:tcPr>
          <w:p w14:paraId="624E5D6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Household socioeconomic, WASH, and anthropometric data</w:t>
            </w:r>
          </w:p>
        </w:tc>
        <w:tc>
          <w:tcPr>
            <w:tcW w:w="0" w:type="auto"/>
            <w:hideMark/>
          </w:tcPr>
          <w:p w14:paraId="73623000"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Survey cluster</w:t>
            </w:r>
          </w:p>
        </w:tc>
        <w:tc>
          <w:tcPr>
            <w:tcW w:w="0" w:type="auto"/>
            <w:hideMark/>
          </w:tcPr>
          <w:p w14:paraId="18D86C4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Multi-year intervals</w:t>
            </w:r>
          </w:p>
        </w:tc>
        <w:tc>
          <w:tcPr>
            <w:tcW w:w="0" w:type="auto"/>
            <w:hideMark/>
          </w:tcPr>
          <w:p w14:paraId="41BFD35D"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Direct nutrition determinants at household level</w:t>
            </w:r>
          </w:p>
        </w:tc>
      </w:tr>
      <w:tr w:rsidR="008665DB" w:rsidRPr="008665DB" w14:paraId="59BB0BEE" w14:textId="77777777" w:rsidTr="008665DB">
        <w:tc>
          <w:tcPr>
            <w:tcW w:w="0" w:type="auto"/>
            <w:hideMark/>
          </w:tcPr>
          <w:p w14:paraId="17B22BF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OpenStreetMap</w:t>
            </w:r>
          </w:p>
        </w:tc>
        <w:tc>
          <w:tcPr>
            <w:tcW w:w="0" w:type="auto"/>
            <w:hideMark/>
          </w:tcPr>
          <w:p w14:paraId="294D663E"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Road network; market and health facility proximity</w:t>
            </w:r>
          </w:p>
        </w:tc>
        <w:tc>
          <w:tcPr>
            <w:tcW w:w="0" w:type="auto"/>
            <w:hideMark/>
          </w:tcPr>
          <w:p w14:paraId="1958254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Variable</w:t>
            </w:r>
          </w:p>
        </w:tc>
        <w:tc>
          <w:tcPr>
            <w:tcW w:w="0" w:type="auto"/>
            <w:hideMark/>
          </w:tcPr>
          <w:p w14:paraId="6599E216"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2004–present</w:t>
            </w:r>
          </w:p>
        </w:tc>
        <w:tc>
          <w:tcPr>
            <w:tcW w:w="0" w:type="auto"/>
            <w:hideMark/>
          </w:tcPr>
          <w:p w14:paraId="5B835E0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Market access; healthcare accessibility</w:t>
            </w:r>
          </w:p>
        </w:tc>
      </w:tr>
      <w:tr w:rsidR="008665DB" w:rsidRPr="008665DB" w14:paraId="7F29F6DA" w14:textId="77777777" w:rsidTr="008665DB">
        <w:tc>
          <w:tcPr>
            <w:tcW w:w="0" w:type="auto"/>
            <w:hideMark/>
          </w:tcPr>
          <w:p w14:paraId="77C59E0C"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WorldPop/LandScan</w:t>
            </w:r>
          </w:p>
        </w:tc>
        <w:tc>
          <w:tcPr>
            <w:tcW w:w="0" w:type="auto"/>
            <w:hideMark/>
          </w:tcPr>
          <w:p w14:paraId="734D2479"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Population density and distribution</w:t>
            </w:r>
          </w:p>
        </w:tc>
        <w:tc>
          <w:tcPr>
            <w:tcW w:w="0" w:type="auto"/>
            <w:hideMark/>
          </w:tcPr>
          <w:p w14:paraId="717D285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100 m – 1 km</w:t>
            </w:r>
          </w:p>
        </w:tc>
        <w:tc>
          <w:tcPr>
            <w:tcW w:w="0" w:type="auto"/>
            <w:hideMark/>
          </w:tcPr>
          <w:p w14:paraId="6982AC6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2000–present</w:t>
            </w:r>
          </w:p>
        </w:tc>
        <w:tc>
          <w:tcPr>
            <w:tcW w:w="0" w:type="auto"/>
            <w:hideMark/>
          </w:tcPr>
          <w:p w14:paraId="551E1C2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Vulnerability exposure; denominator estimation</w:t>
            </w:r>
          </w:p>
        </w:tc>
      </w:tr>
    </w:tbl>
    <w:p w14:paraId="07EFF35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i/>
          <w:iCs/>
          <w:sz w:val="24"/>
          <w:szCs w:val="24"/>
          <w:lang w:eastAsia="en-GB"/>
        </w:rPr>
        <w:t>Sources: Funk et al. (2015); Osgood-Zimmerman et al. (2018); Victora et al. (2021)</w:t>
      </w:r>
    </w:p>
    <w:p w14:paraId="1B5845D3"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CHIRPS = Climate Hazards Infrared Precipitation with Stations; NDVI = normalised difference vegetation index; MODIS = Moderate Resolution Imaging Spectroradiometer; SMAP = Soil Moisture Active Passive; GRACE = Gravity Recovery and Climate Experiment; DHS = Demographic and Health Survey; MICS = Multiple Indicator Cluster Survey; WASH = water, sanitation, and hygiene.</w:t>
      </w:r>
    </w:p>
    <w:p w14:paraId="247B7FFA"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6.3 Climate Change as a Dynamic Environmental Predictor</w:t>
      </w:r>
    </w:p>
    <w:p w14:paraId="30E968D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Climate change is intensifying the environmental drivers of malnutrition through more frequent, severe, and geographically shifting droughts, floods, and temperature extremes, with disproportionate impacts on communities in tropical regions whose livelihoods are most directly dependent on climate-sensitive agriculture (Lloyd et al., 2011). AI models that incorporate dynamically updated climate data alongside historical baseline conditions are better positioned to capture the evolving risk landscape than static risk-factor models calibrated on historical averages. The integration of seasonal and decadal climate forecasts derived from coupled ocean-atmosphere models with household-level nutrition data represents a methodological frontier with significant practical implications for food security planning and nutrition programme design.</w:t>
      </w:r>
    </w:p>
    <w:p w14:paraId="0568FEB1"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Time-series analyses using LSTM networks have shown promise in detecting nonlinear threshold effects in climate-nutrition relationships — critical inflection points at which small additional climate stressors produce disproportionately large increases in wasting rates — reflecting the crossing of livelihood coping thresholds beyond which household food security deteriorates rapidly (Fanzo et al., 2018). The integration of downscaled climate model projections from the Coupled Model Intercomparison Project Phase 6 (CMIP6) with nutrition outcome data could support forward-looking malnutrition risk assessment under different emissions scenarios, informing long-term adaptation planning. Substantial methodological challenges remain, however, including the spatial mismatch between climate model grid cells and survey cluster locations, uncertainty propagation from climate to nutrition outcomes, and the difficulty of accounting for adaptive behaviour change that may partially offset climate-driven risk increases over longer time horizons.</w:t>
      </w:r>
    </w:p>
    <w:p w14:paraId="27FF9150"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127668B5"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7. Artificial Intelligence and the Sustainable Development Goals</w:t>
      </w:r>
    </w:p>
    <w:p w14:paraId="639B9589"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7.1 SDG 2: Zero Hunger</w:t>
      </w:r>
    </w:p>
    <w:p w14:paraId="62C481E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AI-based malnutrition prediction is most directly aligned with SDG 2, which sets targets for the elimination of hunger, achievement of food security and improved nutrition, and promotion of sustainable agriculture by 2030 (United Nations, 2015). AI tools that improve the precision of nutrition surveillance enable more effective and equitable targeting of food assistance, therapeutic feeding programmes, and social protection interventions at household and community levels, directly supporting the SDG 2 sub-target of ending all forms of malnutrition. Early warning systems that integrate AI — including those developed under the Famine Early Warning Systems Network (FEWS NET), which combines satellite-derived agricultural production estimates, market price monitoring, and conflict indicators — have improved the timeliness and geographic precision of humanitarian responses to acute food crises (FAO, IFAD, UNICEF, WFP, &amp; WHO, 2023).</w:t>
      </w:r>
    </w:p>
    <w:p w14:paraId="27B98D82"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Agricultural AI applications represent a further and increasingly important point of convergence between SDG 2 and predictive analytics. Mobile-based advisory systems that deliver context-sensitive agronomic recommendations to smallholder farmers — drawing on local weather data, soil type information, and market price signals — have demonstrated potential to improve crop yields and dietary diversity among participating households (Labrique et al., 2013). The integration of nutrition outcomes data with agricultural AI platforms creates conceptual opportunities for closed-loop systems that simultaneously optimise food production, market access, and dietary quality, addressing SDG 2 across the food systems value chain. Achieving this integration in practice requires cross-sectoral data governance frameworks that bridge the traditional institutional divide between agricultural ministries, health ministries, and humanitarian agencies (Wahl et al., 2018).</w:t>
      </w:r>
    </w:p>
    <w:p w14:paraId="14768C58"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7.2 SDG 3: Good Health and Well-Being</w:t>
      </w:r>
    </w:p>
    <w:p w14:paraId="22F2D6D3"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AI-based malnutrition prediction intersects with SDG 3 by enabling more targeted and timely health system responses to nutrition-related disease burden, directly supporting sub-targets related to the reduction of under-five and neonatal mortality, the achievement of universal health coverage, and the reduction of the burden of non-communicable diseases. Predictive models identifying children at imminent risk of SAM can prompt preventive therapeutic </w:t>
      </w:r>
      <w:r w:rsidRPr="008665DB">
        <w:rPr>
          <w:rFonts w:ascii="Times New Roman" w:eastAsia="Times New Roman" w:hAnsi="Times New Roman" w:cs="Times New Roman"/>
          <w:sz w:val="24"/>
          <w:szCs w:val="24"/>
          <w:lang w:eastAsia="en-GB"/>
        </w:rPr>
        <w:lastRenderedPageBreak/>
        <w:t xml:space="preserve">feeding and community case-finding, potentially averting progression to severe complicated SAM that requires hospitalisation and carries substantially higher mortality risk (Topol, 2019). The integration of malnutrition risk models with EHR systems and clinical decision support tools at the primary care level enables health workers to prioritise nutritional screening and early intervention for identified high-risk patients, making better use of scarce healthcare human resources </w:t>
      </w:r>
      <w:r w:rsidRPr="008665DB">
        <w:rPr>
          <w:rFonts w:ascii="Times New Roman" w:eastAsia="Times New Roman" w:hAnsi="Times New Roman" w:cs="Times New Roman"/>
          <w:bCs/>
          <w:sz w:val="24"/>
          <w:szCs w:val="24"/>
          <w:lang w:eastAsia="en-GB"/>
        </w:rPr>
        <w:t>(Ruel et al., 2013)</w:t>
      </w:r>
      <w:r w:rsidRPr="008665DB">
        <w:rPr>
          <w:rFonts w:ascii="Times New Roman" w:eastAsia="Times New Roman" w:hAnsi="Times New Roman" w:cs="Times New Roman"/>
          <w:sz w:val="24"/>
          <w:szCs w:val="24"/>
          <w:lang w:eastAsia="en-GB"/>
        </w:rPr>
        <w:t>.</w:t>
      </w:r>
    </w:p>
    <w:p w14:paraId="592821BC"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Micronutrient deficiency disorders — including iron deficiency anaemia, vitamin A deficiency, and iodine deficiency disorders — represent a major component of the malnutrition burden in LMICs, with profound effects on child development, immune function, and maternal health (Black et al., 2013). Predictive models trained on dietary assessment instruments, biochemical biomarker data, and household survey variables have been applied to identify sub-populations with the highest micronutrient deficiency risk, enabling more cost-effective targeting of supplementation and food fortification programmes. The alignment of AI-driven nutrition screening with universal health coverage frameworks creates a pathway for integrating nutrition surveillance into routine primary healthcare contacts — antenatal care, immunisation visits, and growth monitoring sessions — in ways that are both technically feasible and programmatically sustainable </w:t>
      </w:r>
      <w:r w:rsidRPr="008665DB">
        <w:rPr>
          <w:rFonts w:ascii="Times New Roman" w:eastAsia="Times New Roman" w:hAnsi="Times New Roman" w:cs="Times New Roman"/>
          <w:bCs/>
          <w:sz w:val="24"/>
          <w:szCs w:val="24"/>
          <w:lang w:eastAsia="en-GB"/>
        </w:rPr>
        <w:t>(Ruel et al., 2018)</w:t>
      </w:r>
      <w:r w:rsidRPr="008665DB">
        <w:rPr>
          <w:rFonts w:ascii="Times New Roman" w:eastAsia="Times New Roman" w:hAnsi="Times New Roman" w:cs="Times New Roman"/>
          <w:sz w:val="24"/>
          <w:szCs w:val="24"/>
          <w:lang w:eastAsia="en-GB"/>
        </w:rPr>
        <w:t>.</w:t>
      </w:r>
    </w:p>
    <w:p w14:paraId="73A31544"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7.3 Cross-Cutting SDG Linkages</w:t>
      </w:r>
    </w:p>
    <w:p w14:paraId="5273C817"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utility of AI for malnutrition prediction extends beyond SDG 2 and SDG 3 to encompass several additional SDG targets, reflecting the inherently cross-cutting nature of malnutrition itself. SDG 1 (No Poverty) intersects with nutrition through the targeting of social protection programmes; AI models identifying ultra-poor households at acute nutritional risk can inform the allocation of conditional cash transfers and food vouchers in ways that are more responsive to real-time nutritional vulnerability than eligibility criteria based on historical income assessments. SDG 5 (Gender Equality) is implicated through the central role of women's empowerment and maternal education in nutrition outcomes, and through the potential for AI tools to identify gender-differentiated nutritional vulnerability that would remain invisible in aggregated household-level statistics (Bhutta et al., 2013). SDG 13 (Climate Action) is engaged through AI models that map climate-sensitive nutrition risk and identify communities most exposed to climate-driven food insecurity, supporting both mitigation and adaptation planning (Lloyd et al., 2011).</w:t>
      </w:r>
    </w:p>
    <w:p w14:paraId="3ECFF3E5"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SDG 17 (Partnerships for the Goals) is fundamental to the governance and data-sharing arrangements required to build the large-scale, multi-domain datasets on which AI nutrition models depend. Sustained data partnerships between national statistical offices, ministries of health and agriculture, development agencies, research institutions, and the private technology sector are prerequisites for the data pipelines that feed operational AI surveillance systems. Open data initiatives, standardised nutrition data reporting frameworks, and interoperability standards for health and agricultural information systems constitute necessary infrastructure for scalable and replicable AI nutrition tools that can be adopted across national boundaries (United Nations, 2015).</w:t>
      </w:r>
    </w:p>
    <w:p w14:paraId="4ACC745A"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20988A92"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8. Ethical Considerations, Challenges, and Implementation Barriers</w:t>
      </w:r>
    </w:p>
    <w:p w14:paraId="1708CFC5"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8.1 Algorithmic Bias and Equity</w:t>
      </w:r>
    </w:p>
    <w:p w14:paraId="48176C0B"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 xml:space="preserve">Algorithmic bias represents a critical ethical challenge in AI-based malnutrition prediction, with the potential to entrench or deepen existing health inequities if not systematically identified and addressed. AI models trained on data predominantly representing one geographic region, ethnic community, or socioeconomic stratum may perform poorly when applied to underrepresented populations — a problem of external validity that is particularly acute in global nutrition research, where data from the highest-burden communities are often the scarcest and least representative </w:t>
      </w:r>
      <w:r w:rsidRPr="008665DB">
        <w:rPr>
          <w:rFonts w:ascii="Times New Roman" w:eastAsia="Times New Roman" w:hAnsi="Times New Roman" w:cs="Times New Roman"/>
          <w:bCs/>
          <w:sz w:val="24"/>
          <w:szCs w:val="24"/>
          <w:lang w:eastAsia="en-GB"/>
        </w:rPr>
        <w:t>(Obermeyer et al., 2019)</w:t>
      </w:r>
      <w:r w:rsidRPr="008665DB">
        <w:rPr>
          <w:rFonts w:ascii="Times New Roman" w:eastAsia="Times New Roman" w:hAnsi="Times New Roman" w:cs="Times New Roman"/>
          <w:sz w:val="24"/>
          <w:szCs w:val="24"/>
          <w:lang w:eastAsia="en-GB"/>
        </w:rPr>
        <w:t>. An AI model that appears to perform well on aggregate validation metrics for a given country may systematically underestimate risk among marginalised groups — indigenous communities, displaced populations, nomadic pastoralists, urban informal settlement residents — whose risk factor profiles differ substantially from those of the populations on which the model was trained.</w:t>
      </w:r>
    </w:p>
    <w:p w14:paraId="4598B3AB"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deployment of biased AI models in public health resource allocation carries serious operational consequences: systematically misclassified high-risk groups receive a smaller than warranted share of nutrition interventions, perpetuating and potentially widening existing disparities. Bias mitigation strategies — including stratified and balanced sampling during training data assembly, fairness-aware training objectives, and demographic-specific calibration — should be treated as standard components of responsible AI model development in nutrition research, rather than optional technical refinements. Prospective auditing of deployed models for differential performance across demographic subgroups should be institutionalised within health system AI governance frameworks and reported transparently in published evaluations (Obermeyer et al., 2019).</w:t>
      </w:r>
    </w:p>
    <w:p w14:paraId="0E318084"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8.2 Data Privacy and Security</w:t>
      </w:r>
    </w:p>
    <w:p w14:paraId="1C1BEFD1"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AI malnutrition models frequently require access to sensitive individual-level data, including clinical measurements, household income and expenditure, geographic location, and mobile phone records. In settings where formal data protection frameworks are weak, nascent, or inadequately enforced, the collection and processing of such data carry genuine risks of privacy violation, re-identification of nominally anonymised records, and secondary use of data beyond the purposes for which consent was given (Wahl et al., 2018). Children — the primary subjects of malnutrition surveillance — are particularly vulnerable and require heightened protective measures. Data de-identification and anonymisation protocols, pseudonymisation of geographic locations, and restricted access to individually identifiable records represent foundational privacy safeguards.</w:t>
      </w:r>
    </w:p>
    <w:p w14:paraId="76CBF0AD"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Federated learning architectures, in which AI models are trained collaboratively across geographically distributed data sources without transferring individual-level records to a centralised repository, offer a technically promising approach to privacy-preserving multi-site nutrition modelling </w:t>
      </w:r>
      <w:r w:rsidRPr="008665DB">
        <w:rPr>
          <w:rFonts w:ascii="Times New Roman" w:eastAsia="Times New Roman" w:hAnsi="Times New Roman" w:cs="Times New Roman"/>
          <w:b/>
          <w:bCs/>
          <w:sz w:val="24"/>
          <w:szCs w:val="24"/>
          <w:lang w:eastAsia="en-GB"/>
        </w:rPr>
        <w:t>(Li et al., 2020)</w:t>
      </w:r>
      <w:r w:rsidRPr="008665DB">
        <w:rPr>
          <w:rFonts w:ascii="Times New Roman" w:eastAsia="Times New Roman" w:hAnsi="Times New Roman" w:cs="Times New Roman"/>
          <w:sz w:val="24"/>
          <w:szCs w:val="24"/>
          <w:lang w:eastAsia="en-GB"/>
        </w:rPr>
        <w:t>. Under federated architectures, model parameters rather than raw data are shared between nodes, substantially reducing the risk of data breach or misuse whilst enabling collaborative model training across national boundaries. Differential privacy techniques, which add calibrated statistical noise to model outputs to prevent reverse-engineering of individual data points from model parameters, provide an additional layer of protection. The governance of data partnerships between national governments, international development organisations, and private technology companies requires careful regulatory attention, particularly where commercial interests intersect with access to sensitive population health data.</w:t>
      </w:r>
    </w:p>
    <w:p w14:paraId="08DD0F31"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8.3 Explainability and Interpretability</w:t>
      </w:r>
    </w:p>
    <w:p w14:paraId="239C8579" w14:textId="1FB84E42"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lastRenderedPageBreak/>
        <w:t>The opacity of high-performing AI models — the so-called black box problem — poses a meaningful barrier to clinical and policy adoption in nutrition contexts, where accountability, trust, and professional judgement are non-negotiable requirements. Community health workers, programme managers, and national policymakers need actionable, comprehensible explanations of AI predictions to exercise informed judgement and to communicate risk assessments to caregivers and community members in culturally appropriate ways. Explainable AI (XAI) methods, including SHAP value decompositions and Local Interpretable Model-Agnostic Explanations (LIME), provide post-hoc interpretations of complex model predictions that attribute a predicted risk score to the contributions of individual input features (</w:t>
      </w:r>
      <w:r w:rsidR="000D1F05" w:rsidRPr="000D1F05">
        <w:rPr>
          <w:rFonts w:ascii="Times New Roman" w:eastAsia="Times New Roman" w:hAnsi="Times New Roman" w:cs="Times New Roman"/>
          <w:sz w:val="24"/>
          <w:szCs w:val="24"/>
          <w:lang w:eastAsia="en-GB"/>
        </w:rPr>
        <w:t>Barredo Arrieta</w:t>
      </w:r>
      <w:r w:rsidRPr="008665DB">
        <w:rPr>
          <w:rFonts w:ascii="Times New Roman" w:eastAsia="Times New Roman" w:hAnsi="Times New Roman" w:cs="Times New Roman"/>
          <w:sz w:val="24"/>
          <w:szCs w:val="24"/>
          <w:lang w:eastAsia="en-GB"/>
        </w:rPr>
        <w:t xml:space="preserve"> et al., 2020). When applied to malnutrition prediction models, SHAP analyses have consistently identified maternal education, WASH access, household wealth, and rainfall anomalies as primary drivers of elevated risk — findings that are ecologically coherent and reinforce rather than challenge established nutritional knowledge (Lundberg et al., 2020).</w:t>
      </w:r>
    </w:p>
    <w:p w14:paraId="46B92F0D" w14:textId="74E1DB5B"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Attention mechanisms embedded in deep learning architectures provide intrinsic interpretability for sequential and spatial models, highlighting the time periods, spatial locations, or text passages that contributed most to a given prediction. The trade-off between model performance and interpretability remains a genuine technical tension that should be resolved contextually. In settings where downstream decisions are made by community health workers with limited technical training, a modestly less accurate but readily interpretable decision tree or logistic regression model may be preferable to an opaque ensemble that achieves marginally superior AUC on held-out test data (</w:t>
      </w:r>
      <w:r w:rsidR="000D1F05" w:rsidRPr="000D1F05">
        <w:rPr>
          <w:rFonts w:ascii="Times New Roman" w:eastAsia="Times New Roman" w:hAnsi="Times New Roman" w:cs="Times New Roman"/>
          <w:sz w:val="24"/>
          <w:szCs w:val="24"/>
          <w:lang w:eastAsia="en-GB"/>
        </w:rPr>
        <w:t>Barredo Arrieta</w:t>
      </w:r>
      <w:r w:rsidRPr="008665DB">
        <w:rPr>
          <w:rFonts w:ascii="Times New Roman" w:eastAsia="Times New Roman" w:hAnsi="Times New Roman" w:cs="Times New Roman"/>
          <w:sz w:val="24"/>
          <w:szCs w:val="24"/>
          <w:lang w:eastAsia="en-GB"/>
        </w:rPr>
        <w:t xml:space="preserve"> et al., 2020).</w:t>
      </w:r>
    </w:p>
    <w:p w14:paraId="494ED320" w14:textId="77777777" w:rsidR="008665DB" w:rsidRPr="008665DB" w:rsidRDefault="008665DB" w:rsidP="00D718CA">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8.4 Infrastructure and Institutional Capacity</w:t>
      </w:r>
    </w:p>
    <w:p w14:paraId="70063E73"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implementation of AI malnutrition prediction systems in LMICs faces substantial and interacting infrastructure constraints. Reliable electricity supply, high-speed internet connectivity, and access to cloud or high-performance computing resources — prerequisites for training and deploying large AI models — remain limited in many high-burden settings. Mobile-first AI architectures optimised for low-bandwidth environments and on-device model inference using compressed, lightweight models represent partial but imperfect solutions, requiring careful engineering to maintain predictive performance under hardware and connectivity constraints. The quality, completeness, and interoperability of digital health data systems in LMICs vary enormously; without investment in data infrastructure, including electronic registers, standardised coding systems, and data quality assurance protocols, AI tools cannot access the data streams they require (Development Initiatives, 2022).</w:t>
      </w:r>
    </w:p>
    <w:p w14:paraId="3A96BB16"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Human capacity constraints are equally binding. The availability of data scientists, ML engineers, biostatisticians, and public health informaticists with AI expertise in LMICs is severely limited relative to the scale of the technical challenge. International training initiatives, structured south-south knowledge exchange programmes, and the embedding of AI capacity within national nutrition research institutes and universities are necessary to build the endogenous technical expertise required for long-term sustainability. Without sustained investment in human capital, AI nutrition tools risk perpetual dependency on external technical assistance, undermining local ownership and programme continuity (Rajpurkar et al., 2022).</w:t>
      </w:r>
      <w:r>
        <w:rPr>
          <w:rFonts w:ascii="Times New Roman" w:eastAsia="Times New Roman" w:hAnsi="Times New Roman" w:cs="Times New Roman"/>
          <w:sz w:val="24"/>
          <w:szCs w:val="24"/>
          <w:lang w:eastAsia="en-GB"/>
        </w:rPr>
        <w:t xml:space="preserve"> </w:t>
      </w:r>
      <w:r w:rsidRPr="008665DB">
        <w:rPr>
          <w:rFonts w:ascii="Times New Roman" w:eastAsia="Times New Roman" w:hAnsi="Times New Roman" w:cs="Times New Roman"/>
          <w:bCs/>
          <w:sz w:val="24"/>
          <w:szCs w:val="24"/>
          <w:lang w:eastAsia="en-GB"/>
        </w:rPr>
        <w:t>Table 5 summarises the principal ethical and implementation challenges in AI-based malnutrition prediction, with proposed mitigation strategies for each.</w:t>
      </w:r>
    </w:p>
    <w:p w14:paraId="439417D4"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b/>
          <w:bCs/>
          <w:sz w:val="24"/>
          <w:szCs w:val="24"/>
          <w:lang w:eastAsia="en-GB"/>
        </w:rPr>
        <w:lastRenderedPageBreak/>
        <w:t>Table 5. Ethical and Implementation Challenges in AI-Based Malnutrition Prediction and Proposed Mitigations</w:t>
      </w:r>
    </w:p>
    <w:tbl>
      <w:tblPr>
        <w:tblStyle w:val="TableGrid"/>
        <w:tblW w:w="0" w:type="auto"/>
        <w:tblLook w:val="04A0" w:firstRow="1" w:lastRow="0" w:firstColumn="1" w:lastColumn="0" w:noHBand="0" w:noVBand="1"/>
      </w:tblPr>
      <w:tblGrid>
        <w:gridCol w:w="1724"/>
        <w:gridCol w:w="4073"/>
        <w:gridCol w:w="3445"/>
      </w:tblGrid>
      <w:tr w:rsidR="008665DB" w:rsidRPr="008665DB" w14:paraId="66DCAA5A" w14:textId="77777777" w:rsidTr="008665DB">
        <w:tc>
          <w:tcPr>
            <w:tcW w:w="0" w:type="auto"/>
            <w:hideMark/>
          </w:tcPr>
          <w:p w14:paraId="2362FBE1"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Challenge</w:t>
            </w:r>
          </w:p>
        </w:tc>
        <w:tc>
          <w:tcPr>
            <w:tcW w:w="0" w:type="auto"/>
            <w:hideMark/>
          </w:tcPr>
          <w:p w14:paraId="2765B4BE"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Description</w:t>
            </w:r>
          </w:p>
        </w:tc>
        <w:tc>
          <w:tcPr>
            <w:tcW w:w="0" w:type="auto"/>
            <w:hideMark/>
          </w:tcPr>
          <w:p w14:paraId="03D393E0" w14:textId="77777777" w:rsidR="008665DB" w:rsidRPr="008665DB" w:rsidRDefault="008665DB" w:rsidP="00D718CA">
            <w:pPr>
              <w:jc w:val="both"/>
              <w:rPr>
                <w:rFonts w:ascii="Times New Roman" w:eastAsia="Times New Roman" w:hAnsi="Times New Roman" w:cs="Times New Roman"/>
                <w:b/>
                <w:bCs/>
                <w:sz w:val="24"/>
                <w:szCs w:val="24"/>
                <w:lang w:eastAsia="en-GB"/>
              </w:rPr>
            </w:pPr>
            <w:r w:rsidRPr="008665DB">
              <w:rPr>
                <w:rFonts w:ascii="Times New Roman" w:eastAsia="Times New Roman" w:hAnsi="Times New Roman" w:cs="Times New Roman"/>
                <w:b/>
                <w:bCs/>
                <w:sz w:val="24"/>
                <w:szCs w:val="24"/>
                <w:lang w:eastAsia="en-GB"/>
              </w:rPr>
              <w:t>Mitigation Strategy</w:t>
            </w:r>
          </w:p>
        </w:tc>
      </w:tr>
      <w:tr w:rsidR="008665DB" w:rsidRPr="008665DB" w14:paraId="37507E4C" w14:textId="77777777" w:rsidTr="008665DB">
        <w:tc>
          <w:tcPr>
            <w:tcW w:w="0" w:type="auto"/>
            <w:hideMark/>
          </w:tcPr>
          <w:p w14:paraId="3A801E7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Algorithmic bias</w:t>
            </w:r>
          </w:p>
        </w:tc>
        <w:tc>
          <w:tcPr>
            <w:tcW w:w="0" w:type="auto"/>
            <w:hideMark/>
          </w:tcPr>
          <w:p w14:paraId="601D2739"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Underrepresentation of marginalised groups in training data leads to differential model performance</w:t>
            </w:r>
          </w:p>
        </w:tc>
        <w:tc>
          <w:tcPr>
            <w:tcW w:w="0" w:type="auto"/>
            <w:hideMark/>
          </w:tcPr>
          <w:p w14:paraId="5976A2CD"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Stratified sampling; fairness-aware objectives; demographic-specific model auditing</w:t>
            </w:r>
          </w:p>
        </w:tc>
      </w:tr>
      <w:tr w:rsidR="008665DB" w:rsidRPr="008665DB" w14:paraId="0D5AD493" w14:textId="77777777" w:rsidTr="008665DB">
        <w:tc>
          <w:tcPr>
            <w:tcW w:w="0" w:type="auto"/>
            <w:hideMark/>
          </w:tcPr>
          <w:p w14:paraId="2609EBB3"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Data privacy</w:t>
            </w:r>
          </w:p>
        </w:tc>
        <w:tc>
          <w:tcPr>
            <w:tcW w:w="0" w:type="auto"/>
            <w:hideMark/>
          </w:tcPr>
          <w:p w14:paraId="65A3ED72"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Sensitive individual-level data on children and households in low-regulation settings</w:t>
            </w:r>
          </w:p>
        </w:tc>
        <w:tc>
          <w:tcPr>
            <w:tcW w:w="0" w:type="auto"/>
            <w:hideMark/>
          </w:tcPr>
          <w:p w14:paraId="5CD909D3"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Federated learning; differential privacy; national data governance frameworks</w:t>
            </w:r>
          </w:p>
        </w:tc>
      </w:tr>
      <w:tr w:rsidR="008665DB" w:rsidRPr="008665DB" w14:paraId="41ECB216" w14:textId="77777777" w:rsidTr="008665DB">
        <w:tc>
          <w:tcPr>
            <w:tcW w:w="0" w:type="auto"/>
            <w:hideMark/>
          </w:tcPr>
          <w:p w14:paraId="7099B49C"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Black box opacity</w:t>
            </w:r>
          </w:p>
        </w:tc>
        <w:tc>
          <w:tcPr>
            <w:tcW w:w="0" w:type="auto"/>
            <w:hideMark/>
          </w:tcPr>
          <w:p w14:paraId="53B2C120"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Complex ensemble and deep learning models resist interpretable explanation</w:t>
            </w:r>
          </w:p>
        </w:tc>
        <w:tc>
          <w:tcPr>
            <w:tcW w:w="0" w:type="auto"/>
            <w:hideMark/>
          </w:tcPr>
          <w:p w14:paraId="0BA7DD97"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SHAP/LIME explainability methods; choosing interpretable models for frontline use</w:t>
            </w:r>
          </w:p>
        </w:tc>
      </w:tr>
      <w:tr w:rsidR="008665DB" w:rsidRPr="008665DB" w14:paraId="1EF6FD4E" w14:textId="77777777" w:rsidTr="008665DB">
        <w:tc>
          <w:tcPr>
            <w:tcW w:w="0" w:type="auto"/>
            <w:hideMark/>
          </w:tcPr>
          <w:p w14:paraId="3078D3BB"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Data scarcity</w:t>
            </w:r>
          </w:p>
        </w:tc>
        <w:tc>
          <w:tcPr>
            <w:tcW w:w="0" w:type="auto"/>
            <w:hideMark/>
          </w:tcPr>
          <w:p w14:paraId="265F695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Limited labelled nutritional outcome data in highest-burden LMIC settings</w:t>
            </w:r>
          </w:p>
        </w:tc>
        <w:tc>
          <w:tcPr>
            <w:tcW w:w="0" w:type="auto"/>
            <w:hideMark/>
          </w:tcPr>
          <w:p w14:paraId="35587E6D"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Transfer learning; data augmentation; cross-national model adaptation</w:t>
            </w:r>
          </w:p>
        </w:tc>
      </w:tr>
      <w:tr w:rsidR="008665DB" w:rsidRPr="008665DB" w14:paraId="62AB14E1" w14:textId="77777777" w:rsidTr="008665DB">
        <w:tc>
          <w:tcPr>
            <w:tcW w:w="0" w:type="auto"/>
            <w:hideMark/>
          </w:tcPr>
          <w:p w14:paraId="04606DC9"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Infrastructure deficits</w:t>
            </w:r>
          </w:p>
        </w:tc>
        <w:tc>
          <w:tcPr>
            <w:tcW w:w="0" w:type="auto"/>
            <w:hideMark/>
          </w:tcPr>
          <w:p w14:paraId="02606056"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Limited computing, connectivity, and electricity in rural high-burden settings</w:t>
            </w:r>
          </w:p>
        </w:tc>
        <w:tc>
          <w:tcPr>
            <w:tcW w:w="0" w:type="auto"/>
            <w:hideMark/>
          </w:tcPr>
          <w:p w14:paraId="465C6C1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Edge computing; mobile-first lightweight architectures; offline inference capability</w:t>
            </w:r>
          </w:p>
        </w:tc>
      </w:tr>
      <w:tr w:rsidR="008665DB" w:rsidRPr="008665DB" w14:paraId="1D000EE3" w14:textId="77777777" w:rsidTr="008665DB">
        <w:tc>
          <w:tcPr>
            <w:tcW w:w="0" w:type="auto"/>
            <w:hideMark/>
          </w:tcPr>
          <w:p w14:paraId="584CF5DF"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Capacity deficits</w:t>
            </w:r>
          </w:p>
        </w:tc>
        <w:tc>
          <w:tcPr>
            <w:tcW w:w="0" w:type="auto"/>
            <w:hideMark/>
          </w:tcPr>
          <w:p w14:paraId="1B8148B3"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Insufficient AI and data science expertise within LMIC research and health institutions</w:t>
            </w:r>
          </w:p>
        </w:tc>
        <w:tc>
          <w:tcPr>
            <w:tcW w:w="0" w:type="auto"/>
            <w:hideMark/>
          </w:tcPr>
          <w:p w14:paraId="49CEC8F4"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Structured training; south-south exchange; embedded research fellowships</w:t>
            </w:r>
          </w:p>
        </w:tc>
      </w:tr>
      <w:tr w:rsidR="008665DB" w:rsidRPr="008665DB" w14:paraId="2B8A8068" w14:textId="77777777" w:rsidTr="008665DB">
        <w:tc>
          <w:tcPr>
            <w:tcW w:w="0" w:type="auto"/>
            <w:hideMark/>
          </w:tcPr>
          <w:p w14:paraId="2647D091"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Data governance gaps</w:t>
            </w:r>
          </w:p>
        </w:tc>
        <w:tc>
          <w:tcPr>
            <w:tcW w:w="0" w:type="auto"/>
            <w:hideMark/>
          </w:tcPr>
          <w:p w14:paraId="2C1903B3"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Unclear ownership, secondary use rights, and accountability for cross-sector datasets</w:t>
            </w:r>
          </w:p>
        </w:tc>
        <w:tc>
          <w:tcPr>
            <w:tcW w:w="0" w:type="auto"/>
            <w:hideMark/>
          </w:tcPr>
          <w:p w14:paraId="56AFA645" w14:textId="77777777" w:rsidR="008665DB" w:rsidRPr="008665DB" w:rsidRDefault="008665DB" w:rsidP="00D718CA">
            <w:pPr>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National data protection legislation; international regulatory alignment; consent frameworks</w:t>
            </w:r>
          </w:p>
        </w:tc>
      </w:tr>
    </w:tbl>
    <w:p w14:paraId="7B6CD95D" w14:textId="268E6DCB"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0D1F05">
        <w:rPr>
          <w:rFonts w:ascii="Times New Roman" w:eastAsia="Times New Roman" w:hAnsi="Times New Roman" w:cs="Times New Roman"/>
          <w:i/>
          <w:iCs/>
          <w:sz w:val="24"/>
          <w:szCs w:val="24"/>
          <w:lang w:val="nl-BE" w:eastAsia="en-GB"/>
        </w:rPr>
        <w:t xml:space="preserve">Sources: Obermeyer et al. (2019); Wahl et al. (2018); </w:t>
      </w:r>
      <w:r w:rsidR="000D1F05" w:rsidRPr="000D1F05">
        <w:rPr>
          <w:rFonts w:ascii="Times New Roman" w:eastAsia="Times New Roman" w:hAnsi="Times New Roman" w:cs="Times New Roman"/>
          <w:i/>
          <w:iCs/>
          <w:sz w:val="24"/>
          <w:szCs w:val="24"/>
          <w:lang w:val="nl-BE" w:eastAsia="en-GB"/>
        </w:rPr>
        <w:t>Barredo Arrieta</w:t>
      </w:r>
      <w:r w:rsidRPr="000D1F05">
        <w:rPr>
          <w:rFonts w:ascii="Times New Roman" w:eastAsia="Times New Roman" w:hAnsi="Times New Roman" w:cs="Times New Roman"/>
          <w:i/>
          <w:iCs/>
          <w:sz w:val="24"/>
          <w:szCs w:val="24"/>
          <w:lang w:val="nl-BE" w:eastAsia="en-GB"/>
        </w:rPr>
        <w:t xml:space="preserve"> et al. </w:t>
      </w:r>
      <w:r w:rsidRPr="008665DB">
        <w:rPr>
          <w:rFonts w:ascii="Times New Roman" w:eastAsia="Times New Roman" w:hAnsi="Times New Roman" w:cs="Times New Roman"/>
          <w:i/>
          <w:iCs/>
          <w:sz w:val="24"/>
          <w:szCs w:val="24"/>
          <w:lang w:eastAsia="en-GB"/>
        </w:rPr>
        <w:t>(2020); Rajpurkar et al. (2022)</w:t>
      </w:r>
    </w:p>
    <w:p w14:paraId="19DBBED9"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1E353A44"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9. Future Directions</w:t>
      </w:r>
    </w:p>
    <w:p w14:paraId="7B08F55A"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Research at the intersection of AI and malnutrition prediction is maturing rapidly, and several directions hold particular promise for scientific and programmatic progress in the coming decade. The development of foundation models for global health — large-scale AI systems pre-trained on diverse, multi-modal datasets spanning satellite imagery, household survey records, clinical measurements, and environmental time series — could substantially reduce the labelled data requirements for LMIC-specific deployments and enable flexible fine-tuning for specific nutritional prediction tasks across diverse country contexts. The conceptual parallels between large language models in NLP and large vision-language models in medical imaging suggest that analogous multi-modal nutrition foundation models, pre-trained on global observational datasets, are technically feasible within the existing research horizon.</w:t>
      </w:r>
    </w:p>
    <w:p w14:paraId="21B975C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 xml:space="preserve">Federated learning represents a genuinely transformative opportunity for privacy-preserving, multi-country nutrition model development, enabling the collaborative training of high-performance AI models across national data systems without requiring the aggregation of sensitive individual-level data in a centralised repository. A federated architecture that learns simultaneously from household survey data in ten or more countries whilst respecting </w:t>
      </w:r>
      <w:r w:rsidRPr="008665DB">
        <w:rPr>
          <w:rFonts w:ascii="Times New Roman" w:eastAsia="Times New Roman" w:hAnsi="Times New Roman" w:cs="Times New Roman"/>
          <w:sz w:val="24"/>
          <w:szCs w:val="24"/>
          <w:lang w:eastAsia="en-GB"/>
        </w:rPr>
        <w:lastRenderedPageBreak/>
        <w:t>national data sovereignty frameworks would produce malnutrition risk models with substantially greater geographic generalisability than those trained within any single national context — directly addressing one of the most persistent limitations in the current literature.</w:t>
      </w:r>
    </w:p>
    <w:p w14:paraId="62E94044"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Digital phenotyping — the extraction of health-relevant behavioural and contextual signals from passively collected smartphone sensor data, including physical activity patterns, sleep regularity, mobility trajectories, and call network characteristics — is an emerging data source for dynamic nutritional vulnerability assessment in communities where smartphone penetration is rising faster than formal income growth. These passively collected digital signals, while requiring careful privacy governance, may provide near-continuous proxy indicators of household stress, dietary disruption, and caregiving capacity that complement episodic survey measurements. The development of validated algorithms linking digital phenotyping signals to nutritional outcome measures represents a high-priority research need.</w:t>
      </w:r>
    </w:p>
    <w:p w14:paraId="29536824"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integration of AI nutrition prediction tools with community health information systems and national integrated disease surveillance platforms is the critical pathway from research demonstration to operational impact. AI-generated risk scores that are not embedded in health system workflows and linked to programmatic responses remain academic outputs rather than public health tools; co-designing AI outputs for use within community health worker mobile applications, district health management information systems, and national nutrition monitoring dashboards is therefore as important as algorithmic innovation itself. Causal inference methods — including structural equation modelling, directed acyclic graphs (DAGs), and counterfactual reasoning frameworks — represent a necessary methodological complement to purely predictive AI, enabling the identification of intervention targets within causal structures and providing a firmer evidence base for the design of effective and context-appropriate nutrition programmes.</w:t>
      </w:r>
    </w:p>
    <w:p w14:paraId="7FCEF515"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419D15D3"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10. Conclusions</w:t>
      </w:r>
    </w:p>
    <w:p w14:paraId="425B0868"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This review has synthesised a rapidly growing body of evidence on the application of AI methods to malnutrition prediction across clinical, socioeconomic, and environmental determinant domains, and examined the implications of these developments for sustainable development.</w:t>
      </w:r>
    </w:p>
    <w:p w14:paraId="395E65EF"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AI models — particularly ensemble supervised methods such as RF and gradient boosting, and deep learning architectures including CNN and LSTM networks — demonstrate consistent and often substantial superiority over conventional statistical approaches when applied to multi-domain malnutrition datasets, with the most pronounced improvements observed when environmental and socioeconomic features are integrated alongside clinical indicators in a unified predictive framework. Geospatial AI that leverages satellite-derived environmental data alongside household survey variables has demonstrated operational promise for subnational malnutrition mapping and early warning systems, though the translation of these research tools into routine humanitarian and development programme use remains limited.</w:t>
      </w:r>
    </w:p>
    <w:p w14:paraId="757947BB"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ethical dimensions of AI in nutrition surveillance — including algorithmic bias, data privacy, model explainability, and institutional accountability — are not peripheral technical concerns but central challenges that must be incorporated into the design, evaluation, and governance of AI nutrition tools from inception. Failure to address these dimensions systematically risks deploying technically sophisticated but socially harmful tools that deepen rather than reduce nutritional inequities.</w:t>
      </w:r>
    </w:p>
    <w:p w14:paraId="48C1BCD5"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The alignment of AI nutrition applications with the SDG agenda is conceptually coherent and empirically supported, but operationally immature. Realising the potential contribution of AI to SDG 2, SDG 3, and associated targets demands deliberate and sustained investment in data infrastructure, digital health systems, human capacity, cross-sectoral partnerships, and enabling regulatory frameworks spanning health, agriculture, and data governance. The responsible deployment of AI for malnutrition prediction, grounded in equity, transparency, community engagement, and scientific rigour, represents one of the most promising and most demanding frontiers in nutrition science and sustainable development research.</w:t>
      </w:r>
    </w:p>
    <w:p w14:paraId="4B76006F"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08FB7FFD"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11. Limitations</w:t>
      </w:r>
    </w:p>
    <w:p w14:paraId="3369C256"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This review carries several limitations that contextualise the conclusions drawn from the available evidence. As a narrative rather than systematic review, it is inherently susceptible to selection and interpretation bias, and has not employed formal systematic review protocols such as PROSPERO registration, structured risk-of-bias assessment tools, or GRADE (Grading of Recommendations Assessment, Development and Evaluation) evidence quality rating. The restriction of the search to English-language publications likely excludes relevant evidence from francophone West Africa, Lusophone contexts, and other high-burden regions where research is published in French, Portuguese, or Spanish. The pace of publication in this field means that studies published between the literature search end date and journal review may not be captured, and AI methodology evolves at a speed that can render specific technical conclusions partially outdated within a short publication cycle.</w:t>
      </w:r>
    </w:p>
    <w:p w14:paraId="7B512445" w14:textId="77777777" w:rsidR="008665DB" w:rsidRPr="008665DB" w:rsidRDefault="008665DB" w:rsidP="00D718CA">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665DB">
        <w:rPr>
          <w:rFonts w:ascii="Times New Roman" w:eastAsia="Times New Roman" w:hAnsi="Times New Roman" w:cs="Times New Roman"/>
          <w:sz w:val="24"/>
          <w:szCs w:val="24"/>
          <w:lang w:eastAsia="en-GB"/>
        </w:rPr>
        <w:t>Study quality across the retrieved literature varied considerably in terms of sample representativeness, geographic scope, validation rigour, and transparency of reporting, and no formal quality weighting was applied to the synthesised evidence. Many individual studies in the AI-malnutrition space relied on cross-sectional DHS or MICS data, which preclude causal inference and limit temporal characterisation of nutritional trajectories. The geographic distribution of the evidence base is uneven, with published studies disproportionately concentrated in South Asia and East Africa, which limits the generalisability of performance findings and methodological conclusions to West Africa, the Sahel, Central Africa, and parts of Latin America and the Caribbean where malnutrition burdens are also substantial.</w:t>
      </w:r>
    </w:p>
    <w:p w14:paraId="4735AEBA" w14:textId="77777777" w:rsidR="00B54BFF" w:rsidRPr="000839CE" w:rsidRDefault="00B54BFF" w:rsidP="00D718CA">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717D0297" w14:textId="77777777" w:rsidR="00B54BFF" w:rsidRPr="000839CE" w:rsidRDefault="00B54BFF" w:rsidP="00D718CA">
      <w:pPr>
        <w:spacing w:after="0" w:line="240" w:lineRule="auto"/>
        <w:jc w:val="both"/>
        <w:rPr>
          <w:rFonts w:ascii="Times New Roman" w:hAnsi="Times New Roman" w:cs="Times New Roman"/>
        </w:rPr>
      </w:pPr>
    </w:p>
    <w:p w14:paraId="63D93FB5" w14:textId="77777777" w:rsidR="00B54BFF" w:rsidRPr="000839CE" w:rsidRDefault="00B54BFF" w:rsidP="00D718C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2E972C2" w14:textId="77777777" w:rsidR="008665DB" w:rsidRPr="008665DB" w:rsidRDefault="008665DB" w:rsidP="00D718CA">
      <w:pPr>
        <w:spacing w:after="0" w:line="240" w:lineRule="auto"/>
        <w:jc w:val="both"/>
        <w:rPr>
          <w:rFonts w:ascii="Times New Roman" w:eastAsia="Times New Roman" w:hAnsi="Times New Roman" w:cs="Times New Roman"/>
          <w:sz w:val="24"/>
          <w:szCs w:val="24"/>
          <w:lang w:eastAsia="en-GB"/>
        </w:rPr>
      </w:pPr>
    </w:p>
    <w:p w14:paraId="00E47AE3" w14:textId="77777777" w:rsidR="008665DB" w:rsidRPr="008665DB" w:rsidRDefault="008665DB" w:rsidP="00D718CA">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8665DB">
        <w:rPr>
          <w:rFonts w:ascii="Times New Roman" w:eastAsia="Times New Roman" w:hAnsi="Times New Roman" w:cs="Times New Roman"/>
          <w:b/>
          <w:bCs/>
          <w:sz w:val="27"/>
          <w:szCs w:val="27"/>
          <w:lang w:eastAsia="en-GB"/>
        </w:rPr>
        <w:t>References</w:t>
      </w:r>
    </w:p>
    <w:p w14:paraId="6FCE826F" w14:textId="1F8DB55B"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nl-BE"/>
        </w:rPr>
        <w:t xml:space="preserve">Akseer, N., Kandru, G., Keats, E. C., &amp; Bhutta, Z. A. (2020). </w:t>
      </w:r>
      <w:r w:rsidRPr="000D1F05">
        <w:rPr>
          <w:rFonts w:ascii="Times New Roman" w:eastAsia="Times New Roman" w:hAnsi="Times New Roman" w:cs="Times New Roman"/>
          <w:sz w:val="24"/>
          <w:szCs w:val="24"/>
          <w:lang w:val="en-US"/>
        </w:rPr>
        <w:t xml:space="preserve">COVID-19 pandemic and mitigation strategies: Implications for maternal and child health and nutrition. </w:t>
      </w:r>
      <w:r w:rsidRPr="000D1F05">
        <w:rPr>
          <w:rFonts w:ascii="Times New Roman" w:eastAsia="Times New Roman" w:hAnsi="Times New Roman" w:cs="Times New Roman"/>
          <w:i/>
          <w:iCs/>
          <w:sz w:val="24"/>
          <w:szCs w:val="24"/>
          <w:lang w:val="en-US"/>
        </w:rPr>
        <w:t>The American Journal of Clinical Nutrition, 112</w:t>
      </w:r>
      <w:r w:rsidRPr="000D1F05">
        <w:rPr>
          <w:rFonts w:ascii="Times New Roman" w:eastAsia="Times New Roman" w:hAnsi="Times New Roman" w:cs="Times New Roman"/>
          <w:sz w:val="24"/>
          <w:szCs w:val="24"/>
          <w:lang w:val="en-US"/>
        </w:rPr>
        <w:t xml:space="preserve">(2), 251–256. </w:t>
      </w:r>
      <w:hyperlink r:id="rId7" w:tgtFrame="_new" w:history="1">
        <w:r w:rsidRPr="000D1F05">
          <w:rPr>
            <w:rFonts w:ascii="Times New Roman" w:eastAsia="Times New Roman" w:hAnsi="Times New Roman" w:cs="Times New Roman"/>
            <w:color w:val="0000FF"/>
            <w:sz w:val="24"/>
            <w:szCs w:val="24"/>
            <w:u w:val="single"/>
            <w:lang w:val="en-US"/>
          </w:rPr>
          <w:t>https://doi.org/10.1093/ajcn/nqaa171</w:t>
        </w:r>
      </w:hyperlink>
      <w:r w:rsidRPr="000D1F05">
        <w:rPr>
          <w:rFonts w:ascii="Times New Roman" w:eastAsia="Times New Roman" w:hAnsi="Times New Roman" w:cs="Times New Roman"/>
          <w:sz w:val="24"/>
          <w:szCs w:val="24"/>
          <w:lang w:val="en-US"/>
        </w:rPr>
        <w:t xml:space="preserve"> </w:t>
      </w:r>
    </w:p>
    <w:p w14:paraId="606EC6CC" w14:textId="4116C662"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Barredo Arrieta, A., Díaz-Rodríguez, N., Del Ser, J., Bennetot, A., Tabik, S., Barbado, A., García, S., Gil-Lopez, S., Molina, D., Benjamins, R., Chatila, R., &amp; Herrera, F. (2020). Explainable artificial intelligence (XAI): Concepts, taxonomies, opportunities and challenges toward responsible AI. </w:t>
      </w:r>
      <w:r w:rsidRPr="000D1F05">
        <w:rPr>
          <w:rFonts w:ascii="Times New Roman" w:eastAsia="Times New Roman" w:hAnsi="Times New Roman" w:cs="Times New Roman"/>
          <w:i/>
          <w:iCs/>
          <w:sz w:val="24"/>
          <w:szCs w:val="24"/>
          <w:lang w:val="en-US"/>
        </w:rPr>
        <w:t>Information Fusion, 58</w:t>
      </w:r>
      <w:r w:rsidRPr="000D1F05">
        <w:rPr>
          <w:rFonts w:ascii="Times New Roman" w:eastAsia="Times New Roman" w:hAnsi="Times New Roman" w:cs="Times New Roman"/>
          <w:sz w:val="24"/>
          <w:szCs w:val="24"/>
          <w:lang w:val="en-US"/>
        </w:rPr>
        <w:t xml:space="preserve">, 82–115. </w:t>
      </w:r>
      <w:hyperlink r:id="rId8" w:tgtFrame="_new" w:history="1">
        <w:r w:rsidRPr="000D1F05">
          <w:rPr>
            <w:rFonts w:ascii="Times New Roman" w:eastAsia="Times New Roman" w:hAnsi="Times New Roman" w:cs="Times New Roman"/>
            <w:color w:val="0000FF"/>
            <w:sz w:val="24"/>
            <w:szCs w:val="24"/>
            <w:u w:val="single"/>
            <w:lang w:val="en-US"/>
          </w:rPr>
          <w:t>https://doi.org/10.1016/j.inffus.2019.12.012</w:t>
        </w:r>
      </w:hyperlink>
      <w:r w:rsidRPr="000D1F05">
        <w:rPr>
          <w:rFonts w:ascii="Times New Roman" w:eastAsia="Times New Roman" w:hAnsi="Times New Roman" w:cs="Times New Roman"/>
          <w:sz w:val="24"/>
          <w:szCs w:val="24"/>
          <w:lang w:val="en-US"/>
        </w:rPr>
        <w:t xml:space="preserve"> </w:t>
      </w:r>
    </w:p>
    <w:p w14:paraId="14CD5E4C" w14:textId="4DA21730"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Bhutta, Z. A., Das, J. K., Rizvi, A., Gaffey, M. F., Walker, N., Horton, S., Webb, P., Lartey, A., &amp; Black, R. E. (2013). Evidence-based interventions for improvement of maternal and child nutrition: What can be done and at what cost? </w:t>
      </w:r>
      <w:r w:rsidRPr="000D1F05">
        <w:rPr>
          <w:rFonts w:ascii="Times New Roman" w:eastAsia="Times New Roman" w:hAnsi="Times New Roman" w:cs="Times New Roman"/>
          <w:i/>
          <w:iCs/>
          <w:sz w:val="24"/>
          <w:szCs w:val="24"/>
          <w:lang w:val="en-US"/>
        </w:rPr>
        <w:t>The Lancet, 382</w:t>
      </w:r>
      <w:r w:rsidRPr="000D1F05">
        <w:rPr>
          <w:rFonts w:ascii="Times New Roman" w:eastAsia="Times New Roman" w:hAnsi="Times New Roman" w:cs="Times New Roman"/>
          <w:sz w:val="24"/>
          <w:szCs w:val="24"/>
          <w:lang w:val="en-US"/>
        </w:rPr>
        <w:t xml:space="preserve">(9890), 452–477. </w:t>
      </w:r>
      <w:hyperlink r:id="rId9" w:tgtFrame="_new" w:history="1">
        <w:r w:rsidRPr="000D1F05">
          <w:rPr>
            <w:rFonts w:ascii="Times New Roman" w:eastAsia="Times New Roman" w:hAnsi="Times New Roman" w:cs="Times New Roman"/>
            <w:color w:val="0000FF"/>
            <w:sz w:val="24"/>
            <w:szCs w:val="24"/>
            <w:u w:val="single"/>
            <w:lang w:val="en-US"/>
          </w:rPr>
          <w:t>https://doi.org/10.1016/S0140-6736(13)60996-4</w:t>
        </w:r>
      </w:hyperlink>
      <w:r w:rsidRPr="000D1F05">
        <w:rPr>
          <w:rFonts w:ascii="Times New Roman" w:eastAsia="Times New Roman" w:hAnsi="Times New Roman" w:cs="Times New Roman"/>
          <w:sz w:val="24"/>
          <w:szCs w:val="24"/>
          <w:lang w:val="en-US"/>
        </w:rPr>
        <w:t xml:space="preserve"> </w:t>
      </w:r>
    </w:p>
    <w:p w14:paraId="25A74973" w14:textId="3BABEC7A"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Black, R. E., Allen, L. H., Bhutta, Z. A., Caulfield, L. E., de Onis, M., Ezzati, M., Mathers, C., &amp; Rivera, J. (2008). Maternal and child undernutrition: Global and regional exposures and health consequences. </w:t>
      </w:r>
      <w:r w:rsidRPr="000D1F05">
        <w:rPr>
          <w:rFonts w:ascii="Times New Roman" w:eastAsia="Times New Roman" w:hAnsi="Times New Roman" w:cs="Times New Roman"/>
          <w:i/>
          <w:iCs/>
          <w:sz w:val="24"/>
          <w:szCs w:val="24"/>
          <w:lang w:val="en-US"/>
        </w:rPr>
        <w:t>The Lancet, 371</w:t>
      </w:r>
      <w:r w:rsidRPr="000D1F05">
        <w:rPr>
          <w:rFonts w:ascii="Times New Roman" w:eastAsia="Times New Roman" w:hAnsi="Times New Roman" w:cs="Times New Roman"/>
          <w:sz w:val="24"/>
          <w:szCs w:val="24"/>
          <w:lang w:val="en-US"/>
        </w:rPr>
        <w:t xml:space="preserve">(9608), 243–260. </w:t>
      </w:r>
      <w:hyperlink r:id="rId10" w:tgtFrame="_new" w:history="1">
        <w:r w:rsidRPr="000D1F05">
          <w:rPr>
            <w:rFonts w:ascii="Times New Roman" w:eastAsia="Times New Roman" w:hAnsi="Times New Roman" w:cs="Times New Roman"/>
            <w:color w:val="0000FF"/>
            <w:sz w:val="24"/>
            <w:szCs w:val="24"/>
            <w:u w:val="single"/>
            <w:lang w:val="en-US"/>
          </w:rPr>
          <w:t>https://doi.org/10.1016/S0140-6736(07)61690-0</w:t>
        </w:r>
      </w:hyperlink>
      <w:r w:rsidRPr="000D1F05">
        <w:rPr>
          <w:rFonts w:ascii="Times New Roman" w:eastAsia="Times New Roman" w:hAnsi="Times New Roman" w:cs="Times New Roman"/>
          <w:sz w:val="24"/>
          <w:szCs w:val="24"/>
          <w:lang w:val="en-US"/>
        </w:rPr>
        <w:t xml:space="preserve"> </w:t>
      </w:r>
    </w:p>
    <w:p w14:paraId="1DB99154" w14:textId="71A3775B"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Black, R. E., Victora, C. G., Walker, S. P., Bhutta, Z. A., Christian, P., de Onis, M., Ezzati, M., Grantham-McGregor, S., Katz, J., Martorell, R., &amp; Uauy, R. (2013). Maternal and child undernutrition and overweight in low-income and middle-income countries. </w:t>
      </w:r>
      <w:r w:rsidRPr="000D1F05">
        <w:rPr>
          <w:rFonts w:ascii="Times New Roman" w:eastAsia="Times New Roman" w:hAnsi="Times New Roman" w:cs="Times New Roman"/>
          <w:i/>
          <w:iCs/>
          <w:sz w:val="24"/>
          <w:szCs w:val="24"/>
          <w:lang w:val="en-US"/>
        </w:rPr>
        <w:t>The Lancet, 382</w:t>
      </w:r>
      <w:r w:rsidRPr="000D1F05">
        <w:rPr>
          <w:rFonts w:ascii="Times New Roman" w:eastAsia="Times New Roman" w:hAnsi="Times New Roman" w:cs="Times New Roman"/>
          <w:sz w:val="24"/>
          <w:szCs w:val="24"/>
          <w:lang w:val="en-US"/>
        </w:rPr>
        <w:t xml:space="preserve">(9890), 427–451. </w:t>
      </w:r>
      <w:hyperlink r:id="rId11" w:tgtFrame="_new" w:history="1">
        <w:r w:rsidRPr="000D1F05">
          <w:rPr>
            <w:rFonts w:ascii="Times New Roman" w:eastAsia="Times New Roman" w:hAnsi="Times New Roman" w:cs="Times New Roman"/>
            <w:color w:val="0000FF"/>
            <w:sz w:val="24"/>
            <w:szCs w:val="24"/>
            <w:u w:val="single"/>
            <w:lang w:val="en-US"/>
          </w:rPr>
          <w:t>https://doi.org/10.1016/S0140-6736(13)60937-X</w:t>
        </w:r>
      </w:hyperlink>
      <w:r w:rsidRPr="000D1F05">
        <w:rPr>
          <w:rFonts w:ascii="Times New Roman" w:eastAsia="Times New Roman" w:hAnsi="Times New Roman" w:cs="Times New Roman"/>
          <w:sz w:val="24"/>
          <w:szCs w:val="24"/>
          <w:lang w:val="en-US"/>
        </w:rPr>
        <w:t xml:space="preserve"> </w:t>
      </w:r>
    </w:p>
    <w:p w14:paraId="7309011B" w14:textId="07926936"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Breiman, L. (2001). Random forests. </w:t>
      </w:r>
      <w:r w:rsidRPr="000D1F05">
        <w:rPr>
          <w:rFonts w:ascii="Times New Roman" w:eastAsia="Times New Roman" w:hAnsi="Times New Roman" w:cs="Times New Roman"/>
          <w:i/>
          <w:iCs/>
          <w:sz w:val="24"/>
          <w:szCs w:val="24"/>
          <w:lang w:val="en-US"/>
        </w:rPr>
        <w:t>Machine Learning, 45</w:t>
      </w:r>
      <w:r w:rsidRPr="000D1F05">
        <w:rPr>
          <w:rFonts w:ascii="Times New Roman" w:eastAsia="Times New Roman" w:hAnsi="Times New Roman" w:cs="Times New Roman"/>
          <w:sz w:val="24"/>
          <w:szCs w:val="24"/>
          <w:lang w:val="en-US"/>
        </w:rPr>
        <w:t xml:space="preserve">(1), 5–32. </w:t>
      </w:r>
      <w:hyperlink r:id="rId12" w:tgtFrame="_new" w:history="1">
        <w:r w:rsidRPr="000D1F05">
          <w:rPr>
            <w:rFonts w:ascii="Times New Roman" w:eastAsia="Times New Roman" w:hAnsi="Times New Roman" w:cs="Times New Roman"/>
            <w:color w:val="0000FF"/>
            <w:sz w:val="24"/>
            <w:szCs w:val="24"/>
            <w:u w:val="single"/>
            <w:lang w:val="en-US"/>
          </w:rPr>
          <w:t>https://doi.org/10.1023/A:1010933404324</w:t>
        </w:r>
      </w:hyperlink>
      <w:r w:rsidRPr="000D1F05">
        <w:rPr>
          <w:rFonts w:ascii="Times New Roman" w:eastAsia="Times New Roman" w:hAnsi="Times New Roman" w:cs="Times New Roman"/>
          <w:sz w:val="24"/>
          <w:szCs w:val="24"/>
          <w:lang w:val="en-US"/>
        </w:rPr>
        <w:t xml:space="preserve"> </w:t>
      </w:r>
    </w:p>
    <w:p w14:paraId="3B7C4E7D" w14:textId="30A721B6"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Brownstein, J. S., Freifeld, C. C., &amp; Madoff, L. C. (2009). Digital disease detection—Harnessing the Web for public health surveillance. </w:t>
      </w:r>
      <w:r w:rsidRPr="000D1F05">
        <w:rPr>
          <w:rFonts w:ascii="Times New Roman" w:eastAsia="Times New Roman" w:hAnsi="Times New Roman" w:cs="Times New Roman"/>
          <w:i/>
          <w:iCs/>
          <w:sz w:val="24"/>
          <w:szCs w:val="24"/>
          <w:lang w:val="en-US"/>
        </w:rPr>
        <w:t>The New England Journal of Medicine, 360</w:t>
      </w:r>
      <w:r w:rsidRPr="000D1F05">
        <w:rPr>
          <w:rFonts w:ascii="Times New Roman" w:eastAsia="Times New Roman" w:hAnsi="Times New Roman" w:cs="Times New Roman"/>
          <w:sz w:val="24"/>
          <w:szCs w:val="24"/>
          <w:lang w:val="en-US"/>
        </w:rPr>
        <w:t xml:space="preserve">(21), 2153–2155, 2157. </w:t>
      </w:r>
      <w:hyperlink r:id="rId13" w:tgtFrame="_new" w:history="1">
        <w:r w:rsidRPr="000D1F05">
          <w:rPr>
            <w:rFonts w:ascii="Times New Roman" w:eastAsia="Times New Roman" w:hAnsi="Times New Roman" w:cs="Times New Roman"/>
            <w:color w:val="0000FF"/>
            <w:sz w:val="24"/>
            <w:szCs w:val="24"/>
            <w:u w:val="single"/>
            <w:lang w:val="en-US"/>
          </w:rPr>
          <w:t>https://doi.org/10.1056/NEJMp0900702</w:t>
        </w:r>
      </w:hyperlink>
      <w:r w:rsidRPr="000D1F05">
        <w:rPr>
          <w:rFonts w:ascii="Times New Roman" w:eastAsia="Times New Roman" w:hAnsi="Times New Roman" w:cs="Times New Roman"/>
          <w:sz w:val="24"/>
          <w:szCs w:val="24"/>
          <w:lang w:val="en-US"/>
        </w:rPr>
        <w:t xml:space="preserve"> </w:t>
      </w:r>
    </w:p>
    <w:p w14:paraId="2ADBD79F" w14:textId="4E7A4F18"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Cortes, C., &amp; Vapnik, V. (1995). Support-vector networks. </w:t>
      </w:r>
      <w:r w:rsidRPr="000D1F05">
        <w:rPr>
          <w:rFonts w:ascii="Times New Roman" w:eastAsia="Times New Roman" w:hAnsi="Times New Roman" w:cs="Times New Roman"/>
          <w:i/>
          <w:iCs/>
          <w:sz w:val="24"/>
          <w:szCs w:val="24"/>
          <w:lang w:val="en-US"/>
        </w:rPr>
        <w:t>Machine Learning, 20</w:t>
      </w:r>
      <w:r w:rsidRPr="000D1F05">
        <w:rPr>
          <w:rFonts w:ascii="Times New Roman" w:eastAsia="Times New Roman" w:hAnsi="Times New Roman" w:cs="Times New Roman"/>
          <w:sz w:val="24"/>
          <w:szCs w:val="24"/>
          <w:lang w:val="en-US"/>
        </w:rPr>
        <w:t xml:space="preserve">(3), 273–297. </w:t>
      </w:r>
      <w:hyperlink r:id="rId14" w:tgtFrame="_new" w:history="1">
        <w:r w:rsidRPr="000D1F05">
          <w:rPr>
            <w:rFonts w:ascii="Times New Roman" w:eastAsia="Times New Roman" w:hAnsi="Times New Roman" w:cs="Times New Roman"/>
            <w:color w:val="0000FF"/>
            <w:sz w:val="24"/>
            <w:szCs w:val="24"/>
            <w:u w:val="single"/>
            <w:lang w:val="en-US"/>
          </w:rPr>
          <w:t>https://doi.org/10.1007/BF00994018</w:t>
        </w:r>
      </w:hyperlink>
      <w:r w:rsidRPr="000D1F05">
        <w:rPr>
          <w:rFonts w:ascii="Times New Roman" w:eastAsia="Times New Roman" w:hAnsi="Times New Roman" w:cs="Times New Roman"/>
          <w:sz w:val="24"/>
          <w:szCs w:val="24"/>
          <w:lang w:val="en-US"/>
        </w:rPr>
        <w:t xml:space="preserve"> </w:t>
      </w:r>
    </w:p>
    <w:p w14:paraId="4EEBA9CE" w14:textId="487FFB6E"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Crane, R. J., Jones, K. D. J., &amp; Berkley, J. A. (2015). Environmental enteric dysfunction: An overview. </w:t>
      </w:r>
      <w:r w:rsidRPr="000D1F05">
        <w:rPr>
          <w:rFonts w:ascii="Times New Roman" w:eastAsia="Times New Roman" w:hAnsi="Times New Roman" w:cs="Times New Roman"/>
          <w:i/>
          <w:iCs/>
          <w:sz w:val="24"/>
          <w:szCs w:val="24"/>
          <w:lang w:val="en-US"/>
        </w:rPr>
        <w:t>Food and Nutrition Bulletin, 36</w:t>
      </w:r>
      <w:r w:rsidRPr="000D1F05">
        <w:rPr>
          <w:rFonts w:ascii="Times New Roman" w:eastAsia="Times New Roman" w:hAnsi="Times New Roman" w:cs="Times New Roman"/>
          <w:sz w:val="24"/>
          <w:szCs w:val="24"/>
          <w:lang w:val="en-US"/>
        </w:rPr>
        <w:t xml:space="preserve">(1 Suppl.), S76–S87. </w:t>
      </w:r>
      <w:hyperlink r:id="rId15" w:tgtFrame="_new" w:history="1">
        <w:r w:rsidRPr="000D1F05">
          <w:rPr>
            <w:rFonts w:ascii="Times New Roman" w:eastAsia="Times New Roman" w:hAnsi="Times New Roman" w:cs="Times New Roman"/>
            <w:color w:val="0000FF"/>
            <w:sz w:val="24"/>
            <w:szCs w:val="24"/>
            <w:u w:val="single"/>
            <w:lang w:val="en-US"/>
          </w:rPr>
          <w:t>https://doi.org/10.1177/15648265150361S113</w:t>
        </w:r>
      </w:hyperlink>
      <w:r w:rsidRPr="000D1F05">
        <w:rPr>
          <w:rFonts w:ascii="Times New Roman" w:eastAsia="Times New Roman" w:hAnsi="Times New Roman" w:cs="Times New Roman"/>
          <w:sz w:val="24"/>
          <w:szCs w:val="24"/>
          <w:lang w:val="en-US"/>
        </w:rPr>
        <w:t xml:space="preserve"> </w:t>
      </w:r>
    </w:p>
    <w:p w14:paraId="41DE22C5" w14:textId="0D2CDC90"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nl-BE"/>
        </w:rPr>
        <w:t xml:space="preserve">de Onis, M., &amp; Branca, F. (2016). </w:t>
      </w:r>
      <w:r w:rsidRPr="000D1F05">
        <w:rPr>
          <w:rFonts w:ascii="Times New Roman" w:eastAsia="Times New Roman" w:hAnsi="Times New Roman" w:cs="Times New Roman"/>
          <w:sz w:val="24"/>
          <w:szCs w:val="24"/>
          <w:lang w:val="en-US"/>
        </w:rPr>
        <w:t xml:space="preserve">Childhood stunting: A global perspective. </w:t>
      </w:r>
      <w:r w:rsidRPr="000D1F05">
        <w:rPr>
          <w:rFonts w:ascii="Times New Roman" w:eastAsia="Times New Roman" w:hAnsi="Times New Roman" w:cs="Times New Roman"/>
          <w:i/>
          <w:iCs/>
          <w:sz w:val="24"/>
          <w:szCs w:val="24"/>
          <w:lang w:val="en-US"/>
        </w:rPr>
        <w:t>Maternal &amp; Child Nutrition, 12</w:t>
      </w:r>
      <w:r w:rsidRPr="000D1F05">
        <w:rPr>
          <w:rFonts w:ascii="Times New Roman" w:eastAsia="Times New Roman" w:hAnsi="Times New Roman" w:cs="Times New Roman"/>
          <w:sz w:val="24"/>
          <w:szCs w:val="24"/>
          <w:lang w:val="en-US"/>
        </w:rPr>
        <w:t xml:space="preserve">(Suppl. 1), 12–26. </w:t>
      </w:r>
      <w:hyperlink r:id="rId16" w:tgtFrame="_new" w:history="1">
        <w:r w:rsidRPr="000D1F05">
          <w:rPr>
            <w:rFonts w:ascii="Times New Roman" w:eastAsia="Times New Roman" w:hAnsi="Times New Roman" w:cs="Times New Roman"/>
            <w:color w:val="0000FF"/>
            <w:sz w:val="24"/>
            <w:szCs w:val="24"/>
            <w:u w:val="single"/>
            <w:lang w:val="en-US"/>
          </w:rPr>
          <w:t>https://doi.org/10.1111/mcn.12231</w:t>
        </w:r>
      </w:hyperlink>
      <w:r w:rsidRPr="000D1F05">
        <w:rPr>
          <w:rFonts w:ascii="Times New Roman" w:eastAsia="Times New Roman" w:hAnsi="Times New Roman" w:cs="Times New Roman"/>
          <w:sz w:val="24"/>
          <w:szCs w:val="24"/>
          <w:lang w:val="en-US"/>
        </w:rPr>
        <w:t xml:space="preserve"> </w:t>
      </w:r>
    </w:p>
    <w:p w14:paraId="01E8BEBB" w14:textId="781E125D"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Development Initiatives. (2022). </w:t>
      </w:r>
      <w:r w:rsidRPr="000D1F05">
        <w:rPr>
          <w:rFonts w:ascii="Times New Roman" w:eastAsia="Times New Roman" w:hAnsi="Times New Roman" w:cs="Times New Roman"/>
          <w:i/>
          <w:iCs/>
          <w:sz w:val="24"/>
          <w:szCs w:val="24"/>
          <w:lang w:val="en-US"/>
        </w:rPr>
        <w:t>Global nutrition report 2022: Stronger commitments for greater action</w:t>
      </w:r>
      <w:r w:rsidRPr="000D1F05">
        <w:rPr>
          <w:rFonts w:ascii="Times New Roman" w:eastAsia="Times New Roman" w:hAnsi="Times New Roman" w:cs="Times New Roman"/>
          <w:sz w:val="24"/>
          <w:szCs w:val="24"/>
          <w:lang w:val="en-US"/>
        </w:rPr>
        <w:t xml:space="preserve">. Development Initiatives. </w:t>
      </w:r>
      <w:hyperlink r:id="rId17" w:tgtFrame="_new" w:history="1">
        <w:r w:rsidRPr="000D1F05">
          <w:rPr>
            <w:rFonts w:ascii="Times New Roman" w:eastAsia="Times New Roman" w:hAnsi="Times New Roman" w:cs="Times New Roman"/>
            <w:color w:val="0000FF"/>
            <w:sz w:val="24"/>
            <w:szCs w:val="24"/>
            <w:u w:val="single"/>
            <w:lang w:val="en-US"/>
          </w:rPr>
          <w:t>https://globalnutritionreport.org/reports/2022-global-nutrition-report/</w:t>
        </w:r>
      </w:hyperlink>
      <w:r w:rsidRPr="000D1F05">
        <w:rPr>
          <w:rFonts w:ascii="Times New Roman" w:eastAsia="Times New Roman" w:hAnsi="Times New Roman" w:cs="Times New Roman"/>
          <w:sz w:val="24"/>
          <w:szCs w:val="24"/>
          <w:lang w:val="en-US"/>
        </w:rPr>
        <w:t xml:space="preserve"> </w:t>
      </w:r>
    </w:p>
    <w:p w14:paraId="58E9B345" w14:textId="03710193"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Dherani, M., Pope, D., Mascarenhas, M., Smith, K. R., Weber, M., &amp; Bruce, N. (2008). Indoor air pollution from unprocessed solid fuel use and pneumonia risk in children aged under five years: A systematic review and meta-analysis. </w:t>
      </w:r>
      <w:r w:rsidRPr="000D1F05">
        <w:rPr>
          <w:rFonts w:ascii="Times New Roman" w:eastAsia="Times New Roman" w:hAnsi="Times New Roman" w:cs="Times New Roman"/>
          <w:i/>
          <w:iCs/>
          <w:sz w:val="24"/>
          <w:szCs w:val="24"/>
          <w:lang w:val="en-US"/>
        </w:rPr>
        <w:t>Bulletin of the World Health Organization, 86</w:t>
      </w:r>
      <w:r w:rsidRPr="000D1F05">
        <w:rPr>
          <w:rFonts w:ascii="Times New Roman" w:eastAsia="Times New Roman" w:hAnsi="Times New Roman" w:cs="Times New Roman"/>
          <w:sz w:val="24"/>
          <w:szCs w:val="24"/>
          <w:lang w:val="en-US"/>
        </w:rPr>
        <w:t xml:space="preserve">(5), 390–398C. </w:t>
      </w:r>
      <w:hyperlink r:id="rId18" w:tgtFrame="_new" w:history="1">
        <w:r w:rsidRPr="000D1F05">
          <w:rPr>
            <w:rFonts w:ascii="Times New Roman" w:eastAsia="Times New Roman" w:hAnsi="Times New Roman" w:cs="Times New Roman"/>
            <w:color w:val="0000FF"/>
            <w:sz w:val="24"/>
            <w:szCs w:val="24"/>
            <w:u w:val="single"/>
            <w:lang w:val="en-US"/>
          </w:rPr>
          <w:t>https://doi.org/10.2471/BLT.07.044529</w:t>
        </w:r>
      </w:hyperlink>
      <w:r w:rsidRPr="000D1F05">
        <w:rPr>
          <w:rFonts w:ascii="Times New Roman" w:eastAsia="Times New Roman" w:hAnsi="Times New Roman" w:cs="Times New Roman"/>
          <w:sz w:val="24"/>
          <w:szCs w:val="24"/>
          <w:lang w:val="en-US"/>
        </w:rPr>
        <w:t xml:space="preserve"> </w:t>
      </w:r>
    </w:p>
    <w:p w14:paraId="188F45C6" w14:textId="332EB0BB"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Fanzo, J., Davis, C., McLaren, R., &amp; Choufani, J. (2018). The effect of climate change across food systems: Implications for nutrition outcomes. </w:t>
      </w:r>
      <w:r w:rsidRPr="000D1F05">
        <w:rPr>
          <w:rFonts w:ascii="Times New Roman" w:eastAsia="Times New Roman" w:hAnsi="Times New Roman" w:cs="Times New Roman"/>
          <w:i/>
          <w:iCs/>
          <w:sz w:val="24"/>
          <w:szCs w:val="24"/>
          <w:lang w:val="en-US"/>
        </w:rPr>
        <w:t>Global Food Security, 18</w:t>
      </w:r>
      <w:r w:rsidRPr="000D1F05">
        <w:rPr>
          <w:rFonts w:ascii="Times New Roman" w:eastAsia="Times New Roman" w:hAnsi="Times New Roman" w:cs="Times New Roman"/>
          <w:sz w:val="24"/>
          <w:szCs w:val="24"/>
          <w:lang w:val="en-US"/>
        </w:rPr>
        <w:t xml:space="preserve">, 12–19. </w:t>
      </w:r>
      <w:hyperlink r:id="rId19" w:tgtFrame="_new" w:history="1">
        <w:r w:rsidRPr="000D1F05">
          <w:rPr>
            <w:rFonts w:ascii="Times New Roman" w:eastAsia="Times New Roman" w:hAnsi="Times New Roman" w:cs="Times New Roman"/>
            <w:color w:val="0000FF"/>
            <w:sz w:val="24"/>
            <w:szCs w:val="24"/>
            <w:u w:val="single"/>
            <w:lang w:val="en-US"/>
          </w:rPr>
          <w:t>https://doi.org/10.1016/j.gfs.2018.06.001</w:t>
        </w:r>
      </w:hyperlink>
      <w:r w:rsidRPr="000D1F05">
        <w:rPr>
          <w:rFonts w:ascii="Times New Roman" w:eastAsia="Times New Roman" w:hAnsi="Times New Roman" w:cs="Times New Roman"/>
          <w:sz w:val="24"/>
          <w:szCs w:val="24"/>
          <w:lang w:val="en-US"/>
        </w:rPr>
        <w:t xml:space="preserve"> </w:t>
      </w:r>
    </w:p>
    <w:p w14:paraId="4B747008" w14:textId="1B1275F9"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FAO, IFAD, UNICEF, WFP, &amp; WHO. (2023). </w:t>
      </w:r>
      <w:r w:rsidRPr="000D1F05">
        <w:rPr>
          <w:rFonts w:ascii="Times New Roman" w:eastAsia="Times New Roman" w:hAnsi="Times New Roman" w:cs="Times New Roman"/>
          <w:i/>
          <w:iCs/>
          <w:sz w:val="24"/>
          <w:szCs w:val="24"/>
          <w:lang w:val="en-US"/>
        </w:rPr>
        <w:t>The state of food security and nutrition in the world 2023: Urbanization, agrifood systems transformation and healthy diets across the rural–urban continuum</w:t>
      </w:r>
      <w:r w:rsidRPr="000D1F05">
        <w:rPr>
          <w:rFonts w:ascii="Times New Roman" w:eastAsia="Times New Roman" w:hAnsi="Times New Roman" w:cs="Times New Roman"/>
          <w:sz w:val="24"/>
          <w:szCs w:val="24"/>
          <w:lang w:val="en-US"/>
        </w:rPr>
        <w:t xml:space="preserve">. FAO. </w:t>
      </w:r>
      <w:hyperlink r:id="rId20" w:tgtFrame="_new" w:history="1">
        <w:r w:rsidRPr="000D1F05">
          <w:rPr>
            <w:rFonts w:ascii="Times New Roman" w:eastAsia="Times New Roman" w:hAnsi="Times New Roman" w:cs="Times New Roman"/>
            <w:color w:val="0000FF"/>
            <w:sz w:val="24"/>
            <w:szCs w:val="24"/>
            <w:u w:val="single"/>
            <w:lang w:val="en-US"/>
          </w:rPr>
          <w:t>https://doi.org/10.4060/cc3017en</w:t>
        </w:r>
      </w:hyperlink>
      <w:r w:rsidRPr="000D1F05">
        <w:rPr>
          <w:rFonts w:ascii="Times New Roman" w:eastAsia="Times New Roman" w:hAnsi="Times New Roman" w:cs="Times New Roman"/>
          <w:sz w:val="24"/>
          <w:szCs w:val="24"/>
          <w:lang w:val="en-US"/>
        </w:rPr>
        <w:t xml:space="preserve"> </w:t>
      </w:r>
    </w:p>
    <w:p w14:paraId="4CFAB819" w14:textId="0A3B88A7"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Funk, C., Peterson, P., Landsfeld, M., Pedreros, D., Verdin, J., Shukla, S., Husak, G., Rowland, J., Harrison, L., Hoell, A., &amp; Michaelsen, J. (2015). The climate hazards infrared precipitation with stations—A new environmental record for monitoring extremes. </w:t>
      </w:r>
      <w:r w:rsidRPr="000D1F05">
        <w:rPr>
          <w:rFonts w:ascii="Times New Roman" w:eastAsia="Times New Roman" w:hAnsi="Times New Roman" w:cs="Times New Roman"/>
          <w:i/>
          <w:iCs/>
          <w:sz w:val="24"/>
          <w:szCs w:val="24"/>
          <w:lang w:val="en-US"/>
        </w:rPr>
        <w:t>Scientific Data, 2</w:t>
      </w:r>
      <w:r w:rsidRPr="000D1F05">
        <w:rPr>
          <w:rFonts w:ascii="Times New Roman" w:eastAsia="Times New Roman" w:hAnsi="Times New Roman" w:cs="Times New Roman"/>
          <w:sz w:val="24"/>
          <w:szCs w:val="24"/>
          <w:lang w:val="en-US"/>
        </w:rPr>
        <w:t xml:space="preserve">, Article 150066. </w:t>
      </w:r>
      <w:hyperlink r:id="rId21" w:tgtFrame="_new" w:history="1">
        <w:r w:rsidRPr="000D1F05">
          <w:rPr>
            <w:rFonts w:ascii="Times New Roman" w:eastAsia="Times New Roman" w:hAnsi="Times New Roman" w:cs="Times New Roman"/>
            <w:color w:val="0000FF"/>
            <w:sz w:val="24"/>
            <w:szCs w:val="24"/>
            <w:u w:val="single"/>
            <w:lang w:val="en-US"/>
          </w:rPr>
          <w:t>https://doi.org/10.1038/sdata.2015.66</w:t>
        </w:r>
      </w:hyperlink>
      <w:r w:rsidRPr="000D1F05">
        <w:rPr>
          <w:rFonts w:ascii="Times New Roman" w:eastAsia="Times New Roman" w:hAnsi="Times New Roman" w:cs="Times New Roman"/>
          <w:sz w:val="24"/>
          <w:szCs w:val="24"/>
          <w:lang w:val="en-US"/>
        </w:rPr>
        <w:t xml:space="preserve"> </w:t>
      </w:r>
    </w:p>
    <w:p w14:paraId="49758514" w14:textId="2BD8F91F"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Green, B. N., Johnson, C. D., &amp; Adams, A. (2006). Writing narrative literature reviews for peer-reviewed journals: Secrets of the trade. </w:t>
      </w:r>
      <w:r w:rsidRPr="000D1F05">
        <w:rPr>
          <w:rFonts w:ascii="Times New Roman" w:eastAsia="Times New Roman" w:hAnsi="Times New Roman" w:cs="Times New Roman"/>
          <w:i/>
          <w:iCs/>
          <w:sz w:val="24"/>
          <w:szCs w:val="24"/>
          <w:lang w:val="en-US"/>
        </w:rPr>
        <w:t>Journal of Chiropractic Medicine, 5</w:t>
      </w:r>
      <w:r w:rsidRPr="000D1F05">
        <w:rPr>
          <w:rFonts w:ascii="Times New Roman" w:eastAsia="Times New Roman" w:hAnsi="Times New Roman" w:cs="Times New Roman"/>
          <w:sz w:val="24"/>
          <w:szCs w:val="24"/>
          <w:lang w:val="en-US"/>
        </w:rPr>
        <w:t xml:space="preserve">(3), 101–117. </w:t>
      </w:r>
      <w:hyperlink r:id="rId22" w:tgtFrame="_new" w:history="1">
        <w:r w:rsidRPr="000D1F05">
          <w:rPr>
            <w:rFonts w:ascii="Times New Roman" w:eastAsia="Times New Roman" w:hAnsi="Times New Roman" w:cs="Times New Roman"/>
            <w:color w:val="0000FF"/>
            <w:sz w:val="24"/>
            <w:szCs w:val="24"/>
            <w:u w:val="single"/>
            <w:lang w:val="en-US"/>
          </w:rPr>
          <w:t>https://doi.org/10.1016/S0899-3467(07)60142-6</w:t>
        </w:r>
      </w:hyperlink>
      <w:r w:rsidRPr="000D1F05">
        <w:rPr>
          <w:rFonts w:ascii="Times New Roman" w:eastAsia="Times New Roman" w:hAnsi="Times New Roman" w:cs="Times New Roman"/>
          <w:sz w:val="24"/>
          <w:szCs w:val="24"/>
          <w:lang w:val="en-US"/>
        </w:rPr>
        <w:t xml:space="preserve"> </w:t>
      </w:r>
    </w:p>
    <w:p w14:paraId="3C7F1C9E" w14:textId="69A604DD"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nl-BE"/>
        </w:rPr>
        <w:t xml:space="preserve">Guerrant, R. L., DeBoer, M. D., Moore, S. R., Scharf, R. J., &amp; Lima, A. A. M. (2013). </w:t>
      </w:r>
      <w:r w:rsidRPr="000D1F05">
        <w:rPr>
          <w:rFonts w:ascii="Times New Roman" w:eastAsia="Times New Roman" w:hAnsi="Times New Roman" w:cs="Times New Roman"/>
          <w:sz w:val="24"/>
          <w:szCs w:val="24"/>
          <w:lang w:val="en-US"/>
        </w:rPr>
        <w:t xml:space="preserve">The impoverished gut—A triple burden of diarrhoea, stunting and chronic disease. </w:t>
      </w:r>
      <w:r w:rsidRPr="000D1F05">
        <w:rPr>
          <w:rFonts w:ascii="Times New Roman" w:eastAsia="Times New Roman" w:hAnsi="Times New Roman" w:cs="Times New Roman"/>
          <w:i/>
          <w:iCs/>
          <w:sz w:val="24"/>
          <w:szCs w:val="24"/>
          <w:lang w:val="en-US"/>
        </w:rPr>
        <w:t>Nature Reviews Gastroenterology &amp; Hepatology, 10</w:t>
      </w:r>
      <w:r w:rsidRPr="000D1F05">
        <w:rPr>
          <w:rFonts w:ascii="Times New Roman" w:eastAsia="Times New Roman" w:hAnsi="Times New Roman" w:cs="Times New Roman"/>
          <w:sz w:val="24"/>
          <w:szCs w:val="24"/>
          <w:lang w:val="en-US"/>
        </w:rPr>
        <w:t xml:space="preserve">(4), 220–229. </w:t>
      </w:r>
      <w:hyperlink r:id="rId23" w:tgtFrame="_new" w:history="1">
        <w:r w:rsidRPr="000D1F05">
          <w:rPr>
            <w:rFonts w:ascii="Times New Roman" w:eastAsia="Times New Roman" w:hAnsi="Times New Roman" w:cs="Times New Roman"/>
            <w:color w:val="0000FF"/>
            <w:sz w:val="24"/>
            <w:szCs w:val="24"/>
            <w:u w:val="single"/>
            <w:lang w:val="en-US"/>
          </w:rPr>
          <w:t>https://doi.org/10.1038/nrgastro.2012.239</w:t>
        </w:r>
      </w:hyperlink>
      <w:r w:rsidRPr="000D1F05">
        <w:rPr>
          <w:rFonts w:ascii="Times New Roman" w:eastAsia="Times New Roman" w:hAnsi="Times New Roman" w:cs="Times New Roman"/>
          <w:sz w:val="24"/>
          <w:szCs w:val="24"/>
          <w:lang w:val="en-US"/>
        </w:rPr>
        <w:t xml:space="preserve"> </w:t>
      </w:r>
    </w:p>
    <w:p w14:paraId="7379B6C2" w14:textId="1044BE7F"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nl-BE"/>
        </w:rPr>
        <w:t xml:space="preserve">Janssen, S. M. W., Bouzembrak, Y., &amp; Tekinerdogan, B. (2024). </w:t>
      </w:r>
      <w:r w:rsidRPr="000D1F05">
        <w:rPr>
          <w:rFonts w:ascii="Times New Roman" w:eastAsia="Times New Roman" w:hAnsi="Times New Roman" w:cs="Times New Roman"/>
          <w:sz w:val="24"/>
          <w:szCs w:val="24"/>
          <w:lang w:val="en-US"/>
        </w:rPr>
        <w:t xml:space="preserve">Artificial intelligence in malnutrition: A systematic literature review. </w:t>
      </w:r>
      <w:r w:rsidRPr="000D1F05">
        <w:rPr>
          <w:rFonts w:ascii="Times New Roman" w:eastAsia="Times New Roman" w:hAnsi="Times New Roman" w:cs="Times New Roman"/>
          <w:i/>
          <w:iCs/>
          <w:sz w:val="24"/>
          <w:szCs w:val="24"/>
          <w:lang w:val="en-US"/>
        </w:rPr>
        <w:t>Advances in Nutrition, 15</w:t>
      </w:r>
      <w:r w:rsidRPr="000D1F05">
        <w:rPr>
          <w:rFonts w:ascii="Times New Roman" w:eastAsia="Times New Roman" w:hAnsi="Times New Roman" w:cs="Times New Roman"/>
          <w:sz w:val="24"/>
          <w:szCs w:val="24"/>
          <w:lang w:val="en-US"/>
        </w:rPr>
        <w:t xml:space="preserve">(9), Article 100264. </w:t>
      </w:r>
      <w:hyperlink r:id="rId24" w:tgtFrame="_new" w:history="1">
        <w:r w:rsidRPr="000D1F05">
          <w:rPr>
            <w:rFonts w:ascii="Times New Roman" w:eastAsia="Times New Roman" w:hAnsi="Times New Roman" w:cs="Times New Roman"/>
            <w:color w:val="0000FF"/>
            <w:sz w:val="24"/>
            <w:szCs w:val="24"/>
            <w:u w:val="single"/>
            <w:lang w:val="en-US"/>
          </w:rPr>
          <w:t>https://doi.org/10.1016/j.advnut.2024.100264</w:t>
        </w:r>
      </w:hyperlink>
      <w:r w:rsidRPr="000D1F05">
        <w:rPr>
          <w:rFonts w:ascii="Times New Roman" w:eastAsia="Times New Roman" w:hAnsi="Times New Roman" w:cs="Times New Roman"/>
          <w:sz w:val="24"/>
          <w:szCs w:val="24"/>
          <w:lang w:val="en-US"/>
        </w:rPr>
        <w:t xml:space="preserve"> </w:t>
      </w:r>
    </w:p>
    <w:p w14:paraId="1F6516C2" w14:textId="52DF5E24"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Jemil, H. W., Semayneh, S. W., Kassaw, A. B., &amp; Gashu, K. D. (2026). Predicting severe stunting and its determinants among under-five in Eastern African countries: A machine learning algorithms. </w:t>
      </w:r>
      <w:r w:rsidRPr="000D1F05">
        <w:rPr>
          <w:rFonts w:ascii="Times New Roman" w:eastAsia="Times New Roman" w:hAnsi="Times New Roman" w:cs="Times New Roman"/>
          <w:i/>
          <w:iCs/>
          <w:sz w:val="24"/>
          <w:szCs w:val="24"/>
          <w:lang w:val="en-US"/>
        </w:rPr>
        <w:t>PLOS ONE, 21</w:t>
      </w:r>
      <w:r w:rsidRPr="000D1F05">
        <w:rPr>
          <w:rFonts w:ascii="Times New Roman" w:eastAsia="Times New Roman" w:hAnsi="Times New Roman" w:cs="Times New Roman"/>
          <w:sz w:val="24"/>
          <w:szCs w:val="24"/>
          <w:lang w:val="en-US"/>
        </w:rPr>
        <w:t xml:space="preserve">(1), Article e0340221. </w:t>
      </w:r>
      <w:hyperlink r:id="rId25" w:tgtFrame="_new" w:history="1">
        <w:r w:rsidRPr="000D1F05">
          <w:rPr>
            <w:rFonts w:ascii="Times New Roman" w:eastAsia="Times New Roman" w:hAnsi="Times New Roman" w:cs="Times New Roman"/>
            <w:color w:val="0000FF"/>
            <w:sz w:val="24"/>
            <w:szCs w:val="24"/>
            <w:u w:val="single"/>
            <w:lang w:val="en-US"/>
          </w:rPr>
          <w:t>https://doi.org/10.1371/journal.pone.0340221</w:t>
        </w:r>
      </w:hyperlink>
      <w:r w:rsidRPr="000D1F05">
        <w:rPr>
          <w:rFonts w:ascii="Times New Roman" w:eastAsia="Times New Roman" w:hAnsi="Times New Roman" w:cs="Times New Roman"/>
          <w:sz w:val="24"/>
          <w:szCs w:val="24"/>
          <w:lang w:val="en-US"/>
        </w:rPr>
        <w:t xml:space="preserve"> </w:t>
      </w:r>
    </w:p>
    <w:p w14:paraId="0426C1B5" w14:textId="001FAA3B"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Labrique, A. B., Vasudevan, L., Kochi, E., Fabricant, R., &amp; Mehl, G. (2013). mHealth innovations as health system strengthening tools: 12 common applications and a visual framework. </w:t>
      </w:r>
      <w:r w:rsidRPr="000D1F05">
        <w:rPr>
          <w:rFonts w:ascii="Times New Roman" w:eastAsia="Times New Roman" w:hAnsi="Times New Roman" w:cs="Times New Roman"/>
          <w:i/>
          <w:iCs/>
          <w:sz w:val="24"/>
          <w:szCs w:val="24"/>
          <w:lang w:val="en-US"/>
        </w:rPr>
        <w:t>Global Health: Science and Practice, 1</w:t>
      </w:r>
      <w:r w:rsidRPr="000D1F05">
        <w:rPr>
          <w:rFonts w:ascii="Times New Roman" w:eastAsia="Times New Roman" w:hAnsi="Times New Roman" w:cs="Times New Roman"/>
          <w:sz w:val="24"/>
          <w:szCs w:val="24"/>
          <w:lang w:val="en-US"/>
        </w:rPr>
        <w:t xml:space="preserve">(2), 160–171. </w:t>
      </w:r>
      <w:hyperlink r:id="rId26" w:tgtFrame="_new" w:history="1">
        <w:r w:rsidRPr="000D1F05">
          <w:rPr>
            <w:rFonts w:ascii="Times New Roman" w:eastAsia="Times New Roman" w:hAnsi="Times New Roman" w:cs="Times New Roman"/>
            <w:color w:val="0000FF"/>
            <w:sz w:val="24"/>
            <w:szCs w:val="24"/>
            <w:u w:val="single"/>
            <w:lang w:val="en-US"/>
          </w:rPr>
          <w:t>https://doi.org/10.9745/GHSP-D-13-00031</w:t>
        </w:r>
      </w:hyperlink>
      <w:r w:rsidRPr="000D1F05">
        <w:rPr>
          <w:rFonts w:ascii="Times New Roman" w:eastAsia="Times New Roman" w:hAnsi="Times New Roman" w:cs="Times New Roman"/>
          <w:sz w:val="24"/>
          <w:szCs w:val="24"/>
          <w:lang w:val="en-US"/>
        </w:rPr>
        <w:t xml:space="preserve"> </w:t>
      </w:r>
    </w:p>
    <w:p w14:paraId="5DE1FD31" w14:textId="2140BADB"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LeCun, Y., Bengio, Y., &amp; Hinton, G. (2015). Deep learning. </w:t>
      </w:r>
      <w:r w:rsidRPr="000D1F05">
        <w:rPr>
          <w:rFonts w:ascii="Times New Roman" w:eastAsia="Times New Roman" w:hAnsi="Times New Roman" w:cs="Times New Roman"/>
          <w:i/>
          <w:iCs/>
          <w:sz w:val="24"/>
          <w:szCs w:val="24"/>
          <w:lang w:val="en-US"/>
        </w:rPr>
        <w:t>Nature, 521</w:t>
      </w:r>
      <w:r w:rsidRPr="000D1F05">
        <w:rPr>
          <w:rFonts w:ascii="Times New Roman" w:eastAsia="Times New Roman" w:hAnsi="Times New Roman" w:cs="Times New Roman"/>
          <w:sz w:val="24"/>
          <w:szCs w:val="24"/>
          <w:lang w:val="en-US"/>
        </w:rPr>
        <w:t xml:space="preserve">(7553), 436–444. </w:t>
      </w:r>
      <w:hyperlink r:id="rId27" w:tgtFrame="_new" w:history="1">
        <w:r w:rsidRPr="000D1F05">
          <w:rPr>
            <w:rFonts w:ascii="Times New Roman" w:eastAsia="Times New Roman" w:hAnsi="Times New Roman" w:cs="Times New Roman"/>
            <w:color w:val="0000FF"/>
            <w:sz w:val="24"/>
            <w:szCs w:val="24"/>
            <w:u w:val="single"/>
            <w:lang w:val="en-US"/>
          </w:rPr>
          <w:t>https://doi.org/10.1038/nature14539</w:t>
        </w:r>
      </w:hyperlink>
      <w:r w:rsidRPr="000D1F05">
        <w:rPr>
          <w:rFonts w:ascii="Times New Roman" w:eastAsia="Times New Roman" w:hAnsi="Times New Roman" w:cs="Times New Roman"/>
          <w:sz w:val="24"/>
          <w:szCs w:val="24"/>
          <w:lang w:val="en-US"/>
        </w:rPr>
        <w:t xml:space="preserve"> </w:t>
      </w:r>
    </w:p>
    <w:p w14:paraId="41BB22BB" w14:textId="1A7D1665"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Li, T., Sahu, A. K., Talwalkar, A., &amp; Smith, V. (2020). Federated learning: Challenges, methods, and future directions. </w:t>
      </w:r>
      <w:r w:rsidRPr="000D1F05">
        <w:rPr>
          <w:rFonts w:ascii="Times New Roman" w:eastAsia="Times New Roman" w:hAnsi="Times New Roman" w:cs="Times New Roman"/>
          <w:i/>
          <w:iCs/>
          <w:sz w:val="24"/>
          <w:szCs w:val="24"/>
          <w:lang w:val="en-US"/>
        </w:rPr>
        <w:t>IEEE Signal Processing Magazine, 37</w:t>
      </w:r>
      <w:r w:rsidRPr="000D1F05">
        <w:rPr>
          <w:rFonts w:ascii="Times New Roman" w:eastAsia="Times New Roman" w:hAnsi="Times New Roman" w:cs="Times New Roman"/>
          <w:sz w:val="24"/>
          <w:szCs w:val="24"/>
          <w:lang w:val="en-US"/>
        </w:rPr>
        <w:t xml:space="preserve">(3), 50–60. </w:t>
      </w:r>
      <w:hyperlink r:id="rId28" w:tgtFrame="_new" w:history="1">
        <w:r w:rsidRPr="000D1F05">
          <w:rPr>
            <w:rFonts w:ascii="Times New Roman" w:eastAsia="Times New Roman" w:hAnsi="Times New Roman" w:cs="Times New Roman"/>
            <w:color w:val="0000FF"/>
            <w:sz w:val="24"/>
            <w:szCs w:val="24"/>
            <w:u w:val="single"/>
            <w:lang w:val="en-US"/>
          </w:rPr>
          <w:t>https://doi.org/10.1109/MSP.2020.2975749</w:t>
        </w:r>
      </w:hyperlink>
      <w:r w:rsidRPr="000D1F05">
        <w:rPr>
          <w:rFonts w:ascii="Times New Roman" w:eastAsia="Times New Roman" w:hAnsi="Times New Roman" w:cs="Times New Roman"/>
          <w:sz w:val="24"/>
          <w:szCs w:val="24"/>
          <w:lang w:val="en-US"/>
        </w:rPr>
        <w:t xml:space="preserve"> </w:t>
      </w:r>
    </w:p>
    <w:p w14:paraId="43304948" w14:textId="05BE5341"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Lloyd, S. J., Kovats, R. S., &amp; Chalabi, Z. (2011). Climate change, crop yields, and undernutrition: Development of a model to quantify the impact of climate scenarios on child undernutrition. </w:t>
      </w:r>
      <w:r w:rsidRPr="000D1F05">
        <w:rPr>
          <w:rFonts w:ascii="Times New Roman" w:eastAsia="Times New Roman" w:hAnsi="Times New Roman" w:cs="Times New Roman"/>
          <w:i/>
          <w:iCs/>
          <w:sz w:val="24"/>
          <w:szCs w:val="24"/>
          <w:lang w:val="en-US"/>
        </w:rPr>
        <w:t>Environmental Health Perspectives, 119</w:t>
      </w:r>
      <w:r w:rsidRPr="000D1F05">
        <w:rPr>
          <w:rFonts w:ascii="Times New Roman" w:eastAsia="Times New Roman" w:hAnsi="Times New Roman" w:cs="Times New Roman"/>
          <w:sz w:val="24"/>
          <w:szCs w:val="24"/>
          <w:lang w:val="en-US"/>
        </w:rPr>
        <w:t xml:space="preserve">(12), 1817–1823. </w:t>
      </w:r>
      <w:hyperlink r:id="rId29" w:tgtFrame="_new" w:history="1">
        <w:r w:rsidRPr="000D1F05">
          <w:rPr>
            <w:rFonts w:ascii="Times New Roman" w:eastAsia="Times New Roman" w:hAnsi="Times New Roman" w:cs="Times New Roman"/>
            <w:color w:val="0000FF"/>
            <w:sz w:val="24"/>
            <w:szCs w:val="24"/>
            <w:u w:val="single"/>
            <w:lang w:val="en-US"/>
          </w:rPr>
          <w:t>https://doi.org/10.1289/ehp.1003311</w:t>
        </w:r>
      </w:hyperlink>
      <w:r w:rsidRPr="000D1F05">
        <w:rPr>
          <w:rFonts w:ascii="Times New Roman" w:eastAsia="Times New Roman" w:hAnsi="Times New Roman" w:cs="Times New Roman"/>
          <w:sz w:val="24"/>
          <w:szCs w:val="24"/>
          <w:lang w:val="en-US"/>
        </w:rPr>
        <w:t xml:space="preserve"> </w:t>
      </w:r>
    </w:p>
    <w:p w14:paraId="2E7837D5" w14:textId="488FE622"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Lundberg, S. M., Erion, G., Chen, H., DeGrave, A., Prutkin, J. M., Nair, B., Katz, R., Himmelfarb, J., Bansal, N., &amp; Lee, S. I. (2020). From local explanations to global understanding with explainable AI for trees. </w:t>
      </w:r>
      <w:r w:rsidRPr="000D1F05">
        <w:rPr>
          <w:rFonts w:ascii="Times New Roman" w:eastAsia="Times New Roman" w:hAnsi="Times New Roman" w:cs="Times New Roman"/>
          <w:i/>
          <w:iCs/>
          <w:sz w:val="24"/>
          <w:szCs w:val="24"/>
          <w:lang w:val="en-US"/>
        </w:rPr>
        <w:t>Nature Machine Intelligence, 2</w:t>
      </w:r>
      <w:r w:rsidRPr="000D1F05">
        <w:rPr>
          <w:rFonts w:ascii="Times New Roman" w:eastAsia="Times New Roman" w:hAnsi="Times New Roman" w:cs="Times New Roman"/>
          <w:sz w:val="24"/>
          <w:szCs w:val="24"/>
          <w:lang w:val="en-US"/>
        </w:rPr>
        <w:t xml:space="preserve">(1), 56–67. </w:t>
      </w:r>
      <w:hyperlink r:id="rId30" w:tgtFrame="_new" w:history="1">
        <w:r w:rsidRPr="000D1F05">
          <w:rPr>
            <w:rFonts w:ascii="Times New Roman" w:eastAsia="Times New Roman" w:hAnsi="Times New Roman" w:cs="Times New Roman"/>
            <w:color w:val="0000FF"/>
            <w:sz w:val="24"/>
            <w:szCs w:val="24"/>
            <w:u w:val="single"/>
            <w:lang w:val="en-US"/>
          </w:rPr>
          <w:t>https://doi.org/10.1038/s42256-019-0138-9</w:t>
        </w:r>
      </w:hyperlink>
      <w:r w:rsidRPr="000D1F05">
        <w:rPr>
          <w:rFonts w:ascii="Times New Roman" w:eastAsia="Times New Roman" w:hAnsi="Times New Roman" w:cs="Times New Roman"/>
          <w:sz w:val="24"/>
          <w:szCs w:val="24"/>
          <w:lang w:val="en-US"/>
        </w:rPr>
        <w:t xml:space="preserve"> </w:t>
      </w:r>
    </w:p>
    <w:p w14:paraId="5502B6B3" w14:textId="49FD26C6"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nl-BE"/>
        </w:rPr>
        <w:t xml:space="preserve">Myatt, M., Khara, T., Schoenbuchner, S., Pietzsch, S., Dolan, C., Lelijveld, N., &amp; Briend, A. (2018). </w:t>
      </w:r>
      <w:r w:rsidRPr="000D1F05">
        <w:rPr>
          <w:rFonts w:ascii="Times New Roman" w:eastAsia="Times New Roman" w:hAnsi="Times New Roman" w:cs="Times New Roman"/>
          <w:sz w:val="24"/>
          <w:szCs w:val="24"/>
          <w:lang w:val="en-US"/>
        </w:rPr>
        <w:t xml:space="preserve">Children who are both wasted and stunted are also underweight and have a high risk of death: A descriptive epidemiology of multiple anthropometric deficits using data from 51 countries. </w:t>
      </w:r>
      <w:r w:rsidRPr="000D1F05">
        <w:rPr>
          <w:rFonts w:ascii="Times New Roman" w:eastAsia="Times New Roman" w:hAnsi="Times New Roman" w:cs="Times New Roman"/>
          <w:i/>
          <w:iCs/>
          <w:sz w:val="24"/>
          <w:szCs w:val="24"/>
          <w:lang w:val="en-US"/>
        </w:rPr>
        <w:t>Archives of Public Health, 76</w:t>
      </w:r>
      <w:r w:rsidRPr="000D1F05">
        <w:rPr>
          <w:rFonts w:ascii="Times New Roman" w:eastAsia="Times New Roman" w:hAnsi="Times New Roman" w:cs="Times New Roman"/>
          <w:sz w:val="24"/>
          <w:szCs w:val="24"/>
          <w:lang w:val="en-US"/>
        </w:rPr>
        <w:t xml:space="preserve">, Article 28. </w:t>
      </w:r>
      <w:hyperlink r:id="rId31" w:tgtFrame="_new" w:history="1">
        <w:r w:rsidRPr="000D1F05">
          <w:rPr>
            <w:rFonts w:ascii="Times New Roman" w:eastAsia="Times New Roman" w:hAnsi="Times New Roman" w:cs="Times New Roman"/>
            <w:color w:val="0000FF"/>
            <w:sz w:val="24"/>
            <w:szCs w:val="24"/>
            <w:u w:val="single"/>
            <w:lang w:val="en-US"/>
          </w:rPr>
          <w:t>https://doi.org/10.1186/s13690-018-0277-1</w:t>
        </w:r>
      </w:hyperlink>
      <w:r w:rsidRPr="000D1F05">
        <w:rPr>
          <w:rFonts w:ascii="Times New Roman" w:eastAsia="Times New Roman" w:hAnsi="Times New Roman" w:cs="Times New Roman"/>
          <w:sz w:val="24"/>
          <w:szCs w:val="24"/>
          <w:lang w:val="en-US"/>
        </w:rPr>
        <w:t xml:space="preserve"> </w:t>
      </w:r>
    </w:p>
    <w:p w14:paraId="6427E670" w14:textId="587EE74D"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Obermeyer, Z., &amp; Emanuel, E. J. (2016). Predicting the future—Big data, machine learning, and clinical medicine. </w:t>
      </w:r>
      <w:r w:rsidRPr="000D1F05">
        <w:rPr>
          <w:rFonts w:ascii="Times New Roman" w:eastAsia="Times New Roman" w:hAnsi="Times New Roman" w:cs="Times New Roman"/>
          <w:i/>
          <w:iCs/>
          <w:sz w:val="24"/>
          <w:szCs w:val="24"/>
          <w:lang w:val="en-US"/>
        </w:rPr>
        <w:t>The New England Journal of Medicine, 375</w:t>
      </w:r>
      <w:r w:rsidRPr="000D1F05">
        <w:rPr>
          <w:rFonts w:ascii="Times New Roman" w:eastAsia="Times New Roman" w:hAnsi="Times New Roman" w:cs="Times New Roman"/>
          <w:sz w:val="24"/>
          <w:szCs w:val="24"/>
          <w:lang w:val="en-US"/>
        </w:rPr>
        <w:t xml:space="preserve">(13), 1216–1219. </w:t>
      </w:r>
      <w:hyperlink r:id="rId32" w:tgtFrame="_new" w:history="1">
        <w:r w:rsidRPr="000D1F05">
          <w:rPr>
            <w:rFonts w:ascii="Times New Roman" w:eastAsia="Times New Roman" w:hAnsi="Times New Roman" w:cs="Times New Roman"/>
            <w:color w:val="0000FF"/>
            <w:sz w:val="24"/>
            <w:szCs w:val="24"/>
            <w:u w:val="single"/>
            <w:lang w:val="en-US"/>
          </w:rPr>
          <w:t>https://doi.org/10.1056/NEJMp1606181</w:t>
        </w:r>
      </w:hyperlink>
      <w:r w:rsidRPr="000D1F05">
        <w:rPr>
          <w:rFonts w:ascii="Times New Roman" w:eastAsia="Times New Roman" w:hAnsi="Times New Roman" w:cs="Times New Roman"/>
          <w:sz w:val="24"/>
          <w:szCs w:val="24"/>
          <w:lang w:val="en-US"/>
        </w:rPr>
        <w:t xml:space="preserve"> </w:t>
      </w:r>
    </w:p>
    <w:p w14:paraId="69C048BA" w14:textId="74A63CB6"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Obermeyer, Z., Powers, B., Vogeli, C., &amp; Mullainathan, S. (2019). Dissecting racial bias in an algorithm used to manage the health of populations. </w:t>
      </w:r>
      <w:r w:rsidRPr="000D1F05">
        <w:rPr>
          <w:rFonts w:ascii="Times New Roman" w:eastAsia="Times New Roman" w:hAnsi="Times New Roman" w:cs="Times New Roman"/>
          <w:i/>
          <w:iCs/>
          <w:sz w:val="24"/>
          <w:szCs w:val="24"/>
          <w:lang w:val="en-US"/>
        </w:rPr>
        <w:t>Science, 366</w:t>
      </w:r>
      <w:r w:rsidRPr="000D1F05">
        <w:rPr>
          <w:rFonts w:ascii="Times New Roman" w:eastAsia="Times New Roman" w:hAnsi="Times New Roman" w:cs="Times New Roman"/>
          <w:sz w:val="24"/>
          <w:szCs w:val="24"/>
          <w:lang w:val="en-US"/>
        </w:rPr>
        <w:t xml:space="preserve">(6464), 447–453. </w:t>
      </w:r>
      <w:hyperlink r:id="rId33" w:tgtFrame="_new" w:history="1">
        <w:r w:rsidRPr="000D1F05">
          <w:rPr>
            <w:rFonts w:ascii="Times New Roman" w:eastAsia="Times New Roman" w:hAnsi="Times New Roman" w:cs="Times New Roman"/>
            <w:color w:val="0000FF"/>
            <w:sz w:val="24"/>
            <w:szCs w:val="24"/>
            <w:u w:val="single"/>
            <w:lang w:val="en-US"/>
          </w:rPr>
          <w:t>https://doi.org/10.1126/science.aax2342</w:t>
        </w:r>
      </w:hyperlink>
      <w:r w:rsidRPr="000D1F05">
        <w:rPr>
          <w:rFonts w:ascii="Times New Roman" w:eastAsia="Times New Roman" w:hAnsi="Times New Roman" w:cs="Times New Roman"/>
          <w:sz w:val="24"/>
          <w:szCs w:val="24"/>
          <w:lang w:val="en-US"/>
        </w:rPr>
        <w:t xml:space="preserve"> </w:t>
      </w:r>
    </w:p>
    <w:p w14:paraId="10B2F2F2" w14:textId="6B3F66B2"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Osgood-Zimmerman, A., Millear, A. I., Stubbs, R. W., Shields, C., Pickering, B. V., Earl, L., Graetz, N., Kinyoki, D. K., Ray, S. E., Bhatt, S., Browne, A. J., Burstein, R., Cameron, E., Casey, D. C., Deshpande, A., Fullman, N., Gething, P. W., Gibson, H. S., Henry, N. J., . . . Hay, S. I. (2018). Mapping child growth failure in Africa between 2000 and 2015. </w:t>
      </w:r>
      <w:r w:rsidRPr="000D1F05">
        <w:rPr>
          <w:rFonts w:ascii="Times New Roman" w:eastAsia="Times New Roman" w:hAnsi="Times New Roman" w:cs="Times New Roman"/>
          <w:i/>
          <w:iCs/>
          <w:sz w:val="24"/>
          <w:szCs w:val="24"/>
          <w:lang w:val="en-US"/>
        </w:rPr>
        <w:t>Nature, 555</w:t>
      </w:r>
      <w:r w:rsidRPr="000D1F05">
        <w:rPr>
          <w:rFonts w:ascii="Times New Roman" w:eastAsia="Times New Roman" w:hAnsi="Times New Roman" w:cs="Times New Roman"/>
          <w:sz w:val="24"/>
          <w:szCs w:val="24"/>
          <w:lang w:val="en-US"/>
        </w:rPr>
        <w:t xml:space="preserve">(7694), 41–47. </w:t>
      </w:r>
      <w:hyperlink r:id="rId34" w:tgtFrame="_new" w:history="1">
        <w:r w:rsidRPr="000D1F05">
          <w:rPr>
            <w:rFonts w:ascii="Times New Roman" w:eastAsia="Times New Roman" w:hAnsi="Times New Roman" w:cs="Times New Roman"/>
            <w:color w:val="0000FF"/>
            <w:sz w:val="24"/>
            <w:szCs w:val="24"/>
            <w:u w:val="single"/>
            <w:lang w:val="en-US"/>
          </w:rPr>
          <w:t>https://doi.org/10.1038/nature25760</w:t>
        </w:r>
      </w:hyperlink>
      <w:r w:rsidRPr="000D1F05">
        <w:rPr>
          <w:rFonts w:ascii="Times New Roman" w:eastAsia="Times New Roman" w:hAnsi="Times New Roman" w:cs="Times New Roman"/>
          <w:sz w:val="24"/>
          <w:szCs w:val="24"/>
          <w:lang w:val="en-US"/>
        </w:rPr>
        <w:t xml:space="preserve"> </w:t>
      </w:r>
    </w:p>
    <w:p w14:paraId="3C1EEC8E" w14:textId="36AC72A7"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Popkin, B. M., Corvalan, C., &amp; Grummer-Strawn, L. M. (2020). Dynamics of the double burden of malnutrition and the changing nutrition reality. </w:t>
      </w:r>
      <w:r w:rsidRPr="000D1F05">
        <w:rPr>
          <w:rFonts w:ascii="Times New Roman" w:eastAsia="Times New Roman" w:hAnsi="Times New Roman" w:cs="Times New Roman"/>
          <w:i/>
          <w:iCs/>
          <w:sz w:val="24"/>
          <w:szCs w:val="24"/>
          <w:lang w:val="en-US"/>
        </w:rPr>
        <w:t>The Lancet, 395</w:t>
      </w:r>
      <w:r w:rsidRPr="000D1F05">
        <w:rPr>
          <w:rFonts w:ascii="Times New Roman" w:eastAsia="Times New Roman" w:hAnsi="Times New Roman" w:cs="Times New Roman"/>
          <w:sz w:val="24"/>
          <w:szCs w:val="24"/>
          <w:lang w:val="en-US"/>
        </w:rPr>
        <w:t xml:space="preserve">(10217), 65–74. </w:t>
      </w:r>
      <w:hyperlink r:id="rId35" w:tgtFrame="_new" w:history="1">
        <w:r w:rsidRPr="000D1F05">
          <w:rPr>
            <w:rFonts w:ascii="Times New Roman" w:eastAsia="Times New Roman" w:hAnsi="Times New Roman" w:cs="Times New Roman"/>
            <w:color w:val="0000FF"/>
            <w:sz w:val="24"/>
            <w:szCs w:val="24"/>
            <w:u w:val="single"/>
            <w:lang w:val="en-US"/>
          </w:rPr>
          <w:t>https://doi.org/10.1016/S0140-6736(19)32497-3</w:t>
        </w:r>
      </w:hyperlink>
      <w:r w:rsidRPr="000D1F05">
        <w:rPr>
          <w:rFonts w:ascii="Times New Roman" w:eastAsia="Times New Roman" w:hAnsi="Times New Roman" w:cs="Times New Roman"/>
          <w:sz w:val="24"/>
          <w:szCs w:val="24"/>
          <w:lang w:val="en-US"/>
        </w:rPr>
        <w:t xml:space="preserve"> </w:t>
      </w:r>
    </w:p>
    <w:p w14:paraId="0965D7BC" w14:textId="70391524"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Rajpurkar, P., Chen, E., Banerjee, O., &amp; Topol, E. J. (2022). AI in health and medicine. </w:t>
      </w:r>
      <w:r w:rsidRPr="000D1F05">
        <w:rPr>
          <w:rFonts w:ascii="Times New Roman" w:eastAsia="Times New Roman" w:hAnsi="Times New Roman" w:cs="Times New Roman"/>
          <w:i/>
          <w:iCs/>
          <w:sz w:val="24"/>
          <w:szCs w:val="24"/>
          <w:lang w:val="en-US"/>
        </w:rPr>
        <w:t>Nature Medicine, 28</w:t>
      </w:r>
      <w:r w:rsidRPr="000D1F05">
        <w:rPr>
          <w:rFonts w:ascii="Times New Roman" w:eastAsia="Times New Roman" w:hAnsi="Times New Roman" w:cs="Times New Roman"/>
          <w:sz w:val="24"/>
          <w:szCs w:val="24"/>
          <w:lang w:val="en-US"/>
        </w:rPr>
        <w:t xml:space="preserve">(1), 31–38. </w:t>
      </w:r>
      <w:hyperlink r:id="rId36" w:tgtFrame="_new" w:history="1">
        <w:r w:rsidRPr="000D1F05">
          <w:rPr>
            <w:rFonts w:ascii="Times New Roman" w:eastAsia="Times New Roman" w:hAnsi="Times New Roman" w:cs="Times New Roman"/>
            <w:color w:val="0000FF"/>
            <w:sz w:val="24"/>
            <w:szCs w:val="24"/>
            <w:u w:val="single"/>
            <w:lang w:val="en-US"/>
          </w:rPr>
          <w:t>https://doi.org/10.1038/s41591-021-01614-0</w:t>
        </w:r>
      </w:hyperlink>
      <w:r w:rsidRPr="000D1F05">
        <w:rPr>
          <w:rFonts w:ascii="Times New Roman" w:eastAsia="Times New Roman" w:hAnsi="Times New Roman" w:cs="Times New Roman"/>
          <w:sz w:val="24"/>
          <w:szCs w:val="24"/>
          <w:lang w:val="en-US"/>
        </w:rPr>
        <w:t xml:space="preserve"> </w:t>
      </w:r>
    </w:p>
    <w:p w14:paraId="2311FA1A" w14:textId="7672B392"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Rao, B., Rashid, M., Hasan, M. G., &amp; Thunga, G. (2025). Machine learning in predicting child malnutrition: A meta-analysis of demographic and health surveys data. </w:t>
      </w:r>
      <w:r w:rsidRPr="000D1F05">
        <w:rPr>
          <w:rFonts w:ascii="Times New Roman" w:eastAsia="Times New Roman" w:hAnsi="Times New Roman" w:cs="Times New Roman"/>
          <w:i/>
          <w:iCs/>
          <w:sz w:val="24"/>
          <w:szCs w:val="24"/>
          <w:lang w:val="en-US"/>
        </w:rPr>
        <w:t>International Journal of Environmental Research and Public Health, 22</w:t>
      </w:r>
      <w:r w:rsidRPr="000D1F05">
        <w:rPr>
          <w:rFonts w:ascii="Times New Roman" w:eastAsia="Times New Roman" w:hAnsi="Times New Roman" w:cs="Times New Roman"/>
          <w:sz w:val="24"/>
          <w:szCs w:val="24"/>
          <w:lang w:val="en-US"/>
        </w:rPr>
        <w:t xml:space="preserve">(3), Article 449. </w:t>
      </w:r>
      <w:hyperlink r:id="rId37" w:tgtFrame="_new" w:history="1">
        <w:r w:rsidRPr="000D1F05">
          <w:rPr>
            <w:rFonts w:ascii="Times New Roman" w:eastAsia="Times New Roman" w:hAnsi="Times New Roman" w:cs="Times New Roman"/>
            <w:color w:val="0000FF"/>
            <w:sz w:val="24"/>
            <w:szCs w:val="24"/>
            <w:u w:val="single"/>
            <w:lang w:val="en-US"/>
          </w:rPr>
          <w:t>https://doi.org/10.3390/ijerph22030449</w:t>
        </w:r>
      </w:hyperlink>
      <w:r w:rsidRPr="000D1F05">
        <w:rPr>
          <w:rFonts w:ascii="Times New Roman" w:eastAsia="Times New Roman" w:hAnsi="Times New Roman" w:cs="Times New Roman"/>
          <w:sz w:val="24"/>
          <w:szCs w:val="24"/>
          <w:lang w:val="en-US"/>
        </w:rPr>
        <w:t xml:space="preserve"> </w:t>
      </w:r>
    </w:p>
    <w:p w14:paraId="03B470C5" w14:textId="6C9E1973"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nl-BE"/>
        </w:rPr>
        <w:t xml:space="preserve">Reusken, M., Coffey, C., Cruijssen, F., Melenberg, B., &amp; van Wanrooij, C. (2025). </w:t>
      </w:r>
      <w:r w:rsidRPr="000D1F05">
        <w:rPr>
          <w:rFonts w:ascii="Times New Roman" w:eastAsia="Times New Roman" w:hAnsi="Times New Roman" w:cs="Times New Roman"/>
          <w:sz w:val="24"/>
          <w:szCs w:val="24"/>
          <w:lang w:val="en-US"/>
        </w:rPr>
        <w:t xml:space="preserve">Identification of factors associated with acute malnutrition in children under 5 years and forecasting future prevalence: Assessing the potential of statistical and machine learning methods. </w:t>
      </w:r>
      <w:r w:rsidRPr="000D1F05">
        <w:rPr>
          <w:rFonts w:ascii="Times New Roman" w:eastAsia="Times New Roman" w:hAnsi="Times New Roman" w:cs="Times New Roman"/>
          <w:i/>
          <w:iCs/>
          <w:sz w:val="24"/>
          <w:szCs w:val="24"/>
          <w:lang w:val="en-US"/>
        </w:rPr>
        <w:t>BMJ Public Health, 3</w:t>
      </w:r>
      <w:r w:rsidRPr="000D1F05">
        <w:rPr>
          <w:rFonts w:ascii="Times New Roman" w:eastAsia="Times New Roman" w:hAnsi="Times New Roman" w:cs="Times New Roman"/>
          <w:sz w:val="24"/>
          <w:szCs w:val="24"/>
          <w:lang w:val="en-US"/>
        </w:rPr>
        <w:t xml:space="preserve">(1), Article e001460. </w:t>
      </w:r>
      <w:hyperlink r:id="rId38" w:tgtFrame="_new" w:history="1">
        <w:r w:rsidRPr="000D1F05">
          <w:rPr>
            <w:rFonts w:ascii="Times New Roman" w:eastAsia="Times New Roman" w:hAnsi="Times New Roman" w:cs="Times New Roman"/>
            <w:color w:val="0000FF"/>
            <w:sz w:val="24"/>
            <w:szCs w:val="24"/>
            <w:u w:val="single"/>
            <w:lang w:val="en-US"/>
          </w:rPr>
          <w:t>https://doi.org/10.1136/bmjph-2024-001460</w:t>
        </w:r>
      </w:hyperlink>
      <w:r w:rsidRPr="000D1F05">
        <w:rPr>
          <w:rFonts w:ascii="Times New Roman" w:eastAsia="Times New Roman" w:hAnsi="Times New Roman" w:cs="Times New Roman"/>
          <w:sz w:val="24"/>
          <w:szCs w:val="24"/>
          <w:lang w:val="en-US"/>
        </w:rPr>
        <w:t xml:space="preserve"> </w:t>
      </w:r>
    </w:p>
    <w:p w14:paraId="3C56E752" w14:textId="1EE6BA7B"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Ruel, M. T., Alderman, H., &amp; the Maternal and Child Nutrition Study Group. (2013). Nutrition-sensitive interventions and programmes: How can they help to accelerate progress in improving maternal and child nutrition? </w:t>
      </w:r>
      <w:r w:rsidRPr="000D1F05">
        <w:rPr>
          <w:rFonts w:ascii="Times New Roman" w:eastAsia="Times New Roman" w:hAnsi="Times New Roman" w:cs="Times New Roman"/>
          <w:i/>
          <w:iCs/>
          <w:sz w:val="24"/>
          <w:szCs w:val="24"/>
          <w:lang w:val="en-US"/>
        </w:rPr>
        <w:t>The Lancet, 382</w:t>
      </w:r>
      <w:r w:rsidRPr="000D1F05">
        <w:rPr>
          <w:rFonts w:ascii="Times New Roman" w:eastAsia="Times New Roman" w:hAnsi="Times New Roman" w:cs="Times New Roman"/>
          <w:sz w:val="24"/>
          <w:szCs w:val="24"/>
          <w:lang w:val="en-US"/>
        </w:rPr>
        <w:t xml:space="preserve">(9891), 536–551. </w:t>
      </w:r>
      <w:hyperlink r:id="rId39" w:tgtFrame="_new" w:history="1">
        <w:r w:rsidRPr="000D1F05">
          <w:rPr>
            <w:rFonts w:ascii="Times New Roman" w:eastAsia="Times New Roman" w:hAnsi="Times New Roman" w:cs="Times New Roman"/>
            <w:color w:val="0000FF"/>
            <w:sz w:val="24"/>
            <w:szCs w:val="24"/>
            <w:u w:val="single"/>
            <w:lang w:val="en-US"/>
          </w:rPr>
          <w:t>https://doi.org/10.1016/S0140-6736(13)60843-0</w:t>
        </w:r>
      </w:hyperlink>
      <w:r w:rsidRPr="000D1F05">
        <w:rPr>
          <w:rFonts w:ascii="Times New Roman" w:eastAsia="Times New Roman" w:hAnsi="Times New Roman" w:cs="Times New Roman"/>
          <w:sz w:val="24"/>
          <w:szCs w:val="24"/>
          <w:lang w:val="en-US"/>
        </w:rPr>
        <w:t xml:space="preserve"> </w:t>
      </w:r>
    </w:p>
    <w:p w14:paraId="6CF4FFA4" w14:textId="05AC40D5"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Ruel, M. T., Quisumbing, A. R., &amp; Balagamwala, M. (2018). Nutrition-sensitive agriculture: What have we learned so far? </w:t>
      </w:r>
      <w:r w:rsidRPr="000D1F05">
        <w:rPr>
          <w:rFonts w:ascii="Times New Roman" w:eastAsia="Times New Roman" w:hAnsi="Times New Roman" w:cs="Times New Roman"/>
          <w:i/>
          <w:iCs/>
          <w:sz w:val="24"/>
          <w:szCs w:val="24"/>
          <w:lang w:val="en-US"/>
        </w:rPr>
        <w:t>Global Food Security, 17</w:t>
      </w:r>
      <w:r w:rsidRPr="000D1F05">
        <w:rPr>
          <w:rFonts w:ascii="Times New Roman" w:eastAsia="Times New Roman" w:hAnsi="Times New Roman" w:cs="Times New Roman"/>
          <w:sz w:val="24"/>
          <w:szCs w:val="24"/>
          <w:lang w:val="en-US"/>
        </w:rPr>
        <w:t xml:space="preserve">, 128–153. </w:t>
      </w:r>
      <w:hyperlink r:id="rId40" w:tgtFrame="_new" w:history="1">
        <w:r w:rsidRPr="000D1F05">
          <w:rPr>
            <w:rFonts w:ascii="Times New Roman" w:eastAsia="Times New Roman" w:hAnsi="Times New Roman" w:cs="Times New Roman"/>
            <w:color w:val="0000FF"/>
            <w:sz w:val="24"/>
            <w:szCs w:val="24"/>
            <w:u w:val="single"/>
            <w:lang w:val="en-US"/>
          </w:rPr>
          <w:t>https://doi.org/10.1016/j.gfs.2018.01.002</w:t>
        </w:r>
      </w:hyperlink>
      <w:r w:rsidRPr="000D1F05">
        <w:rPr>
          <w:rFonts w:ascii="Times New Roman" w:eastAsia="Times New Roman" w:hAnsi="Times New Roman" w:cs="Times New Roman"/>
          <w:sz w:val="24"/>
          <w:szCs w:val="24"/>
          <w:lang w:val="en-US"/>
        </w:rPr>
        <w:t xml:space="preserve"> </w:t>
      </w:r>
    </w:p>
    <w:p w14:paraId="0E002207" w14:textId="789E7036"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Smith, L. C., &amp; Haddad, L. (2015). Reducing child undernutrition: Past drivers and priorities for the post-MDG era. </w:t>
      </w:r>
      <w:r w:rsidRPr="000D1F05">
        <w:rPr>
          <w:rFonts w:ascii="Times New Roman" w:eastAsia="Times New Roman" w:hAnsi="Times New Roman" w:cs="Times New Roman"/>
          <w:i/>
          <w:iCs/>
          <w:sz w:val="24"/>
          <w:szCs w:val="24"/>
          <w:lang w:val="en-US"/>
        </w:rPr>
        <w:t>World Development, 68</w:t>
      </w:r>
      <w:r w:rsidRPr="000D1F05">
        <w:rPr>
          <w:rFonts w:ascii="Times New Roman" w:eastAsia="Times New Roman" w:hAnsi="Times New Roman" w:cs="Times New Roman"/>
          <w:sz w:val="24"/>
          <w:szCs w:val="24"/>
          <w:lang w:val="en-US"/>
        </w:rPr>
        <w:t xml:space="preserve">, 180–204. </w:t>
      </w:r>
      <w:hyperlink r:id="rId41" w:tgtFrame="_new" w:history="1">
        <w:r w:rsidRPr="000D1F05">
          <w:rPr>
            <w:rFonts w:ascii="Times New Roman" w:eastAsia="Times New Roman" w:hAnsi="Times New Roman" w:cs="Times New Roman"/>
            <w:color w:val="0000FF"/>
            <w:sz w:val="24"/>
            <w:szCs w:val="24"/>
            <w:u w:val="single"/>
            <w:lang w:val="en-US"/>
          </w:rPr>
          <w:t>https://doi.org/10.1016/j.worlddev.2014.11.014</w:t>
        </w:r>
      </w:hyperlink>
      <w:r w:rsidRPr="000D1F05">
        <w:rPr>
          <w:rFonts w:ascii="Times New Roman" w:eastAsia="Times New Roman" w:hAnsi="Times New Roman" w:cs="Times New Roman"/>
          <w:sz w:val="24"/>
          <w:szCs w:val="24"/>
          <w:lang w:val="en-US"/>
        </w:rPr>
        <w:t xml:space="preserve"> </w:t>
      </w:r>
    </w:p>
    <w:p w14:paraId="36262C4D" w14:textId="050C2E27"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Snyder, H. (2019). Literature review as a research methodology: An overview and guidelines. </w:t>
      </w:r>
      <w:r w:rsidRPr="000D1F05">
        <w:rPr>
          <w:rFonts w:ascii="Times New Roman" w:eastAsia="Times New Roman" w:hAnsi="Times New Roman" w:cs="Times New Roman"/>
          <w:i/>
          <w:iCs/>
          <w:sz w:val="24"/>
          <w:szCs w:val="24"/>
          <w:lang w:val="en-US"/>
        </w:rPr>
        <w:t>Journal of Business Research, 104</w:t>
      </w:r>
      <w:r w:rsidRPr="000D1F05">
        <w:rPr>
          <w:rFonts w:ascii="Times New Roman" w:eastAsia="Times New Roman" w:hAnsi="Times New Roman" w:cs="Times New Roman"/>
          <w:sz w:val="24"/>
          <w:szCs w:val="24"/>
          <w:lang w:val="en-US"/>
        </w:rPr>
        <w:t xml:space="preserve">, 333–339. </w:t>
      </w:r>
      <w:hyperlink r:id="rId42" w:tgtFrame="_new" w:history="1">
        <w:r w:rsidRPr="000D1F05">
          <w:rPr>
            <w:rFonts w:ascii="Times New Roman" w:eastAsia="Times New Roman" w:hAnsi="Times New Roman" w:cs="Times New Roman"/>
            <w:color w:val="0000FF"/>
            <w:sz w:val="24"/>
            <w:szCs w:val="24"/>
            <w:u w:val="single"/>
            <w:lang w:val="en-US"/>
          </w:rPr>
          <w:t>https://doi.org/10.1016/j.jbusres.2019.07.039</w:t>
        </w:r>
      </w:hyperlink>
      <w:r w:rsidRPr="000D1F05">
        <w:rPr>
          <w:rFonts w:ascii="Times New Roman" w:eastAsia="Times New Roman" w:hAnsi="Times New Roman" w:cs="Times New Roman"/>
          <w:sz w:val="24"/>
          <w:szCs w:val="24"/>
          <w:lang w:val="en-US"/>
        </w:rPr>
        <w:t xml:space="preserve"> </w:t>
      </w:r>
    </w:p>
    <w:p w14:paraId="717E63EE" w14:textId="11BEE531"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Topol, E. J. (2019). High-performance medicine: The convergence of human and artificial intelligence. </w:t>
      </w:r>
      <w:r w:rsidRPr="000D1F05">
        <w:rPr>
          <w:rFonts w:ascii="Times New Roman" w:eastAsia="Times New Roman" w:hAnsi="Times New Roman" w:cs="Times New Roman"/>
          <w:i/>
          <w:iCs/>
          <w:sz w:val="24"/>
          <w:szCs w:val="24"/>
          <w:lang w:val="en-US"/>
        </w:rPr>
        <w:t>Nature Medicine, 25</w:t>
      </w:r>
      <w:r w:rsidRPr="000D1F05">
        <w:rPr>
          <w:rFonts w:ascii="Times New Roman" w:eastAsia="Times New Roman" w:hAnsi="Times New Roman" w:cs="Times New Roman"/>
          <w:sz w:val="24"/>
          <w:szCs w:val="24"/>
          <w:lang w:val="en-US"/>
        </w:rPr>
        <w:t xml:space="preserve">(1), 44–56. </w:t>
      </w:r>
      <w:hyperlink r:id="rId43" w:tgtFrame="_new" w:history="1">
        <w:r w:rsidRPr="000D1F05">
          <w:rPr>
            <w:rFonts w:ascii="Times New Roman" w:eastAsia="Times New Roman" w:hAnsi="Times New Roman" w:cs="Times New Roman"/>
            <w:color w:val="0000FF"/>
            <w:sz w:val="24"/>
            <w:szCs w:val="24"/>
            <w:u w:val="single"/>
            <w:lang w:val="en-US"/>
          </w:rPr>
          <w:t>https://doi.org/10.1038/s41591-018-0300-7</w:t>
        </w:r>
      </w:hyperlink>
      <w:r w:rsidRPr="000D1F05">
        <w:rPr>
          <w:rFonts w:ascii="Times New Roman" w:eastAsia="Times New Roman" w:hAnsi="Times New Roman" w:cs="Times New Roman"/>
          <w:sz w:val="24"/>
          <w:szCs w:val="24"/>
          <w:lang w:val="en-US"/>
        </w:rPr>
        <w:t xml:space="preserve"> </w:t>
      </w:r>
    </w:p>
    <w:p w14:paraId="18CC9920" w14:textId="78FF9835"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UNICEF, WHO, &amp; World Bank Group. (2023). </w:t>
      </w:r>
      <w:r w:rsidRPr="000D1F05">
        <w:rPr>
          <w:rFonts w:ascii="Times New Roman" w:eastAsia="Times New Roman" w:hAnsi="Times New Roman" w:cs="Times New Roman"/>
          <w:i/>
          <w:iCs/>
          <w:sz w:val="24"/>
          <w:szCs w:val="24"/>
          <w:lang w:val="en-US"/>
        </w:rPr>
        <w:t>Levels and trends in child malnutrition: UNICEF/WHO/World Bank Group joint child malnutrition estimates: Key findings of the 2023 edition</w:t>
      </w:r>
      <w:r w:rsidRPr="000D1F05">
        <w:rPr>
          <w:rFonts w:ascii="Times New Roman" w:eastAsia="Times New Roman" w:hAnsi="Times New Roman" w:cs="Times New Roman"/>
          <w:sz w:val="24"/>
          <w:szCs w:val="24"/>
          <w:lang w:val="en-US"/>
        </w:rPr>
        <w:t xml:space="preserve">. World Health Organization. </w:t>
      </w:r>
      <w:hyperlink r:id="rId44" w:tgtFrame="_new" w:history="1">
        <w:r w:rsidRPr="000D1F05">
          <w:rPr>
            <w:rFonts w:ascii="Times New Roman" w:eastAsia="Times New Roman" w:hAnsi="Times New Roman" w:cs="Times New Roman"/>
            <w:color w:val="0000FF"/>
            <w:sz w:val="24"/>
            <w:szCs w:val="24"/>
            <w:u w:val="single"/>
            <w:lang w:val="en-US"/>
          </w:rPr>
          <w:t>https://www.who.int/publications/i/item/9789240073791</w:t>
        </w:r>
      </w:hyperlink>
      <w:r w:rsidRPr="000D1F05">
        <w:rPr>
          <w:rFonts w:ascii="Times New Roman" w:eastAsia="Times New Roman" w:hAnsi="Times New Roman" w:cs="Times New Roman"/>
          <w:sz w:val="24"/>
          <w:szCs w:val="24"/>
          <w:lang w:val="en-US"/>
        </w:rPr>
        <w:t xml:space="preserve"> </w:t>
      </w:r>
    </w:p>
    <w:p w14:paraId="7C1B173F" w14:textId="176CE850"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United Nations. (2015). </w:t>
      </w:r>
      <w:r w:rsidRPr="000D1F05">
        <w:rPr>
          <w:rFonts w:ascii="Times New Roman" w:eastAsia="Times New Roman" w:hAnsi="Times New Roman" w:cs="Times New Roman"/>
          <w:i/>
          <w:iCs/>
          <w:sz w:val="24"/>
          <w:szCs w:val="24"/>
          <w:lang w:val="en-US"/>
        </w:rPr>
        <w:t>Transforming our world: The 2030 Agenda for Sustainable Development</w:t>
      </w:r>
      <w:r w:rsidRPr="000D1F05">
        <w:rPr>
          <w:rFonts w:ascii="Times New Roman" w:eastAsia="Times New Roman" w:hAnsi="Times New Roman" w:cs="Times New Roman"/>
          <w:sz w:val="24"/>
          <w:szCs w:val="24"/>
          <w:lang w:val="en-US"/>
        </w:rPr>
        <w:t xml:space="preserve"> (A/RES/70/1). </w:t>
      </w:r>
      <w:hyperlink r:id="rId45" w:tgtFrame="_new" w:history="1">
        <w:r w:rsidRPr="000D1F05">
          <w:rPr>
            <w:rFonts w:ascii="Times New Roman" w:eastAsia="Times New Roman" w:hAnsi="Times New Roman" w:cs="Times New Roman"/>
            <w:color w:val="0000FF"/>
            <w:sz w:val="24"/>
            <w:szCs w:val="24"/>
            <w:u w:val="single"/>
            <w:lang w:val="en-US"/>
          </w:rPr>
          <w:t>https://sdgs.un.org/2030agenda</w:t>
        </w:r>
      </w:hyperlink>
      <w:r w:rsidRPr="000D1F05">
        <w:rPr>
          <w:rFonts w:ascii="Times New Roman" w:eastAsia="Times New Roman" w:hAnsi="Times New Roman" w:cs="Times New Roman"/>
          <w:sz w:val="24"/>
          <w:szCs w:val="24"/>
          <w:lang w:val="en-US"/>
        </w:rPr>
        <w:t xml:space="preserve"> </w:t>
      </w:r>
    </w:p>
    <w:p w14:paraId="3657B5B0" w14:textId="36CCF89F" w:rsidR="000D1F05" w:rsidRPr="000D1F05" w:rsidRDefault="000D1F05" w:rsidP="000D1F05">
      <w:pPr>
        <w:spacing w:after="0" w:line="240" w:lineRule="auto"/>
        <w:ind w:left="540" w:hanging="540"/>
        <w:jc w:val="both"/>
        <w:rPr>
          <w:rFonts w:ascii="Times New Roman" w:eastAsia="Times New Roman" w:hAnsi="Times New Roman" w:cs="Times New Roman"/>
          <w:sz w:val="24"/>
          <w:szCs w:val="24"/>
          <w:lang w:val="en-US"/>
        </w:rPr>
      </w:pPr>
      <w:r w:rsidRPr="000D1F05">
        <w:rPr>
          <w:rFonts w:ascii="Times New Roman" w:eastAsia="Times New Roman" w:hAnsi="Times New Roman" w:cs="Times New Roman"/>
          <w:sz w:val="24"/>
          <w:szCs w:val="24"/>
          <w:lang w:val="en-US"/>
        </w:rPr>
        <w:t xml:space="preserve">Victora, C. G., Christian, P., Vidaletti, L. P., Gatica-Domínguez, G., Menon, P., &amp; Black, R. E. (2021). Revisiting maternal and child undernutrition in low-income and middle-income countries: Variable progress towards an unfinished agenda. </w:t>
      </w:r>
      <w:r w:rsidRPr="000D1F05">
        <w:rPr>
          <w:rFonts w:ascii="Times New Roman" w:eastAsia="Times New Roman" w:hAnsi="Times New Roman" w:cs="Times New Roman"/>
          <w:i/>
          <w:iCs/>
          <w:sz w:val="24"/>
          <w:szCs w:val="24"/>
          <w:lang w:val="en-US"/>
        </w:rPr>
        <w:t>The Lancet, 397</w:t>
      </w:r>
      <w:r w:rsidRPr="000D1F05">
        <w:rPr>
          <w:rFonts w:ascii="Times New Roman" w:eastAsia="Times New Roman" w:hAnsi="Times New Roman" w:cs="Times New Roman"/>
          <w:sz w:val="24"/>
          <w:szCs w:val="24"/>
          <w:lang w:val="en-US"/>
        </w:rPr>
        <w:t xml:space="preserve">(10282), 1388–1399. </w:t>
      </w:r>
      <w:hyperlink r:id="rId46" w:tgtFrame="_new" w:history="1">
        <w:r w:rsidRPr="000D1F05">
          <w:rPr>
            <w:rFonts w:ascii="Times New Roman" w:eastAsia="Times New Roman" w:hAnsi="Times New Roman" w:cs="Times New Roman"/>
            <w:color w:val="0000FF"/>
            <w:sz w:val="24"/>
            <w:szCs w:val="24"/>
            <w:u w:val="single"/>
            <w:lang w:val="en-US"/>
          </w:rPr>
          <w:t>https://doi.org/10.1016/S0140-6736(21)00394-9</w:t>
        </w:r>
      </w:hyperlink>
      <w:r w:rsidRPr="000D1F05">
        <w:rPr>
          <w:rFonts w:ascii="Times New Roman" w:eastAsia="Times New Roman" w:hAnsi="Times New Roman" w:cs="Times New Roman"/>
          <w:sz w:val="24"/>
          <w:szCs w:val="24"/>
          <w:lang w:val="en-US"/>
        </w:rPr>
        <w:t xml:space="preserve"> </w:t>
      </w:r>
    </w:p>
    <w:p w14:paraId="75012DE4" w14:textId="23C45360" w:rsidR="004841B3" w:rsidRDefault="000D1F05" w:rsidP="000D1F05">
      <w:pPr>
        <w:ind w:left="540" w:hanging="540"/>
        <w:jc w:val="both"/>
      </w:pPr>
      <w:r w:rsidRPr="000D1F05">
        <w:rPr>
          <w:rFonts w:ascii="Times New Roman" w:eastAsia="Times New Roman" w:hAnsi="Times New Roman" w:cs="Times New Roman"/>
          <w:sz w:val="24"/>
          <w:szCs w:val="24"/>
          <w:lang w:val="en-US"/>
        </w:rPr>
        <w:t xml:space="preserve">Wahl, B., Cossy-Gantner, A., Germann, S., &amp; Schwalbe, N. R. (2018). Artificial intelligence (AI) and global health: How can AI contribute to health in resource-poor settings? </w:t>
      </w:r>
      <w:r w:rsidRPr="000D1F05">
        <w:rPr>
          <w:rFonts w:ascii="Times New Roman" w:eastAsia="Times New Roman" w:hAnsi="Times New Roman" w:cs="Times New Roman"/>
          <w:i/>
          <w:iCs/>
          <w:sz w:val="24"/>
          <w:szCs w:val="24"/>
          <w:lang w:val="en-US"/>
        </w:rPr>
        <w:t>BMJ Global Health, 3</w:t>
      </w:r>
      <w:r w:rsidRPr="000D1F05">
        <w:rPr>
          <w:rFonts w:ascii="Times New Roman" w:eastAsia="Times New Roman" w:hAnsi="Times New Roman" w:cs="Times New Roman"/>
          <w:sz w:val="24"/>
          <w:szCs w:val="24"/>
          <w:lang w:val="en-US"/>
        </w:rPr>
        <w:t xml:space="preserve">(4), Article e000798. </w:t>
      </w:r>
      <w:hyperlink r:id="rId47" w:tgtFrame="_new" w:history="1">
        <w:r w:rsidRPr="000D1F05">
          <w:rPr>
            <w:rFonts w:ascii="Times New Roman" w:eastAsia="Times New Roman" w:hAnsi="Times New Roman" w:cs="Times New Roman"/>
            <w:color w:val="0000FF"/>
            <w:sz w:val="24"/>
            <w:szCs w:val="24"/>
            <w:u w:val="single"/>
            <w:lang w:val="en-US"/>
          </w:rPr>
          <w:t>https://doi.org/10.1136/bmjgh-2018-000798</w:t>
        </w:r>
      </w:hyperlink>
    </w:p>
    <w:sectPr w:rsidR="004841B3" w:rsidSect="004841B3">
      <w:headerReference w:type="even" r:id="rId48"/>
      <w:headerReference w:type="default" r:id="rId49"/>
      <w:footerReference w:type="even" r:id="rId50"/>
      <w:footerReference w:type="default" r:id="rId51"/>
      <w:headerReference w:type="first" r:id="rId52"/>
      <w:footerReference w:type="firs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F91DC" w14:textId="77777777" w:rsidR="00805952" w:rsidRDefault="00805952" w:rsidP="00A02053">
      <w:pPr>
        <w:spacing w:after="0" w:line="240" w:lineRule="auto"/>
      </w:pPr>
      <w:r>
        <w:separator/>
      </w:r>
    </w:p>
  </w:endnote>
  <w:endnote w:type="continuationSeparator" w:id="0">
    <w:p w14:paraId="4F7666B3" w14:textId="77777777" w:rsidR="00805952" w:rsidRDefault="00805952" w:rsidP="00A02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E697" w14:textId="77777777" w:rsidR="00A02053" w:rsidRDefault="00A02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C7B3" w14:textId="77777777" w:rsidR="00A02053" w:rsidRDefault="00A020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B5D2" w14:textId="77777777" w:rsidR="00A02053" w:rsidRDefault="00A02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4FBD" w14:textId="77777777" w:rsidR="00805952" w:rsidRDefault="00805952" w:rsidP="00A02053">
      <w:pPr>
        <w:spacing w:after="0" w:line="240" w:lineRule="auto"/>
      </w:pPr>
      <w:r>
        <w:separator/>
      </w:r>
    </w:p>
  </w:footnote>
  <w:footnote w:type="continuationSeparator" w:id="0">
    <w:p w14:paraId="137BC92E" w14:textId="77777777" w:rsidR="00805952" w:rsidRDefault="00805952" w:rsidP="00A02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3D91" w14:textId="564C44A9" w:rsidR="00A02053" w:rsidRDefault="00000000">
    <w:pPr>
      <w:pStyle w:val="Header"/>
    </w:pPr>
    <w:r>
      <w:rPr>
        <w:noProof/>
      </w:rPr>
      <w:pict w14:anchorId="4AEF3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21786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30ED" w14:textId="0913CCF3" w:rsidR="00A02053" w:rsidRDefault="00000000">
    <w:pPr>
      <w:pStyle w:val="Header"/>
    </w:pPr>
    <w:r>
      <w:rPr>
        <w:noProof/>
      </w:rPr>
      <w:pict w14:anchorId="51496E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21786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A2D7" w14:textId="1D06346F" w:rsidR="00A02053" w:rsidRDefault="00000000">
    <w:pPr>
      <w:pStyle w:val="Header"/>
    </w:pPr>
    <w:r>
      <w:rPr>
        <w:noProof/>
      </w:rPr>
      <w:pict w14:anchorId="61B2A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21785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9F0"/>
    <w:multiLevelType w:val="hybridMultilevel"/>
    <w:tmpl w:val="8AF0A6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76E59"/>
    <w:multiLevelType w:val="hybridMultilevel"/>
    <w:tmpl w:val="3F68E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441521">
    <w:abstractNumId w:val="1"/>
  </w:num>
  <w:num w:numId="2" w16cid:durableId="121303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65DB"/>
    <w:rsid w:val="000168F6"/>
    <w:rsid w:val="000A073B"/>
    <w:rsid w:val="000D1F05"/>
    <w:rsid w:val="00345F3B"/>
    <w:rsid w:val="004841B3"/>
    <w:rsid w:val="006C6AFA"/>
    <w:rsid w:val="00750BD8"/>
    <w:rsid w:val="00805952"/>
    <w:rsid w:val="00824882"/>
    <w:rsid w:val="008665DB"/>
    <w:rsid w:val="008A2B4D"/>
    <w:rsid w:val="00A014FA"/>
    <w:rsid w:val="00A02053"/>
    <w:rsid w:val="00A11AA4"/>
    <w:rsid w:val="00AA2EE3"/>
    <w:rsid w:val="00B54BFF"/>
    <w:rsid w:val="00BE6972"/>
    <w:rsid w:val="00C1299B"/>
    <w:rsid w:val="00C3394A"/>
    <w:rsid w:val="00D20E4C"/>
    <w:rsid w:val="00D7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76FE9"/>
  <w15:docId w15:val="{B2B8348E-4D1D-40B4-B4A6-18EBD3C7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8665D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665D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8665D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1-Accent11">
    <w:name w:val="Medium Shading 1 - Accent 1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8665D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665D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665DB"/>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8665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65DB"/>
    <w:rPr>
      <w:b/>
      <w:bCs/>
    </w:rPr>
  </w:style>
  <w:style w:type="character" w:styleId="Emphasis">
    <w:name w:val="Emphasis"/>
    <w:basedOn w:val="DefaultParagraphFont"/>
    <w:uiPriority w:val="20"/>
    <w:qFormat/>
    <w:rsid w:val="008665DB"/>
    <w:rPr>
      <w:i/>
      <w:iCs/>
    </w:rPr>
  </w:style>
  <w:style w:type="character" w:styleId="Hyperlink">
    <w:name w:val="Hyperlink"/>
    <w:basedOn w:val="DefaultParagraphFont"/>
    <w:uiPriority w:val="99"/>
    <w:semiHidden/>
    <w:unhideWhenUsed/>
    <w:rsid w:val="008665DB"/>
    <w:rPr>
      <w:color w:val="0000FF"/>
      <w:u w:val="single"/>
    </w:rPr>
  </w:style>
  <w:style w:type="table" w:styleId="TableGrid">
    <w:name w:val="Table Grid"/>
    <w:basedOn w:val="TableNormal"/>
    <w:uiPriority w:val="59"/>
    <w:rsid w:val="00866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2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053"/>
  </w:style>
  <w:style w:type="paragraph" w:styleId="Footer">
    <w:name w:val="footer"/>
    <w:basedOn w:val="Normal"/>
    <w:link w:val="FooterChar"/>
    <w:uiPriority w:val="99"/>
    <w:unhideWhenUsed/>
    <w:rsid w:val="00A02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053"/>
  </w:style>
  <w:style w:type="paragraph" w:styleId="ListParagraph">
    <w:name w:val="List Paragraph"/>
    <w:basedOn w:val="Normal"/>
    <w:uiPriority w:val="34"/>
    <w:qFormat/>
    <w:rsid w:val="000D1F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04407">
      <w:bodyDiv w:val="1"/>
      <w:marLeft w:val="0"/>
      <w:marRight w:val="0"/>
      <w:marTop w:val="0"/>
      <w:marBottom w:val="0"/>
      <w:divBdr>
        <w:top w:val="none" w:sz="0" w:space="0" w:color="auto"/>
        <w:left w:val="none" w:sz="0" w:space="0" w:color="auto"/>
        <w:bottom w:val="none" w:sz="0" w:space="0" w:color="auto"/>
        <w:right w:val="none" w:sz="0" w:space="0" w:color="auto"/>
      </w:divBdr>
    </w:div>
    <w:div w:id="1784038321">
      <w:bodyDiv w:val="1"/>
      <w:marLeft w:val="0"/>
      <w:marRight w:val="0"/>
      <w:marTop w:val="0"/>
      <w:marBottom w:val="0"/>
      <w:divBdr>
        <w:top w:val="none" w:sz="0" w:space="0" w:color="auto"/>
        <w:left w:val="none" w:sz="0" w:space="0" w:color="auto"/>
        <w:bottom w:val="none" w:sz="0" w:space="0" w:color="auto"/>
        <w:right w:val="none" w:sz="0" w:space="0" w:color="auto"/>
      </w:divBdr>
      <w:divsChild>
        <w:div w:id="640887995">
          <w:marLeft w:val="0"/>
          <w:marRight w:val="0"/>
          <w:marTop w:val="0"/>
          <w:marBottom w:val="0"/>
          <w:divBdr>
            <w:top w:val="none" w:sz="0" w:space="0" w:color="auto"/>
            <w:left w:val="none" w:sz="0" w:space="0" w:color="auto"/>
            <w:bottom w:val="none" w:sz="0" w:space="0" w:color="auto"/>
            <w:right w:val="none" w:sz="0" w:space="0" w:color="auto"/>
          </w:divBdr>
        </w:div>
        <w:div w:id="460805890">
          <w:marLeft w:val="0"/>
          <w:marRight w:val="0"/>
          <w:marTop w:val="0"/>
          <w:marBottom w:val="0"/>
          <w:divBdr>
            <w:top w:val="none" w:sz="0" w:space="0" w:color="auto"/>
            <w:left w:val="none" w:sz="0" w:space="0" w:color="auto"/>
            <w:bottom w:val="none" w:sz="0" w:space="0" w:color="auto"/>
            <w:right w:val="none" w:sz="0" w:space="0" w:color="auto"/>
          </w:divBdr>
        </w:div>
        <w:div w:id="260575184">
          <w:marLeft w:val="0"/>
          <w:marRight w:val="0"/>
          <w:marTop w:val="0"/>
          <w:marBottom w:val="0"/>
          <w:divBdr>
            <w:top w:val="none" w:sz="0" w:space="0" w:color="auto"/>
            <w:left w:val="none" w:sz="0" w:space="0" w:color="auto"/>
            <w:bottom w:val="none" w:sz="0" w:space="0" w:color="auto"/>
            <w:right w:val="none" w:sz="0" w:space="0" w:color="auto"/>
          </w:divBdr>
        </w:div>
        <w:div w:id="907032066">
          <w:marLeft w:val="0"/>
          <w:marRight w:val="0"/>
          <w:marTop w:val="0"/>
          <w:marBottom w:val="0"/>
          <w:divBdr>
            <w:top w:val="none" w:sz="0" w:space="0" w:color="auto"/>
            <w:left w:val="none" w:sz="0" w:space="0" w:color="auto"/>
            <w:bottom w:val="none" w:sz="0" w:space="0" w:color="auto"/>
            <w:right w:val="none" w:sz="0" w:space="0" w:color="auto"/>
          </w:divBdr>
        </w:div>
        <w:div w:id="339085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56/NEJMp0900702" TargetMode="External"/><Relationship Id="rId18" Type="http://schemas.openxmlformats.org/officeDocument/2006/relationships/hyperlink" Target="https://doi.org/10.2471/BLT.07.044529" TargetMode="External"/><Relationship Id="rId26" Type="http://schemas.openxmlformats.org/officeDocument/2006/relationships/hyperlink" Target="https://doi.org/10.9745/GHSP-D-13-00031" TargetMode="External"/><Relationship Id="rId39" Type="http://schemas.openxmlformats.org/officeDocument/2006/relationships/hyperlink" Target="https://doi.org/10.1016/S0140-6736(13)60843-0" TargetMode="External"/><Relationship Id="rId21" Type="http://schemas.openxmlformats.org/officeDocument/2006/relationships/hyperlink" Target="https://doi.org/10.1038/sdata.2015.66" TargetMode="External"/><Relationship Id="rId34" Type="http://schemas.openxmlformats.org/officeDocument/2006/relationships/hyperlink" Target="https://doi.org/10.1038/nature25760" TargetMode="External"/><Relationship Id="rId42" Type="http://schemas.openxmlformats.org/officeDocument/2006/relationships/hyperlink" Target="https://doi.org/10.1016/j.jbusres.2019.07.039" TargetMode="External"/><Relationship Id="rId47" Type="http://schemas.openxmlformats.org/officeDocument/2006/relationships/hyperlink" Target="https://doi.org/10.1136/bmjgh-2018-000798"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doi.org/10.1093/ajcn/nqaa171" TargetMode="External"/><Relationship Id="rId2" Type="http://schemas.openxmlformats.org/officeDocument/2006/relationships/styles" Target="styles.xml"/><Relationship Id="rId16" Type="http://schemas.openxmlformats.org/officeDocument/2006/relationships/hyperlink" Target="https://doi.org/10.1111/mcn.12231" TargetMode="External"/><Relationship Id="rId29" Type="http://schemas.openxmlformats.org/officeDocument/2006/relationships/hyperlink" Target="https://doi.org/10.1289/ehp.1003311" TargetMode="External"/><Relationship Id="rId11" Type="http://schemas.openxmlformats.org/officeDocument/2006/relationships/hyperlink" Target="https://doi.org/10.1016/S0140-6736(13)60937-X" TargetMode="External"/><Relationship Id="rId24" Type="http://schemas.openxmlformats.org/officeDocument/2006/relationships/hyperlink" Target="https://doi.org/10.1016/j.advnut.2024.100264" TargetMode="External"/><Relationship Id="rId32" Type="http://schemas.openxmlformats.org/officeDocument/2006/relationships/hyperlink" Target="https://doi.org/10.1056/NEJMp1606181?utm_source=chatgpt.com" TargetMode="External"/><Relationship Id="rId37" Type="http://schemas.openxmlformats.org/officeDocument/2006/relationships/hyperlink" Target="https://doi.org/10.3390/ijerph22030449?utm_source=chatgpt.com" TargetMode="External"/><Relationship Id="rId40" Type="http://schemas.openxmlformats.org/officeDocument/2006/relationships/hyperlink" Target="https://doi.org/10.1016/j.gfs.2018.01.002" TargetMode="External"/><Relationship Id="rId45" Type="http://schemas.openxmlformats.org/officeDocument/2006/relationships/hyperlink" Target="https://sdgs.un.org/2030agenda?utm_source=chatgpt.com"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doi.org/10.1016/S0140-6736(07)61690-0" TargetMode="External"/><Relationship Id="rId19" Type="http://schemas.openxmlformats.org/officeDocument/2006/relationships/hyperlink" Target="https://doi.org/10.1016/j.gfs.2018.06.001" TargetMode="External"/><Relationship Id="rId31" Type="http://schemas.openxmlformats.org/officeDocument/2006/relationships/hyperlink" Target="https://doi.org/10.1186/s13690-018-0277-1" TargetMode="External"/><Relationship Id="rId44" Type="http://schemas.openxmlformats.org/officeDocument/2006/relationships/hyperlink" Target="https://www.who.int/publications/i/item/9789240073791?utm_source=chatgpt.com"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016/S0140-6736(13)60996-4" TargetMode="External"/><Relationship Id="rId14" Type="http://schemas.openxmlformats.org/officeDocument/2006/relationships/hyperlink" Target="https://doi.org/10.1007/BF00994018" TargetMode="External"/><Relationship Id="rId22" Type="http://schemas.openxmlformats.org/officeDocument/2006/relationships/hyperlink" Target="https://doi.org/10.1016/S0899-3467(07)60142-6" TargetMode="External"/><Relationship Id="rId27" Type="http://schemas.openxmlformats.org/officeDocument/2006/relationships/hyperlink" Target="https://doi.org/10.1038/nature14539" TargetMode="External"/><Relationship Id="rId30" Type="http://schemas.openxmlformats.org/officeDocument/2006/relationships/hyperlink" Target="https://doi.org/10.1038/s42256-019-0138-9" TargetMode="External"/><Relationship Id="rId35" Type="http://schemas.openxmlformats.org/officeDocument/2006/relationships/hyperlink" Target="https://doi.org/10.1016/S0140-6736(19)32497-3" TargetMode="External"/><Relationship Id="rId43" Type="http://schemas.openxmlformats.org/officeDocument/2006/relationships/hyperlink" Target="https://doi.org/10.1038/s41591-018-0300-7" TargetMode="External"/><Relationship Id="rId48" Type="http://schemas.openxmlformats.org/officeDocument/2006/relationships/header" Target="header1.xml"/><Relationship Id="rId8" Type="http://schemas.openxmlformats.org/officeDocument/2006/relationships/hyperlink" Target="https://doi.org/10.1016/j.inffus.2019.12.012"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doi.org/10.1023/A:1010933404324" TargetMode="External"/><Relationship Id="rId17" Type="http://schemas.openxmlformats.org/officeDocument/2006/relationships/hyperlink" Target="https://globalnutritionreport.org/reports/2022-global-nutrition-report/?utm_source=chatgpt.com" TargetMode="External"/><Relationship Id="rId25" Type="http://schemas.openxmlformats.org/officeDocument/2006/relationships/hyperlink" Target="https://doi.org/10.1371/journal.pone.0340221" TargetMode="External"/><Relationship Id="rId33" Type="http://schemas.openxmlformats.org/officeDocument/2006/relationships/hyperlink" Target="https://doi.org/10.1126/science.aax2342" TargetMode="External"/><Relationship Id="rId38" Type="http://schemas.openxmlformats.org/officeDocument/2006/relationships/hyperlink" Target="https://doi.org/10.1136/bmjph-2024-001460" TargetMode="External"/><Relationship Id="rId46" Type="http://schemas.openxmlformats.org/officeDocument/2006/relationships/hyperlink" Target="https://doi.org/10.1016/S0140-6736(21)00394-9" TargetMode="External"/><Relationship Id="rId20" Type="http://schemas.openxmlformats.org/officeDocument/2006/relationships/hyperlink" Target="https://doi.org/10.4060/cc3017en" TargetMode="External"/><Relationship Id="rId41" Type="http://schemas.openxmlformats.org/officeDocument/2006/relationships/hyperlink" Target="https://doi.org/10.1016/j.worlddev.2014.11.014"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77/15648265150361S113" TargetMode="External"/><Relationship Id="rId23" Type="http://schemas.openxmlformats.org/officeDocument/2006/relationships/hyperlink" Target="https://doi.org/10.1038/nrgastro.2012.239" TargetMode="External"/><Relationship Id="rId28" Type="http://schemas.openxmlformats.org/officeDocument/2006/relationships/hyperlink" Target="https://doi.org/10.1109/MSP.2020.2975749" TargetMode="External"/><Relationship Id="rId36" Type="http://schemas.openxmlformats.org/officeDocument/2006/relationships/hyperlink" Target="https://doi.org/10.1038/s41591-021-01614-0"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21</Pages>
  <Words>13019</Words>
  <Characters>74213</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CPU 1117</cp:lastModifiedBy>
  <cp:revision>9</cp:revision>
  <dcterms:created xsi:type="dcterms:W3CDTF">2026-07-02T14:39:00Z</dcterms:created>
  <dcterms:modified xsi:type="dcterms:W3CDTF">2026-07-07T06:59:00Z</dcterms:modified>
</cp:coreProperties>
</file>