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4A0FE" w14:textId="77777777" w:rsidR="006F3202" w:rsidRPr="006F3202" w:rsidRDefault="006F3202" w:rsidP="006F3202">
      <w:pPr>
        <w:spacing w:before="100" w:beforeAutospacing="1" w:after="100" w:afterAutospacing="1" w:line="240" w:lineRule="auto"/>
        <w:outlineLvl w:val="1"/>
        <w:rPr>
          <w:rFonts w:ascii="Times New Roman" w:eastAsia="Times New Roman" w:hAnsi="Times New Roman" w:cs="Times New Roman"/>
          <w:b/>
          <w:bCs/>
          <w:i/>
          <w:iCs/>
          <w:sz w:val="36"/>
          <w:szCs w:val="36"/>
          <w:u w:val="single"/>
          <w:lang w:val="en-US" w:eastAsia="en-GB"/>
        </w:rPr>
      </w:pPr>
      <w:r w:rsidRPr="006F3202">
        <w:rPr>
          <w:rFonts w:ascii="Times New Roman" w:eastAsia="Times New Roman" w:hAnsi="Times New Roman" w:cs="Times New Roman"/>
          <w:b/>
          <w:bCs/>
          <w:i/>
          <w:iCs/>
          <w:sz w:val="36"/>
          <w:szCs w:val="36"/>
          <w:u w:val="single"/>
          <w:lang w:val="en-US" w:eastAsia="en-GB"/>
        </w:rPr>
        <w:t>Review Article</w:t>
      </w:r>
    </w:p>
    <w:p w14:paraId="229129A9" w14:textId="77777777" w:rsidR="008E6AC3" w:rsidRPr="008E6AC3" w:rsidRDefault="008E6AC3" w:rsidP="008E6AC3">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8E6AC3">
        <w:rPr>
          <w:rFonts w:ascii="Times New Roman" w:eastAsia="Times New Roman" w:hAnsi="Times New Roman" w:cs="Times New Roman"/>
          <w:b/>
          <w:bCs/>
          <w:sz w:val="36"/>
          <w:szCs w:val="36"/>
          <w:lang w:eastAsia="en-GB"/>
        </w:rPr>
        <w:t>The Future of Human Thinking in the Age of Artificial Intelligence: Psychological Implications of Cognitive Offloading</w:t>
      </w:r>
    </w:p>
    <w:p w14:paraId="35F7F5C3" w14:textId="77777777" w:rsidR="008E6AC3" w:rsidRPr="008E6AC3" w:rsidRDefault="008E6AC3" w:rsidP="008E6AC3">
      <w:pPr>
        <w:spacing w:after="0" w:line="240" w:lineRule="auto"/>
        <w:rPr>
          <w:rFonts w:ascii="Times New Roman" w:eastAsia="Times New Roman" w:hAnsi="Times New Roman" w:cs="Times New Roman"/>
          <w:sz w:val="24"/>
          <w:szCs w:val="24"/>
          <w:lang w:eastAsia="en-GB"/>
        </w:rPr>
      </w:pPr>
    </w:p>
    <w:p w14:paraId="049C0A9E" w14:textId="77777777" w:rsidR="008E6AC3" w:rsidRPr="008E6AC3" w:rsidRDefault="008E6AC3" w:rsidP="008E6AC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8E6AC3">
        <w:rPr>
          <w:rFonts w:ascii="Times New Roman" w:eastAsia="Times New Roman" w:hAnsi="Times New Roman" w:cs="Times New Roman"/>
          <w:b/>
          <w:bCs/>
          <w:sz w:val="27"/>
          <w:szCs w:val="27"/>
          <w:lang w:eastAsia="en-GB"/>
        </w:rPr>
        <w:t>Abstract</w:t>
      </w:r>
    </w:p>
    <w:p w14:paraId="714FFB87"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Artificial intelligence has moved quickly from a specialist tool to an everyday presence, changing how people gather, process, store, and recall information. At the heart of this shift lies a familiar psychological process now operating under new conditions: cognitive offloading, the practice of handing mental work to external tools, environments, or agents so as to lighten the load on one's own mind. People have always done this to some degree, but the reasoning and generative capacities of today's AI systems place pressures on human cognition that older theories of tool use never had to account for. This critical review draws together empirical and theoretical work from cognitive psychology, human factors research, educational science, and AI ethics to examine what AI-assisted cognitive offloading is doing to the mind across five interrelated areas: memory and information retrieval, attentional control, metacognition, decision-making, and psychological wellbeing. The picture that emerges is mixed. There is evidence of weakened memory consolidation, increased automation bias, shifts in how people judge their own competence, and patterns resembling digital dependency, alongside genuine gains in productivity and reduced cognitive strain under the right conditions. None of these effects appears uniform; they vary with age, expertise, digital literacy, and a person's habits of self-monitoring. Drawing on cognitive load theory, the extended mind hypothesis, and self-determination theory, the review argues that AI assistance is neither simply good nor simply bad for human thinking — its effects depend on how AI systems are designed, the circumstances in which they are used, and how deliberately people manage their place in everyday cognitive life. The discussion closes with implications for education, professional training, clinical psychology, and AI governance, and identifies where future research is most needed.</w:t>
      </w:r>
    </w:p>
    <w:p w14:paraId="247169B9"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b/>
          <w:bCs/>
          <w:sz w:val="24"/>
          <w:szCs w:val="24"/>
          <w:lang w:eastAsia="en-GB"/>
        </w:rPr>
        <w:t>Keywords:</w:t>
      </w:r>
      <w:r w:rsidRPr="008E6AC3">
        <w:rPr>
          <w:rFonts w:ascii="Times New Roman" w:eastAsia="Times New Roman" w:hAnsi="Times New Roman" w:cs="Times New Roman"/>
          <w:sz w:val="24"/>
          <w:szCs w:val="24"/>
          <w:lang w:eastAsia="en-GB"/>
        </w:rPr>
        <w:t xml:space="preserve"> cognitive offloading, artificial intelligence, metacognition, automation bias, extended mind, digital cognition, psychological wellbeing, human–AI interaction</w:t>
      </w:r>
    </w:p>
    <w:p w14:paraId="2DF1A577" w14:textId="77777777" w:rsidR="008E6AC3" w:rsidRPr="008E6AC3" w:rsidRDefault="008E6AC3" w:rsidP="008E6AC3">
      <w:pPr>
        <w:spacing w:after="0" w:line="240" w:lineRule="auto"/>
        <w:rPr>
          <w:rFonts w:ascii="Times New Roman" w:eastAsia="Times New Roman" w:hAnsi="Times New Roman" w:cs="Times New Roman"/>
          <w:sz w:val="24"/>
          <w:szCs w:val="24"/>
          <w:lang w:eastAsia="en-GB"/>
        </w:rPr>
      </w:pPr>
    </w:p>
    <w:p w14:paraId="2A65961B" w14:textId="77777777" w:rsidR="008E6AC3" w:rsidRPr="008E6AC3" w:rsidRDefault="008E6AC3" w:rsidP="008E6AC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8E6AC3">
        <w:rPr>
          <w:rFonts w:ascii="Times New Roman" w:eastAsia="Times New Roman" w:hAnsi="Times New Roman" w:cs="Times New Roman"/>
          <w:b/>
          <w:bCs/>
          <w:sz w:val="27"/>
          <w:szCs w:val="27"/>
          <w:lang w:eastAsia="en-GB"/>
        </w:rPr>
        <w:t>1. Introduction</w:t>
      </w:r>
    </w:p>
    <w:p w14:paraId="163C556A" w14:textId="77777777" w:rsidR="008E6AC3" w:rsidRPr="008E6AC3" w:rsidRDefault="008E6AC3" w:rsidP="008E6A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1.1 Background and Conceptual Context</w:t>
      </w:r>
    </w:p>
    <w:p w14:paraId="23A5818D"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 xml:space="preserve">People have leaned on external tools to think since long before anyone called it cognitive offloading. Clay tablets, abacuses, printing presses, pocket calculators — each, in its time, took some piece of mental work off the user's hands and placed it in the world outside the skull. What makes the present moment different is not that this is happening, nor even how often it happens, but what kind of tool is now doing the work. Today's AI systems can hold a natural-language conversation, synthesise information in real time, support decisions with </w:t>
      </w:r>
      <w:r w:rsidRPr="008E6AC3">
        <w:rPr>
          <w:rFonts w:ascii="Times New Roman" w:eastAsia="Times New Roman" w:hAnsi="Times New Roman" w:cs="Times New Roman"/>
          <w:sz w:val="24"/>
          <w:szCs w:val="24"/>
          <w:lang w:eastAsia="en-GB"/>
        </w:rPr>
        <w:lastRenderedPageBreak/>
        <w:t>little human input, and generate content tailored to the individual user. This puts them in a different category from earlier aids. A calculator stores nothing and decides nothing; it simply executes an operation a person specifies. An AI system, by contrast, generates an answer, evaluates competing possibilities, and presents a conclusion as though it were settled — and in doing so, it reaches into, and potentially substitutes for, the higher-order cognitive work long regarded as distinctively human.</w:t>
      </w:r>
    </w:p>
    <w:p w14:paraId="1F67C0FC"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This delegation of mental tasks to external resources is precisely what cognitive offloading research is concerned with (Risko &amp; Gilbert, 2016). The idea that cognition need not stop at the skull is not new to the AI era. Clark and Chalmers (1998), in their account of the extended mind, argued that an external component becomes part of one's cognitive system once it performs a role functionally equivalent to an internal mental state — reliably available, automatically trusted, much as memory itself is trusted. On this view, looking up a phone number on a smartphone is not categorically different from recalling it from biological memory; the relevant cognitive process has simply moved outside the head. Kirsh and Maglio (1994) made a related but distinct point in their distinction between pragmatic actions, which move the world toward a goal directly, and epistemic actions, which instead reshape the information environment to make thinking easier. Their broader claim was that this second kind of action is everywhere in ordinary cognition, and for good reason: consulting an external source is frequently less effortful than working something out internally.</w:t>
      </w:r>
    </w:p>
    <w:p w14:paraId="6A635750"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AI-powered tools complicate this picture in ways that neither the philosophical literature on the extended mind nor earlier offloading research was built to address. Once a system does more than store information — once it generates conclusions, weighs alternatives, and offers advice — the line between assisting cognition and replacing it starts to blur. The widespread use of large language models for writing, problem-solving, and everyday information-seeking has, understandably, generated genuine scholarly disagreement about whether these tools sharpen human thinking or quietly wear it down (Firth et al., 2019; Noy &amp; Zhang, 2023). Making sense of this disagreement calls for bringing together theoretical frameworks from cognitive psychology with experimental findings and the growing body of observational evidence on how people actually use AI in everyday settings.</w:t>
      </w:r>
    </w:p>
    <w:p w14:paraId="00199B1E" w14:textId="77777777" w:rsidR="008E6AC3" w:rsidRPr="008E6AC3" w:rsidRDefault="008E6AC3" w:rsidP="008E6A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1.2 The Rise of AI in Everyday Cognition</w:t>
      </w:r>
    </w:p>
    <w:p w14:paraId="71607575"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The pace at which AI tools have entered daily routines has been striking. Recommendation systems now quietly shape what people read, watch, and buy. Navigation apps plan routes and reroute travellers on the fly, leaving little reason to build a mental map of one's surroundings. Generative AI platforms turn out drafts, summaries, translations, code, and creative material at a user's request. Voice assistants answer questions that would once have demanded a deliberate search through memory or a few minutes of working something out. In professional life, AI tools now sit alongside clinicians making diagnoses, lawyers conducting research, analysts assessing risk, and scientists pursuing discovery. Different as these settings are, they share a common thread: cognitive labour that used to sit with the human is, increasingly, being passed to the machine.</w:t>
      </w:r>
    </w:p>
    <w:p w14:paraId="1C87061D"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 xml:space="preserve">This transfer is not psychologically neutral. Even earlier digital technology shows that easy access to information changes how people encode and later retrieve it (Sparrow et al., 2011). Simply having a silenced smartphone nearby has been found to reduce the cognitive resources a person has available, regardless of whether the device is being used at all (Ward et al., 2017). Photographing an experience rather than simply attending to it leaves a weaker </w:t>
      </w:r>
      <w:r w:rsidRPr="008E6AC3">
        <w:rPr>
          <w:rFonts w:ascii="Times New Roman" w:eastAsia="Times New Roman" w:hAnsi="Times New Roman" w:cs="Times New Roman"/>
          <w:sz w:val="24"/>
          <w:szCs w:val="24"/>
          <w:lang w:eastAsia="en-GB"/>
        </w:rPr>
        <w:lastRenderedPageBreak/>
        <w:t>memory trace, apparently because less attentional and elaborative work goes into encoding the moment in the first place (Henkel, 2014). If tools this modest can leave a measurable mark on cognition, it is reasonable to expect that systems with far greater capability will leave a larger one — which is precisely why the topic deserves careful, sustained attention.</w:t>
      </w:r>
    </w:p>
    <w:p w14:paraId="03024A59" w14:textId="77777777" w:rsidR="008E6AC3" w:rsidRPr="007D73C7"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It would be a mistake, though, to assume the story is entirely one of loss. Cognitive load theory holds that relieving working memory of routine demands frees it to do more demanding work elsewhere (</w:t>
      </w:r>
      <w:proofErr w:type="spellStart"/>
      <w:r w:rsidRPr="008E6AC3">
        <w:rPr>
          <w:rFonts w:ascii="Times New Roman" w:eastAsia="Times New Roman" w:hAnsi="Times New Roman" w:cs="Times New Roman"/>
          <w:sz w:val="24"/>
          <w:szCs w:val="24"/>
          <w:lang w:eastAsia="en-GB"/>
        </w:rPr>
        <w:t>Sweller</w:t>
      </w:r>
      <w:proofErr w:type="spellEnd"/>
      <w:r w:rsidRPr="008E6AC3">
        <w:rPr>
          <w:rFonts w:ascii="Times New Roman" w:eastAsia="Times New Roman" w:hAnsi="Times New Roman" w:cs="Times New Roman"/>
          <w:sz w:val="24"/>
          <w:szCs w:val="24"/>
          <w:lang w:eastAsia="en-GB"/>
        </w:rPr>
        <w:t>, 1988). If an AI system takes over the burden of retrieving information or performing routine computation, the resources that would have gone into that task are, in principle, available for creative, evaluative, or interpersonal work instead. There is empirical support for this more optimistic reading: generative AI assistance has produced measurable productivity gains across a range of knowledge-work tasks (Noy &amp; Zhang, 2023), which suggests that offloading to AI can sometimes lift human output rather than diminish it. The harder question — and the one this review keeps returning to — is when and for whom this holds, and at what point the same act of offloading starts to do more harm than good</w:t>
      </w:r>
      <w:r w:rsidRPr="007D73C7">
        <w:rPr>
          <w:rFonts w:ascii="Times New Roman" w:eastAsia="Times New Roman" w:hAnsi="Times New Roman" w:cs="Times New Roman"/>
          <w:sz w:val="24"/>
          <w:szCs w:val="24"/>
          <w:lang w:eastAsia="en-GB"/>
        </w:rPr>
        <w:t>.</w:t>
      </w:r>
      <w:r w:rsidRPr="007D73C7">
        <w:rPr>
          <w:highlight w:val="yellow"/>
        </w:rPr>
        <w:t xml:space="preserve"> Recent systematic review evidence on AI dialogue systems and adolescent learning supports this need for caution, because it links over-reliance and insufficiently guided use with risks to critical thinking, analytical reasoning, academic integrity, and reflective engagement (Aung &amp; Bauyot, 2025; Zhai et al., 2024). Similarly, research on AI-based techno-pedagogical integration and creative writing indicates that AI can support participation or individual output, but that training, institutional support, and attention to diversity of ideas remain necessary if AI is to augment rather than replace human cognitive work (Doshi &amp; Hauser, 2024; Kumar &amp; Saratha, 2025).</w:t>
      </w:r>
    </w:p>
    <w:p w14:paraId="09EAFA93" w14:textId="77777777" w:rsidR="00980A99" w:rsidRPr="007D73C7" w:rsidRDefault="00000000">
      <w:pPr>
        <w:spacing w:before="100" w:after="100" w:line="240" w:lineRule="auto"/>
        <w:rPr>
          <w:bCs/>
        </w:rPr>
      </w:pPr>
      <w:r w:rsidRPr="007D73C7">
        <w:rPr>
          <w:bCs/>
          <w:highlight w:val="yellow"/>
        </w:rPr>
        <w:t>Against this background, a focused research gap remains: existing studies tend to examine AI use within specific domains such as education, writing, or creativity, while fewer syntheses connect those findings into a single psychological account of AI-assisted cognitive offloading across memory, attention, metacognition, decision-making, and wellbeing. This review addresses that gap by treating cognitive offloading as the organising construct through which the psychological implications of everyday AI reliance can be examined.</w:t>
      </w:r>
    </w:p>
    <w:p w14:paraId="169B7C66" w14:textId="77777777" w:rsidR="008E6AC3" w:rsidRPr="008E6AC3" w:rsidRDefault="008E6AC3" w:rsidP="008E6A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1.3 Scope and Objectives</w:t>
      </w:r>
    </w:p>
    <w:p w14:paraId="660018DA"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This review focuses on five interrelated areas in which AI-assisted cognitive offloading appears to be reshaping human thinking: memory and information retrieval; attentional control and multitasking; metacognition and self-assessment; decision-making and reliance on algorithms; and psychological wellbeing, including digital dependency and anxiety. By bringing together theory, experimental evidence, and observational research on AI use in real settings, it aims to give as complete a picture as the current literature allows. It also examines who is most affected and why — age, expertise, and digital literacy all turn out to matter — before turning to the broader ethical and societal stakes for autonomy, epistemic equity, and the future of education and professional practice. The review closes by identifying where the evidence base is thinnest and where future empirical work is most needed.</w:t>
      </w:r>
    </w:p>
    <w:p w14:paraId="2CC662E9" w14:textId="77777777" w:rsidR="008E6AC3" w:rsidRPr="008E6AC3" w:rsidRDefault="008E6AC3" w:rsidP="008E6AC3">
      <w:pPr>
        <w:spacing w:after="0" w:line="240" w:lineRule="auto"/>
        <w:rPr>
          <w:rFonts w:ascii="Times New Roman" w:eastAsia="Times New Roman" w:hAnsi="Times New Roman" w:cs="Times New Roman"/>
          <w:sz w:val="24"/>
          <w:szCs w:val="24"/>
          <w:lang w:eastAsia="en-GB"/>
        </w:rPr>
      </w:pPr>
    </w:p>
    <w:p w14:paraId="51CD629B" w14:textId="77777777" w:rsidR="008E6AC3" w:rsidRPr="008E6AC3" w:rsidRDefault="008E6AC3" w:rsidP="008E6AC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8E6AC3">
        <w:rPr>
          <w:rFonts w:ascii="Times New Roman" w:eastAsia="Times New Roman" w:hAnsi="Times New Roman" w:cs="Times New Roman"/>
          <w:b/>
          <w:bCs/>
          <w:sz w:val="27"/>
          <w:szCs w:val="27"/>
          <w:lang w:eastAsia="en-GB"/>
        </w:rPr>
        <w:t>2. Methods for Literature Selection</w:t>
      </w:r>
    </w:p>
    <w:p w14:paraId="4F4CA59B"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 xml:space="preserve">This review takes a narrative synthesis approach, drawing together a broad and varied body of evidence from cognitive psychology, human–computer interaction, AI ethics, educational science, and adjacent fields. A narrative rather than systematic methodology was chosen </w:t>
      </w:r>
      <w:r w:rsidRPr="008E6AC3">
        <w:rPr>
          <w:rFonts w:ascii="Times New Roman" w:eastAsia="Times New Roman" w:hAnsi="Times New Roman" w:cs="Times New Roman"/>
          <w:sz w:val="24"/>
          <w:szCs w:val="24"/>
          <w:lang w:eastAsia="en-GB"/>
        </w:rPr>
        <w:lastRenderedPageBreak/>
        <w:t>because the literature on AI-assisted cognitive offloading is theoretically diverse and methodologically pluralistic, spanning traditions that do not aggregate comfortably into a single quantitative synthesis (Snyder, 2019). The intention here is to trace patterns, tensions, and gaps across this literature, not to produce a pooled estimate of effect size.</w:t>
      </w:r>
    </w:p>
    <w:p w14:paraId="4A7A0838"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b/>
          <w:bCs/>
          <w:sz w:val="24"/>
          <w:szCs w:val="24"/>
          <w:lang w:eastAsia="en-GB"/>
        </w:rPr>
        <w:t>Databases and search strategy.</w:t>
      </w:r>
      <w:r w:rsidRPr="008E6AC3">
        <w:rPr>
          <w:rFonts w:ascii="Times New Roman" w:eastAsia="Times New Roman" w:hAnsi="Times New Roman" w:cs="Times New Roman"/>
          <w:sz w:val="24"/>
          <w:szCs w:val="24"/>
          <w:lang w:eastAsia="en-GB"/>
        </w:rPr>
        <w:t xml:space="preserve"> Searches covered four general bibliographic databases — Web of Science, Scopus, Google Scholar, and PubMed — supplemented by five field-specific databases chosen to match the interdisciplinary scope of the topic: PsycINFO for psychological and neuroscientific work, IEEE Xplore for human–computer interaction and AI engineering, ERIC for educational technology and learning science, </w:t>
      </w:r>
      <w:proofErr w:type="spellStart"/>
      <w:r w:rsidRPr="008E6AC3">
        <w:rPr>
          <w:rFonts w:ascii="Times New Roman" w:eastAsia="Times New Roman" w:hAnsi="Times New Roman" w:cs="Times New Roman"/>
          <w:sz w:val="24"/>
          <w:szCs w:val="24"/>
          <w:lang w:eastAsia="en-GB"/>
        </w:rPr>
        <w:t>PhilPapers</w:t>
      </w:r>
      <w:proofErr w:type="spellEnd"/>
      <w:r w:rsidRPr="008E6AC3">
        <w:rPr>
          <w:rFonts w:ascii="Times New Roman" w:eastAsia="Times New Roman" w:hAnsi="Times New Roman" w:cs="Times New Roman"/>
          <w:sz w:val="24"/>
          <w:szCs w:val="24"/>
          <w:lang w:eastAsia="en-GB"/>
        </w:rPr>
        <w:t xml:space="preserve"> for philosophical work on extended cognition and AI ethics, and </w:t>
      </w:r>
      <w:proofErr w:type="spellStart"/>
      <w:r w:rsidRPr="008E6AC3">
        <w:rPr>
          <w:rFonts w:ascii="Times New Roman" w:eastAsia="Times New Roman" w:hAnsi="Times New Roman" w:cs="Times New Roman"/>
          <w:sz w:val="24"/>
          <w:szCs w:val="24"/>
          <w:lang w:eastAsia="en-GB"/>
        </w:rPr>
        <w:t>EconLit</w:t>
      </w:r>
      <w:proofErr w:type="spellEnd"/>
      <w:r w:rsidRPr="008E6AC3">
        <w:rPr>
          <w:rFonts w:ascii="Times New Roman" w:eastAsia="Times New Roman" w:hAnsi="Times New Roman" w:cs="Times New Roman"/>
          <w:sz w:val="24"/>
          <w:szCs w:val="24"/>
          <w:lang w:eastAsia="en-GB"/>
        </w:rPr>
        <w:t xml:space="preserve"> for labour market and automation economics.</w:t>
      </w:r>
    </w:p>
    <w:p w14:paraId="469A2F2D"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Search strings combined Boolean operators across two clusters of terms. The first cluster covered cognitive offloading and its theoretical correlates: "cognitive offloading", "extended mind", "transactive memory", "epistemic action", "cognitive load", "automation bias", "algorithmic reliance", "digital amnesia", and "metacognition AND technology". The second covered artificial intelligence and its cognitive and psychological dimensions: "artificial intelligence AND cognition", "AI AND human thinking", "large language models AND cognition", "generative AI AND learning", "machine learning AND decision-making", and "human-AI interaction AND psychology". These strings were adapted as needed to fit the syntax conventions of each database.</w:t>
      </w:r>
    </w:p>
    <w:p w14:paraId="24109B3B" w14:textId="4EB84AFE"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b/>
          <w:bCs/>
          <w:sz w:val="24"/>
          <w:szCs w:val="24"/>
          <w:lang w:eastAsia="en-GB"/>
        </w:rPr>
        <w:t>Date range and supplementary literature.</w:t>
      </w:r>
      <w:r w:rsidRPr="008E6AC3">
        <w:rPr>
          <w:rFonts w:ascii="Times New Roman" w:eastAsia="Times New Roman" w:hAnsi="Times New Roman" w:cs="Times New Roman"/>
          <w:sz w:val="24"/>
          <w:szCs w:val="24"/>
          <w:lang w:eastAsia="en-GB"/>
        </w:rPr>
        <w:t xml:space="preserve"> The primary search window ran from</w:t>
      </w:r>
      <w:r w:rsidR="009D291A">
        <w:rPr>
          <w:rFonts w:ascii="Times New Roman" w:eastAsia="Times New Roman" w:hAnsi="Times New Roman" w:cs="Times New Roman"/>
          <w:sz w:val="24"/>
          <w:szCs w:val="24"/>
          <w:lang w:eastAsia="en-GB"/>
        </w:rPr>
        <w:t xml:space="preserve"> January</w:t>
      </w:r>
      <w:r w:rsidRPr="008E6AC3">
        <w:rPr>
          <w:rFonts w:ascii="Times New Roman" w:eastAsia="Times New Roman" w:hAnsi="Times New Roman" w:cs="Times New Roman"/>
          <w:sz w:val="24"/>
          <w:szCs w:val="24"/>
          <w:lang w:eastAsia="en-GB"/>
        </w:rPr>
        <w:t xml:space="preserve"> 2016 to </w:t>
      </w:r>
      <w:r w:rsidR="007703BF">
        <w:rPr>
          <w:rFonts w:ascii="Times New Roman" w:eastAsia="Times New Roman" w:hAnsi="Times New Roman" w:cs="Times New Roman"/>
          <w:sz w:val="24"/>
          <w:szCs w:val="24"/>
          <w:lang w:eastAsia="en-GB"/>
        </w:rPr>
        <w:t>February</w:t>
      </w:r>
      <w:r w:rsidRPr="008E6AC3">
        <w:rPr>
          <w:rFonts w:ascii="Times New Roman" w:eastAsia="Times New Roman" w:hAnsi="Times New Roman" w:cs="Times New Roman"/>
          <w:sz w:val="24"/>
          <w:szCs w:val="24"/>
          <w:lang w:eastAsia="en-GB"/>
        </w:rPr>
        <w:t xml:space="preserve"> 2026. The starting point of 2016 was chosen deliberately: it is the year Risko and Gilbert (2016) published the empirical framework for cognitive offloading that underpins much of this review's conceptual scaffolding. A small number of classic papers predating 2016 — foundational contributions to cognitive load theory, extended mind philosophy, transactive memory research, and automation bias — were retained as supplementary references for theoretical grounding and historical context, rather than to expand the primary evidence base itself.</w:t>
      </w:r>
    </w:p>
    <w:p w14:paraId="2C1FDDA8"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b/>
          <w:bCs/>
          <w:sz w:val="24"/>
          <w:szCs w:val="24"/>
          <w:lang w:eastAsia="en-GB"/>
        </w:rPr>
        <w:t>Inclusion and exclusion criteria.</w:t>
      </w:r>
      <w:r w:rsidRPr="008E6AC3">
        <w:rPr>
          <w:rFonts w:ascii="Times New Roman" w:eastAsia="Times New Roman" w:hAnsi="Times New Roman" w:cs="Times New Roman"/>
          <w:sz w:val="24"/>
          <w:szCs w:val="24"/>
          <w:lang w:eastAsia="en-GB"/>
        </w:rPr>
        <w:t xml:space="preserve"> To be included, a study had to be published in a peer-reviewed journal, written in English, address some cognitive, psychological, or behavioural dimension of technology use, AI adoption, or cognitive offloading, and make a substantive empirical or theoretical contribution. Authoritative institutional reports were admitted where no comparable peer-reviewed source existed on a given point. Books, book chapters, grey literature, conference proceedings, patents, non-peer-reviewed commentary, trade publications, and pre-prints without a subsequent peer-reviewed version were all excluded, as were papers concerned purely with the technical design of AI systems and lacking any psychological or behavioural content.</w:t>
      </w:r>
    </w:p>
    <w:p w14:paraId="5D874AD9"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b/>
          <w:bCs/>
          <w:sz w:val="24"/>
          <w:szCs w:val="24"/>
          <w:lang w:eastAsia="en-GB"/>
        </w:rPr>
        <w:t>Screening workflow and duplicate handling.</w:t>
      </w:r>
      <w:r w:rsidRPr="008E6AC3">
        <w:rPr>
          <w:rFonts w:ascii="Times New Roman" w:eastAsia="Times New Roman" w:hAnsi="Times New Roman" w:cs="Times New Roman"/>
          <w:sz w:val="24"/>
          <w:szCs w:val="24"/>
          <w:lang w:eastAsia="en-GB"/>
        </w:rPr>
        <w:t xml:space="preserve"> Titles and abstracts were screened against these criteria, with duplicates arising from overlapping database coverage removed at this stage. Full texts were then reviewed for every paper that passed abstract screening. The final selection weighed relevance to the review's five thematic domains against methodological quality and the paper's evident influence within its field.</w:t>
      </w:r>
    </w:p>
    <w:p w14:paraId="2A4F585A" w14:textId="77777777" w:rsidR="008E6AC3" w:rsidRPr="008E6AC3" w:rsidRDefault="008E6AC3" w:rsidP="008E6AC3">
      <w:pPr>
        <w:spacing w:after="0" w:line="240" w:lineRule="auto"/>
        <w:rPr>
          <w:rFonts w:ascii="Times New Roman" w:eastAsia="Times New Roman" w:hAnsi="Times New Roman" w:cs="Times New Roman"/>
          <w:sz w:val="24"/>
          <w:szCs w:val="24"/>
          <w:lang w:eastAsia="en-GB"/>
        </w:rPr>
      </w:pPr>
    </w:p>
    <w:p w14:paraId="40FD2F4A" w14:textId="77777777" w:rsidR="008E6AC3" w:rsidRPr="008E6AC3" w:rsidRDefault="008E6AC3" w:rsidP="008E6AC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8E6AC3">
        <w:rPr>
          <w:rFonts w:ascii="Times New Roman" w:eastAsia="Times New Roman" w:hAnsi="Times New Roman" w:cs="Times New Roman"/>
          <w:b/>
          <w:bCs/>
          <w:sz w:val="27"/>
          <w:szCs w:val="27"/>
          <w:lang w:eastAsia="en-GB"/>
        </w:rPr>
        <w:lastRenderedPageBreak/>
        <w:t>3. Theoretical Foundations of Cognitive Offloading</w:t>
      </w:r>
    </w:p>
    <w:p w14:paraId="4C0C055F" w14:textId="77777777" w:rsidR="008E6AC3" w:rsidRPr="008E6AC3" w:rsidRDefault="008E6AC3" w:rsidP="008E6A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3.1 Cognitive Load Theory</w:t>
      </w:r>
    </w:p>
    <w:p w14:paraId="0436DF0A"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 xml:space="preserve">One of the most influential explanations for why people externalise cognitive work comes from cognitive load theory, first set out by </w:t>
      </w:r>
      <w:proofErr w:type="spellStart"/>
      <w:r w:rsidRPr="008E6AC3">
        <w:rPr>
          <w:rFonts w:ascii="Times New Roman" w:eastAsia="Times New Roman" w:hAnsi="Times New Roman" w:cs="Times New Roman"/>
          <w:sz w:val="24"/>
          <w:szCs w:val="24"/>
          <w:lang w:eastAsia="en-GB"/>
        </w:rPr>
        <w:t>Sweller</w:t>
      </w:r>
      <w:proofErr w:type="spellEnd"/>
      <w:r w:rsidRPr="008E6AC3">
        <w:rPr>
          <w:rFonts w:ascii="Times New Roman" w:eastAsia="Times New Roman" w:hAnsi="Times New Roman" w:cs="Times New Roman"/>
          <w:sz w:val="24"/>
          <w:szCs w:val="24"/>
          <w:lang w:eastAsia="en-GB"/>
        </w:rPr>
        <w:t xml:space="preserve"> (1988). Working memory — the mental workspace where reasoning, comprehension, and problem-solving actually happen — is, on this account, severely limited in capacity. Once the combined demands of a task's intrinsic complexity and its surrounding environment exceed that capacity, performance suffers. Offloading parts of a task onto external tools, whether a calculator, a diagram, a written note, or a digital system, lightens the load on working memory and leaves more capacity for whatever remains to be done internally. Paas and colleagues (2003) took this framework into educational design and showed that instructional environments built to manage extraneous load can produce substantial gains in learning.</w:t>
      </w:r>
    </w:p>
    <w:p w14:paraId="481727B9"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Applied to AI, this logic at first looks encouraging. If an AI system handles the retrieval, organisation, and preliminary sorting of information, the cognitive resources freed up could go toward evaluation, synthesis, and the kind of creative elaboration that calculators were never asked to do. Noy and Zhang (2023) offer experimental support for exactly this: generative AI assistance in professional writing tasks improved both speed and quality, with the largest gains among workers whose prior performance had been below average — consistent with the idea that taking routine cognitive work off someone's plate leaves more room for the harder parts of the job. What cognitive load theory cannot tell us, on its own, is what happens over the longer run — whether offloading task after task gradually erodes the very skills that internalised reasoning depends on.</w:t>
      </w:r>
    </w:p>
    <w:p w14:paraId="3B5BBAAD" w14:textId="77777777" w:rsidR="008E6AC3" w:rsidRPr="008E6AC3" w:rsidRDefault="008E6AC3" w:rsidP="008E6A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3.2 The Extended Mind Hypothesis</w:t>
      </w:r>
    </w:p>
    <w:p w14:paraId="491549DA"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Clark and Chalmers (1998) challenged the commonsense view that cognition stops at the edge of the skull. Their extended mind hypothesis holds that an external component becomes a genuine part of one's cognitive system once it does the work an internal process would otherwise do — provided it is reliably available, habitually consulted, and trusted without question, much as memory itself is trusted. The example they made famous involves a character with early-stage Alzheimer's disease whose notebook plays the same functional role biological memory normally would; on their account, this is not a memory aid sitting alongside the mind but a genuine extension of it.</w:t>
      </w:r>
    </w:p>
    <w:p w14:paraId="50BF0337"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This framework has turned out to be a productive lens for thinking about AI. A user who routinely turns to an AI assistant to retrieve facts, draft messages, or weigh up options, and who consistently accepts what it produces, has — by Clark and Chalmers's (1998) own criteria — incorporated that system into their cognitive apparatus. The implication is not a small one: any change to the AI itself, in accuracy, availability, or underlying design, becomes in effect a change to the user's own cognition. How vulnerable these extended systems are to technical failure or to bias baked into their design has received surprisingly little empirical attention, despite the genuine concerns it raises about epistemic dependency on a societal scale (Jobin et al., 2019).</w:t>
      </w:r>
    </w:p>
    <w:p w14:paraId="4AEB38B6" w14:textId="77777777" w:rsidR="008E6AC3" w:rsidRPr="008E6AC3" w:rsidRDefault="008E6AC3" w:rsidP="008E6A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3.3 Transactive Memory Systems</w:t>
      </w:r>
    </w:p>
    <w:p w14:paraId="3CEB6EE4"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lastRenderedPageBreak/>
        <w:t>A related idea, transactive memory, describes how memory functions get distributed across the members of a social group rather than residing entirely within any one person. Hollingshead (1998) showed that pairs and groups build up a kind of memory about memory — knowing who knows what — that lets the group work more efficiently than its members would alone. The catch is that people tend to encode less of the information themselves once they believe someone else in the system is holding onto it. Sparrow and colleagues (2011) took this same logic and applied it to digital technology, finding that people who expected to be able to look something up later encoded less of the content itself but more of where to find it — what they called a "Google effect" on memory. The concern this raises for AI-mediated cognition, at much larger scale, was already visible in that finding.</w:t>
      </w:r>
    </w:p>
    <w:p w14:paraId="2F09F353"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 xml:space="preserve">As people come to rely on AI systems in much the same way they once relied on a knowledgeable colleague — to hold and retrieve factual, procedural, and evaluative information — the same shift in cognitive labour seems likely to occur, with internal encoding declining most for information that feels readily recoverable on demand. Whether this amounts to a sensible cognitive adaptation or a worrying erosion of personal knowledge </w:t>
      </w:r>
      <w:proofErr w:type="gramStart"/>
      <w:r w:rsidRPr="008E6AC3">
        <w:rPr>
          <w:rFonts w:ascii="Times New Roman" w:eastAsia="Times New Roman" w:hAnsi="Times New Roman" w:cs="Times New Roman"/>
          <w:sz w:val="24"/>
          <w:szCs w:val="24"/>
          <w:lang w:eastAsia="en-GB"/>
        </w:rPr>
        <w:t>is</w:t>
      </w:r>
      <w:proofErr w:type="gramEnd"/>
      <w:r w:rsidRPr="008E6AC3">
        <w:rPr>
          <w:rFonts w:ascii="Times New Roman" w:eastAsia="Times New Roman" w:hAnsi="Times New Roman" w:cs="Times New Roman"/>
          <w:sz w:val="24"/>
          <w:szCs w:val="24"/>
          <w:lang w:eastAsia="en-GB"/>
        </w:rPr>
        <w:t xml:space="preserve"> not a question the field has settled (Firth et al., 2019; Risko &amp; Gilbert, 2016).</w:t>
      </w:r>
    </w:p>
    <w:p w14:paraId="2BC89078"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Table 1 brings these three frameworks together alongside their respective predictions for AI-assisted offloading. Read as a set, they paint a picture that is theoretically rich rather than simple: offloading to AI may simultaneously ease the demands on working memory, fold the AI functionally into the user's own cognitive system, and shift memory encoding toward knowing where information sits rather than what it contains. Each of these three processes carries its own implications for cognitive functioning over the long run, and each is examined in more empirical detail in the sections that follow.</w:t>
      </w:r>
    </w:p>
    <w:p w14:paraId="485B12DA" w14:textId="77777777" w:rsidR="008E6AC3" w:rsidRPr="008E6AC3" w:rsidRDefault="008E6AC3" w:rsidP="008E6AC3">
      <w:pPr>
        <w:spacing w:after="0" w:line="240" w:lineRule="auto"/>
        <w:rPr>
          <w:rFonts w:ascii="Times New Roman" w:eastAsia="Times New Roman" w:hAnsi="Times New Roman" w:cs="Times New Roman"/>
          <w:sz w:val="24"/>
          <w:szCs w:val="24"/>
          <w:lang w:eastAsia="en-GB"/>
        </w:rPr>
      </w:pPr>
    </w:p>
    <w:p w14:paraId="68EF0511"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b/>
          <w:bCs/>
          <w:sz w:val="24"/>
          <w:szCs w:val="24"/>
          <w:lang w:eastAsia="en-GB"/>
        </w:rPr>
        <w:t>Table 1.</w:t>
      </w:r>
      <w:r w:rsidRPr="008E6AC3">
        <w:rPr>
          <w:rFonts w:ascii="Times New Roman" w:eastAsia="Times New Roman" w:hAnsi="Times New Roman" w:cs="Times New Roman"/>
          <w:sz w:val="24"/>
          <w:szCs w:val="24"/>
          <w:lang w:eastAsia="en-GB"/>
        </w:rPr>
        <w:t xml:space="preserve"> Core Theoretical Frameworks for Understanding Cognitive Offloading in the AI Context</w:t>
      </w:r>
    </w:p>
    <w:tbl>
      <w:tblPr>
        <w:tblStyle w:val="TableGrid"/>
        <w:tblW w:w="0" w:type="auto"/>
        <w:tblLook w:val="04A0" w:firstRow="1" w:lastRow="0" w:firstColumn="1" w:lastColumn="0" w:noHBand="0" w:noVBand="1"/>
      </w:tblPr>
      <w:tblGrid>
        <w:gridCol w:w="1592"/>
        <w:gridCol w:w="2605"/>
        <w:gridCol w:w="2387"/>
        <w:gridCol w:w="2658"/>
      </w:tblGrid>
      <w:tr w:rsidR="008E6AC3" w:rsidRPr="008E6AC3" w14:paraId="75B4B9C7" w14:textId="77777777" w:rsidTr="009D291A">
        <w:tc>
          <w:tcPr>
            <w:tcW w:w="0" w:type="auto"/>
            <w:hideMark/>
          </w:tcPr>
          <w:p w14:paraId="34A24F25" w14:textId="77777777" w:rsidR="008E6AC3" w:rsidRPr="008E6AC3" w:rsidRDefault="008E6AC3" w:rsidP="008E6AC3">
            <w:pPr>
              <w:jc w:val="center"/>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Framework</w:t>
            </w:r>
          </w:p>
        </w:tc>
        <w:tc>
          <w:tcPr>
            <w:tcW w:w="0" w:type="auto"/>
            <w:hideMark/>
          </w:tcPr>
          <w:p w14:paraId="51C2FC7B" w14:textId="77777777" w:rsidR="008E6AC3" w:rsidRPr="008E6AC3" w:rsidRDefault="008E6AC3" w:rsidP="008E6AC3">
            <w:pPr>
              <w:jc w:val="center"/>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Key Propositions</w:t>
            </w:r>
          </w:p>
        </w:tc>
        <w:tc>
          <w:tcPr>
            <w:tcW w:w="0" w:type="auto"/>
            <w:hideMark/>
          </w:tcPr>
          <w:p w14:paraId="405CE3CF" w14:textId="77777777" w:rsidR="008E6AC3" w:rsidRPr="008E6AC3" w:rsidRDefault="008E6AC3" w:rsidP="008E6AC3">
            <w:pPr>
              <w:jc w:val="center"/>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Prediction for AI-Assisted Offloading</w:t>
            </w:r>
          </w:p>
        </w:tc>
        <w:tc>
          <w:tcPr>
            <w:tcW w:w="0" w:type="auto"/>
            <w:hideMark/>
          </w:tcPr>
          <w:p w14:paraId="469C4FF8" w14:textId="77777777" w:rsidR="008E6AC3" w:rsidRPr="008E6AC3" w:rsidRDefault="008E6AC3" w:rsidP="008E6AC3">
            <w:pPr>
              <w:jc w:val="center"/>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Primary Implication</w:t>
            </w:r>
          </w:p>
        </w:tc>
      </w:tr>
      <w:tr w:rsidR="008E6AC3" w:rsidRPr="008E6AC3" w14:paraId="50A0C2B6" w14:textId="77777777" w:rsidTr="009D291A">
        <w:tc>
          <w:tcPr>
            <w:tcW w:w="0" w:type="auto"/>
            <w:hideMark/>
          </w:tcPr>
          <w:p w14:paraId="3147FB95"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Cognitive Load Theory</w:t>
            </w:r>
          </w:p>
        </w:tc>
        <w:tc>
          <w:tcPr>
            <w:tcW w:w="0" w:type="auto"/>
            <w:hideMark/>
          </w:tcPr>
          <w:p w14:paraId="318B595F"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Working memory is limited in capacity; offloading reduces extraneous load and frees resources for higher-order processing</w:t>
            </w:r>
          </w:p>
        </w:tc>
        <w:tc>
          <w:tcPr>
            <w:tcW w:w="0" w:type="auto"/>
            <w:hideMark/>
          </w:tcPr>
          <w:p w14:paraId="49F06DF9"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AI can free cognitive resources for evaluative and creative tasks</w:t>
            </w:r>
          </w:p>
        </w:tc>
        <w:tc>
          <w:tcPr>
            <w:tcW w:w="0" w:type="auto"/>
            <w:hideMark/>
          </w:tcPr>
          <w:p w14:paraId="27B7C8D8"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May improve performance on retained tasks but risks reducing skill development if relied upon excessively</w:t>
            </w:r>
          </w:p>
        </w:tc>
      </w:tr>
      <w:tr w:rsidR="008E6AC3" w:rsidRPr="008E6AC3" w14:paraId="75EE6618" w14:textId="77777777" w:rsidTr="009D291A">
        <w:tc>
          <w:tcPr>
            <w:tcW w:w="0" w:type="auto"/>
            <w:hideMark/>
          </w:tcPr>
          <w:p w14:paraId="425A9B74"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Extended Mind Hypothesis</w:t>
            </w:r>
          </w:p>
        </w:tc>
        <w:tc>
          <w:tcPr>
            <w:tcW w:w="0" w:type="auto"/>
            <w:hideMark/>
          </w:tcPr>
          <w:p w14:paraId="290A9B17"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Cognition legitimately extends to reliable, accessible external tools that perform functional cognitive roles</w:t>
            </w:r>
          </w:p>
        </w:tc>
        <w:tc>
          <w:tcPr>
            <w:tcW w:w="0" w:type="auto"/>
            <w:hideMark/>
          </w:tcPr>
          <w:p w14:paraId="16EC950E"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AI systems become part of the user's cognitive system when habitually and automatically consulted</w:t>
            </w:r>
          </w:p>
        </w:tc>
        <w:tc>
          <w:tcPr>
            <w:tcW w:w="0" w:type="auto"/>
            <w:hideMark/>
          </w:tcPr>
          <w:p w14:paraId="0D1EE972"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Creates epistemic dependency; changes in AI directly alter user cognitive functioning</w:t>
            </w:r>
          </w:p>
        </w:tc>
      </w:tr>
      <w:tr w:rsidR="008E6AC3" w:rsidRPr="008E6AC3" w14:paraId="55D09338" w14:textId="77777777" w:rsidTr="009D291A">
        <w:tc>
          <w:tcPr>
            <w:tcW w:w="0" w:type="auto"/>
            <w:hideMark/>
          </w:tcPr>
          <w:p w14:paraId="55CFA2F3"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Transactive Memory Theory</w:t>
            </w:r>
          </w:p>
        </w:tc>
        <w:tc>
          <w:tcPr>
            <w:tcW w:w="0" w:type="auto"/>
            <w:hideMark/>
          </w:tcPr>
          <w:p w14:paraId="19AB246A"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 xml:space="preserve">Memory is distributed across agents; individuals reduce encoding of information they expect others to </w:t>
            </w:r>
            <w:r w:rsidRPr="008E6AC3">
              <w:rPr>
                <w:rFonts w:ascii="Times New Roman" w:eastAsia="Times New Roman" w:hAnsi="Times New Roman" w:cs="Times New Roman"/>
                <w:sz w:val="24"/>
                <w:szCs w:val="24"/>
                <w:lang w:eastAsia="en-GB"/>
              </w:rPr>
              <w:lastRenderedPageBreak/>
              <w:t>hold</w:t>
            </w:r>
          </w:p>
        </w:tc>
        <w:tc>
          <w:tcPr>
            <w:tcW w:w="0" w:type="auto"/>
            <w:hideMark/>
          </w:tcPr>
          <w:p w14:paraId="55A0ABB5"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lastRenderedPageBreak/>
              <w:t>Users reduce internal encoding of information expected to be retrievable from AI</w:t>
            </w:r>
          </w:p>
        </w:tc>
        <w:tc>
          <w:tcPr>
            <w:tcW w:w="0" w:type="auto"/>
            <w:hideMark/>
          </w:tcPr>
          <w:p w14:paraId="0FE8173F"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Reduces personal knowledge retention; shifts epistemological authority to AI systems</w:t>
            </w:r>
          </w:p>
        </w:tc>
      </w:tr>
    </w:tbl>
    <w:p w14:paraId="3DACA230"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i/>
          <w:iCs/>
          <w:sz w:val="24"/>
          <w:szCs w:val="24"/>
          <w:lang w:eastAsia="en-GB"/>
        </w:rPr>
        <w:t>Sources:</w:t>
      </w:r>
      <w:r w:rsidRPr="008E6AC3">
        <w:rPr>
          <w:rFonts w:ascii="Times New Roman" w:eastAsia="Times New Roman" w:hAnsi="Times New Roman" w:cs="Times New Roman"/>
          <w:sz w:val="24"/>
          <w:szCs w:val="24"/>
          <w:lang w:eastAsia="en-GB"/>
        </w:rPr>
        <w:t xml:space="preserve"> </w:t>
      </w:r>
      <w:proofErr w:type="spellStart"/>
      <w:r w:rsidRPr="008E6AC3">
        <w:rPr>
          <w:rFonts w:ascii="Times New Roman" w:eastAsia="Times New Roman" w:hAnsi="Times New Roman" w:cs="Times New Roman"/>
          <w:sz w:val="24"/>
          <w:szCs w:val="24"/>
          <w:lang w:eastAsia="en-GB"/>
        </w:rPr>
        <w:t>Sweller</w:t>
      </w:r>
      <w:proofErr w:type="spellEnd"/>
      <w:r w:rsidRPr="008E6AC3">
        <w:rPr>
          <w:rFonts w:ascii="Times New Roman" w:eastAsia="Times New Roman" w:hAnsi="Times New Roman" w:cs="Times New Roman"/>
          <w:sz w:val="24"/>
          <w:szCs w:val="24"/>
          <w:lang w:eastAsia="en-GB"/>
        </w:rPr>
        <w:t xml:space="preserve"> (1988); Clark and Chalmers (1998); Hollingshead (1998); Risko and Gilbert (2016); Sparrow et al. (2011).</w:t>
      </w:r>
    </w:p>
    <w:p w14:paraId="22D6D2EC" w14:textId="77777777" w:rsidR="008E6AC3" w:rsidRPr="008E6AC3" w:rsidRDefault="008E6AC3" w:rsidP="008E6AC3">
      <w:pPr>
        <w:spacing w:after="0" w:line="240" w:lineRule="auto"/>
        <w:rPr>
          <w:rFonts w:ascii="Times New Roman" w:eastAsia="Times New Roman" w:hAnsi="Times New Roman" w:cs="Times New Roman"/>
          <w:sz w:val="24"/>
          <w:szCs w:val="24"/>
          <w:lang w:eastAsia="en-GB"/>
        </w:rPr>
      </w:pPr>
    </w:p>
    <w:p w14:paraId="26666627" w14:textId="77777777" w:rsidR="008E6AC3" w:rsidRPr="008E6AC3" w:rsidRDefault="008E6AC3" w:rsidP="008E6AC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8E6AC3">
        <w:rPr>
          <w:rFonts w:ascii="Times New Roman" w:eastAsia="Times New Roman" w:hAnsi="Times New Roman" w:cs="Times New Roman"/>
          <w:b/>
          <w:bCs/>
          <w:sz w:val="27"/>
          <w:szCs w:val="27"/>
          <w:lang w:eastAsia="en-GB"/>
        </w:rPr>
        <w:t>4. Mechanisms of Cognitive Offloading in the AI Era</w:t>
      </w:r>
    </w:p>
    <w:p w14:paraId="4169A568" w14:textId="77777777" w:rsidR="008E6AC3" w:rsidRPr="008E6AC3" w:rsidRDefault="008E6AC3" w:rsidP="008E6A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4.1 Memory and Information Retrieval</w:t>
      </w:r>
    </w:p>
    <w:p w14:paraId="0CFB6C50"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Memory is probably the most thoroughly studied casualty — or beneficiary, depending on one's reading — of AI-assisted offloading, though most of the relevant research predates generative AI and concerns earlier digital technologies instead. Sparrow and colleagues (2011) showed that internet access changes not just what people remember but how they go about encoding it in the first place: those who expected to be able to look something up later tended to encode where to find it rather than the information itself. This is best understood as a sensible adaptation rather than a deficit, but it leaves an open question that matters more in the AI era. What happens when even that locational knowledge — knowing where to look — is handed over to the system, leaving the user with neither the content nor the map to find it?</w:t>
      </w:r>
    </w:p>
    <w:p w14:paraId="2476F143"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A related effect appeared in Henkel's (2014) naturalistic study of museum visitors: those who photographed an exhibit recalled fewer details about it afterwards than those who simply looked, apparently because making the external record reduced the attentional and elaborative work needed to consolidate the memory in the first place. Storm and Stone (2015) found something that looks, at first glance, like the opposite effect but actually fits the same pattern: participants who saved information they had already encountered went on to encode subsequent new material better, as though offloading the old material had freed up resources for the new. Taken together, these studies point to a single underlying principle. Once the mind registers that something has been externally stored, it shifts its own encoding effort elsewhere — a sensible enough strategy in itself, but one that backfires the moment the external store turns out to be unreliable, unavailable, or simply wrong.</w:t>
      </w:r>
    </w:p>
    <w:p w14:paraId="021253A9"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 xml:space="preserve">Spatial memory shows the same pattern. </w:t>
      </w:r>
      <w:proofErr w:type="spellStart"/>
      <w:r w:rsidRPr="008E6AC3">
        <w:rPr>
          <w:rFonts w:ascii="Times New Roman" w:eastAsia="Times New Roman" w:hAnsi="Times New Roman" w:cs="Times New Roman"/>
          <w:sz w:val="24"/>
          <w:szCs w:val="24"/>
          <w:lang w:eastAsia="en-GB"/>
        </w:rPr>
        <w:t>Ruginski</w:t>
      </w:r>
      <w:proofErr w:type="spellEnd"/>
      <w:r w:rsidRPr="008E6AC3">
        <w:rPr>
          <w:rFonts w:ascii="Times New Roman" w:eastAsia="Times New Roman" w:hAnsi="Times New Roman" w:cs="Times New Roman"/>
          <w:sz w:val="24"/>
          <w:szCs w:val="24"/>
          <w:lang w:eastAsia="en-GB"/>
        </w:rPr>
        <w:t xml:space="preserve"> and colleagues (2019) found that people who relied on GPS while navigating a route subsequently built a noticeably weaker mental map of the area than those who found their own way, suggesting that handing navigation over to a digital system — even a fairly simple one — gets in the way of building the cognitive maps that independent spatial reasoning depends on.</w:t>
      </w:r>
    </w:p>
    <w:p w14:paraId="14203657"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AI-generated responses raise the stakes further, simply because of how they are presented. A search engine returns a list of sources that still have to be read, weighed, and pieced together; a conversational AI system, by contrast, hands over a single, fluent answer with the synthesis already done. That format likely makes users even less inclined to evaluate the content critically or to internalise it themselves, since the hard part of the job has visibly already happened somewhere else. Firth and colleagues (2019), reviewing neuroimaging and behavioural evidence, suggested that sustained internet use may bring about functional changes in the neural systems underpinning attention and memory consolidation — including reduced sustained attention and altered engagement of working memory. If anything, the fluency and ease of AI-mediated information access seem more likely to intensify these effects than soften them.</w:t>
      </w:r>
    </w:p>
    <w:p w14:paraId="32D16713" w14:textId="77777777" w:rsidR="008E6AC3" w:rsidRPr="008E6AC3" w:rsidRDefault="008E6AC3" w:rsidP="008E6A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lastRenderedPageBreak/>
        <w:t>4.2 Attention and Multitasking</w:t>
      </w:r>
    </w:p>
    <w:p w14:paraId="266C089D"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Attentional control — the ability to direct and hold cognitive resources on something one has chosen to focus on — is one of the capacities most clearly affected by heavy digital technology use. Ophir and colleagues (2009) found that people who habitually multitasked across media were worse, not better, at filtering out irrelevant information and switching between tasks than light multitaskers, which suggests that habitual multitasking reshapes attentional architecture for the worse rather than training it for the better. Ward and colleagues (2017) found something even more striking: simply having a silenced smartphone sitting on the desk reduced the cognitive capacity participants could bring to working memory and fluid intelligence tasks, even among those who reported not thinking about the device at all. The implication for AI-embedded devices, which are persistently and actively present in a way an inert phone is not, is fairly direct.</w:t>
      </w:r>
    </w:p>
    <w:p w14:paraId="1993382B"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 xml:space="preserve">Wilmer and colleagues (2017), reviewing both laboratory and naturalistic studies, concluded that the link between heavy smartphone use and reduced working memory, attention, and impulse control holds up reasonably well across the literature — though, as with most cross-sectional work, establishing which way the causal arrow points </w:t>
      </w:r>
      <w:proofErr w:type="gramStart"/>
      <w:r w:rsidRPr="008E6AC3">
        <w:rPr>
          <w:rFonts w:ascii="Times New Roman" w:eastAsia="Times New Roman" w:hAnsi="Times New Roman" w:cs="Times New Roman"/>
          <w:sz w:val="24"/>
          <w:szCs w:val="24"/>
          <w:lang w:eastAsia="en-GB"/>
        </w:rPr>
        <w:t>remains</w:t>
      </w:r>
      <w:proofErr w:type="gramEnd"/>
      <w:r w:rsidRPr="008E6AC3">
        <w:rPr>
          <w:rFonts w:ascii="Times New Roman" w:eastAsia="Times New Roman" w:hAnsi="Times New Roman" w:cs="Times New Roman"/>
          <w:sz w:val="24"/>
          <w:szCs w:val="24"/>
          <w:lang w:eastAsia="en-GB"/>
        </w:rPr>
        <w:t xml:space="preserve"> genuinely difficult. Small and colleagues (2020) looked at the neurological side of the question and reported changes in prefrontal cortex activity associated with prolonged screen engagement, which they interpreted as possible adaptations in the brain's attentional regulatory systems. The neurological picture is still preliminary, but the behavioural evidence is more consistent: persistent offloading to digital tools appears to reshape attentional habits in ways that leave less capacity for sustained, uninterrupted focus.</w:t>
      </w:r>
    </w:p>
    <w:p w14:paraId="3FDE87E3"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Attention matters here for more than performance scores; it underlies memory consolidation, creative incubation, and the kind of deep comprehension that takes time to settle. Baird and colleagues (2012) showed that periods of mind wandering — which constant device engagement leaves little room for — actually support creative problem-solving, by allowing associative processes to run that focused attention tends to suppress. The broader shift toward near-permanent connectivity, much of it driven by AI systems designed to hold attention rather than release it, may therefore have knock-on effects for creativity and insight that experimental studies narrowly focused on attentional performance have not yet fully captured.</w:t>
      </w:r>
    </w:p>
    <w:p w14:paraId="570FE721" w14:textId="77777777" w:rsidR="008E6AC3" w:rsidRPr="008E6AC3" w:rsidRDefault="008E6AC3" w:rsidP="008E6A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4.3 Decision-Making and Algorithmic Reliance</w:t>
      </w:r>
    </w:p>
    <w:p w14:paraId="1822CAC3"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Decision-making is perhaps the domain where AI-assisted offloading carries the highest stakes, and also the one where the psychology is most tangled. Human judgement is well known to rely on heuristics and biases that often lead to suboptimal choices (Kruger &amp; Dunning, 1999), and AI systems trained on large datasets and optimised for predictive accuracy can, in structured domains at least, outperform human intuition. What complicates matters is that people do not respond to algorithmic advice in any single, predictable way — neither uniform deference nor uniform suspicion describes how most people actually behave.</w:t>
      </w:r>
    </w:p>
    <w:p w14:paraId="09C9524A"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8E6AC3">
        <w:rPr>
          <w:rFonts w:ascii="Times New Roman" w:eastAsia="Times New Roman" w:hAnsi="Times New Roman" w:cs="Times New Roman"/>
          <w:sz w:val="24"/>
          <w:szCs w:val="24"/>
          <w:lang w:eastAsia="en-GB"/>
        </w:rPr>
        <w:t>Dietvorst</w:t>
      </w:r>
      <w:proofErr w:type="spellEnd"/>
      <w:r w:rsidRPr="008E6AC3">
        <w:rPr>
          <w:rFonts w:ascii="Times New Roman" w:eastAsia="Times New Roman" w:hAnsi="Times New Roman" w:cs="Times New Roman"/>
          <w:sz w:val="24"/>
          <w:szCs w:val="24"/>
          <w:lang w:eastAsia="en-GB"/>
        </w:rPr>
        <w:t xml:space="preserve"> and colleagues (2015) gave one half of this picture a name: algorithm aversion, the tendency to abandon an algorithm's predictions the moment it gets something wrong, even when it has been outperforming human forecasters all along. Logg and colleagues (2019) described what looks like its mirror image, algorithm appreciation, in which people — especially those without much expertise in the relevant domain — actually prefer algorithmic </w:t>
      </w:r>
      <w:r w:rsidRPr="008E6AC3">
        <w:rPr>
          <w:rFonts w:ascii="Times New Roman" w:eastAsia="Times New Roman" w:hAnsi="Times New Roman" w:cs="Times New Roman"/>
          <w:sz w:val="24"/>
          <w:szCs w:val="24"/>
          <w:lang w:eastAsia="en-GB"/>
        </w:rPr>
        <w:lastRenderedPageBreak/>
        <w:t>advice to human recommendations. That both tendencies show up in the literature, sometimes in the same population under different conditions, suggests reliance on AI for decision support is genuinely variable rather than reducible to a single rule of thumb about trust.</w:t>
      </w:r>
    </w:p>
    <w:p w14:paraId="0B66A43F"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A more systematic worry is automation bias: the tendency to over-rely on an automated system's output, accepting it readily while missing errors that conflict with other, non-automated information sitting right in front of the decision-maker (</w:t>
      </w:r>
      <w:proofErr w:type="spellStart"/>
      <w:r w:rsidRPr="008E6AC3">
        <w:rPr>
          <w:rFonts w:ascii="Times New Roman" w:eastAsia="Times New Roman" w:hAnsi="Times New Roman" w:cs="Times New Roman"/>
          <w:sz w:val="24"/>
          <w:szCs w:val="24"/>
          <w:lang w:eastAsia="en-GB"/>
        </w:rPr>
        <w:t>Skitka</w:t>
      </w:r>
      <w:proofErr w:type="spellEnd"/>
      <w:r w:rsidRPr="008E6AC3">
        <w:rPr>
          <w:rFonts w:ascii="Times New Roman" w:eastAsia="Times New Roman" w:hAnsi="Times New Roman" w:cs="Times New Roman"/>
          <w:sz w:val="24"/>
          <w:szCs w:val="24"/>
          <w:lang w:eastAsia="en-GB"/>
        </w:rPr>
        <w:t xml:space="preserve"> et al., 1999). Parasuraman and </w:t>
      </w:r>
      <w:proofErr w:type="spellStart"/>
      <w:r w:rsidRPr="008E6AC3">
        <w:rPr>
          <w:rFonts w:ascii="Times New Roman" w:eastAsia="Times New Roman" w:hAnsi="Times New Roman" w:cs="Times New Roman"/>
          <w:sz w:val="24"/>
          <w:szCs w:val="24"/>
          <w:lang w:eastAsia="en-GB"/>
        </w:rPr>
        <w:t>Manzey</w:t>
      </w:r>
      <w:proofErr w:type="spellEnd"/>
      <w:r w:rsidRPr="008E6AC3">
        <w:rPr>
          <w:rFonts w:ascii="Times New Roman" w:eastAsia="Times New Roman" w:hAnsi="Times New Roman" w:cs="Times New Roman"/>
          <w:sz w:val="24"/>
          <w:szCs w:val="24"/>
          <w:lang w:eastAsia="en-GB"/>
        </w:rPr>
        <w:t xml:space="preserve"> (2010), drawing on decades of human factors research, found this to be a robust and recurring pattern across domains as different as aviation, nuclear power management, and medical diagnosis. As AI systems move into more high-stakes decisions, this becomes a genuine psychological risk — and one likely made worse by how confidently AI outputs tend to be phrased, which can lend them an authority they have not necessarily earned. The well-documented human tendency to attribute minds to non-human agents (</w:t>
      </w:r>
      <w:proofErr w:type="spellStart"/>
      <w:r w:rsidRPr="008E6AC3">
        <w:rPr>
          <w:rFonts w:ascii="Times New Roman" w:eastAsia="Times New Roman" w:hAnsi="Times New Roman" w:cs="Times New Roman"/>
          <w:sz w:val="24"/>
          <w:szCs w:val="24"/>
          <w:lang w:eastAsia="en-GB"/>
        </w:rPr>
        <w:t>Waytz</w:t>
      </w:r>
      <w:proofErr w:type="spellEnd"/>
      <w:r w:rsidRPr="008E6AC3">
        <w:rPr>
          <w:rFonts w:ascii="Times New Roman" w:eastAsia="Times New Roman" w:hAnsi="Times New Roman" w:cs="Times New Roman"/>
          <w:sz w:val="24"/>
          <w:szCs w:val="24"/>
          <w:lang w:eastAsia="en-GB"/>
        </w:rPr>
        <w:t xml:space="preserve"> et al., 2010) compounds the problem further, inflating how trustworthy a system seems and, with it, how readily people defer to it.</w:t>
      </w:r>
    </w:p>
    <w:p w14:paraId="7BB7C3AC"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Table 2 pulls together the major cognitive mechanisms discussed so far, along with the evidence behind each. A pattern runs through all of them: the more completely a function is handed over, and the more fluently the external system performs it, the less internal engagement the user tends to invest — and with that comes a corresponding rise in the risk of dependency, skill atrophy, and uncritical acceptance of whatever the system produces.</w:t>
      </w:r>
    </w:p>
    <w:p w14:paraId="53DAA5EE" w14:textId="77777777" w:rsidR="008E6AC3" w:rsidRPr="008E6AC3" w:rsidRDefault="008E6AC3" w:rsidP="008E6AC3">
      <w:pPr>
        <w:spacing w:after="0" w:line="240" w:lineRule="auto"/>
        <w:rPr>
          <w:rFonts w:ascii="Times New Roman" w:eastAsia="Times New Roman" w:hAnsi="Times New Roman" w:cs="Times New Roman"/>
          <w:sz w:val="24"/>
          <w:szCs w:val="24"/>
          <w:lang w:eastAsia="en-GB"/>
        </w:rPr>
      </w:pPr>
    </w:p>
    <w:p w14:paraId="061C6C76"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b/>
          <w:bCs/>
          <w:sz w:val="24"/>
          <w:szCs w:val="24"/>
          <w:lang w:eastAsia="en-GB"/>
        </w:rPr>
        <w:t>Table 2.</w:t>
      </w:r>
      <w:r w:rsidRPr="008E6AC3">
        <w:rPr>
          <w:rFonts w:ascii="Times New Roman" w:eastAsia="Times New Roman" w:hAnsi="Times New Roman" w:cs="Times New Roman"/>
          <w:sz w:val="24"/>
          <w:szCs w:val="24"/>
          <w:lang w:eastAsia="en-GB"/>
        </w:rPr>
        <w:t xml:space="preserve"> Major Cognitive Mechanisms of AI-Assisted Offloading and Associated Empirical Evidence</w:t>
      </w:r>
    </w:p>
    <w:tbl>
      <w:tblPr>
        <w:tblStyle w:val="TableGrid"/>
        <w:tblW w:w="0" w:type="auto"/>
        <w:tblLook w:val="04A0" w:firstRow="1" w:lastRow="0" w:firstColumn="1" w:lastColumn="0" w:noHBand="0" w:noVBand="1"/>
      </w:tblPr>
      <w:tblGrid>
        <w:gridCol w:w="1440"/>
        <w:gridCol w:w="2159"/>
        <w:gridCol w:w="3173"/>
        <w:gridCol w:w="2470"/>
      </w:tblGrid>
      <w:tr w:rsidR="008E6AC3" w:rsidRPr="008E6AC3" w14:paraId="540C4267" w14:textId="77777777" w:rsidTr="009D291A">
        <w:tc>
          <w:tcPr>
            <w:tcW w:w="0" w:type="auto"/>
            <w:hideMark/>
          </w:tcPr>
          <w:p w14:paraId="0B79ABE9" w14:textId="77777777" w:rsidR="008E6AC3" w:rsidRPr="008E6AC3" w:rsidRDefault="008E6AC3" w:rsidP="008E6AC3">
            <w:pPr>
              <w:jc w:val="center"/>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Cognitive Domain</w:t>
            </w:r>
          </w:p>
        </w:tc>
        <w:tc>
          <w:tcPr>
            <w:tcW w:w="0" w:type="auto"/>
            <w:hideMark/>
          </w:tcPr>
          <w:p w14:paraId="55C4B03B" w14:textId="77777777" w:rsidR="008E6AC3" w:rsidRPr="008E6AC3" w:rsidRDefault="008E6AC3" w:rsidP="008E6AC3">
            <w:pPr>
              <w:jc w:val="center"/>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Mechanism</w:t>
            </w:r>
          </w:p>
        </w:tc>
        <w:tc>
          <w:tcPr>
            <w:tcW w:w="0" w:type="auto"/>
            <w:hideMark/>
          </w:tcPr>
          <w:p w14:paraId="75A9B62D" w14:textId="77777777" w:rsidR="008E6AC3" w:rsidRPr="008E6AC3" w:rsidRDefault="008E6AC3" w:rsidP="008E6AC3">
            <w:pPr>
              <w:jc w:val="center"/>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Observed Effect</w:t>
            </w:r>
          </w:p>
        </w:tc>
        <w:tc>
          <w:tcPr>
            <w:tcW w:w="0" w:type="auto"/>
            <w:hideMark/>
          </w:tcPr>
          <w:p w14:paraId="0ABEC806" w14:textId="77777777" w:rsidR="008E6AC3" w:rsidRPr="008E6AC3" w:rsidRDefault="008E6AC3" w:rsidP="008E6AC3">
            <w:pPr>
              <w:jc w:val="center"/>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Key Evidence</w:t>
            </w:r>
          </w:p>
        </w:tc>
      </w:tr>
      <w:tr w:rsidR="008E6AC3" w:rsidRPr="008E6AC3" w14:paraId="3764045D" w14:textId="77777777" w:rsidTr="009D291A">
        <w:tc>
          <w:tcPr>
            <w:tcW w:w="0" w:type="auto"/>
            <w:hideMark/>
          </w:tcPr>
          <w:p w14:paraId="755C5A68"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Memory</w:t>
            </w:r>
          </w:p>
        </w:tc>
        <w:tc>
          <w:tcPr>
            <w:tcW w:w="0" w:type="auto"/>
            <w:hideMark/>
          </w:tcPr>
          <w:p w14:paraId="730544AF"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Encoding reduction</w:t>
            </w:r>
          </w:p>
        </w:tc>
        <w:tc>
          <w:tcPr>
            <w:tcW w:w="0" w:type="auto"/>
            <w:hideMark/>
          </w:tcPr>
          <w:p w14:paraId="2C28E5FC"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Reduced consolidation when external storage is available</w:t>
            </w:r>
          </w:p>
        </w:tc>
        <w:tc>
          <w:tcPr>
            <w:tcW w:w="0" w:type="auto"/>
            <w:hideMark/>
          </w:tcPr>
          <w:p w14:paraId="380BCA7E"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Sparrow et al. (2011); Henkel (2014)</w:t>
            </w:r>
          </w:p>
        </w:tc>
      </w:tr>
      <w:tr w:rsidR="008E6AC3" w:rsidRPr="008E6AC3" w14:paraId="59E297E1" w14:textId="77777777" w:rsidTr="009D291A">
        <w:tc>
          <w:tcPr>
            <w:tcW w:w="0" w:type="auto"/>
            <w:hideMark/>
          </w:tcPr>
          <w:p w14:paraId="13082D4B"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Memory</w:t>
            </w:r>
          </w:p>
        </w:tc>
        <w:tc>
          <w:tcPr>
            <w:tcW w:w="0" w:type="auto"/>
            <w:hideMark/>
          </w:tcPr>
          <w:p w14:paraId="3BBE50FE"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Locational meta-memory shift</w:t>
            </w:r>
          </w:p>
        </w:tc>
        <w:tc>
          <w:tcPr>
            <w:tcW w:w="0" w:type="auto"/>
            <w:hideMark/>
          </w:tcPr>
          <w:p w14:paraId="0F35E356"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Location of information encoded in preference to its content</w:t>
            </w:r>
          </w:p>
        </w:tc>
        <w:tc>
          <w:tcPr>
            <w:tcW w:w="0" w:type="auto"/>
            <w:hideMark/>
          </w:tcPr>
          <w:p w14:paraId="215F2386"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Sparrow et al. (2011)</w:t>
            </w:r>
          </w:p>
        </w:tc>
      </w:tr>
      <w:tr w:rsidR="008E6AC3" w:rsidRPr="008E6AC3" w14:paraId="52750BFA" w14:textId="77777777" w:rsidTr="009D291A">
        <w:tc>
          <w:tcPr>
            <w:tcW w:w="0" w:type="auto"/>
            <w:hideMark/>
          </w:tcPr>
          <w:p w14:paraId="64E98886"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Memory</w:t>
            </w:r>
          </w:p>
        </w:tc>
        <w:tc>
          <w:tcPr>
            <w:tcW w:w="0" w:type="auto"/>
            <w:hideMark/>
          </w:tcPr>
          <w:p w14:paraId="6E276B32"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Saving-enhanced memory</w:t>
            </w:r>
          </w:p>
        </w:tc>
        <w:tc>
          <w:tcPr>
            <w:tcW w:w="0" w:type="auto"/>
            <w:hideMark/>
          </w:tcPr>
          <w:p w14:paraId="79485A4B"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Saving frees resources, improving encoding of new subsequent information</w:t>
            </w:r>
          </w:p>
        </w:tc>
        <w:tc>
          <w:tcPr>
            <w:tcW w:w="0" w:type="auto"/>
            <w:hideMark/>
          </w:tcPr>
          <w:p w14:paraId="67BCD645"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Storm &amp; Stone (2015)</w:t>
            </w:r>
          </w:p>
        </w:tc>
      </w:tr>
      <w:tr w:rsidR="008E6AC3" w:rsidRPr="008E6AC3" w14:paraId="06035361" w14:textId="77777777" w:rsidTr="009D291A">
        <w:tc>
          <w:tcPr>
            <w:tcW w:w="0" w:type="auto"/>
            <w:hideMark/>
          </w:tcPr>
          <w:p w14:paraId="6F5959C6"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Spatial memory</w:t>
            </w:r>
          </w:p>
        </w:tc>
        <w:tc>
          <w:tcPr>
            <w:tcW w:w="0" w:type="auto"/>
            <w:hideMark/>
          </w:tcPr>
          <w:p w14:paraId="51D5E69B"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Environmental encoding reduction</w:t>
            </w:r>
          </w:p>
        </w:tc>
        <w:tc>
          <w:tcPr>
            <w:tcW w:w="0" w:type="auto"/>
            <w:hideMark/>
          </w:tcPr>
          <w:p w14:paraId="15FCB4E2"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GPS reliance impairs spatial knowledge acquisition</w:t>
            </w:r>
          </w:p>
        </w:tc>
        <w:tc>
          <w:tcPr>
            <w:tcW w:w="0" w:type="auto"/>
            <w:hideMark/>
          </w:tcPr>
          <w:p w14:paraId="1AB3FD26" w14:textId="77777777" w:rsidR="008E6AC3" w:rsidRPr="008E6AC3" w:rsidRDefault="008E6AC3" w:rsidP="008E6AC3">
            <w:pPr>
              <w:rPr>
                <w:rFonts w:ascii="Times New Roman" w:eastAsia="Times New Roman" w:hAnsi="Times New Roman" w:cs="Times New Roman"/>
                <w:sz w:val="24"/>
                <w:szCs w:val="24"/>
                <w:lang w:eastAsia="en-GB"/>
              </w:rPr>
            </w:pPr>
            <w:proofErr w:type="spellStart"/>
            <w:r w:rsidRPr="008E6AC3">
              <w:rPr>
                <w:rFonts w:ascii="Times New Roman" w:eastAsia="Times New Roman" w:hAnsi="Times New Roman" w:cs="Times New Roman"/>
                <w:sz w:val="24"/>
                <w:szCs w:val="24"/>
                <w:lang w:eastAsia="en-GB"/>
              </w:rPr>
              <w:t>Ruginski</w:t>
            </w:r>
            <w:proofErr w:type="spellEnd"/>
            <w:r w:rsidRPr="008E6AC3">
              <w:rPr>
                <w:rFonts w:ascii="Times New Roman" w:eastAsia="Times New Roman" w:hAnsi="Times New Roman" w:cs="Times New Roman"/>
                <w:sz w:val="24"/>
                <w:szCs w:val="24"/>
                <w:lang w:eastAsia="en-GB"/>
              </w:rPr>
              <w:t xml:space="preserve"> et al. (2019)</w:t>
            </w:r>
          </w:p>
        </w:tc>
      </w:tr>
      <w:tr w:rsidR="008E6AC3" w:rsidRPr="008E6AC3" w14:paraId="1402134D" w14:textId="77777777" w:rsidTr="009D291A">
        <w:tc>
          <w:tcPr>
            <w:tcW w:w="0" w:type="auto"/>
            <w:hideMark/>
          </w:tcPr>
          <w:p w14:paraId="48A26909"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Attention</w:t>
            </w:r>
          </w:p>
        </w:tc>
        <w:tc>
          <w:tcPr>
            <w:tcW w:w="0" w:type="auto"/>
            <w:hideMark/>
          </w:tcPr>
          <w:p w14:paraId="19A44BF9"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Passive attentional capture</w:t>
            </w:r>
          </w:p>
        </w:tc>
        <w:tc>
          <w:tcPr>
            <w:tcW w:w="0" w:type="auto"/>
            <w:hideMark/>
          </w:tcPr>
          <w:p w14:paraId="4F0350CB"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Proximate devices reduce cognitive capacity even when inactive</w:t>
            </w:r>
          </w:p>
        </w:tc>
        <w:tc>
          <w:tcPr>
            <w:tcW w:w="0" w:type="auto"/>
            <w:hideMark/>
          </w:tcPr>
          <w:p w14:paraId="4D3F6492" w14:textId="77777777" w:rsidR="008E6AC3" w:rsidRPr="008E6AC3" w:rsidRDefault="008E6AC3" w:rsidP="008E6AC3">
            <w:pPr>
              <w:rPr>
                <w:rFonts w:ascii="Times New Roman" w:eastAsia="Times New Roman" w:hAnsi="Times New Roman" w:cs="Times New Roman"/>
                <w:sz w:val="24"/>
                <w:szCs w:val="24"/>
                <w:lang w:eastAsia="en-GB"/>
              </w:rPr>
            </w:pPr>
            <w:r w:rsidRPr="00931737">
              <w:rPr>
                <w:rFonts w:ascii="Times New Roman" w:eastAsia="Times New Roman" w:hAnsi="Times New Roman" w:cs="Times New Roman"/>
                <w:sz w:val="24"/>
                <w:szCs w:val="24"/>
                <w:lang w:val="nl-BE" w:eastAsia="en-GB"/>
              </w:rPr>
              <w:t xml:space="preserve">Ward et al. (2017); Wilmer et al. </w:t>
            </w:r>
            <w:r w:rsidRPr="008E6AC3">
              <w:rPr>
                <w:rFonts w:ascii="Times New Roman" w:eastAsia="Times New Roman" w:hAnsi="Times New Roman" w:cs="Times New Roman"/>
                <w:sz w:val="24"/>
                <w:szCs w:val="24"/>
                <w:lang w:eastAsia="en-GB"/>
              </w:rPr>
              <w:t>(2017)</w:t>
            </w:r>
          </w:p>
        </w:tc>
      </w:tr>
      <w:tr w:rsidR="008E6AC3" w:rsidRPr="008E6AC3" w14:paraId="53B342A8" w14:textId="77777777" w:rsidTr="009D291A">
        <w:tc>
          <w:tcPr>
            <w:tcW w:w="0" w:type="auto"/>
            <w:hideMark/>
          </w:tcPr>
          <w:p w14:paraId="2EAB37C8"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Attention</w:t>
            </w:r>
          </w:p>
        </w:tc>
        <w:tc>
          <w:tcPr>
            <w:tcW w:w="0" w:type="auto"/>
            <w:hideMark/>
          </w:tcPr>
          <w:p w14:paraId="7987C014"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Multitasking decrement</w:t>
            </w:r>
          </w:p>
        </w:tc>
        <w:tc>
          <w:tcPr>
            <w:tcW w:w="0" w:type="auto"/>
            <w:hideMark/>
          </w:tcPr>
          <w:p w14:paraId="67E0C9F5"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Heavy multitaskers show reduced filtering and task-switching</w:t>
            </w:r>
          </w:p>
        </w:tc>
        <w:tc>
          <w:tcPr>
            <w:tcW w:w="0" w:type="auto"/>
            <w:hideMark/>
          </w:tcPr>
          <w:p w14:paraId="35B09E3C"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Ophir et al. (2009)</w:t>
            </w:r>
          </w:p>
        </w:tc>
      </w:tr>
      <w:tr w:rsidR="008E6AC3" w:rsidRPr="007703BF" w14:paraId="361D3BA4" w14:textId="77777777" w:rsidTr="009D291A">
        <w:tc>
          <w:tcPr>
            <w:tcW w:w="0" w:type="auto"/>
            <w:hideMark/>
          </w:tcPr>
          <w:p w14:paraId="1F10FF39"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Decision-making</w:t>
            </w:r>
          </w:p>
        </w:tc>
        <w:tc>
          <w:tcPr>
            <w:tcW w:w="0" w:type="auto"/>
            <w:hideMark/>
          </w:tcPr>
          <w:p w14:paraId="6A1BFF87"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Automation bias</w:t>
            </w:r>
          </w:p>
        </w:tc>
        <w:tc>
          <w:tcPr>
            <w:tcW w:w="0" w:type="auto"/>
            <w:hideMark/>
          </w:tcPr>
          <w:p w14:paraId="4F26C55E"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Over-reliance on algorithmic outputs; failure to detect errors</w:t>
            </w:r>
          </w:p>
        </w:tc>
        <w:tc>
          <w:tcPr>
            <w:tcW w:w="0" w:type="auto"/>
            <w:hideMark/>
          </w:tcPr>
          <w:p w14:paraId="1D6E937F" w14:textId="77777777" w:rsidR="008E6AC3" w:rsidRPr="007D73C7" w:rsidRDefault="008E6AC3" w:rsidP="008E6AC3">
            <w:pPr>
              <w:rPr>
                <w:rFonts w:ascii="Times New Roman" w:eastAsia="Times New Roman" w:hAnsi="Times New Roman" w:cs="Times New Roman"/>
                <w:sz w:val="24"/>
                <w:szCs w:val="24"/>
                <w:lang w:val="es-US" w:eastAsia="en-GB"/>
              </w:rPr>
            </w:pPr>
            <w:r w:rsidRPr="007D73C7">
              <w:rPr>
                <w:rFonts w:ascii="Times New Roman" w:eastAsia="Times New Roman" w:hAnsi="Times New Roman" w:cs="Times New Roman"/>
                <w:sz w:val="24"/>
                <w:szCs w:val="24"/>
                <w:lang w:val="es-US" w:eastAsia="en-GB"/>
              </w:rPr>
              <w:t>Skitka et al. (1999); Parasuraman &amp; Manzey (2010)</w:t>
            </w:r>
          </w:p>
        </w:tc>
      </w:tr>
      <w:tr w:rsidR="008E6AC3" w:rsidRPr="008E6AC3" w14:paraId="34E1971B" w14:textId="77777777" w:rsidTr="009D291A">
        <w:tc>
          <w:tcPr>
            <w:tcW w:w="0" w:type="auto"/>
            <w:hideMark/>
          </w:tcPr>
          <w:p w14:paraId="1A85C784"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Decision-making</w:t>
            </w:r>
          </w:p>
        </w:tc>
        <w:tc>
          <w:tcPr>
            <w:tcW w:w="0" w:type="auto"/>
            <w:hideMark/>
          </w:tcPr>
          <w:p w14:paraId="1943CAA1"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Algorithm aversion</w:t>
            </w:r>
          </w:p>
        </w:tc>
        <w:tc>
          <w:tcPr>
            <w:tcW w:w="0" w:type="auto"/>
            <w:hideMark/>
          </w:tcPr>
          <w:p w14:paraId="58C13464"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 xml:space="preserve">Abandonment of algorithms following a single observed </w:t>
            </w:r>
            <w:r w:rsidRPr="008E6AC3">
              <w:rPr>
                <w:rFonts w:ascii="Times New Roman" w:eastAsia="Times New Roman" w:hAnsi="Times New Roman" w:cs="Times New Roman"/>
                <w:sz w:val="24"/>
                <w:szCs w:val="24"/>
                <w:lang w:eastAsia="en-GB"/>
              </w:rPr>
              <w:lastRenderedPageBreak/>
              <w:t>error</w:t>
            </w:r>
          </w:p>
        </w:tc>
        <w:tc>
          <w:tcPr>
            <w:tcW w:w="0" w:type="auto"/>
            <w:hideMark/>
          </w:tcPr>
          <w:p w14:paraId="0703B91F" w14:textId="77777777" w:rsidR="008E6AC3" w:rsidRPr="008E6AC3" w:rsidRDefault="008E6AC3" w:rsidP="008E6AC3">
            <w:pPr>
              <w:rPr>
                <w:rFonts w:ascii="Times New Roman" w:eastAsia="Times New Roman" w:hAnsi="Times New Roman" w:cs="Times New Roman"/>
                <w:sz w:val="24"/>
                <w:szCs w:val="24"/>
                <w:lang w:eastAsia="en-GB"/>
              </w:rPr>
            </w:pPr>
            <w:proofErr w:type="spellStart"/>
            <w:r w:rsidRPr="008E6AC3">
              <w:rPr>
                <w:rFonts w:ascii="Times New Roman" w:eastAsia="Times New Roman" w:hAnsi="Times New Roman" w:cs="Times New Roman"/>
                <w:sz w:val="24"/>
                <w:szCs w:val="24"/>
                <w:lang w:eastAsia="en-GB"/>
              </w:rPr>
              <w:lastRenderedPageBreak/>
              <w:t>Dietvorst</w:t>
            </w:r>
            <w:proofErr w:type="spellEnd"/>
            <w:r w:rsidRPr="008E6AC3">
              <w:rPr>
                <w:rFonts w:ascii="Times New Roman" w:eastAsia="Times New Roman" w:hAnsi="Times New Roman" w:cs="Times New Roman"/>
                <w:sz w:val="24"/>
                <w:szCs w:val="24"/>
                <w:lang w:eastAsia="en-GB"/>
              </w:rPr>
              <w:t xml:space="preserve"> et al. (2015)</w:t>
            </w:r>
          </w:p>
        </w:tc>
      </w:tr>
      <w:tr w:rsidR="008E6AC3" w:rsidRPr="008E6AC3" w14:paraId="23A7A449" w14:textId="77777777" w:rsidTr="009D291A">
        <w:tc>
          <w:tcPr>
            <w:tcW w:w="0" w:type="auto"/>
            <w:hideMark/>
          </w:tcPr>
          <w:p w14:paraId="4D6EAD2A"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Decision-making</w:t>
            </w:r>
          </w:p>
        </w:tc>
        <w:tc>
          <w:tcPr>
            <w:tcW w:w="0" w:type="auto"/>
            <w:hideMark/>
          </w:tcPr>
          <w:p w14:paraId="29F6139A"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Algorithm appreciation</w:t>
            </w:r>
          </w:p>
        </w:tc>
        <w:tc>
          <w:tcPr>
            <w:tcW w:w="0" w:type="auto"/>
            <w:hideMark/>
          </w:tcPr>
          <w:p w14:paraId="605AD1A3"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Preference for algorithmic advice among less expert users</w:t>
            </w:r>
          </w:p>
        </w:tc>
        <w:tc>
          <w:tcPr>
            <w:tcW w:w="0" w:type="auto"/>
            <w:hideMark/>
          </w:tcPr>
          <w:p w14:paraId="17293A20"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Logg et al. (2019)</w:t>
            </w:r>
          </w:p>
        </w:tc>
      </w:tr>
    </w:tbl>
    <w:p w14:paraId="71564302"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i/>
          <w:iCs/>
          <w:sz w:val="24"/>
          <w:szCs w:val="24"/>
          <w:lang w:eastAsia="en-GB"/>
        </w:rPr>
        <w:t>Sources:</w:t>
      </w:r>
      <w:r w:rsidRPr="008E6AC3">
        <w:rPr>
          <w:rFonts w:ascii="Times New Roman" w:eastAsia="Times New Roman" w:hAnsi="Times New Roman" w:cs="Times New Roman"/>
          <w:sz w:val="24"/>
          <w:szCs w:val="24"/>
          <w:lang w:eastAsia="en-GB"/>
        </w:rPr>
        <w:t xml:space="preserve"> Sparrow et al. (2011); Henkel (2014); Storm and Stone (2015); </w:t>
      </w:r>
      <w:proofErr w:type="spellStart"/>
      <w:r w:rsidRPr="008E6AC3">
        <w:rPr>
          <w:rFonts w:ascii="Times New Roman" w:eastAsia="Times New Roman" w:hAnsi="Times New Roman" w:cs="Times New Roman"/>
          <w:sz w:val="24"/>
          <w:szCs w:val="24"/>
          <w:lang w:eastAsia="en-GB"/>
        </w:rPr>
        <w:t>Ruginski</w:t>
      </w:r>
      <w:proofErr w:type="spellEnd"/>
      <w:r w:rsidRPr="008E6AC3">
        <w:rPr>
          <w:rFonts w:ascii="Times New Roman" w:eastAsia="Times New Roman" w:hAnsi="Times New Roman" w:cs="Times New Roman"/>
          <w:sz w:val="24"/>
          <w:szCs w:val="24"/>
          <w:lang w:eastAsia="en-GB"/>
        </w:rPr>
        <w:t xml:space="preserve"> et al. </w:t>
      </w:r>
      <w:r w:rsidRPr="00931737">
        <w:rPr>
          <w:rFonts w:ascii="Times New Roman" w:eastAsia="Times New Roman" w:hAnsi="Times New Roman" w:cs="Times New Roman"/>
          <w:sz w:val="24"/>
          <w:szCs w:val="24"/>
          <w:lang w:val="nl-BE" w:eastAsia="en-GB"/>
        </w:rPr>
        <w:t xml:space="preserve">(2019); Ward et al. (2017); Wilmer et al. (2017); Ophir et al. (2009); Skitka et al. </w:t>
      </w:r>
      <w:r w:rsidRPr="008E6AC3">
        <w:rPr>
          <w:rFonts w:ascii="Times New Roman" w:eastAsia="Times New Roman" w:hAnsi="Times New Roman" w:cs="Times New Roman"/>
          <w:sz w:val="24"/>
          <w:szCs w:val="24"/>
          <w:lang w:eastAsia="en-GB"/>
        </w:rPr>
        <w:t xml:space="preserve">(1999); Parasuraman and </w:t>
      </w:r>
      <w:proofErr w:type="spellStart"/>
      <w:r w:rsidRPr="008E6AC3">
        <w:rPr>
          <w:rFonts w:ascii="Times New Roman" w:eastAsia="Times New Roman" w:hAnsi="Times New Roman" w:cs="Times New Roman"/>
          <w:sz w:val="24"/>
          <w:szCs w:val="24"/>
          <w:lang w:eastAsia="en-GB"/>
        </w:rPr>
        <w:t>Manzey</w:t>
      </w:r>
      <w:proofErr w:type="spellEnd"/>
      <w:r w:rsidRPr="008E6AC3">
        <w:rPr>
          <w:rFonts w:ascii="Times New Roman" w:eastAsia="Times New Roman" w:hAnsi="Times New Roman" w:cs="Times New Roman"/>
          <w:sz w:val="24"/>
          <w:szCs w:val="24"/>
          <w:lang w:eastAsia="en-GB"/>
        </w:rPr>
        <w:t xml:space="preserve"> (2010); </w:t>
      </w:r>
      <w:proofErr w:type="spellStart"/>
      <w:r w:rsidRPr="008E6AC3">
        <w:rPr>
          <w:rFonts w:ascii="Times New Roman" w:eastAsia="Times New Roman" w:hAnsi="Times New Roman" w:cs="Times New Roman"/>
          <w:sz w:val="24"/>
          <w:szCs w:val="24"/>
          <w:lang w:eastAsia="en-GB"/>
        </w:rPr>
        <w:t>Dietvorst</w:t>
      </w:r>
      <w:proofErr w:type="spellEnd"/>
      <w:r w:rsidRPr="008E6AC3">
        <w:rPr>
          <w:rFonts w:ascii="Times New Roman" w:eastAsia="Times New Roman" w:hAnsi="Times New Roman" w:cs="Times New Roman"/>
          <w:sz w:val="24"/>
          <w:szCs w:val="24"/>
          <w:lang w:eastAsia="en-GB"/>
        </w:rPr>
        <w:t xml:space="preserve"> et al. (2015); Logg et al. (2019).</w:t>
      </w:r>
    </w:p>
    <w:p w14:paraId="1555904D" w14:textId="77777777" w:rsidR="008E6AC3" w:rsidRPr="008E6AC3" w:rsidRDefault="008E6AC3" w:rsidP="008E6AC3">
      <w:pPr>
        <w:spacing w:after="0" w:line="240" w:lineRule="auto"/>
        <w:rPr>
          <w:rFonts w:ascii="Times New Roman" w:eastAsia="Times New Roman" w:hAnsi="Times New Roman" w:cs="Times New Roman"/>
          <w:sz w:val="24"/>
          <w:szCs w:val="24"/>
          <w:lang w:eastAsia="en-GB"/>
        </w:rPr>
      </w:pPr>
    </w:p>
    <w:p w14:paraId="0E8D9518" w14:textId="77777777" w:rsidR="008E6AC3" w:rsidRPr="008E6AC3" w:rsidRDefault="008E6AC3" w:rsidP="008E6AC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8E6AC3">
        <w:rPr>
          <w:rFonts w:ascii="Times New Roman" w:eastAsia="Times New Roman" w:hAnsi="Times New Roman" w:cs="Times New Roman"/>
          <w:b/>
          <w:bCs/>
          <w:sz w:val="27"/>
          <w:szCs w:val="27"/>
          <w:lang w:eastAsia="en-GB"/>
        </w:rPr>
        <w:t>5. Psychological Implications of AI-Assisted Cognitive Offloading</w:t>
      </w:r>
    </w:p>
    <w:p w14:paraId="689D7941" w14:textId="77777777" w:rsidR="008E6AC3" w:rsidRPr="008E6AC3" w:rsidRDefault="008E6AC3" w:rsidP="008E6A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5.1 Metacognitive Changes</w:t>
      </w:r>
    </w:p>
    <w:p w14:paraId="7C41B403"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Metacognition — the ability to monitor, evaluate, and regulate one's own thinking — is widely regarded as central to effective learning, problem-solving, and good decision-making (Flavell, 1979). Because it sits at the centre of intellectual functioning more broadly, it is a particularly important place to look when asking how AI-assisted offloading is shaping the mind. If an AI system absorbs the evaluative and monitoring work that metacognition involves, two things could plausibly follow: the skill itself may weaken through disuse, or, more subtly, users may end up with a distorted sense of their own ability.</w:t>
      </w:r>
    </w:p>
    <w:p w14:paraId="7FA3CB86"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This second possibility has an obvious precedent in the Dunning-Kruger effect, the well-replicated finding that people with limited skill in a domain tend to overrate their own competence — partly because recognising one's own gaps requires a degree of expertise that, by definition, the person lacks (Kruger &amp; Dunning, 1999). AI assistance could plausibly produce a similar distortion. Someone who routinely relies on AI-generated text, analysis, or decisions may come to feel more capable than they actually are, mistaking the fluency of the machine's output for evidence of their own thinking. A related risk is what might be called metacognitive outsourcing — not just handing off a task, but handing off the monitoring and evaluation of that task as well. Mueller and Oppenheimer (2014) found exactly this pattern with laptop note-taking: students who typed produced more extensive notes than those who wrote by hand, yet retained and understood less, because typing encourages verbatim transcription rather than the selective, effortful processing that actually builds understanding. AI-assisted note-taking or summarising risks the same trap — a tidy external record, with none of the mental work that would have made it stick.</w:t>
      </w:r>
    </w:p>
    <w:p w14:paraId="49C3DE5F"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The broader metacognitive concern can be summed up as epistemic complacency: a willingness to skip critical evaluation because an AI system seems to have already done that work. Ecker and colleagues (2022), reviewing the psychology of misinformation, found that information which reads fluently — and information from sources that merely sound authoritative — tends to be accepted with less scrutiny than its actual reliability warrants. AI-generated text is, almost by design, fluent, confident, and well-formed, which is exactly the combination of features likely to raise its perceived credibility while lowering the effort users put into checking it.</w:t>
      </w:r>
    </w:p>
    <w:p w14:paraId="7A36C4BD" w14:textId="77777777" w:rsidR="008E6AC3" w:rsidRPr="008E6AC3" w:rsidRDefault="008E6AC3" w:rsidP="008E6A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5.2 Automation Bias and Complacency</w:t>
      </w:r>
    </w:p>
    <w:p w14:paraId="22268BE3"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lastRenderedPageBreak/>
        <w:t xml:space="preserve">Automation bias is not confined to decision-making narrowly defined; it reflects a more general motivational shift toward less effortful monitoring whenever people believe an automated system has oversight covered (Parasuraman &amp; </w:t>
      </w:r>
      <w:proofErr w:type="spellStart"/>
      <w:r w:rsidRPr="008E6AC3">
        <w:rPr>
          <w:rFonts w:ascii="Times New Roman" w:eastAsia="Times New Roman" w:hAnsi="Times New Roman" w:cs="Times New Roman"/>
          <w:sz w:val="24"/>
          <w:szCs w:val="24"/>
          <w:lang w:eastAsia="en-GB"/>
        </w:rPr>
        <w:t>Manzey</w:t>
      </w:r>
      <w:proofErr w:type="spellEnd"/>
      <w:r w:rsidRPr="008E6AC3">
        <w:rPr>
          <w:rFonts w:ascii="Times New Roman" w:eastAsia="Times New Roman" w:hAnsi="Times New Roman" w:cs="Times New Roman"/>
          <w:sz w:val="24"/>
          <w:szCs w:val="24"/>
          <w:lang w:eastAsia="en-GB"/>
        </w:rPr>
        <w:t>, 2010). Parasuraman and colleagues (2000) set out a taxonomy of automation that distinguishes four functions — information acquisition, information analysis, decision selection, and action implementation — and found that vigilance drops most sharply, and complacency risk rises most, at the highest levels of automation, where the system both chooses and carries out actions with little human input.</w:t>
      </w:r>
    </w:p>
    <w:p w14:paraId="3BD13571"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 xml:space="preserve">Many of today's AI systems sit precisely at these higher levels. An assistant that retrieves information, synthesises it, weighs the options, and recommends a course of action is operating at a level the human factors literature would predict to carry real complacency risk. In aviation, medicine, and nuclear safety, complacency-related failures — operators missing system errors or failing to override a bad automated call — have featured in serious incidents (Parasuraman &amp; </w:t>
      </w:r>
      <w:proofErr w:type="spellStart"/>
      <w:r w:rsidRPr="008E6AC3">
        <w:rPr>
          <w:rFonts w:ascii="Times New Roman" w:eastAsia="Times New Roman" w:hAnsi="Times New Roman" w:cs="Times New Roman"/>
          <w:sz w:val="24"/>
          <w:szCs w:val="24"/>
          <w:lang w:eastAsia="en-GB"/>
        </w:rPr>
        <w:t>Manzey</w:t>
      </w:r>
      <w:proofErr w:type="spellEnd"/>
      <w:r w:rsidRPr="008E6AC3">
        <w:rPr>
          <w:rFonts w:ascii="Times New Roman" w:eastAsia="Times New Roman" w:hAnsi="Times New Roman" w:cs="Times New Roman"/>
          <w:sz w:val="24"/>
          <w:szCs w:val="24"/>
          <w:lang w:eastAsia="en-GB"/>
        </w:rPr>
        <w:t>, 2010). As comparable levels of automation move into clinical diagnosis, legal analysis, and financial advice, the same psychological risk follows them in.</w:t>
      </w:r>
    </w:p>
    <w:p w14:paraId="63FC0FCF"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8E6AC3">
        <w:rPr>
          <w:rFonts w:ascii="Times New Roman" w:eastAsia="Times New Roman" w:hAnsi="Times New Roman" w:cs="Times New Roman"/>
          <w:sz w:val="24"/>
          <w:szCs w:val="24"/>
          <w:lang w:eastAsia="en-GB"/>
        </w:rPr>
        <w:t>Skitka</w:t>
      </w:r>
      <w:proofErr w:type="spellEnd"/>
      <w:r w:rsidRPr="008E6AC3">
        <w:rPr>
          <w:rFonts w:ascii="Times New Roman" w:eastAsia="Times New Roman" w:hAnsi="Times New Roman" w:cs="Times New Roman"/>
          <w:sz w:val="24"/>
          <w:szCs w:val="24"/>
          <w:lang w:eastAsia="en-GB"/>
        </w:rPr>
        <w:t xml:space="preserve"> and colleagues (1999) gave a name to a particularly worrying version of this: commission errors, where the operator acts entirely in line with an incorrect automated recommendation, overlooking information that, had it been noticed, would have called for a different response. In their study, participants monitoring a simulated aviation scenario kept following automated advice even when it clearly contradicted </w:t>
      </w:r>
      <w:proofErr w:type="gramStart"/>
      <w:r w:rsidRPr="008E6AC3">
        <w:rPr>
          <w:rFonts w:ascii="Times New Roman" w:eastAsia="Times New Roman" w:hAnsi="Times New Roman" w:cs="Times New Roman"/>
          <w:sz w:val="24"/>
          <w:szCs w:val="24"/>
          <w:lang w:eastAsia="en-GB"/>
        </w:rPr>
        <w:t>information</w:t>
      </w:r>
      <w:proofErr w:type="gramEnd"/>
      <w:r w:rsidRPr="008E6AC3">
        <w:rPr>
          <w:rFonts w:ascii="Times New Roman" w:eastAsia="Times New Roman" w:hAnsi="Times New Roman" w:cs="Times New Roman"/>
          <w:sz w:val="24"/>
          <w:szCs w:val="24"/>
          <w:lang w:eastAsia="en-GB"/>
        </w:rPr>
        <w:t xml:space="preserve"> they had direct access to. The professional analogue is not hard to imagine — users following AI recommendations without bringing in the contextual, experiential, or interpersonal knowledge they actually have, but that the AI has no way of accessing.</w:t>
      </w:r>
    </w:p>
    <w:p w14:paraId="57F75748" w14:textId="77777777" w:rsidR="008E6AC3" w:rsidRPr="008E6AC3" w:rsidRDefault="008E6AC3" w:rsidP="008E6A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5.3 Affective Dimensions: Dependency, Anxiety, and Wellbeing</w:t>
      </w:r>
    </w:p>
    <w:p w14:paraId="46DC5240"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The implications of AI-assisted offloading are not purely cognitive; there is an affective and motivational dimension as well. A growing concern is digital dependency — an escalating reliance on digital tools severe enough that their temporary absence produces anxiety, cognitive disruption, or a real drop in functioning. Clayton and colleagues (2015) studied exactly this in the context of smartphone separation, finding that habitual users asked to complete cognitive tasks without their phones showed heightened anxiety, faster heart rates, and worse performance on tasks demanding working memory and sustained attention. The researchers read this as evidence that the smartphone had effectively become part of the self, so that being without it felt less like an inconvenience and more like a kind of estrangement.</w:t>
      </w:r>
    </w:p>
    <w:p w14:paraId="0D4C4D13"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On the wellbeing question more broadly, Orben and Przybylski (2019) conducted a large specification-curve analysis testing the robustness of the link between adolescent wellbeing and digital technology use across thousands of possible analytical choices. What they found was a real but modest association — comparable, by their own framing, to the relationship between wellbeing and wearing glasses. This finding does useful work in tempering the debate: it pushes back against both the alarmist narrative that digital technology is quietly devastating a generation and the dismissive one that nothing meaningful is going on, and it points instead toward moderation, context, and individual differences as the variables that actually matter (Haidt &amp; Allen, 2020).</w:t>
      </w:r>
    </w:p>
    <w:p w14:paraId="433593FD"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 xml:space="preserve">AI-assisted conversational agents for mental health support add yet another layer of complexity to this picture. Fitzpatrick and colleagues (2017) ran a randomised controlled trial </w:t>
      </w:r>
      <w:r w:rsidRPr="008E6AC3">
        <w:rPr>
          <w:rFonts w:ascii="Times New Roman" w:eastAsia="Times New Roman" w:hAnsi="Times New Roman" w:cs="Times New Roman"/>
          <w:sz w:val="24"/>
          <w:szCs w:val="24"/>
          <w:lang w:eastAsia="en-GB"/>
        </w:rPr>
        <w:lastRenderedPageBreak/>
        <w:t xml:space="preserve">of </w:t>
      </w:r>
      <w:proofErr w:type="spellStart"/>
      <w:r w:rsidRPr="008E6AC3">
        <w:rPr>
          <w:rFonts w:ascii="Times New Roman" w:eastAsia="Times New Roman" w:hAnsi="Times New Roman" w:cs="Times New Roman"/>
          <w:sz w:val="24"/>
          <w:szCs w:val="24"/>
          <w:lang w:eastAsia="en-GB"/>
        </w:rPr>
        <w:t>Woebot</w:t>
      </w:r>
      <w:proofErr w:type="spellEnd"/>
      <w:r w:rsidRPr="008E6AC3">
        <w:rPr>
          <w:rFonts w:ascii="Times New Roman" w:eastAsia="Times New Roman" w:hAnsi="Times New Roman" w:cs="Times New Roman"/>
          <w:sz w:val="24"/>
          <w:szCs w:val="24"/>
          <w:lang w:eastAsia="en-GB"/>
        </w:rPr>
        <w:t>, a fully automated agent delivering cognitive behavioural techniques to university students reporting symptoms of depression and anxiety, and found significantly reduced depression scores at two-week follow-up compared with controls — a genuinely encouraging result. But it leaves open a harder question that applies to the whole category of AI-delivered therapeutic tools: when emotional processing and self-reflection are delegated to a computational agent, is the user building real psychological capacity, or simply learning to comply fluently with a scripted pattern that lacks the relational depth and metacognitive engagement that seem to matter in effective psychotherapy?</w:t>
      </w:r>
    </w:p>
    <w:p w14:paraId="797B32B0"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 xml:space="preserve">Self-determination theory offers a useful lens for thinking through the motivational side of all this. Deci and Ryan (2000) argued that psychological wellbeing rests on three basic needs being met: autonomy, the sense that one's actions are self-directed; competence, the sense of mastery and effectiveness; and relatedness, meaningful connection to others. AI-assisted offloading can satisfy the need for competence in the moment — a task gets done quickly and well — while undermining it over time, since the genuine skill that would have produced lasting competence never quite gets built. Autonomy is harder to pin down but no less at risk, particularly when AI systems guide, constrain, or quietly pre-empt choices in ways users do not fully notice. How this tension between short-term satisfaction and longer-term wellbeing actually resolves is not yet clear from the evidence available, and it remains one of the more pressing open questions in this field. The wider promise and ethical complexity of technological cognitive enhancement </w:t>
      </w:r>
      <w:proofErr w:type="gramStart"/>
      <w:r w:rsidRPr="008E6AC3">
        <w:rPr>
          <w:rFonts w:ascii="Times New Roman" w:eastAsia="Times New Roman" w:hAnsi="Times New Roman" w:cs="Times New Roman"/>
          <w:sz w:val="24"/>
          <w:szCs w:val="24"/>
          <w:lang w:eastAsia="en-GB"/>
        </w:rPr>
        <w:t>has</w:t>
      </w:r>
      <w:proofErr w:type="gramEnd"/>
      <w:r w:rsidRPr="008E6AC3">
        <w:rPr>
          <w:rFonts w:ascii="Times New Roman" w:eastAsia="Times New Roman" w:hAnsi="Times New Roman" w:cs="Times New Roman"/>
          <w:sz w:val="24"/>
          <w:szCs w:val="24"/>
          <w:lang w:eastAsia="en-GB"/>
        </w:rPr>
        <w:t xml:space="preserve"> been recognised before (Bostrom &amp; Sandberg, 2009), though exactly how AI-assisted enhancement affects autonomy over the long term is still not well specified.</w:t>
      </w:r>
    </w:p>
    <w:p w14:paraId="06548BB8"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Table 3 draws together the psychological implications discussed in this section, with the supporting evidence and the likely direction of each effect. What stands out across the table is how mixed the picture remains: real adaptive potential sits alongside real risk, and which one wins out in practice seems to depend less on what an AI system is capable of than on the conditions under which it gets used.</w:t>
      </w:r>
    </w:p>
    <w:p w14:paraId="7480B608" w14:textId="77777777" w:rsidR="008E6AC3" w:rsidRPr="008E6AC3" w:rsidRDefault="008E6AC3" w:rsidP="008E6AC3">
      <w:pPr>
        <w:spacing w:after="0" w:line="240" w:lineRule="auto"/>
        <w:rPr>
          <w:rFonts w:ascii="Times New Roman" w:eastAsia="Times New Roman" w:hAnsi="Times New Roman" w:cs="Times New Roman"/>
          <w:sz w:val="24"/>
          <w:szCs w:val="24"/>
          <w:lang w:eastAsia="en-GB"/>
        </w:rPr>
      </w:pPr>
    </w:p>
    <w:p w14:paraId="08D446D9"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b/>
          <w:bCs/>
          <w:sz w:val="24"/>
          <w:szCs w:val="24"/>
          <w:lang w:eastAsia="en-GB"/>
        </w:rPr>
        <w:t>Table 3.</w:t>
      </w:r>
      <w:r w:rsidRPr="008E6AC3">
        <w:rPr>
          <w:rFonts w:ascii="Times New Roman" w:eastAsia="Times New Roman" w:hAnsi="Times New Roman" w:cs="Times New Roman"/>
          <w:sz w:val="24"/>
          <w:szCs w:val="24"/>
          <w:lang w:eastAsia="en-GB"/>
        </w:rPr>
        <w:t xml:space="preserve"> Summary of Psychological Implications of AI-Assisted Cognitive Offloading</w:t>
      </w:r>
    </w:p>
    <w:tbl>
      <w:tblPr>
        <w:tblStyle w:val="TableGrid"/>
        <w:tblW w:w="0" w:type="auto"/>
        <w:tblLook w:val="04A0" w:firstRow="1" w:lastRow="0" w:firstColumn="1" w:lastColumn="0" w:noHBand="0" w:noVBand="1"/>
      </w:tblPr>
      <w:tblGrid>
        <w:gridCol w:w="1874"/>
        <w:gridCol w:w="2814"/>
        <w:gridCol w:w="1803"/>
        <w:gridCol w:w="2751"/>
      </w:tblGrid>
      <w:tr w:rsidR="008E6AC3" w:rsidRPr="008E6AC3" w14:paraId="010B7C7C" w14:textId="77777777" w:rsidTr="009D291A">
        <w:tc>
          <w:tcPr>
            <w:tcW w:w="0" w:type="auto"/>
            <w:hideMark/>
          </w:tcPr>
          <w:p w14:paraId="52AEA2B6" w14:textId="77777777" w:rsidR="008E6AC3" w:rsidRPr="008E6AC3" w:rsidRDefault="008E6AC3" w:rsidP="008E6AC3">
            <w:pPr>
              <w:jc w:val="center"/>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Dimension</w:t>
            </w:r>
          </w:p>
        </w:tc>
        <w:tc>
          <w:tcPr>
            <w:tcW w:w="0" w:type="auto"/>
            <w:hideMark/>
          </w:tcPr>
          <w:p w14:paraId="10A4FC95" w14:textId="77777777" w:rsidR="008E6AC3" w:rsidRPr="008E6AC3" w:rsidRDefault="008E6AC3" w:rsidP="008E6AC3">
            <w:pPr>
              <w:jc w:val="center"/>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Psychological Implication</w:t>
            </w:r>
          </w:p>
        </w:tc>
        <w:tc>
          <w:tcPr>
            <w:tcW w:w="0" w:type="auto"/>
            <w:hideMark/>
          </w:tcPr>
          <w:p w14:paraId="247A9927" w14:textId="77777777" w:rsidR="008E6AC3" w:rsidRPr="008E6AC3" w:rsidRDefault="008E6AC3" w:rsidP="008E6AC3">
            <w:pPr>
              <w:jc w:val="center"/>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Likely Direction of Effect</w:t>
            </w:r>
          </w:p>
        </w:tc>
        <w:tc>
          <w:tcPr>
            <w:tcW w:w="0" w:type="auto"/>
            <w:hideMark/>
          </w:tcPr>
          <w:p w14:paraId="0E52296A" w14:textId="77777777" w:rsidR="008E6AC3" w:rsidRPr="008E6AC3" w:rsidRDefault="008E6AC3" w:rsidP="008E6AC3">
            <w:pPr>
              <w:jc w:val="center"/>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Key Evidence</w:t>
            </w:r>
          </w:p>
        </w:tc>
      </w:tr>
      <w:tr w:rsidR="008E6AC3" w:rsidRPr="00931737" w14:paraId="1DCD0896" w14:textId="77777777" w:rsidTr="009D291A">
        <w:tc>
          <w:tcPr>
            <w:tcW w:w="0" w:type="auto"/>
            <w:hideMark/>
          </w:tcPr>
          <w:p w14:paraId="30B364A2"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Metacognition</w:t>
            </w:r>
          </w:p>
        </w:tc>
        <w:tc>
          <w:tcPr>
            <w:tcW w:w="0" w:type="auto"/>
            <w:hideMark/>
          </w:tcPr>
          <w:p w14:paraId="6D286E8C"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Reduced metacognitive monitoring; inflated self-assessment</w:t>
            </w:r>
          </w:p>
        </w:tc>
        <w:tc>
          <w:tcPr>
            <w:tcW w:w="0" w:type="auto"/>
            <w:hideMark/>
          </w:tcPr>
          <w:p w14:paraId="4325D214"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Negative</w:t>
            </w:r>
          </w:p>
        </w:tc>
        <w:tc>
          <w:tcPr>
            <w:tcW w:w="0" w:type="auto"/>
            <w:hideMark/>
          </w:tcPr>
          <w:p w14:paraId="1CF92A00" w14:textId="77777777" w:rsidR="008E6AC3" w:rsidRPr="00931737" w:rsidRDefault="008E6AC3" w:rsidP="008E6AC3">
            <w:pPr>
              <w:rPr>
                <w:rFonts w:ascii="Times New Roman" w:eastAsia="Times New Roman" w:hAnsi="Times New Roman" w:cs="Times New Roman"/>
                <w:sz w:val="24"/>
                <w:szCs w:val="24"/>
                <w:lang w:val="nl-BE" w:eastAsia="en-GB"/>
              </w:rPr>
            </w:pPr>
            <w:r w:rsidRPr="00931737">
              <w:rPr>
                <w:rFonts w:ascii="Times New Roman" w:eastAsia="Times New Roman" w:hAnsi="Times New Roman" w:cs="Times New Roman"/>
                <w:sz w:val="24"/>
                <w:szCs w:val="24"/>
                <w:lang w:val="nl-BE" w:eastAsia="en-GB"/>
              </w:rPr>
              <w:t>Flavell (1979); Kruger &amp; Dunning (1999); Mueller &amp; Oppenheimer (2014)</w:t>
            </w:r>
          </w:p>
        </w:tc>
      </w:tr>
      <w:tr w:rsidR="008E6AC3" w:rsidRPr="008E6AC3" w14:paraId="692C53F6" w14:textId="77777777" w:rsidTr="009D291A">
        <w:tc>
          <w:tcPr>
            <w:tcW w:w="0" w:type="auto"/>
            <w:hideMark/>
          </w:tcPr>
          <w:p w14:paraId="5DCF1A03"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Epistemic evaluation</w:t>
            </w:r>
          </w:p>
        </w:tc>
        <w:tc>
          <w:tcPr>
            <w:tcW w:w="0" w:type="auto"/>
            <w:hideMark/>
          </w:tcPr>
          <w:p w14:paraId="6D25D5C8"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Reduced critical appraisal of AI-generated content; epistemic complacency</w:t>
            </w:r>
          </w:p>
        </w:tc>
        <w:tc>
          <w:tcPr>
            <w:tcW w:w="0" w:type="auto"/>
            <w:hideMark/>
          </w:tcPr>
          <w:p w14:paraId="5F873AB0"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Negative</w:t>
            </w:r>
          </w:p>
        </w:tc>
        <w:tc>
          <w:tcPr>
            <w:tcW w:w="0" w:type="auto"/>
            <w:hideMark/>
          </w:tcPr>
          <w:p w14:paraId="61E35477" w14:textId="77777777" w:rsidR="008E6AC3" w:rsidRPr="008E6AC3" w:rsidRDefault="008E6AC3" w:rsidP="008E6AC3">
            <w:pPr>
              <w:rPr>
                <w:rFonts w:ascii="Times New Roman" w:eastAsia="Times New Roman" w:hAnsi="Times New Roman" w:cs="Times New Roman"/>
                <w:sz w:val="24"/>
                <w:szCs w:val="24"/>
                <w:lang w:eastAsia="en-GB"/>
              </w:rPr>
            </w:pPr>
            <w:r w:rsidRPr="00931737">
              <w:rPr>
                <w:rFonts w:ascii="Times New Roman" w:eastAsia="Times New Roman" w:hAnsi="Times New Roman" w:cs="Times New Roman"/>
                <w:sz w:val="24"/>
                <w:szCs w:val="24"/>
                <w:lang w:val="nl-BE" w:eastAsia="en-GB"/>
              </w:rPr>
              <w:t xml:space="preserve">Ecker et al. (2022); Lazer et al. </w:t>
            </w:r>
            <w:r w:rsidRPr="008E6AC3">
              <w:rPr>
                <w:rFonts w:ascii="Times New Roman" w:eastAsia="Times New Roman" w:hAnsi="Times New Roman" w:cs="Times New Roman"/>
                <w:sz w:val="24"/>
                <w:szCs w:val="24"/>
                <w:lang w:eastAsia="en-GB"/>
              </w:rPr>
              <w:t>(2018)</w:t>
            </w:r>
          </w:p>
        </w:tc>
      </w:tr>
      <w:tr w:rsidR="008E6AC3" w:rsidRPr="008E6AC3" w14:paraId="20613099" w14:textId="77777777" w:rsidTr="009D291A">
        <w:tc>
          <w:tcPr>
            <w:tcW w:w="0" w:type="auto"/>
            <w:hideMark/>
          </w:tcPr>
          <w:p w14:paraId="649DF26F"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Automation complacency</w:t>
            </w:r>
          </w:p>
        </w:tc>
        <w:tc>
          <w:tcPr>
            <w:tcW w:w="0" w:type="auto"/>
            <w:hideMark/>
          </w:tcPr>
          <w:p w14:paraId="1A6A8603"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Reduced vigilance; commission errors in high-stakes settings</w:t>
            </w:r>
          </w:p>
        </w:tc>
        <w:tc>
          <w:tcPr>
            <w:tcW w:w="0" w:type="auto"/>
            <w:hideMark/>
          </w:tcPr>
          <w:p w14:paraId="03A3D3F8"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Negative</w:t>
            </w:r>
          </w:p>
        </w:tc>
        <w:tc>
          <w:tcPr>
            <w:tcW w:w="0" w:type="auto"/>
            <w:hideMark/>
          </w:tcPr>
          <w:p w14:paraId="3F079162" w14:textId="77777777" w:rsidR="008E6AC3" w:rsidRPr="008E6AC3" w:rsidRDefault="008E6AC3" w:rsidP="008E6AC3">
            <w:pPr>
              <w:rPr>
                <w:rFonts w:ascii="Times New Roman" w:eastAsia="Times New Roman" w:hAnsi="Times New Roman" w:cs="Times New Roman"/>
                <w:sz w:val="24"/>
                <w:szCs w:val="24"/>
                <w:lang w:eastAsia="en-GB"/>
              </w:rPr>
            </w:pPr>
            <w:r w:rsidRPr="007D73C7">
              <w:rPr>
                <w:rFonts w:ascii="Times New Roman" w:eastAsia="Times New Roman" w:hAnsi="Times New Roman" w:cs="Times New Roman"/>
                <w:sz w:val="24"/>
                <w:szCs w:val="24"/>
                <w:lang w:val="es-US" w:eastAsia="en-GB"/>
              </w:rPr>
              <w:t xml:space="preserve">Parasuraman &amp; </w:t>
            </w:r>
            <w:proofErr w:type="spellStart"/>
            <w:r w:rsidRPr="007D73C7">
              <w:rPr>
                <w:rFonts w:ascii="Times New Roman" w:eastAsia="Times New Roman" w:hAnsi="Times New Roman" w:cs="Times New Roman"/>
                <w:sz w:val="24"/>
                <w:szCs w:val="24"/>
                <w:lang w:val="es-US" w:eastAsia="en-GB"/>
              </w:rPr>
              <w:t>Manzey</w:t>
            </w:r>
            <w:proofErr w:type="spellEnd"/>
            <w:r w:rsidRPr="007D73C7">
              <w:rPr>
                <w:rFonts w:ascii="Times New Roman" w:eastAsia="Times New Roman" w:hAnsi="Times New Roman" w:cs="Times New Roman"/>
                <w:sz w:val="24"/>
                <w:szCs w:val="24"/>
                <w:lang w:val="es-US" w:eastAsia="en-GB"/>
              </w:rPr>
              <w:t xml:space="preserve"> (2010); </w:t>
            </w:r>
            <w:proofErr w:type="spellStart"/>
            <w:r w:rsidRPr="007D73C7">
              <w:rPr>
                <w:rFonts w:ascii="Times New Roman" w:eastAsia="Times New Roman" w:hAnsi="Times New Roman" w:cs="Times New Roman"/>
                <w:sz w:val="24"/>
                <w:szCs w:val="24"/>
                <w:lang w:val="es-US" w:eastAsia="en-GB"/>
              </w:rPr>
              <w:t>Skitka</w:t>
            </w:r>
            <w:proofErr w:type="spellEnd"/>
            <w:r w:rsidRPr="007D73C7">
              <w:rPr>
                <w:rFonts w:ascii="Times New Roman" w:eastAsia="Times New Roman" w:hAnsi="Times New Roman" w:cs="Times New Roman"/>
                <w:sz w:val="24"/>
                <w:szCs w:val="24"/>
                <w:lang w:val="es-US" w:eastAsia="en-GB"/>
              </w:rPr>
              <w:t xml:space="preserve"> et al. </w:t>
            </w:r>
            <w:r w:rsidRPr="008E6AC3">
              <w:rPr>
                <w:rFonts w:ascii="Times New Roman" w:eastAsia="Times New Roman" w:hAnsi="Times New Roman" w:cs="Times New Roman"/>
                <w:sz w:val="24"/>
                <w:szCs w:val="24"/>
                <w:lang w:eastAsia="en-GB"/>
              </w:rPr>
              <w:t>(1999)</w:t>
            </w:r>
          </w:p>
        </w:tc>
      </w:tr>
      <w:tr w:rsidR="008E6AC3" w:rsidRPr="008E6AC3" w14:paraId="5DFBF4EA" w14:textId="77777777" w:rsidTr="009D291A">
        <w:tc>
          <w:tcPr>
            <w:tcW w:w="0" w:type="auto"/>
            <w:hideMark/>
          </w:tcPr>
          <w:p w14:paraId="4B9228CF"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Cognitive capacity</w:t>
            </w:r>
          </w:p>
        </w:tc>
        <w:tc>
          <w:tcPr>
            <w:tcW w:w="0" w:type="auto"/>
            <w:hideMark/>
          </w:tcPr>
          <w:p w14:paraId="41347520"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Short-term capacity freed for higher-order tasks</w:t>
            </w:r>
          </w:p>
        </w:tc>
        <w:tc>
          <w:tcPr>
            <w:tcW w:w="0" w:type="auto"/>
            <w:hideMark/>
          </w:tcPr>
          <w:p w14:paraId="147E23FF"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Conditionally positive</w:t>
            </w:r>
          </w:p>
        </w:tc>
        <w:tc>
          <w:tcPr>
            <w:tcW w:w="0" w:type="auto"/>
            <w:hideMark/>
          </w:tcPr>
          <w:p w14:paraId="4637992C" w14:textId="77777777" w:rsidR="008E6AC3" w:rsidRPr="008E6AC3" w:rsidRDefault="008E6AC3" w:rsidP="008E6AC3">
            <w:pPr>
              <w:rPr>
                <w:rFonts w:ascii="Times New Roman" w:eastAsia="Times New Roman" w:hAnsi="Times New Roman" w:cs="Times New Roman"/>
                <w:sz w:val="24"/>
                <w:szCs w:val="24"/>
                <w:lang w:eastAsia="en-GB"/>
              </w:rPr>
            </w:pPr>
            <w:proofErr w:type="spellStart"/>
            <w:r w:rsidRPr="008E6AC3">
              <w:rPr>
                <w:rFonts w:ascii="Times New Roman" w:eastAsia="Times New Roman" w:hAnsi="Times New Roman" w:cs="Times New Roman"/>
                <w:sz w:val="24"/>
                <w:szCs w:val="24"/>
                <w:lang w:eastAsia="en-GB"/>
              </w:rPr>
              <w:t>Sweller</w:t>
            </w:r>
            <w:proofErr w:type="spellEnd"/>
            <w:r w:rsidRPr="008E6AC3">
              <w:rPr>
                <w:rFonts w:ascii="Times New Roman" w:eastAsia="Times New Roman" w:hAnsi="Times New Roman" w:cs="Times New Roman"/>
                <w:sz w:val="24"/>
                <w:szCs w:val="24"/>
                <w:lang w:eastAsia="en-GB"/>
              </w:rPr>
              <w:t xml:space="preserve"> (1988); Noy &amp; Zhang (2023)</w:t>
            </w:r>
          </w:p>
        </w:tc>
      </w:tr>
      <w:tr w:rsidR="008E6AC3" w:rsidRPr="008E6AC3" w14:paraId="13A5A394" w14:textId="77777777" w:rsidTr="009D291A">
        <w:tc>
          <w:tcPr>
            <w:tcW w:w="0" w:type="auto"/>
            <w:hideMark/>
          </w:tcPr>
          <w:p w14:paraId="25EF9D3C"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Digital dependency</w:t>
            </w:r>
          </w:p>
        </w:tc>
        <w:tc>
          <w:tcPr>
            <w:tcW w:w="0" w:type="auto"/>
            <w:hideMark/>
          </w:tcPr>
          <w:p w14:paraId="746FD3AC"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 xml:space="preserve">Anxiety and performance decrements upon tool </w:t>
            </w:r>
            <w:r w:rsidRPr="008E6AC3">
              <w:rPr>
                <w:rFonts w:ascii="Times New Roman" w:eastAsia="Times New Roman" w:hAnsi="Times New Roman" w:cs="Times New Roman"/>
                <w:sz w:val="24"/>
                <w:szCs w:val="24"/>
                <w:lang w:eastAsia="en-GB"/>
              </w:rPr>
              <w:lastRenderedPageBreak/>
              <w:t>unavailability</w:t>
            </w:r>
          </w:p>
        </w:tc>
        <w:tc>
          <w:tcPr>
            <w:tcW w:w="0" w:type="auto"/>
            <w:hideMark/>
          </w:tcPr>
          <w:p w14:paraId="01185544"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lastRenderedPageBreak/>
              <w:t>Negative</w:t>
            </w:r>
          </w:p>
        </w:tc>
        <w:tc>
          <w:tcPr>
            <w:tcW w:w="0" w:type="auto"/>
            <w:hideMark/>
          </w:tcPr>
          <w:p w14:paraId="1D8BB4D9" w14:textId="77777777" w:rsidR="008E6AC3" w:rsidRPr="008E6AC3" w:rsidRDefault="008E6AC3" w:rsidP="008E6AC3">
            <w:pPr>
              <w:rPr>
                <w:rFonts w:ascii="Times New Roman" w:eastAsia="Times New Roman" w:hAnsi="Times New Roman" w:cs="Times New Roman"/>
                <w:sz w:val="24"/>
                <w:szCs w:val="24"/>
                <w:lang w:eastAsia="en-GB"/>
              </w:rPr>
            </w:pPr>
            <w:r w:rsidRPr="00931737">
              <w:rPr>
                <w:rFonts w:ascii="Times New Roman" w:eastAsia="Times New Roman" w:hAnsi="Times New Roman" w:cs="Times New Roman"/>
                <w:sz w:val="24"/>
                <w:szCs w:val="24"/>
                <w:lang w:val="nl-BE" w:eastAsia="en-GB"/>
              </w:rPr>
              <w:t xml:space="preserve">Clayton et al. (2015); Ward et al. </w:t>
            </w:r>
            <w:r w:rsidRPr="008E6AC3">
              <w:rPr>
                <w:rFonts w:ascii="Times New Roman" w:eastAsia="Times New Roman" w:hAnsi="Times New Roman" w:cs="Times New Roman"/>
                <w:sz w:val="24"/>
                <w:szCs w:val="24"/>
                <w:lang w:eastAsia="en-GB"/>
              </w:rPr>
              <w:t>(2017)</w:t>
            </w:r>
          </w:p>
        </w:tc>
      </w:tr>
      <w:tr w:rsidR="008E6AC3" w:rsidRPr="008E6AC3" w14:paraId="2A3CB602" w14:textId="77777777" w:rsidTr="009D291A">
        <w:tc>
          <w:tcPr>
            <w:tcW w:w="0" w:type="auto"/>
            <w:hideMark/>
          </w:tcPr>
          <w:p w14:paraId="54813354"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Wellbeing</w:t>
            </w:r>
          </w:p>
        </w:tc>
        <w:tc>
          <w:tcPr>
            <w:tcW w:w="0" w:type="auto"/>
            <w:hideMark/>
          </w:tcPr>
          <w:p w14:paraId="7B9AF571"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Modest negative association at high use levels</w:t>
            </w:r>
          </w:p>
        </w:tc>
        <w:tc>
          <w:tcPr>
            <w:tcW w:w="0" w:type="auto"/>
            <w:hideMark/>
          </w:tcPr>
          <w:p w14:paraId="02C6E2FF"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Modestly negative</w:t>
            </w:r>
          </w:p>
        </w:tc>
        <w:tc>
          <w:tcPr>
            <w:tcW w:w="0" w:type="auto"/>
            <w:hideMark/>
          </w:tcPr>
          <w:p w14:paraId="22FEF654"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Orben &amp; Przybylski (2019); Haidt &amp; Allen (2020)</w:t>
            </w:r>
          </w:p>
        </w:tc>
      </w:tr>
      <w:tr w:rsidR="008E6AC3" w:rsidRPr="008E6AC3" w14:paraId="736192D4" w14:textId="77777777" w:rsidTr="009D291A">
        <w:tc>
          <w:tcPr>
            <w:tcW w:w="0" w:type="auto"/>
            <w:hideMark/>
          </w:tcPr>
          <w:p w14:paraId="761F2BC3"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Autonomy and competence</w:t>
            </w:r>
          </w:p>
        </w:tc>
        <w:tc>
          <w:tcPr>
            <w:tcW w:w="0" w:type="auto"/>
            <w:hideMark/>
          </w:tcPr>
          <w:p w14:paraId="24DECB28"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Short-term competence gains; potential long-term autonomy reduction</w:t>
            </w:r>
          </w:p>
        </w:tc>
        <w:tc>
          <w:tcPr>
            <w:tcW w:w="0" w:type="auto"/>
            <w:hideMark/>
          </w:tcPr>
          <w:p w14:paraId="122485FD"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Mixed</w:t>
            </w:r>
          </w:p>
        </w:tc>
        <w:tc>
          <w:tcPr>
            <w:tcW w:w="0" w:type="auto"/>
            <w:hideMark/>
          </w:tcPr>
          <w:p w14:paraId="1E350731"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Deci &amp; Ryan (2000); Bostrom &amp; Sandberg (2009)</w:t>
            </w:r>
          </w:p>
        </w:tc>
      </w:tr>
    </w:tbl>
    <w:p w14:paraId="014AB96B"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i/>
          <w:iCs/>
          <w:sz w:val="24"/>
          <w:szCs w:val="24"/>
          <w:lang w:eastAsia="en-GB"/>
        </w:rPr>
        <w:t>Sources:</w:t>
      </w:r>
      <w:r w:rsidRPr="008E6AC3">
        <w:rPr>
          <w:rFonts w:ascii="Times New Roman" w:eastAsia="Times New Roman" w:hAnsi="Times New Roman" w:cs="Times New Roman"/>
          <w:sz w:val="24"/>
          <w:szCs w:val="24"/>
          <w:lang w:eastAsia="en-GB"/>
        </w:rPr>
        <w:t xml:space="preserve"> Flavell (1979); Kruger and Dunning (1999); Mueller and Oppenheimer (2014); Ecker et al. (2022); Lazer et al. (2018); Parasuraman and </w:t>
      </w:r>
      <w:proofErr w:type="spellStart"/>
      <w:r w:rsidRPr="008E6AC3">
        <w:rPr>
          <w:rFonts w:ascii="Times New Roman" w:eastAsia="Times New Roman" w:hAnsi="Times New Roman" w:cs="Times New Roman"/>
          <w:sz w:val="24"/>
          <w:szCs w:val="24"/>
          <w:lang w:eastAsia="en-GB"/>
        </w:rPr>
        <w:t>Manzey</w:t>
      </w:r>
      <w:proofErr w:type="spellEnd"/>
      <w:r w:rsidRPr="008E6AC3">
        <w:rPr>
          <w:rFonts w:ascii="Times New Roman" w:eastAsia="Times New Roman" w:hAnsi="Times New Roman" w:cs="Times New Roman"/>
          <w:sz w:val="24"/>
          <w:szCs w:val="24"/>
          <w:lang w:eastAsia="en-GB"/>
        </w:rPr>
        <w:t xml:space="preserve"> (2010); </w:t>
      </w:r>
      <w:proofErr w:type="spellStart"/>
      <w:r w:rsidRPr="008E6AC3">
        <w:rPr>
          <w:rFonts w:ascii="Times New Roman" w:eastAsia="Times New Roman" w:hAnsi="Times New Roman" w:cs="Times New Roman"/>
          <w:sz w:val="24"/>
          <w:szCs w:val="24"/>
          <w:lang w:eastAsia="en-GB"/>
        </w:rPr>
        <w:t>Skitka</w:t>
      </w:r>
      <w:proofErr w:type="spellEnd"/>
      <w:r w:rsidRPr="008E6AC3">
        <w:rPr>
          <w:rFonts w:ascii="Times New Roman" w:eastAsia="Times New Roman" w:hAnsi="Times New Roman" w:cs="Times New Roman"/>
          <w:sz w:val="24"/>
          <w:szCs w:val="24"/>
          <w:lang w:eastAsia="en-GB"/>
        </w:rPr>
        <w:t xml:space="preserve"> et al. (1999); </w:t>
      </w:r>
      <w:proofErr w:type="spellStart"/>
      <w:r w:rsidRPr="008E6AC3">
        <w:rPr>
          <w:rFonts w:ascii="Times New Roman" w:eastAsia="Times New Roman" w:hAnsi="Times New Roman" w:cs="Times New Roman"/>
          <w:sz w:val="24"/>
          <w:szCs w:val="24"/>
          <w:lang w:eastAsia="en-GB"/>
        </w:rPr>
        <w:t>Sweller</w:t>
      </w:r>
      <w:proofErr w:type="spellEnd"/>
      <w:r w:rsidRPr="008E6AC3">
        <w:rPr>
          <w:rFonts w:ascii="Times New Roman" w:eastAsia="Times New Roman" w:hAnsi="Times New Roman" w:cs="Times New Roman"/>
          <w:sz w:val="24"/>
          <w:szCs w:val="24"/>
          <w:lang w:eastAsia="en-GB"/>
        </w:rPr>
        <w:t xml:space="preserve"> (1988); Noy and Zhang (2023); Clayton et al. (2015); Ward et al. (2017); Orben and Przybylski (2019); Haidt and Allen (2020); Deci and Ryan (2000); Bostrom and Sandberg (2009).</w:t>
      </w:r>
    </w:p>
    <w:p w14:paraId="2AB7EEA7" w14:textId="77777777" w:rsidR="008E6AC3" w:rsidRPr="008E6AC3" w:rsidRDefault="008E6AC3" w:rsidP="008E6AC3">
      <w:pPr>
        <w:spacing w:after="0" w:line="240" w:lineRule="auto"/>
        <w:rPr>
          <w:rFonts w:ascii="Times New Roman" w:eastAsia="Times New Roman" w:hAnsi="Times New Roman" w:cs="Times New Roman"/>
          <w:sz w:val="24"/>
          <w:szCs w:val="24"/>
          <w:lang w:eastAsia="en-GB"/>
        </w:rPr>
      </w:pPr>
    </w:p>
    <w:p w14:paraId="6D4B39A9" w14:textId="77777777" w:rsidR="008E6AC3" w:rsidRPr="008E6AC3" w:rsidRDefault="008E6AC3" w:rsidP="008E6AC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8E6AC3">
        <w:rPr>
          <w:rFonts w:ascii="Times New Roman" w:eastAsia="Times New Roman" w:hAnsi="Times New Roman" w:cs="Times New Roman"/>
          <w:b/>
          <w:bCs/>
          <w:sz w:val="27"/>
          <w:szCs w:val="27"/>
          <w:lang w:eastAsia="en-GB"/>
        </w:rPr>
        <w:t>6. Impact on Critical Thinking, Learning, and Creativity</w:t>
      </w:r>
    </w:p>
    <w:p w14:paraId="79EFE830" w14:textId="77777777" w:rsidR="008E6AC3" w:rsidRPr="008E6AC3" w:rsidRDefault="008E6AC3" w:rsidP="008E6A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6.1 Educational Implications</w:t>
      </w:r>
    </w:p>
    <w:p w14:paraId="03AB6F4E"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Education is probably where the stakes of AI-assisted offloading feel most immediate, and the debate is correspondingly active. The cognitive demands that learning makes — encoding new material, building conceptual understanding, working through problems without a scaffold, monitoring one's own comprehension — are not incidental overhead that AI tools could tidily take off a student's hands. They are, in a real sense, what education is actually for. If an AI system routinely performs this work on a student's behalf, the risk goes well beyond the student simply absorbing less content; it is that the student develops weaker capacity for the work of learning itself.</w:t>
      </w:r>
    </w:p>
    <w:p w14:paraId="62D9AC2C"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This is essentially what Mueller and Oppenheimer (2014) already found with note-taking medium: longhand notes, which demand selective and generative processing, produced better retention and comprehension than laptop notes, even though the laptop notes were longer and more complete. The underlying mechanism seems to be depth of engagement during encoding — effortful elaboration leaves a stronger trace than passive transcription does. The lesson transfers directly to AI-assisted learning. Generating a summary with AI help requires far less elaborative work than building one through active recall and reorganisation, and the material is likely to be retained correspondingly less well.</w:t>
      </w:r>
    </w:p>
    <w:p w14:paraId="53AEED99"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Chen and colleagues (2020), reviewing the growing range of AI applications in education, found real opportunities here — personalised learning pathways, automated feedback, adaptive assessment — alongside real risks: reduced cognitive challenge, more passive students, and a potential erosion of the social and relational side of learning that AI cannot easily replace. None of this is inevitable; it follows from specific design choices rather than from AI itself. A system optimised to maximise student comfort and task completion can end up systematically stripping out the desirable difficulties — spaced practice, retrieval challenge, interleaved learning — that cognitive science has shown to matter most for retention and transfer.</w:t>
      </w:r>
    </w:p>
    <w:p w14:paraId="78DDE9B6"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 xml:space="preserve">There is a further complication in the information environment students now navigate. Lazer and colleagues (2018) documented how the same cognitive heuristics that normally serve </w:t>
      </w:r>
      <w:r w:rsidRPr="008E6AC3">
        <w:rPr>
          <w:rFonts w:ascii="Times New Roman" w:eastAsia="Times New Roman" w:hAnsi="Times New Roman" w:cs="Times New Roman"/>
          <w:sz w:val="24"/>
          <w:szCs w:val="24"/>
          <w:lang w:eastAsia="en-GB"/>
        </w:rPr>
        <w:lastRenderedPageBreak/>
        <w:t>people well — processing fluency, deference to apparent authority — also leave them vulnerable to misinformation, especially when it arrives polished and confidently stated. AI-generated content is notably prone to sounding plausible while being factually wrong, which puts educators in a difficult position: they need to build students' critical evaluation skills at precisely the moment when AI output is becoming harder to distinguish, on the surface at least, from accurate and authoritative information.</w:t>
      </w:r>
    </w:p>
    <w:p w14:paraId="745BD0DE" w14:textId="77777777" w:rsidR="008E6AC3" w:rsidRPr="008E6AC3" w:rsidRDefault="008E6AC3" w:rsidP="008E6A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6.2 Creativity and Problem-Solving</w:t>
      </w:r>
    </w:p>
    <w:p w14:paraId="0168C844"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Creativity is where this whole debate gets genuinely nuanced, and broad generalisations do not hold up well here. Creative thought depends on recombining existing knowledge and exploring possibility spaces in ways that constant external assistance can actually get in the way of. Baird and colleagues (2012) showed that mind wandering — the kind of undirected mental drift that happens when nothing external is demanding attention — supports creative incubation by letting weakly activated associations rise into conscious awareness. If AI-mediated engagement keeps attentional resources continuously occupied, there is simply less room for the mind wandering that creative insight seems to depend on.</w:t>
      </w:r>
    </w:p>
    <w:p w14:paraId="2BD796AC"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Against this, there is a more hopeful line of argument. Bostrom and Sandberg (2009) suggested that cognitive enhancement of any kind — pharmacological, technological, or AI-assisted — could widen the scope of human creative achievement simply by extending the range of problems a person can engage with effectively. If AI systems absorb the combinatorial work of retrieving information and generating options, the resources that frees up could go toward the evaluative, aesthetic, and integrative judgement that creative work ultimately depends on, and that machines are not well placed to replace. Noy and Zhang (2023) offer some support for this: generative AI assistance improved the quality of professional writing, with the biggest gains seen among workers who started out with lower ability — a levelling effect that, if it generalises, could narrow rather than widen existing gaps in creative output.</w:t>
      </w:r>
    </w:p>
    <w:p w14:paraId="08BC0048"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That said, a more theoretical worry remains, one that arguments about short-term output quality do not really address. Cognitive and educational psychology has consistently found that productive struggle — working through difficulty without immediate help — does more for learning and skill development than quick error correction or having the solution handed over. An AI system that resolves cognitive difficulty too readily could, somewhat paradoxically, end up weakening the very capacities it is meant to support. Whether this actually happens, and how badly, especially for younger learners growing up with constant AI assistance, is a question the published literature has not yet really investigated.</w:t>
      </w:r>
    </w:p>
    <w:p w14:paraId="2F638730" w14:textId="77777777" w:rsidR="008E6AC3" w:rsidRPr="008E6AC3" w:rsidRDefault="008E6AC3" w:rsidP="008E6AC3">
      <w:pPr>
        <w:spacing w:after="0" w:line="240" w:lineRule="auto"/>
        <w:rPr>
          <w:rFonts w:ascii="Times New Roman" w:eastAsia="Times New Roman" w:hAnsi="Times New Roman" w:cs="Times New Roman"/>
          <w:sz w:val="24"/>
          <w:szCs w:val="24"/>
          <w:lang w:eastAsia="en-GB"/>
        </w:rPr>
      </w:pPr>
    </w:p>
    <w:p w14:paraId="18460109" w14:textId="77777777" w:rsidR="008E6AC3" w:rsidRPr="008E6AC3" w:rsidRDefault="008E6AC3" w:rsidP="008E6AC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8E6AC3">
        <w:rPr>
          <w:rFonts w:ascii="Times New Roman" w:eastAsia="Times New Roman" w:hAnsi="Times New Roman" w:cs="Times New Roman"/>
          <w:b/>
          <w:bCs/>
          <w:sz w:val="27"/>
          <w:szCs w:val="27"/>
          <w:lang w:eastAsia="en-GB"/>
        </w:rPr>
        <w:t>7. Individual Differences and Moderating Factors</w:t>
      </w:r>
    </w:p>
    <w:p w14:paraId="50A28821" w14:textId="77777777" w:rsidR="008E6AC3" w:rsidRPr="008E6AC3" w:rsidRDefault="008E6AC3" w:rsidP="008E6A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7.1 Age, Expertise, and Cognitive Reserve</w:t>
      </w:r>
    </w:p>
    <w:p w14:paraId="064D319F"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 xml:space="preserve">None of the effects discussed so far apply uniformly; they vary substantially across individuals, and age is one of the clearest sources of that variation. Older adults sit in a genuinely difficult position. Declining working memory and slower processing speed mean AI assistance could be particularly useful for managing complex information loads, yet reduced metacognitive monitoring and lower digital literacy can simultaneously make this </w:t>
      </w:r>
      <w:r w:rsidRPr="008E6AC3">
        <w:rPr>
          <w:rFonts w:ascii="Times New Roman" w:eastAsia="Times New Roman" w:hAnsi="Times New Roman" w:cs="Times New Roman"/>
          <w:sz w:val="24"/>
          <w:szCs w:val="24"/>
          <w:lang w:eastAsia="en-GB"/>
        </w:rPr>
        <w:lastRenderedPageBreak/>
        <w:t>group more vulnerable to automation bias and to missing errors they should be catching. Stern (2009), reviewing and consolidating the concept of cognitive reserve — the brain's capacity to cope with age-related and pathological decline by recruiting alternative neural strategies — argued that staying cognitively challenged helps maintain this reserve across the lifespan. If AI tools substantially reduce the cognitive demands older adults face day to day, they may end up removing exactly the kind of challenge that sustains reserve, with knock-on consequences for resilience against age-related decline.</w:t>
      </w:r>
    </w:p>
    <w:p w14:paraId="5A755177"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Children and adolescents raise a different set of concerns entirely. Cognitive development at this stage depends on effortful engagement with difficult tasks, the gradual internalisation of regulatory strategies, and the steady build-up of metacognitive skill — all of which take time and friction to develop. AI tools that pre-empt or bypass this work raise real questions about what cognitive development looks like for a generation growing up with constant AI assistance on hand. Firth and colleagues (2019) raised the possibility that prolonged internet use during these sensitive developmental windows could alter how attentional and memory systems typically get organised, though they were careful to note that the longitudinal evidence needed to establish causal pathways in human populations is still limited. Small and colleagues (2020) similarly found that the neurological effects of sustained digital technology use look more pronounced in younger samples, which points to a developmental sensitivity that deserves closer study.</w:t>
      </w:r>
    </w:p>
    <w:p w14:paraId="61C31E9E"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Expertise is the second major moderator. Logg and colleagues (2019) found that algorithm appreciation runs stronger among non-experts than among domain experts, who were more willing to override an algorithm's recommendation when their own contextual knowledge told them something different. This points toward a fairly intuitive conclusion: automation bias risk is lower for expert users who have the knowledge to critically evaluate AI outputs, and higher for novices who simply do not have the background to spot when the AI has got something wrong. The implication for professional training is worth taking seriously — introducing AI tools early in someone's career, before they have built up domain expertise, may produce more entrenched automation bias than introducing the same tools once expertise is already in place (</w:t>
      </w:r>
      <w:proofErr w:type="spellStart"/>
      <w:r w:rsidRPr="008E6AC3">
        <w:rPr>
          <w:rFonts w:ascii="Times New Roman" w:eastAsia="Times New Roman" w:hAnsi="Times New Roman" w:cs="Times New Roman"/>
          <w:sz w:val="24"/>
          <w:szCs w:val="24"/>
          <w:lang w:eastAsia="en-GB"/>
        </w:rPr>
        <w:t>Dietvorst</w:t>
      </w:r>
      <w:proofErr w:type="spellEnd"/>
      <w:r w:rsidRPr="008E6AC3">
        <w:rPr>
          <w:rFonts w:ascii="Times New Roman" w:eastAsia="Times New Roman" w:hAnsi="Times New Roman" w:cs="Times New Roman"/>
          <w:sz w:val="24"/>
          <w:szCs w:val="24"/>
          <w:lang w:eastAsia="en-GB"/>
        </w:rPr>
        <w:t xml:space="preserve"> et al., 2015).</w:t>
      </w:r>
    </w:p>
    <w:p w14:paraId="157A6BD1" w14:textId="77777777" w:rsidR="008E6AC3" w:rsidRPr="008E6AC3" w:rsidRDefault="008E6AC3" w:rsidP="008E6A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7.2 Digital Literacy and Metacognitive Awareness</w:t>
      </w:r>
    </w:p>
    <w:p w14:paraId="1486F14B"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Digital literacy — being able to locate, evaluate, and effectively use digital information and tools — is increasingly recognised as a key variable mediating the relationship between technology use and cognitive outcomes. Van Laar and colleagues (</w:t>
      </w:r>
      <w:r w:rsidR="009D291A">
        <w:rPr>
          <w:rFonts w:ascii="Times New Roman" w:eastAsia="Times New Roman" w:hAnsi="Times New Roman" w:cs="Times New Roman"/>
          <w:sz w:val="24"/>
          <w:szCs w:val="24"/>
          <w:lang w:eastAsia="en-GB"/>
        </w:rPr>
        <w:t>2019</w:t>
      </w:r>
      <w:r w:rsidRPr="008E6AC3">
        <w:rPr>
          <w:rFonts w:ascii="Times New Roman" w:eastAsia="Times New Roman" w:hAnsi="Times New Roman" w:cs="Times New Roman"/>
          <w:sz w:val="24"/>
          <w:szCs w:val="24"/>
          <w:lang w:eastAsia="en-GB"/>
        </w:rPr>
        <w:t>), in a large survey of working professionals, identified core dimensions of twenty-first-century digital skill, including technical competence, information and data literacy, communication, content creation, safety awareness, and problem-solving. People scoring higher on these dimensions used digital tools more effectively while also remaining more critically aware of their limitations — which is, in essence, exactly the metacognitive stance that adaptive AI use requires.</w:t>
      </w:r>
    </w:p>
    <w:p w14:paraId="17E37ED9"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 xml:space="preserve">Metacognitive awareness — monitoring and regulating one's own use of cognitive tools, AI included — may be particularly protective against epistemic complacency. People who habitually reflect on their own thinking are more likely to notice when they are accepting an AI's output too readily, to stay alert to its limitations, and to seek independent confirmation when something important is at stake. This kind of awareness, though, does not simply appear; it is built through educational investment and deliberate practice. Van Laar and </w:t>
      </w:r>
      <w:r w:rsidRPr="008E6AC3">
        <w:rPr>
          <w:rFonts w:ascii="Times New Roman" w:eastAsia="Times New Roman" w:hAnsi="Times New Roman" w:cs="Times New Roman"/>
          <w:sz w:val="24"/>
          <w:szCs w:val="24"/>
          <w:lang w:eastAsia="en-GB"/>
        </w:rPr>
        <w:lastRenderedPageBreak/>
        <w:t>colleagues (</w:t>
      </w:r>
      <w:r w:rsidR="009D291A">
        <w:rPr>
          <w:rFonts w:ascii="Times New Roman" w:eastAsia="Times New Roman" w:hAnsi="Times New Roman" w:cs="Times New Roman"/>
          <w:sz w:val="24"/>
          <w:szCs w:val="24"/>
          <w:lang w:eastAsia="en-GB"/>
        </w:rPr>
        <w:t>2019</w:t>
      </w:r>
      <w:r w:rsidRPr="008E6AC3">
        <w:rPr>
          <w:rFonts w:ascii="Times New Roman" w:eastAsia="Times New Roman" w:hAnsi="Times New Roman" w:cs="Times New Roman"/>
          <w:sz w:val="24"/>
          <w:szCs w:val="24"/>
          <w:lang w:eastAsia="en-GB"/>
        </w:rPr>
        <w:t>) found that structured training in critical information evaluation meaningfully improved workers' ability to judge the reliability of digital content, which is encouraging in a practical sense — it suggests this kind of metacognitive literacy can be taught rather than treated as a fixed trait some people simply have and others lack.</w:t>
      </w:r>
    </w:p>
    <w:p w14:paraId="0D8611F1"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Information overload is a further moderating factor, and one that operates somewhat independently of literacy and expertise. Eppler and Mengis (2004), reviewing evidence on information overload across several disciplines, found it has a double effect: it degrades decision-making quality directly, and it pushes people toward cognitive shortcuts, shallower analysis, and greater deference to whoever or whatever seems to carry authority. AI systems sit in an awkward position here, since they can both create and relieve information overload at the same time — and in environments where overload is high, the pull toward delegating evaluative work to AI grows correspondingly stronger. That leaves a real paradox: the moments when AI assistance feels most tempting are often exactly the moments when uncritical reliance on it is most risky. This is as much a design and policy problem as a psychological one.</w:t>
      </w:r>
    </w:p>
    <w:p w14:paraId="6B6B0C7C"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Table 4 brings these moderating factors together, alongside how each is likely to shape the psychological impact of AI-assisted cognitive offloading.</w:t>
      </w:r>
    </w:p>
    <w:p w14:paraId="04CAEB42" w14:textId="77777777" w:rsidR="008E6AC3" w:rsidRPr="008E6AC3" w:rsidRDefault="008E6AC3" w:rsidP="008E6AC3">
      <w:pPr>
        <w:spacing w:after="0" w:line="240" w:lineRule="auto"/>
        <w:rPr>
          <w:rFonts w:ascii="Times New Roman" w:eastAsia="Times New Roman" w:hAnsi="Times New Roman" w:cs="Times New Roman"/>
          <w:sz w:val="24"/>
          <w:szCs w:val="24"/>
          <w:lang w:eastAsia="en-GB"/>
        </w:rPr>
      </w:pPr>
    </w:p>
    <w:p w14:paraId="77B00057"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b/>
          <w:bCs/>
          <w:sz w:val="24"/>
          <w:szCs w:val="24"/>
          <w:lang w:eastAsia="en-GB"/>
        </w:rPr>
        <w:t>Table 4.</w:t>
      </w:r>
      <w:r w:rsidRPr="008E6AC3">
        <w:rPr>
          <w:rFonts w:ascii="Times New Roman" w:eastAsia="Times New Roman" w:hAnsi="Times New Roman" w:cs="Times New Roman"/>
          <w:sz w:val="24"/>
          <w:szCs w:val="24"/>
          <w:lang w:eastAsia="en-GB"/>
        </w:rPr>
        <w:t xml:space="preserve"> Key Moderating Factors in the Psychological Impact of AI-Assisted Cognitive Offloading</w:t>
      </w:r>
    </w:p>
    <w:tbl>
      <w:tblPr>
        <w:tblStyle w:val="TableGrid"/>
        <w:tblW w:w="0" w:type="auto"/>
        <w:tblLook w:val="04A0" w:firstRow="1" w:lastRow="0" w:firstColumn="1" w:lastColumn="0" w:noHBand="0" w:noVBand="1"/>
      </w:tblPr>
      <w:tblGrid>
        <w:gridCol w:w="1961"/>
        <w:gridCol w:w="2951"/>
        <w:gridCol w:w="2482"/>
        <w:gridCol w:w="1848"/>
      </w:tblGrid>
      <w:tr w:rsidR="008E6AC3" w:rsidRPr="008E6AC3" w14:paraId="366B6E74" w14:textId="77777777" w:rsidTr="009D291A">
        <w:tc>
          <w:tcPr>
            <w:tcW w:w="0" w:type="auto"/>
            <w:hideMark/>
          </w:tcPr>
          <w:p w14:paraId="360A00BE" w14:textId="77777777" w:rsidR="008E6AC3" w:rsidRPr="008E6AC3" w:rsidRDefault="008E6AC3" w:rsidP="008E6AC3">
            <w:pPr>
              <w:jc w:val="center"/>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Moderating Factor</w:t>
            </w:r>
          </w:p>
        </w:tc>
        <w:tc>
          <w:tcPr>
            <w:tcW w:w="0" w:type="auto"/>
            <w:hideMark/>
          </w:tcPr>
          <w:p w14:paraId="38CB4BAC" w14:textId="77777777" w:rsidR="008E6AC3" w:rsidRPr="008E6AC3" w:rsidRDefault="008E6AC3" w:rsidP="008E6AC3">
            <w:pPr>
              <w:jc w:val="center"/>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Nature of Influence</w:t>
            </w:r>
          </w:p>
        </w:tc>
        <w:tc>
          <w:tcPr>
            <w:tcW w:w="0" w:type="auto"/>
            <w:hideMark/>
          </w:tcPr>
          <w:p w14:paraId="6A22C65F" w14:textId="77777777" w:rsidR="008E6AC3" w:rsidRPr="008E6AC3" w:rsidRDefault="008E6AC3" w:rsidP="008E6AC3">
            <w:pPr>
              <w:jc w:val="center"/>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Direction of Moderation</w:t>
            </w:r>
          </w:p>
        </w:tc>
        <w:tc>
          <w:tcPr>
            <w:tcW w:w="0" w:type="auto"/>
            <w:hideMark/>
          </w:tcPr>
          <w:p w14:paraId="53210FE4" w14:textId="77777777" w:rsidR="008E6AC3" w:rsidRPr="008E6AC3" w:rsidRDefault="008E6AC3" w:rsidP="008E6AC3">
            <w:pPr>
              <w:jc w:val="center"/>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Key Evidence</w:t>
            </w:r>
          </w:p>
        </w:tc>
      </w:tr>
      <w:tr w:rsidR="008E6AC3" w:rsidRPr="008E6AC3" w14:paraId="22D32CD3" w14:textId="77777777" w:rsidTr="009D291A">
        <w:tc>
          <w:tcPr>
            <w:tcW w:w="0" w:type="auto"/>
            <w:hideMark/>
          </w:tcPr>
          <w:p w14:paraId="52791CB3"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Developmental age (young)</w:t>
            </w:r>
          </w:p>
        </w:tc>
        <w:tc>
          <w:tcPr>
            <w:tcW w:w="0" w:type="auto"/>
            <w:hideMark/>
          </w:tcPr>
          <w:p w14:paraId="0B4EE096"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Sensitive period for cognitive skill acquisition and regulatory internalisation</w:t>
            </w:r>
          </w:p>
        </w:tc>
        <w:tc>
          <w:tcPr>
            <w:tcW w:w="0" w:type="auto"/>
            <w:hideMark/>
          </w:tcPr>
          <w:p w14:paraId="6C0AA0FF"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Risk of developmental impact</w:t>
            </w:r>
          </w:p>
        </w:tc>
        <w:tc>
          <w:tcPr>
            <w:tcW w:w="0" w:type="auto"/>
            <w:hideMark/>
          </w:tcPr>
          <w:p w14:paraId="6ECF53EA"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Firth et al. (2019); Small et al. (2020)</w:t>
            </w:r>
          </w:p>
        </w:tc>
      </w:tr>
      <w:tr w:rsidR="008E6AC3" w:rsidRPr="008E6AC3" w14:paraId="2CCBC497" w14:textId="77777777" w:rsidTr="009D291A">
        <w:tc>
          <w:tcPr>
            <w:tcW w:w="0" w:type="auto"/>
            <w:hideMark/>
          </w:tcPr>
          <w:p w14:paraId="1A6B5506"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Older age</w:t>
            </w:r>
          </w:p>
        </w:tc>
        <w:tc>
          <w:tcPr>
            <w:tcW w:w="0" w:type="auto"/>
            <w:hideMark/>
          </w:tcPr>
          <w:p w14:paraId="22A98DC4"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Reduced working memory; implications for cognitive reserve maintenance</w:t>
            </w:r>
          </w:p>
        </w:tc>
        <w:tc>
          <w:tcPr>
            <w:tcW w:w="0" w:type="auto"/>
            <w:hideMark/>
          </w:tcPr>
          <w:p w14:paraId="5DB04FB9"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Risk of dependency and diminished reserve</w:t>
            </w:r>
          </w:p>
        </w:tc>
        <w:tc>
          <w:tcPr>
            <w:tcW w:w="0" w:type="auto"/>
            <w:hideMark/>
          </w:tcPr>
          <w:p w14:paraId="4FEF5CE6"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Stern (2009)</w:t>
            </w:r>
          </w:p>
        </w:tc>
      </w:tr>
      <w:tr w:rsidR="008E6AC3" w:rsidRPr="008E6AC3" w14:paraId="7B0F8E99" w14:textId="77777777" w:rsidTr="009D291A">
        <w:tc>
          <w:tcPr>
            <w:tcW w:w="0" w:type="auto"/>
            <w:hideMark/>
          </w:tcPr>
          <w:p w14:paraId="204190F3"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Domain expertise</w:t>
            </w:r>
          </w:p>
        </w:tc>
        <w:tc>
          <w:tcPr>
            <w:tcW w:w="0" w:type="auto"/>
            <w:hideMark/>
          </w:tcPr>
          <w:p w14:paraId="0E6287AE"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Determines capacity to critically evaluate and override AI outputs</w:t>
            </w:r>
          </w:p>
        </w:tc>
        <w:tc>
          <w:tcPr>
            <w:tcW w:w="0" w:type="auto"/>
            <w:hideMark/>
          </w:tcPr>
          <w:p w14:paraId="74FBEA09"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Lower expertise → greater automation bias risk</w:t>
            </w:r>
          </w:p>
        </w:tc>
        <w:tc>
          <w:tcPr>
            <w:tcW w:w="0" w:type="auto"/>
            <w:hideMark/>
          </w:tcPr>
          <w:p w14:paraId="7F4E5493" w14:textId="77777777" w:rsidR="008E6AC3" w:rsidRPr="008E6AC3" w:rsidRDefault="008E6AC3" w:rsidP="008E6AC3">
            <w:pPr>
              <w:rPr>
                <w:rFonts w:ascii="Times New Roman" w:eastAsia="Times New Roman" w:hAnsi="Times New Roman" w:cs="Times New Roman"/>
                <w:sz w:val="24"/>
                <w:szCs w:val="24"/>
                <w:lang w:eastAsia="en-GB"/>
              </w:rPr>
            </w:pPr>
            <w:r w:rsidRPr="00931737">
              <w:rPr>
                <w:rFonts w:ascii="Times New Roman" w:eastAsia="Times New Roman" w:hAnsi="Times New Roman" w:cs="Times New Roman"/>
                <w:sz w:val="24"/>
                <w:szCs w:val="24"/>
                <w:lang w:val="nl-BE" w:eastAsia="en-GB"/>
              </w:rPr>
              <w:t xml:space="preserve">Logg et al. (2019); Dietvorst et al. </w:t>
            </w:r>
            <w:r w:rsidRPr="008E6AC3">
              <w:rPr>
                <w:rFonts w:ascii="Times New Roman" w:eastAsia="Times New Roman" w:hAnsi="Times New Roman" w:cs="Times New Roman"/>
                <w:sz w:val="24"/>
                <w:szCs w:val="24"/>
                <w:lang w:eastAsia="en-GB"/>
              </w:rPr>
              <w:t>(2015)</w:t>
            </w:r>
          </w:p>
        </w:tc>
      </w:tr>
      <w:tr w:rsidR="008E6AC3" w:rsidRPr="008E6AC3" w14:paraId="4D87A354" w14:textId="77777777" w:rsidTr="009D291A">
        <w:tc>
          <w:tcPr>
            <w:tcW w:w="0" w:type="auto"/>
            <w:hideMark/>
          </w:tcPr>
          <w:p w14:paraId="1EDE85E2"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Digital literacy</w:t>
            </w:r>
          </w:p>
        </w:tc>
        <w:tc>
          <w:tcPr>
            <w:tcW w:w="0" w:type="auto"/>
            <w:hideMark/>
          </w:tcPr>
          <w:p w14:paraId="59C30425"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Critical evaluation skills and awareness of tool limitations</w:t>
            </w:r>
          </w:p>
        </w:tc>
        <w:tc>
          <w:tcPr>
            <w:tcW w:w="0" w:type="auto"/>
            <w:hideMark/>
          </w:tcPr>
          <w:p w14:paraId="2982DF80"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Higher literacy → more adaptive, vigilant offloading</w:t>
            </w:r>
          </w:p>
        </w:tc>
        <w:tc>
          <w:tcPr>
            <w:tcW w:w="0" w:type="auto"/>
            <w:hideMark/>
          </w:tcPr>
          <w:p w14:paraId="1CC50619"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van Laar et al. (</w:t>
            </w:r>
            <w:r w:rsidR="009D291A">
              <w:rPr>
                <w:rFonts w:ascii="Times New Roman" w:eastAsia="Times New Roman" w:hAnsi="Times New Roman" w:cs="Times New Roman"/>
                <w:sz w:val="24"/>
                <w:szCs w:val="24"/>
                <w:lang w:eastAsia="en-GB"/>
              </w:rPr>
              <w:t>2019</w:t>
            </w:r>
            <w:r w:rsidRPr="008E6AC3">
              <w:rPr>
                <w:rFonts w:ascii="Times New Roman" w:eastAsia="Times New Roman" w:hAnsi="Times New Roman" w:cs="Times New Roman"/>
                <w:sz w:val="24"/>
                <w:szCs w:val="24"/>
                <w:lang w:eastAsia="en-GB"/>
              </w:rPr>
              <w:t>)</w:t>
            </w:r>
          </w:p>
        </w:tc>
      </w:tr>
      <w:tr w:rsidR="008E6AC3" w:rsidRPr="008E6AC3" w14:paraId="24CE48EF" w14:textId="77777777" w:rsidTr="009D291A">
        <w:tc>
          <w:tcPr>
            <w:tcW w:w="0" w:type="auto"/>
            <w:hideMark/>
          </w:tcPr>
          <w:p w14:paraId="6791BAD5"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Metacognitive awareness</w:t>
            </w:r>
          </w:p>
        </w:tc>
        <w:tc>
          <w:tcPr>
            <w:tcW w:w="0" w:type="auto"/>
            <w:hideMark/>
          </w:tcPr>
          <w:p w14:paraId="5CB97E1B"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Monitoring and regulation of one's own reliance on AI</w:t>
            </w:r>
          </w:p>
        </w:tc>
        <w:tc>
          <w:tcPr>
            <w:tcW w:w="0" w:type="auto"/>
            <w:hideMark/>
          </w:tcPr>
          <w:p w14:paraId="5327ADE5"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Higher awareness → reduced epistemic complacency</w:t>
            </w:r>
          </w:p>
        </w:tc>
        <w:tc>
          <w:tcPr>
            <w:tcW w:w="0" w:type="auto"/>
            <w:hideMark/>
          </w:tcPr>
          <w:p w14:paraId="34470D19"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Flavell (1979); Ecker et al. (2022)</w:t>
            </w:r>
          </w:p>
        </w:tc>
      </w:tr>
      <w:tr w:rsidR="008E6AC3" w:rsidRPr="008E6AC3" w14:paraId="1EFFBFB8" w14:textId="77777777" w:rsidTr="009D291A">
        <w:tc>
          <w:tcPr>
            <w:tcW w:w="0" w:type="auto"/>
            <w:hideMark/>
          </w:tcPr>
          <w:p w14:paraId="18D0ABEE"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Information overload</w:t>
            </w:r>
          </w:p>
        </w:tc>
        <w:tc>
          <w:tcPr>
            <w:tcW w:w="0" w:type="auto"/>
            <w:hideMark/>
          </w:tcPr>
          <w:p w14:paraId="1860784B"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Increases reliance on cognitive shortcuts and authority cues</w:t>
            </w:r>
          </w:p>
        </w:tc>
        <w:tc>
          <w:tcPr>
            <w:tcW w:w="0" w:type="auto"/>
            <w:hideMark/>
          </w:tcPr>
          <w:p w14:paraId="47F39CE1"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Greater overload → greater offloading risk</w:t>
            </w:r>
          </w:p>
        </w:tc>
        <w:tc>
          <w:tcPr>
            <w:tcW w:w="0" w:type="auto"/>
            <w:hideMark/>
          </w:tcPr>
          <w:p w14:paraId="67D63017"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Eppler &amp; Mengis (2004)</w:t>
            </w:r>
          </w:p>
        </w:tc>
      </w:tr>
      <w:tr w:rsidR="008E6AC3" w:rsidRPr="008E6AC3" w14:paraId="45142FE5" w14:textId="77777777" w:rsidTr="009D291A">
        <w:tc>
          <w:tcPr>
            <w:tcW w:w="0" w:type="auto"/>
            <w:hideMark/>
          </w:tcPr>
          <w:p w14:paraId="546AB5C2"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Cognitive reserve</w:t>
            </w:r>
          </w:p>
        </w:tc>
        <w:tc>
          <w:tcPr>
            <w:tcW w:w="0" w:type="auto"/>
            <w:hideMark/>
          </w:tcPr>
          <w:p w14:paraId="1CCBAAFF"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Buffer against age-related and pathological cognitive changes</w:t>
            </w:r>
          </w:p>
        </w:tc>
        <w:tc>
          <w:tcPr>
            <w:tcW w:w="0" w:type="auto"/>
            <w:hideMark/>
          </w:tcPr>
          <w:p w14:paraId="4C6BB21B"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Reduced cognitive challenge may reduce reserve</w:t>
            </w:r>
          </w:p>
        </w:tc>
        <w:tc>
          <w:tcPr>
            <w:tcW w:w="0" w:type="auto"/>
            <w:hideMark/>
          </w:tcPr>
          <w:p w14:paraId="5A9C9BDC"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Stern (2009)</w:t>
            </w:r>
          </w:p>
        </w:tc>
      </w:tr>
    </w:tbl>
    <w:p w14:paraId="327E5064" w14:textId="77777777" w:rsidR="008E6AC3" w:rsidRPr="00931737" w:rsidRDefault="008E6AC3" w:rsidP="008E6AC3">
      <w:pPr>
        <w:spacing w:before="100" w:beforeAutospacing="1" w:after="100" w:afterAutospacing="1" w:line="240" w:lineRule="auto"/>
        <w:rPr>
          <w:rFonts w:ascii="Times New Roman" w:eastAsia="Times New Roman" w:hAnsi="Times New Roman" w:cs="Times New Roman"/>
          <w:sz w:val="24"/>
          <w:szCs w:val="24"/>
          <w:lang w:val="nl-BE" w:eastAsia="en-GB"/>
        </w:rPr>
      </w:pPr>
      <w:r w:rsidRPr="008E6AC3">
        <w:rPr>
          <w:rFonts w:ascii="Times New Roman" w:eastAsia="Times New Roman" w:hAnsi="Times New Roman" w:cs="Times New Roman"/>
          <w:i/>
          <w:iCs/>
          <w:sz w:val="24"/>
          <w:szCs w:val="24"/>
          <w:lang w:eastAsia="en-GB"/>
        </w:rPr>
        <w:lastRenderedPageBreak/>
        <w:t>Sources:</w:t>
      </w:r>
      <w:r w:rsidRPr="008E6AC3">
        <w:rPr>
          <w:rFonts w:ascii="Times New Roman" w:eastAsia="Times New Roman" w:hAnsi="Times New Roman" w:cs="Times New Roman"/>
          <w:sz w:val="24"/>
          <w:szCs w:val="24"/>
          <w:lang w:eastAsia="en-GB"/>
        </w:rPr>
        <w:t xml:space="preserve"> Firth et al. (2019); Small et al. </w:t>
      </w:r>
      <w:r w:rsidRPr="00931737">
        <w:rPr>
          <w:rFonts w:ascii="Times New Roman" w:eastAsia="Times New Roman" w:hAnsi="Times New Roman" w:cs="Times New Roman"/>
          <w:sz w:val="24"/>
          <w:szCs w:val="24"/>
          <w:lang w:val="nl-BE" w:eastAsia="en-GB"/>
        </w:rPr>
        <w:t>(2020); Stern (2009); Logg et al. (2019); Dietvorst et al. (2015); van Laar et al. (</w:t>
      </w:r>
      <w:r w:rsidR="009D291A" w:rsidRPr="00931737">
        <w:rPr>
          <w:rFonts w:ascii="Times New Roman" w:eastAsia="Times New Roman" w:hAnsi="Times New Roman" w:cs="Times New Roman"/>
          <w:sz w:val="24"/>
          <w:szCs w:val="24"/>
          <w:lang w:val="nl-BE" w:eastAsia="en-GB"/>
        </w:rPr>
        <w:t>2019</w:t>
      </w:r>
      <w:r w:rsidRPr="00931737">
        <w:rPr>
          <w:rFonts w:ascii="Times New Roman" w:eastAsia="Times New Roman" w:hAnsi="Times New Roman" w:cs="Times New Roman"/>
          <w:sz w:val="24"/>
          <w:szCs w:val="24"/>
          <w:lang w:val="nl-BE" w:eastAsia="en-GB"/>
        </w:rPr>
        <w:t>); Flavell (1979); Ecker et al. (2022); Eppler and Mengis (2004).</w:t>
      </w:r>
    </w:p>
    <w:p w14:paraId="32DECAE5" w14:textId="77777777" w:rsidR="008E6AC3" w:rsidRPr="00931737" w:rsidRDefault="008E6AC3" w:rsidP="008E6AC3">
      <w:pPr>
        <w:spacing w:after="0" w:line="240" w:lineRule="auto"/>
        <w:rPr>
          <w:rFonts w:ascii="Times New Roman" w:eastAsia="Times New Roman" w:hAnsi="Times New Roman" w:cs="Times New Roman"/>
          <w:sz w:val="24"/>
          <w:szCs w:val="24"/>
          <w:lang w:val="nl-BE" w:eastAsia="en-GB"/>
        </w:rPr>
      </w:pPr>
    </w:p>
    <w:p w14:paraId="281A805F" w14:textId="77777777" w:rsidR="008E6AC3" w:rsidRPr="008E6AC3" w:rsidRDefault="008E6AC3" w:rsidP="008E6AC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8E6AC3">
        <w:rPr>
          <w:rFonts w:ascii="Times New Roman" w:eastAsia="Times New Roman" w:hAnsi="Times New Roman" w:cs="Times New Roman"/>
          <w:b/>
          <w:bCs/>
          <w:sz w:val="27"/>
          <w:szCs w:val="27"/>
          <w:lang w:eastAsia="en-GB"/>
        </w:rPr>
        <w:t>8. Ethical and Societal Considerations</w:t>
      </w:r>
    </w:p>
    <w:p w14:paraId="1BBB7370" w14:textId="77777777" w:rsidR="008E6AC3" w:rsidRPr="008E6AC3" w:rsidRDefault="008E6AC3" w:rsidP="008E6A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8.1 Autonomy, Cognitive Sovereignty, and AI Design</w:t>
      </w:r>
    </w:p>
    <w:p w14:paraId="014848A3"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The ethical questions raised by AI-assisted cognitive offloading go beyond individual psychology into something closer to what might be called cognitive sovereignty — a person's right to form their own beliefs, reason for themselves, and make their own cognitive choices without undue technological mediation. Jobin and colleagues (2019), in a comprehensive mapping of AI ethics guidelines worldwide, found autonomy, human oversight, and non-manipulation among the most frequently cited principles in institutional frameworks — though, as they noted, these principles are often defined loosely and applied inconsistently once it comes to actual practice.</w:t>
      </w:r>
    </w:p>
    <w:p w14:paraId="4D174A7D"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Deci and Ryan's (2000) self-determination theory gives a psychological grounding for why autonomy matters beyond its philosophical appeal. People who experience their cognitive activity as self-directed — who author their own reasoning rather than simply ratifying whatever an AI has concluded — tend to report greater personal efficacy, sustain stronger intrinsic motivation, and build genuine competence over time. The flip side is that when AI systems steer choices in ways users cannot see, autonomy can erode quietly, without the person ever noticing it is happening. Personalisation algorithms are a good example of where this concern bites hardest: by pre-emptively narrowing the information environment around a user, they can shrink rather than expand the range of cognitive inputs a person encounters — and intellectual autonomy depends on that range staying open.</w:t>
      </w:r>
    </w:p>
    <w:p w14:paraId="11917CE0"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Shank and DeSanti (2018) looked at how people attribute moral responsibility and agency to AI systems after a morally significant error, and found that these attributions shifted depending on the context and severity of what had gone wrong — evidence, the authors suggested, that people are actively constructing a moral frame for AI agents rather than simply absorbing whatever influence comes their way. Even so, the deep-seated human tendency to see minds in non-human agents (</w:t>
      </w:r>
      <w:proofErr w:type="spellStart"/>
      <w:r w:rsidRPr="008E6AC3">
        <w:rPr>
          <w:rFonts w:ascii="Times New Roman" w:eastAsia="Times New Roman" w:hAnsi="Times New Roman" w:cs="Times New Roman"/>
          <w:sz w:val="24"/>
          <w:szCs w:val="24"/>
          <w:lang w:eastAsia="en-GB"/>
        </w:rPr>
        <w:t>Waytz</w:t>
      </w:r>
      <w:proofErr w:type="spellEnd"/>
      <w:r w:rsidRPr="008E6AC3">
        <w:rPr>
          <w:rFonts w:ascii="Times New Roman" w:eastAsia="Times New Roman" w:hAnsi="Times New Roman" w:cs="Times New Roman"/>
          <w:sz w:val="24"/>
          <w:szCs w:val="24"/>
          <w:lang w:eastAsia="en-GB"/>
        </w:rPr>
        <w:t xml:space="preserve"> et al., 2010) likely biases this construction toward overestimating an AI's intentionality and competence, with knock-on effects for how much cognitive deference people extend to it. As Parasuraman and </w:t>
      </w:r>
      <w:proofErr w:type="spellStart"/>
      <w:r w:rsidRPr="008E6AC3">
        <w:rPr>
          <w:rFonts w:ascii="Times New Roman" w:eastAsia="Times New Roman" w:hAnsi="Times New Roman" w:cs="Times New Roman"/>
          <w:sz w:val="24"/>
          <w:szCs w:val="24"/>
          <w:lang w:eastAsia="en-GB"/>
        </w:rPr>
        <w:t>Manzey</w:t>
      </w:r>
      <w:proofErr w:type="spellEnd"/>
      <w:r w:rsidRPr="008E6AC3">
        <w:rPr>
          <w:rFonts w:ascii="Times New Roman" w:eastAsia="Times New Roman" w:hAnsi="Times New Roman" w:cs="Times New Roman"/>
          <w:sz w:val="24"/>
          <w:szCs w:val="24"/>
          <w:lang w:eastAsia="en-GB"/>
        </w:rPr>
        <w:t xml:space="preserve"> (2010) pointed out, this is not purely a matter of individual psychology — it is also a matter of system design. Architectures that ask for frequent human input tend to keep people engaged and vigilant; those that run autonomously and simply present outputs for approval tend to encourage passivity instead. That design choice carries real ethical weight, since it amounts to a decision about how cognitive authority should be split between human and machine.</w:t>
      </w:r>
    </w:p>
    <w:p w14:paraId="157045B0" w14:textId="77777777" w:rsidR="008E6AC3" w:rsidRPr="008E6AC3" w:rsidRDefault="008E6AC3" w:rsidP="008E6A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8.2 Bias, Epistemic Inequality, and the Attention Economy</w:t>
      </w:r>
    </w:p>
    <w:p w14:paraId="0F2E4024"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 xml:space="preserve">A separate cluster of ethical concerns has to do with how unevenly the risks and benefits of AI-assisted offloading fall across different groups of people. Caliskan and colleagues (2017) showed that word embedding models trained on natural language corpora reliably pick up </w:t>
      </w:r>
      <w:r w:rsidRPr="008E6AC3">
        <w:rPr>
          <w:rFonts w:ascii="Times New Roman" w:eastAsia="Times New Roman" w:hAnsi="Times New Roman" w:cs="Times New Roman"/>
          <w:sz w:val="24"/>
          <w:szCs w:val="24"/>
          <w:lang w:eastAsia="en-GB"/>
        </w:rPr>
        <w:lastRenderedPageBreak/>
        <w:t>and amplify the biases already present in that language, including racial, gender, and socioeconomic associations embedded in ordinary usage. When a user hands information synthesis, decision support, or content generation over to an AI system carrying these inherited biases, the biases come along too — and arguably more dangerously, since the fluency of AI output can make them harder to spot than the same biases stated plainly by a human source.</w:t>
      </w:r>
    </w:p>
    <w:p w14:paraId="7C5F5853"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Epistemic inequality — uneven access to the tools, skills, and social resources needed to evaluate information critically — looks set to shape who actually benefits from AI-assisted offloading and who is harmed by it. People with more education, stronger digital literacy, and well-developed metacognitive skill are better placed to use AI tools as genuine instruments of augmentation, staying alert to their limits along the way. People without these advantages, or who are more susceptible to authority cues generally, are more exposed to misinformation, automation bias, and the cognitive passivity that poorly designed AI tools can encourage. Ecker and colleagues (2022) documented real differences in susceptibility to misinformation tied to educational, cognitive, and motivational variables, and there is good reason to think these gaps widen further with AI-generated content, which is unusually good at presenting the surface markers of credibility regardless of whether the underlying claims hold up.</w:t>
      </w:r>
    </w:p>
    <w:p w14:paraId="70CC71A5"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Underlying much of this is the attention economy — the commercial ecosystem in which AI-powered platforms compete for user attention as something that can be monetised — which adds structural incentives that make these risks worse at a societal level. Platforms built to maximise time spent have a commercial reason to favour content that is cognitively stimulating but epistemically undemanding: material that grabs attention without asking the viewer to think very hard about it. Lazer and colleagues (2018) traced exactly this dynamic in the spread of misinformation, finding that false stories travel faster through digital networks than accurate ones, in part because they tend to carry stronger emotional charge. Eppler and Mengis (2004) had already established that information overload, which attention-economy environments produce almost by design, pushes people toward heuristics and authority cues instead of careful evaluation. And at a broader, economic level, Autor (2015) found that routine cognitive tasks are most exposed to automation, while non-routine evaluative and interpersonal tasks hold up better — which leaves a genuine paradox: a workforce growing more dependent on AI for cognitive work at precisely the moment when independent, critical reasoning matters most, economically and socially.</w:t>
      </w:r>
    </w:p>
    <w:p w14:paraId="6E30ACC4"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Seeber and colleagues (2020) make a strong case that good human-AI collaboration does not happen by accident; it requires deliberately designing the social and cognitive conditions under which AI takes part in collective work, so that human engagement is maintained, epistemic authority is distributed sensibly, and there remains a meaningful way for humans to override the system when their contextual knowledge says something different. These are not just technical recommendations. They amount to an ethical commitment to keeping open the conditions under which human cognitive capacities can be used, developed, and passed on to the next generation.</w:t>
      </w:r>
    </w:p>
    <w:p w14:paraId="5C60D5B6"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Table 5 sets out the major ethical and societal considerations covered in this section, offering a structured overview of where regulatory attention and further empirical work seem most needed.</w:t>
      </w:r>
    </w:p>
    <w:p w14:paraId="09F3805C" w14:textId="77777777" w:rsidR="008E6AC3" w:rsidRPr="008E6AC3" w:rsidRDefault="008E6AC3" w:rsidP="008E6AC3">
      <w:pPr>
        <w:spacing w:after="0" w:line="240" w:lineRule="auto"/>
        <w:rPr>
          <w:rFonts w:ascii="Times New Roman" w:eastAsia="Times New Roman" w:hAnsi="Times New Roman" w:cs="Times New Roman"/>
          <w:sz w:val="24"/>
          <w:szCs w:val="24"/>
          <w:lang w:eastAsia="en-GB"/>
        </w:rPr>
      </w:pPr>
    </w:p>
    <w:p w14:paraId="5D9009B5"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b/>
          <w:bCs/>
          <w:sz w:val="24"/>
          <w:szCs w:val="24"/>
          <w:lang w:eastAsia="en-GB"/>
        </w:rPr>
        <w:lastRenderedPageBreak/>
        <w:t>Table 5.</w:t>
      </w:r>
      <w:r w:rsidRPr="008E6AC3">
        <w:rPr>
          <w:rFonts w:ascii="Times New Roman" w:eastAsia="Times New Roman" w:hAnsi="Times New Roman" w:cs="Times New Roman"/>
          <w:sz w:val="24"/>
          <w:szCs w:val="24"/>
          <w:lang w:eastAsia="en-GB"/>
        </w:rPr>
        <w:t xml:space="preserve"> Ethical and Societal Considerations in AI-Assisted Cognitive Offloading</w:t>
      </w:r>
    </w:p>
    <w:tbl>
      <w:tblPr>
        <w:tblStyle w:val="TableGrid"/>
        <w:tblW w:w="0" w:type="auto"/>
        <w:tblLook w:val="04A0" w:firstRow="1" w:lastRow="0" w:firstColumn="1" w:lastColumn="0" w:noHBand="0" w:noVBand="1"/>
      </w:tblPr>
      <w:tblGrid>
        <w:gridCol w:w="2041"/>
        <w:gridCol w:w="2924"/>
        <w:gridCol w:w="2096"/>
        <w:gridCol w:w="2181"/>
      </w:tblGrid>
      <w:tr w:rsidR="008E6AC3" w:rsidRPr="008E6AC3" w14:paraId="60078ECE" w14:textId="77777777" w:rsidTr="009D291A">
        <w:tc>
          <w:tcPr>
            <w:tcW w:w="0" w:type="auto"/>
            <w:hideMark/>
          </w:tcPr>
          <w:p w14:paraId="79D15F1C" w14:textId="77777777" w:rsidR="008E6AC3" w:rsidRPr="008E6AC3" w:rsidRDefault="008E6AC3" w:rsidP="008E6AC3">
            <w:pPr>
              <w:jc w:val="center"/>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Ethical Dimension</w:t>
            </w:r>
          </w:p>
        </w:tc>
        <w:tc>
          <w:tcPr>
            <w:tcW w:w="0" w:type="auto"/>
            <w:hideMark/>
          </w:tcPr>
          <w:p w14:paraId="703AA6C3" w14:textId="77777777" w:rsidR="008E6AC3" w:rsidRPr="008E6AC3" w:rsidRDefault="008E6AC3" w:rsidP="008E6AC3">
            <w:pPr>
              <w:jc w:val="center"/>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Key Concern</w:t>
            </w:r>
          </w:p>
        </w:tc>
        <w:tc>
          <w:tcPr>
            <w:tcW w:w="0" w:type="auto"/>
            <w:hideMark/>
          </w:tcPr>
          <w:p w14:paraId="151C6EC5" w14:textId="77777777" w:rsidR="008E6AC3" w:rsidRPr="008E6AC3" w:rsidRDefault="008E6AC3" w:rsidP="008E6AC3">
            <w:pPr>
              <w:jc w:val="center"/>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Relevant Principle</w:t>
            </w:r>
          </w:p>
        </w:tc>
        <w:tc>
          <w:tcPr>
            <w:tcW w:w="0" w:type="auto"/>
            <w:hideMark/>
          </w:tcPr>
          <w:p w14:paraId="7ED22CA4" w14:textId="77777777" w:rsidR="008E6AC3" w:rsidRPr="008E6AC3" w:rsidRDefault="008E6AC3" w:rsidP="008E6AC3">
            <w:pPr>
              <w:jc w:val="center"/>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Key Evidence</w:t>
            </w:r>
          </w:p>
        </w:tc>
      </w:tr>
      <w:tr w:rsidR="008E6AC3" w:rsidRPr="00931737" w14:paraId="33F33A1E" w14:textId="77777777" w:rsidTr="009D291A">
        <w:tc>
          <w:tcPr>
            <w:tcW w:w="0" w:type="auto"/>
            <w:hideMark/>
          </w:tcPr>
          <w:p w14:paraId="1CFE5F29"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Cognitive autonomy</w:t>
            </w:r>
          </w:p>
        </w:tc>
        <w:tc>
          <w:tcPr>
            <w:tcW w:w="0" w:type="auto"/>
            <w:hideMark/>
          </w:tcPr>
          <w:p w14:paraId="65957811"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AI pre-empting user reasoning reduces self-directed thought</w:t>
            </w:r>
          </w:p>
        </w:tc>
        <w:tc>
          <w:tcPr>
            <w:tcW w:w="0" w:type="auto"/>
            <w:hideMark/>
          </w:tcPr>
          <w:p w14:paraId="322C0BA7"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Respect for human autonomy</w:t>
            </w:r>
          </w:p>
        </w:tc>
        <w:tc>
          <w:tcPr>
            <w:tcW w:w="0" w:type="auto"/>
            <w:hideMark/>
          </w:tcPr>
          <w:p w14:paraId="5EC7D996" w14:textId="77777777" w:rsidR="008E6AC3" w:rsidRPr="007D73C7" w:rsidRDefault="008E6AC3" w:rsidP="008E6AC3">
            <w:pPr>
              <w:rPr>
                <w:rFonts w:ascii="Times New Roman" w:eastAsia="Times New Roman" w:hAnsi="Times New Roman" w:cs="Times New Roman"/>
                <w:sz w:val="24"/>
                <w:szCs w:val="24"/>
                <w:lang w:val="es-US" w:eastAsia="en-GB"/>
              </w:rPr>
            </w:pPr>
            <w:r w:rsidRPr="007D73C7">
              <w:rPr>
                <w:rFonts w:ascii="Times New Roman" w:eastAsia="Times New Roman" w:hAnsi="Times New Roman" w:cs="Times New Roman"/>
                <w:sz w:val="24"/>
                <w:szCs w:val="24"/>
                <w:lang w:val="es-US" w:eastAsia="en-GB"/>
              </w:rPr>
              <w:t>Jobin et al. (2019); Deci &amp; Ryan (2000)</w:t>
            </w:r>
          </w:p>
        </w:tc>
      </w:tr>
      <w:tr w:rsidR="008E6AC3" w:rsidRPr="008E6AC3" w14:paraId="0E142FBE" w14:textId="77777777" w:rsidTr="009D291A">
        <w:tc>
          <w:tcPr>
            <w:tcW w:w="0" w:type="auto"/>
            <w:hideMark/>
          </w:tcPr>
          <w:p w14:paraId="15095696"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Transparency</w:t>
            </w:r>
          </w:p>
        </w:tc>
        <w:tc>
          <w:tcPr>
            <w:tcW w:w="0" w:type="auto"/>
            <w:hideMark/>
          </w:tcPr>
          <w:p w14:paraId="224B691F"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Users often unaware of the extent of AI influence on their cognition</w:t>
            </w:r>
          </w:p>
        </w:tc>
        <w:tc>
          <w:tcPr>
            <w:tcW w:w="0" w:type="auto"/>
            <w:hideMark/>
          </w:tcPr>
          <w:p w14:paraId="420C9FAE"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Informed consent</w:t>
            </w:r>
          </w:p>
        </w:tc>
        <w:tc>
          <w:tcPr>
            <w:tcW w:w="0" w:type="auto"/>
            <w:hideMark/>
          </w:tcPr>
          <w:p w14:paraId="7956B2BF"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Jobin et al. (2019); Shank &amp; DeSanti (2018)</w:t>
            </w:r>
          </w:p>
        </w:tc>
      </w:tr>
      <w:tr w:rsidR="008E6AC3" w:rsidRPr="008E6AC3" w14:paraId="23427DD1" w14:textId="77777777" w:rsidTr="009D291A">
        <w:tc>
          <w:tcPr>
            <w:tcW w:w="0" w:type="auto"/>
            <w:hideMark/>
          </w:tcPr>
          <w:p w14:paraId="3778444C"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Algorithmic bias</w:t>
            </w:r>
          </w:p>
        </w:tc>
        <w:tc>
          <w:tcPr>
            <w:tcW w:w="0" w:type="auto"/>
            <w:hideMark/>
          </w:tcPr>
          <w:p w14:paraId="1BE0DAE6"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AI reproduces and amplifies social biases in cognitive outputs</w:t>
            </w:r>
          </w:p>
        </w:tc>
        <w:tc>
          <w:tcPr>
            <w:tcW w:w="0" w:type="auto"/>
            <w:hideMark/>
          </w:tcPr>
          <w:p w14:paraId="1C3A6161"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Fairness and non-discrimination</w:t>
            </w:r>
          </w:p>
        </w:tc>
        <w:tc>
          <w:tcPr>
            <w:tcW w:w="0" w:type="auto"/>
            <w:hideMark/>
          </w:tcPr>
          <w:p w14:paraId="06B68615" w14:textId="77777777" w:rsidR="008E6AC3" w:rsidRPr="008E6AC3" w:rsidRDefault="008E6AC3" w:rsidP="008E6AC3">
            <w:pPr>
              <w:rPr>
                <w:rFonts w:ascii="Times New Roman" w:eastAsia="Times New Roman" w:hAnsi="Times New Roman" w:cs="Times New Roman"/>
                <w:sz w:val="24"/>
                <w:szCs w:val="24"/>
                <w:lang w:eastAsia="en-GB"/>
              </w:rPr>
            </w:pPr>
            <w:r w:rsidRPr="00931737">
              <w:rPr>
                <w:rFonts w:ascii="Times New Roman" w:eastAsia="Times New Roman" w:hAnsi="Times New Roman" w:cs="Times New Roman"/>
                <w:sz w:val="24"/>
                <w:szCs w:val="24"/>
                <w:lang w:val="nl-BE" w:eastAsia="en-GB"/>
              </w:rPr>
              <w:t xml:space="preserve">Caliskan et al. (2017); Ecker et al. </w:t>
            </w:r>
            <w:r w:rsidRPr="008E6AC3">
              <w:rPr>
                <w:rFonts w:ascii="Times New Roman" w:eastAsia="Times New Roman" w:hAnsi="Times New Roman" w:cs="Times New Roman"/>
                <w:sz w:val="24"/>
                <w:szCs w:val="24"/>
                <w:lang w:eastAsia="en-GB"/>
              </w:rPr>
              <w:t>(2022)</w:t>
            </w:r>
          </w:p>
        </w:tc>
      </w:tr>
      <w:tr w:rsidR="008E6AC3" w:rsidRPr="00931737" w14:paraId="7AFC7499" w14:textId="77777777" w:rsidTr="009D291A">
        <w:tc>
          <w:tcPr>
            <w:tcW w:w="0" w:type="auto"/>
            <w:hideMark/>
          </w:tcPr>
          <w:p w14:paraId="48E17884"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Epistemic inequality</w:t>
            </w:r>
          </w:p>
        </w:tc>
        <w:tc>
          <w:tcPr>
            <w:tcW w:w="0" w:type="auto"/>
            <w:hideMark/>
          </w:tcPr>
          <w:p w14:paraId="0CD945A2"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Digital literacy gaps create disparate cognitive risk distribution</w:t>
            </w:r>
          </w:p>
        </w:tc>
        <w:tc>
          <w:tcPr>
            <w:tcW w:w="0" w:type="auto"/>
            <w:hideMark/>
          </w:tcPr>
          <w:p w14:paraId="06511DFD"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Equity and access</w:t>
            </w:r>
          </w:p>
        </w:tc>
        <w:tc>
          <w:tcPr>
            <w:tcW w:w="0" w:type="auto"/>
            <w:hideMark/>
          </w:tcPr>
          <w:p w14:paraId="70F826FC" w14:textId="77777777" w:rsidR="008E6AC3" w:rsidRPr="007D73C7" w:rsidRDefault="008E6AC3" w:rsidP="008E6AC3">
            <w:pPr>
              <w:rPr>
                <w:rFonts w:ascii="Times New Roman" w:eastAsia="Times New Roman" w:hAnsi="Times New Roman" w:cs="Times New Roman"/>
                <w:sz w:val="24"/>
                <w:szCs w:val="24"/>
                <w:lang w:val="es-US" w:eastAsia="en-GB"/>
              </w:rPr>
            </w:pPr>
            <w:r w:rsidRPr="007D73C7">
              <w:rPr>
                <w:rFonts w:ascii="Times New Roman" w:eastAsia="Times New Roman" w:hAnsi="Times New Roman" w:cs="Times New Roman"/>
                <w:sz w:val="24"/>
                <w:szCs w:val="24"/>
                <w:lang w:val="es-US" w:eastAsia="en-GB"/>
              </w:rPr>
              <w:t>van Laar et al. (</w:t>
            </w:r>
            <w:r w:rsidR="009D291A" w:rsidRPr="007D73C7">
              <w:rPr>
                <w:rFonts w:ascii="Times New Roman" w:eastAsia="Times New Roman" w:hAnsi="Times New Roman" w:cs="Times New Roman"/>
                <w:sz w:val="24"/>
                <w:szCs w:val="24"/>
                <w:lang w:val="es-US" w:eastAsia="en-GB"/>
              </w:rPr>
              <w:t>2019</w:t>
            </w:r>
            <w:r w:rsidRPr="007D73C7">
              <w:rPr>
                <w:rFonts w:ascii="Times New Roman" w:eastAsia="Times New Roman" w:hAnsi="Times New Roman" w:cs="Times New Roman"/>
                <w:sz w:val="24"/>
                <w:szCs w:val="24"/>
                <w:lang w:val="es-US" w:eastAsia="en-GB"/>
              </w:rPr>
              <w:t>); Autor (2015)</w:t>
            </w:r>
          </w:p>
        </w:tc>
      </w:tr>
      <w:tr w:rsidR="008E6AC3" w:rsidRPr="00931737" w14:paraId="11E23818" w14:textId="77777777" w:rsidTr="009D291A">
        <w:tc>
          <w:tcPr>
            <w:tcW w:w="0" w:type="auto"/>
            <w:hideMark/>
          </w:tcPr>
          <w:p w14:paraId="421216E1"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Attention commodification</w:t>
            </w:r>
          </w:p>
        </w:tc>
        <w:tc>
          <w:tcPr>
            <w:tcW w:w="0" w:type="auto"/>
            <w:hideMark/>
          </w:tcPr>
          <w:p w14:paraId="4B0494F9"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Engagement-maximising design incentivises epistemically low-effort content consumption</w:t>
            </w:r>
          </w:p>
        </w:tc>
        <w:tc>
          <w:tcPr>
            <w:tcW w:w="0" w:type="auto"/>
            <w:hideMark/>
          </w:tcPr>
          <w:p w14:paraId="09D3E921"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Wellbeing over commercial gain</w:t>
            </w:r>
          </w:p>
        </w:tc>
        <w:tc>
          <w:tcPr>
            <w:tcW w:w="0" w:type="auto"/>
            <w:hideMark/>
          </w:tcPr>
          <w:p w14:paraId="21A35435" w14:textId="77777777" w:rsidR="008E6AC3" w:rsidRPr="00931737" w:rsidRDefault="008E6AC3" w:rsidP="008E6AC3">
            <w:pPr>
              <w:rPr>
                <w:rFonts w:ascii="Times New Roman" w:eastAsia="Times New Roman" w:hAnsi="Times New Roman" w:cs="Times New Roman"/>
                <w:sz w:val="24"/>
                <w:szCs w:val="24"/>
                <w:lang w:val="nl-BE" w:eastAsia="en-GB"/>
              </w:rPr>
            </w:pPr>
            <w:r w:rsidRPr="00931737">
              <w:rPr>
                <w:rFonts w:ascii="Times New Roman" w:eastAsia="Times New Roman" w:hAnsi="Times New Roman" w:cs="Times New Roman"/>
                <w:sz w:val="24"/>
                <w:szCs w:val="24"/>
                <w:lang w:val="nl-BE" w:eastAsia="en-GB"/>
              </w:rPr>
              <w:t>Lazer et al. (2018); Eppler &amp; Mengis (2004)</w:t>
            </w:r>
          </w:p>
        </w:tc>
      </w:tr>
      <w:tr w:rsidR="008E6AC3" w:rsidRPr="008E6AC3" w14:paraId="25A291F3" w14:textId="77777777" w:rsidTr="009D291A">
        <w:tc>
          <w:tcPr>
            <w:tcW w:w="0" w:type="auto"/>
            <w:hideMark/>
          </w:tcPr>
          <w:p w14:paraId="2E8EA518"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AI design accountability</w:t>
            </w:r>
          </w:p>
        </w:tc>
        <w:tc>
          <w:tcPr>
            <w:tcW w:w="0" w:type="auto"/>
            <w:hideMark/>
          </w:tcPr>
          <w:p w14:paraId="31606249"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Automation levels determine extent of complacency and oversight risk</w:t>
            </w:r>
          </w:p>
        </w:tc>
        <w:tc>
          <w:tcPr>
            <w:tcW w:w="0" w:type="auto"/>
            <w:hideMark/>
          </w:tcPr>
          <w:p w14:paraId="59A758D1"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Human oversight and meaningful control</w:t>
            </w:r>
          </w:p>
        </w:tc>
        <w:tc>
          <w:tcPr>
            <w:tcW w:w="0" w:type="auto"/>
            <w:hideMark/>
          </w:tcPr>
          <w:p w14:paraId="04074304" w14:textId="77777777" w:rsidR="008E6AC3" w:rsidRPr="008E6AC3" w:rsidRDefault="008E6AC3" w:rsidP="008E6AC3">
            <w:pPr>
              <w:rPr>
                <w:rFonts w:ascii="Times New Roman" w:eastAsia="Times New Roman" w:hAnsi="Times New Roman" w:cs="Times New Roman"/>
                <w:sz w:val="24"/>
                <w:szCs w:val="24"/>
                <w:lang w:eastAsia="en-GB"/>
              </w:rPr>
            </w:pPr>
            <w:r w:rsidRPr="007D73C7">
              <w:rPr>
                <w:rFonts w:ascii="Times New Roman" w:eastAsia="Times New Roman" w:hAnsi="Times New Roman" w:cs="Times New Roman"/>
                <w:sz w:val="24"/>
                <w:szCs w:val="24"/>
                <w:lang w:val="es-US" w:eastAsia="en-GB"/>
              </w:rPr>
              <w:t xml:space="preserve">Parasuraman &amp; </w:t>
            </w:r>
            <w:proofErr w:type="spellStart"/>
            <w:r w:rsidRPr="007D73C7">
              <w:rPr>
                <w:rFonts w:ascii="Times New Roman" w:eastAsia="Times New Roman" w:hAnsi="Times New Roman" w:cs="Times New Roman"/>
                <w:sz w:val="24"/>
                <w:szCs w:val="24"/>
                <w:lang w:val="es-US" w:eastAsia="en-GB"/>
              </w:rPr>
              <w:t>Manzey</w:t>
            </w:r>
            <w:proofErr w:type="spellEnd"/>
            <w:r w:rsidRPr="007D73C7">
              <w:rPr>
                <w:rFonts w:ascii="Times New Roman" w:eastAsia="Times New Roman" w:hAnsi="Times New Roman" w:cs="Times New Roman"/>
                <w:sz w:val="24"/>
                <w:szCs w:val="24"/>
                <w:lang w:val="es-US" w:eastAsia="en-GB"/>
              </w:rPr>
              <w:t xml:space="preserve"> (2010); Seeber et al. </w:t>
            </w:r>
            <w:r w:rsidRPr="008E6AC3">
              <w:rPr>
                <w:rFonts w:ascii="Times New Roman" w:eastAsia="Times New Roman" w:hAnsi="Times New Roman" w:cs="Times New Roman"/>
                <w:sz w:val="24"/>
                <w:szCs w:val="24"/>
                <w:lang w:eastAsia="en-GB"/>
              </w:rPr>
              <w:t>(2020)</w:t>
            </w:r>
          </w:p>
        </w:tc>
      </w:tr>
      <w:tr w:rsidR="008E6AC3" w:rsidRPr="008E6AC3" w14:paraId="1F35C6CC" w14:textId="77777777" w:rsidTr="009D291A">
        <w:tc>
          <w:tcPr>
            <w:tcW w:w="0" w:type="auto"/>
            <w:hideMark/>
          </w:tcPr>
          <w:p w14:paraId="68C5D22B"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Cognitive sovereignty</w:t>
            </w:r>
          </w:p>
        </w:tc>
        <w:tc>
          <w:tcPr>
            <w:tcW w:w="0" w:type="auto"/>
            <w:hideMark/>
          </w:tcPr>
          <w:p w14:paraId="081CB2FC"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Right to unmediated reasoning in high-stakes domains</w:t>
            </w:r>
          </w:p>
        </w:tc>
        <w:tc>
          <w:tcPr>
            <w:tcW w:w="0" w:type="auto"/>
            <w:hideMark/>
          </w:tcPr>
          <w:p w14:paraId="500B2E95"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Non-manipulation; human dignity</w:t>
            </w:r>
          </w:p>
        </w:tc>
        <w:tc>
          <w:tcPr>
            <w:tcW w:w="0" w:type="auto"/>
            <w:hideMark/>
          </w:tcPr>
          <w:p w14:paraId="5806FD71" w14:textId="77777777" w:rsidR="008E6AC3" w:rsidRPr="008E6AC3" w:rsidRDefault="008E6AC3" w:rsidP="008E6AC3">
            <w:pPr>
              <w:rPr>
                <w:rFonts w:ascii="Times New Roman" w:eastAsia="Times New Roman" w:hAnsi="Times New Roman" w:cs="Times New Roman"/>
                <w:sz w:val="24"/>
                <w:szCs w:val="24"/>
                <w:lang w:eastAsia="en-GB"/>
              </w:rPr>
            </w:pPr>
            <w:r w:rsidRPr="00931737">
              <w:rPr>
                <w:rFonts w:ascii="Times New Roman" w:eastAsia="Times New Roman" w:hAnsi="Times New Roman" w:cs="Times New Roman"/>
                <w:sz w:val="24"/>
                <w:szCs w:val="24"/>
                <w:lang w:val="nl-BE" w:eastAsia="en-GB"/>
              </w:rPr>
              <w:t xml:space="preserve">Jobin et al. (2019); Waytz et al. </w:t>
            </w:r>
            <w:r w:rsidRPr="008E6AC3">
              <w:rPr>
                <w:rFonts w:ascii="Times New Roman" w:eastAsia="Times New Roman" w:hAnsi="Times New Roman" w:cs="Times New Roman"/>
                <w:sz w:val="24"/>
                <w:szCs w:val="24"/>
                <w:lang w:eastAsia="en-GB"/>
              </w:rPr>
              <w:t>(2010)</w:t>
            </w:r>
          </w:p>
        </w:tc>
      </w:tr>
    </w:tbl>
    <w:p w14:paraId="6D18456A"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i/>
          <w:iCs/>
          <w:sz w:val="24"/>
          <w:szCs w:val="24"/>
          <w:lang w:eastAsia="en-GB"/>
        </w:rPr>
        <w:t>Sources:</w:t>
      </w:r>
      <w:r w:rsidRPr="008E6AC3">
        <w:rPr>
          <w:rFonts w:ascii="Times New Roman" w:eastAsia="Times New Roman" w:hAnsi="Times New Roman" w:cs="Times New Roman"/>
          <w:sz w:val="24"/>
          <w:szCs w:val="24"/>
          <w:lang w:eastAsia="en-GB"/>
        </w:rPr>
        <w:t xml:space="preserve"> Jobin et al. (2019); Deci and Ryan (2000); Shank and DeSanti (2018); Caliskan et al. </w:t>
      </w:r>
      <w:r w:rsidRPr="007D73C7">
        <w:rPr>
          <w:rFonts w:ascii="Times New Roman" w:eastAsia="Times New Roman" w:hAnsi="Times New Roman" w:cs="Times New Roman"/>
          <w:sz w:val="24"/>
          <w:szCs w:val="24"/>
          <w:lang w:val="es-US" w:eastAsia="en-GB"/>
        </w:rPr>
        <w:t>(2017); Ecker et al. (2022); van Laar et al. (</w:t>
      </w:r>
      <w:r w:rsidR="009D291A" w:rsidRPr="007D73C7">
        <w:rPr>
          <w:rFonts w:ascii="Times New Roman" w:eastAsia="Times New Roman" w:hAnsi="Times New Roman" w:cs="Times New Roman"/>
          <w:sz w:val="24"/>
          <w:szCs w:val="24"/>
          <w:lang w:val="es-US" w:eastAsia="en-GB"/>
        </w:rPr>
        <w:t>2019</w:t>
      </w:r>
      <w:r w:rsidRPr="007D73C7">
        <w:rPr>
          <w:rFonts w:ascii="Times New Roman" w:eastAsia="Times New Roman" w:hAnsi="Times New Roman" w:cs="Times New Roman"/>
          <w:sz w:val="24"/>
          <w:szCs w:val="24"/>
          <w:lang w:val="es-US" w:eastAsia="en-GB"/>
        </w:rPr>
        <w:t xml:space="preserve">); Autor (2015); Lazer et al. </w:t>
      </w:r>
      <w:r w:rsidRPr="008E6AC3">
        <w:rPr>
          <w:rFonts w:ascii="Times New Roman" w:eastAsia="Times New Roman" w:hAnsi="Times New Roman" w:cs="Times New Roman"/>
          <w:sz w:val="24"/>
          <w:szCs w:val="24"/>
          <w:lang w:eastAsia="en-GB"/>
        </w:rPr>
        <w:t xml:space="preserve">(2018); Eppler and Mengis (2004); Parasuraman and </w:t>
      </w:r>
      <w:proofErr w:type="spellStart"/>
      <w:r w:rsidRPr="008E6AC3">
        <w:rPr>
          <w:rFonts w:ascii="Times New Roman" w:eastAsia="Times New Roman" w:hAnsi="Times New Roman" w:cs="Times New Roman"/>
          <w:sz w:val="24"/>
          <w:szCs w:val="24"/>
          <w:lang w:eastAsia="en-GB"/>
        </w:rPr>
        <w:t>Manzey</w:t>
      </w:r>
      <w:proofErr w:type="spellEnd"/>
      <w:r w:rsidRPr="008E6AC3">
        <w:rPr>
          <w:rFonts w:ascii="Times New Roman" w:eastAsia="Times New Roman" w:hAnsi="Times New Roman" w:cs="Times New Roman"/>
          <w:sz w:val="24"/>
          <w:szCs w:val="24"/>
          <w:lang w:eastAsia="en-GB"/>
        </w:rPr>
        <w:t xml:space="preserve"> (2010); Seeber et al. (2020); </w:t>
      </w:r>
      <w:proofErr w:type="spellStart"/>
      <w:r w:rsidRPr="008E6AC3">
        <w:rPr>
          <w:rFonts w:ascii="Times New Roman" w:eastAsia="Times New Roman" w:hAnsi="Times New Roman" w:cs="Times New Roman"/>
          <w:sz w:val="24"/>
          <w:szCs w:val="24"/>
          <w:lang w:eastAsia="en-GB"/>
        </w:rPr>
        <w:t>Waytz</w:t>
      </w:r>
      <w:proofErr w:type="spellEnd"/>
      <w:r w:rsidRPr="008E6AC3">
        <w:rPr>
          <w:rFonts w:ascii="Times New Roman" w:eastAsia="Times New Roman" w:hAnsi="Times New Roman" w:cs="Times New Roman"/>
          <w:sz w:val="24"/>
          <w:szCs w:val="24"/>
          <w:lang w:eastAsia="en-GB"/>
        </w:rPr>
        <w:t xml:space="preserve"> et al. (2010).</w:t>
      </w:r>
    </w:p>
    <w:p w14:paraId="572BF462" w14:textId="77777777" w:rsidR="008E6AC3" w:rsidRPr="008E6AC3" w:rsidRDefault="008E6AC3" w:rsidP="008E6AC3">
      <w:pPr>
        <w:spacing w:after="0" w:line="240" w:lineRule="auto"/>
        <w:rPr>
          <w:rFonts w:ascii="Times New Roman" w:eastAsia="Times New Roman" w:hAnsi="Times New Roman" w:cs="Times New Roman"/>
          <w:sz w:val="24"/>
          <w:szCs w:val="24"/>
          <w:lang w:eastAsia="en-GB"/>
        </w:rPr>
      </w:pPr>
    </w:p>
    <w:p w14:paraId="4C4B3DA0" w14:textId="77777777" w:rsidR="008E6AC3" w:rsidRPr="008E6AC3" w:rsidRDefault="008E6AC3" w:rsidP="008E6AC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8E6AC3">
        <w:rPr>
          <w:rFonts w:ascii="Times New Roman" w:eastAsia="Times New Roman" w:hAnsi="Times New Roman" w:cs="Times New Roman"/>
          <w:b/>
          <w:bCs/>
          <w:sz w:val="27"/>
          <w:szCs w:val="27"/>
          <w:lang w:eastAsia="en-GB"/>
        </w:rPr>
        <w:t>9. Conclusions</w:t>
      </w:r>
    </w:p>
    <w:p w14:paraId="7D87FDC9"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Taken as a whole, the evidence reviewed here resists any tidy verdict on AI-assisted cognitive offloading as either harmful or beneficial. The three theoretical frameworks at the centre of this review — cognitive load theory, the extended mind hypothesis, and transactive memory theory — together point toward a mixture of short-term gains and longer-term risks, and which side of that mixture dominates depends on the task being offloaded, the design of the AI system involved, the characteristics of the individual user, and the social and institutional setting in which all of this is happening.</w:t>
      </w:r>
    </w:p>
    <w:p w14:paraId="651FFFFA"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 xml:space="preserve">The clearest finding to emerge across the literature is that cognitive offloading — to earlier digital technologies as much as to today's AI tools — consistently changes how the offloaded information gets encoded and consolidated internally. This is not a failure of cognition but a reasonable response to perceived external availability. The real difficulty arises when that availability is treated as permanent, reliable, and complete, when in fact AI systems are </w:t>
      </w:r>
      <w:r w:rsidRPr="008E6AC3">
        <w:rPr>
          <w:rFonts w:ascii="Times New Roman" w:eastAsia="Times New Roman" w:hAnsi="Times New Roman" w:cs="Times New Roman"/>
          <w:sz w:val="24"/>
          <w:szCs w:val="24"/>
          <w:lang w:eastAsia="en-GB"/>
        </w:rPr>
        <w:lastRenderedPageBreak/>
        <w:t>imperfect, can become unavailable, and can err in ways a user has no way of catching without some internal knowledge of their own to fall back on. Automation bias is a well-established risk on top of this, and one likely to grow as AI systems become more capable and present their outputs with greater confidence. The psychological mechanisms behind it — complacency, anthropomorphism, deference to apparent authority — do not go away simply because a person is aware they exist.</w:t>
      </w:r>
    </w:p>
    <w:p w14:paraId="17AC12AF"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 xml:space="preserve">None of this, though, adds up to a case that AI assistance is simply bad for thinking. When AI tools take on routine work and leave the substantive cognitive demands of a task to the human — assisting rather than replacing — they can improve the quality of output, ease cognitive overload, and support analytical and creative work at a level that may genuinely exceed what a person would manage unaided. The conditions under which </w:t>
      </w:r>
      <w:proofErr w:type="gramStart"/>
      <w:r w:rsidRPr="008E6AC3">
        <w:rPr>
          <w:rFonts w:ascii="Times New Roman" w:eastAsia="Times New Roman" w:hAnsi="Times New Roman" w:cs="Times New Roman"/>
          <w:sz w:val="24"/>
          <w:szCs w:val="24"/>
          <w:lang w:eastAsia="en-GB"/>
        </w:rPr>
        <w:t>this holds</w:t>
      </w:r>
      <w:proofErr w:type="gramEnd"/>
      <w:r w:rsidRPr="008E6AC3">
        <w:rPr>
          <w:rFonts w:ascii="Times New Roman" w:eastAsia="Times New Roman" w:hAnsi="Times New Roman" w:cs="Times New Roman"/>
          <w:sz w:val="24"/>
          <w:szCs w:val="24"/>
          <w:lang w:eastAsia="en-GB"/>
        </w:rPr>
        <w:t xml:space="preserve"> are reasonably well specified by the frameworks reviewed here: the human has to stay cognitively engaged, metacognitive monitoring has to stay active, and the AI tool has to be built in a way that supports those conditions rather than working against them.</w:t>
      </w:r>
    </w:p>
    <w:p w14:paraId="3F557687"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The clearest practical implication is that AI systems, educational curricula, and professional environments all need to be designed with an eye to protecting the human cognitive capacities that AI assistance could otherwise quietly erode. Educational AI should be built to add productive challenge, not remove it. Digital literacy and critical evaluation deserve to sit alongside content knowledge as a core educational outcome, not an afterthought. Professional AI systems need to preserve meaningful human oversight, especially in high-stakes settings. And AI design more broadly needs some form of regulatory check against engagement-maximising practices that treat attention capture as more important than epistemic quality. Ultimately, what human thinking looks like in the age of AI will be determined less by what these systems are capable of than by how thoughtfully societies choose to weave them into everyday cognitive life — and by how consistently the conditions for genuine, autonomous human reasoning are protected along the way.</w:t>
      </w:r>
    </w:p>
    <w:p w14:paraId="4CB0E04D" w14:textId="77777777" w:rsidR="008E6AC3" w:rsidRPr="008E6AC3" w:rsidRDefault="008E6AC3" w:rsidP="008E6AC3">
      <w:pPr>
        <w:spacing w:after="0" w:line="240" w:lineRule="auto"/>
        <w:rPr>
          <w:rFonts w:ascii="Times New Roman" w:eastAsia="Times New Roman" w:hAnsi="Times New Roman" w:cs="Times New Roman"/>
          <w:sz w:val="24"/>
          <w:szCs w:val="24"/>
          <w:lang w:eastAsia="en-GB"/>
        </w:rPr>
      </w:pPr>
    </w:p>
    <w:p w14:paraId="3899B9D9" w14:textId="77777777" w:rsidR="008E6AC3" w:rsidRPr="008E6AC3" w:rsidRDefault="008E6AC3" w:rsidP="008E6AC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8E6AC3">
        <w:rPr>
          <w:rFonts w:ascii="Times New Roman" w:eastAsia="Times New Roman" w:hAnsi="Times New Roman" w:cs="Times New Roman"/>
          <w:b/>
          <w:bCs/>
          <w:sz w:val="27"/>
          <w:szCs w:val="27"/>
          <w:lang w:eastAsia="en-GB"/>
        </w:rPr>
        <w:t>10. Limitations</w:t>
      </w:r>
    </w:p>
    <w:p w14:paraId="7C7B856E"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Several limitations of this review deserve to be stated plainly. The first is methodological: as a narrative rather than systematic review, the synthesis reflects judgement calls about which evidence carries the most weight, made by a single interpreting author. Given the breadth of the topic — spanning cognitive psychology, human factors, educational science, and AI ethics, among others — coverage of any one subdomain is necessarily less exhaustive than a systematic review focused on that subdomain alone would achieve.</w:t>
      </w:r>
    </w:p>
    <w:p w14:paraId="29BAD7BB"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Second, the empirical literature on contemporary generative AI specifically is still quite young. Much of the evidence drawn on here comes from earlier digital technologies — search engines, smartphones, calculators, navigation systems — that differ from today's large language models and AI assistants in ways that matter. Whether findings from those earlier contexts hold up for the more capable, conversationally interactive systems now in widespread use is genuinely uncertain, and closing that gap should be a priority for future research.</w:t>
      </w:r>
    </w:p>
    <w:p w14:paraId="7FF2E3B1"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 xml:space="preserve">Third, most of the experimental work reviewed here used student or laboratory samples that may not represent the broader population of AI users well, particularly older adults, working </w:t>
      </w:r>
      <w:r w:rsidRPr="008E6AC3">
        <w:rPr>
          <w:rFonts w:ascii="Times New Roman" w:eastAsia="Times New Roman" w:hAnsi="Times New Roman" w:cs="Times New Roman"/>
          <w:sz w:val="24"/>
          <w:szCs w:val="24"/>
          <w:lang w:eastAsia="en-GB"/>
        </w:rPr>
        <w:lastRenderedPageBreak/>
        <w:t>professionals, and people with less education or digital literacy. Longitudinal research is also notably thin on the ground, which matters for establishing causal direction: a cross-sectional link between technology use and some cognitive outcome is suggestive, but it cannot rule out the possibility that people with a particular cognitive profile are simply more drawn to AI tools in the first place, rather than AI use producing that profile.</w:t>
      </w:r>
    </w:p>
    <w:p w14:paraId="2415F770"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Fourth, this review draws almost entirely on English-language literature, which limits how far its conclusions can be generalised across cultures. The psychological and social consequences of AI-assisted offloading are plausibly shaped by cultural differences in attitudes toward technological authority, educational tradition, and how knowledge production is organised socially — none of which the reviewed literature captures particularly well.</w:t>
      </w:r>
    </w:p>
    <w:p w14:paraId="79C23A28"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Finally, AI is moving quickly enough that specific findings and recommendations here may need revisiting as capabilities, deployment contexts, and regulatory frameworks continue to shift. The theoretical frameworks used throughout this review — cognitive load theory, the extended mind hypothesis, and self-determination theory — should remain useful across successive generations of AI technology even as their specific applications are updated in light of new evidence.</w:t>
      </w:r>
    </w:p>
    <w:p w14:paraId="2B3E12C2" w14:textId="77777777" w:rsidR="00C21DE6" w:rsidRPr="004B3EB7" w:rsidRDefault="00C21DE6" w:rsidP="00C21DE6">
      <w:pPr>
        <w:spacing w:after="160" w:line="259" w:lineRule="auto"/>
        <w:rPr>
          <w:rFonts w:ascii="Arial" w:eastAsia="Calibri" w:hAnsi="Arial" w:cs="Arial"/>
          <w:b/>
          <w:bCs/>
          <w:kern w:val="2"/>
          <w:lang w:val="en-IN"/>
        </w:rPr>
      </w:pPr>
      <w:bookmarkStart w:id="0" w:name="_Hlk220510767"/>
      <w:r w:rsidRPr="004B3EB7">
        <w:rPr>
          <w:rFonts w:ascii="Arial" w:eastAsia="Calibri" w:hAnsi="Arial" w:cs="Arial"/>
          <w:b/>
          <w:bCs/>
          <w:kern w:val="2"/>
          <w:lang w:val="en-IN"/>
        </w:rPr>
        <w:t>Declaration of AI Use</w:t>
      </w:r>
    </w:p>
    <w:p w14:paraId="07626AA1" w14:textId="77777777" w:rsidR="00C21DE6" w:rsidRPr="00EA6BA7" w:rsidRDefault="00C21DE6" w:rsidP="00C21DE6">
      <w:pPr>
        <w:spacing w:after="160" w:line="259" w:lineRule="auto"/>
        <w:rPr>
          <w:rFonts w:ascii="Arial" w:eastAsia="Calibri" w:hAnsi="Arial" w:cs="Arial"/>
          <w:kern w:val="2"/>
          <w:lang w:val="en-IN"/>
        </w:rPr>
      </w:pPr>
      <w:r w:rsidRPr="004B3EB7">
        <w:rPr>
          <w:rFonts w:ascii="Arial" w:eastAsia="Calibri" w:hAnsi="Arial" w:cs="Arial"/>
          <w:kern w:val="2"/>
          <w:lang w:val="en-I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bookmarkEnd w:id="0"/>
    <w:p w14:paraId="65A16745" w14:textId="77777777" w:rsidR="008E6AC3" w:rsidRPr="008E6AC3" w:rsidRDefault="008E6AC3" w:rsidP="008E6AC3">
      <w:pPr>
        <w:spacing w:after="0" w:line="240" w:lineRule="auto"/>
        <w:rPr>
          <w:rFonts w:ascii="Times New Roman" w:eastAsia="Times New Roman" w:hAnsi="Times New Roman" w:cs="Times New Roman"/>
          <w:sz w:val="24"/>
          <w:szCs w:val="24"/>
          <w:lang w:eastAsia="en-GB"/>
        </w:rPr>
      </w:pPr>
    </w:p>
    <w:p w14:paraId="7C03B886" w14:textId="77777777" w:rsidR="008E6AC3" w:rsidRDefault="008E6AC3" w:rsidP="008E6AC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8E6AC3">
        <w:rPr>
          <w:rFonts w:ascii="Times New Roman" w:eastAsia="Times New Roman" w:hAnsi="Times New Roman" w:cs="Times New Roman"/>
          <w:b/>
          <w:bCs/>
          <w:sz w:val="27"/>
          <w:szCs w:val="27"/>
          <w:lang w:eastAsia="en-GB"/>
        </w:rPr>
        <w:t>References</w:t>
      </w:r>
    </w:p>
    <w:p w14:paraId="62219D82" w14:textId="279A7813" w:rsidR="00931737" w:rsidRPr="00931737" w:rsidRDefault="00931737" w:rsidP="00931737">
      <w:pPr>
        <w:spacing w:after="0" w:line="240" w:lineRule="auto"/>
        <w:ind w:left="540" w:hanging="540"/>
        <w:jc w:val="both"/>
        <w:rPr>
          <w:rFonts w:ascii="Times New Roman" w:eastAsia="Times New Roman" w:hAnsi="Times New Roman" w:cs="Times New Roman"/>
          <w:sz w:val="24"/>
          <w:szCs w:val="24"/>
          <w:lang w:val="en-US"/>
        </w:rPr>
      </w:pPr>
      <w:r w:rsidRPr="00931737">
        <w:rPr>
          <w:rFonts w:ascii="Times New Roman" w:eastAsia="Times New Roman" w:hAnsi="Times New Roman" w:cs="Times New Roman"/>
          <w:sz w:val="24"/>
          <w:szCs w:val="24"/>
          <w:lang w:val="en-US"/>
        </w:rPr>
        <w:t xml:space="preserve">Aung, H. H., &amp; </w:t>
      </w:r>
      <w:proofErr w:type="spellStart"/>
      <w:r w:rsidRPr="00931737">
        <w:rPr>
          <w:rFonts w:ascii="Times New Roman" w:eastAsia="Times New Roman" w:hAnsi="Times New Roman" w:cs="Times New Roman"/>
          <w:sz w:val="24"/>
          <w:szCs w:val="24"/>
          <w:lang w:val="en-US"/>
        </w:rPr>
        <w:t>Bauyot</w:t>
      </w:r>
      <w:proofErr w:type="spellEnd"/>
      <w:r w:rsidRPr="00931737">
        <w:rPr>
          <w:rFonts w:ascii="Times New Roman" w:eastAsia="Times New Roman" w:hAnsi="Times New Roman" w:cs="Times New Roman"/>
          <w:sz w:val="24"/>
          <w:szCs w:val="24"/>
          <w:lang w:val="en-US"/>
        </w:rPr>
        <w:t xml:space="preserve">, M. M. (2025). Artificial intelligence in adolescent learning: Implications for academic integrity and critical thinking. </w:t>
      </w:r>
      <w:r w:rsidRPr="00931737">
        <w:rPr>
          <w:rFonts w:ascii="Times New Roman" w:eastAsia="Times New Roman" w:hAnsi="Times New Roman" w:cs="Times New Roman"/>
          <w:i/>
          <w:iCs/>
          <w:sz w:val="24"/>
          <w:szCs w:val="24"/>
          <w:lang w:val="en-US"/>
        </w:rPr>
        <w:t>Asian Journal of Education and Social Studies, 51</w:t>
      </w:r>
      <w:r w:rsidRPr="00931737">
        <w:rPr>
          <w:rFonts w:ascii="Times New Roman" w:eastAsia="Times New Roman" w:hAnsi="Times New Roman" w:cs="Times New Roman"/>
          <w:sz w:val="24"/>
          <w:szCs w:val="24"/>
          <w:lang w:val="en-US"/>
        </w:rPr>
        <w:t xml:space="preserve">(10), 1399–1413. </w:t>
      </w:r>
      <w:hyperlink r:id="rId7" w:history="1">
        <w:r w:rsidRPr="00931737">
          <w:rPr>
            <w:rFonts w:ascii="Times New Roman" w:eastAsia="Times New Roman" w:hAnsi="Times New Roman" w:cs="Times New Roman"/>
            <w:color w:val="0000FF"/>
            <w:sz w:val="24"/>
            <w:szCs w:val="24"/>
            <w:u w:val="single"/>
            <w:lang w:val="en-US"/>
          </w:rPr>
          <w:t>https://doi.org/10.9734/ajess/2025/v51i102579</w:t>
        </w:r>
      </w:hyperlink>
    </w:p>
    <w:p w14:paraId="3EA46EB3" w14:textId="66F4C06D" w:rsidR="00931737" w:rsidRPr="00931737" w:rsidRDefault="00931737" w:rsidP="00931737">
      <w:pPr>
        <w:spacing w:after="0" w:line="240" w:lineRule="auto"/>
        <w:ind w:left="540" w:hanging="540"/>
        <w:jc w:val="both"/>
        <w:rPr>
          <w:rFonts w:ascii="Times New Roman" w:eastAsia="Times New Roman" w:hAnsi="Times New Roman" w:cs="Times New Roman"/>
          <w:sz w:val="24"/>
          <w:szCs w:val="24"/>
          <w:lang w:val="en-US"/>
        </w:rPr>
      </w:pPr>
      <w:r w:rsidRPr="00931737">
        <w:rPr>
          <w:rFonts w:ascii="Times New Roman" w:eastAsia="Times New Roman" w:hAnsi="Times New Roman" w:cs="Times New Roman"/>
          <w:sz w:val="24"/>
          <w:szCs w:val="24"/>
          <w:lang w:val="en-US"/>
        </w:rPr>
        <w:t xml:space="preserve">Autor, D. H. (2015). Why are there still so many jobs? The history and future of workplace automation. </w:t>
      </w:r>
      <w:r w:rsidRPr="00931737">
        <w:rPr>
          <w:rFonts w:ascii="Times New Roman" w:eastAsia="Times New Roman" w:hAnsi="Times New Roman" w:cs="Times New Roman"/>
          <w:i/>
          <w:iCs/>
          <w:sz w:val="24"/>
          <w:szCs w:val="24"/>
          <w:lang w:val="en-US"/>
        </w:rPr>
        <w:t>Journal of Economic Perspectives, 29</w:t>
      </w:r>
      <w:r w:rsidRPr="00931737">
        <w:rPr>
          <w:rFonts w:ascii="Times New Roman" w:eastAsia="Times New Roman" w:hAnsi="Times New Roman" w:cs="Times New Roman"/>
          <w:sz w:val="24"/>
          <w:szCs w:val="24"/>
          <w:lang w:val="en-US"/>
        </w:rPr>
        <w:t xml:space="preserve">(3), 3–30. </w:t>
      </w:r>
      <w:hyperlink r:id="rId8" w:history="1">
        <w:r w:rsidRPr="00931737">
          <w:rPr>
            <w:rFonts w:ascii="Times New Roman" w:eastAsia="Times New Roman" w:hAnsi="Times New Roman" w:cs="Times New Roman"/>
            <w:color w:val="0000FF"/>
            <w:sz w:val="24"/>
            <w:szCs w:val="24"/>
            <w:u w:val="single"/>
            <w:lang w:val="en-US"/>
          </w:rPr>
          <w:t>https://doi.org/10.1257/jep.29.3.3</w:t>
        </w:r>
      </w:hyperlink>
    </w:p>
    <w:p w14:paraId="4537A723" w14:textId="25BA13B5" w:rsidR="00931737" w:rsidRPr="00931737" w:rsidRDefault="00931737" w:rsidP="00931737">
      <w:pPr>
        <w:spacing w:after="0" w:line="240" w:lineRule="auto"/>
        <w:ind w:left="540" w:hanging="540"/>
        <w:jc w:val="both"/>
        <w:rPr>
          <w:rFonts w:ascii="Times New Roman" w:eastAsia="Times New Roman" w:hAnsi="Times New Roman" w:cs="Times New Roman"/>
          <w:sz w:val="24"/>
          <w:szCs w:val="24"/>
          <w:lang w:val="en-US"/>
        </w:rPr>
      </w:pPr>
      <w:r w:rsidRPr="00931737">
        <w:rPr>
          <w:rFonts w:ascii="Times New Roman" w:eastAsia="Times New Roman" w:hAnsi="Times New Roman" w:cs="Times New Roman"/>
          <w:sz w:val="24"/>
          <w:szCs w:val="24"/>
          <w:lang w:val="en-US"/>
        </w:rPr>
        <w:t xml:space="preserve">Baird, B., Smallwood, J., Mrazek, M. D., Kam, J. W. Y., Franklin, M. S., &amp; Schooler, J. W. (2012). Inspired by distraction: Mind wandering facilitates creative incubation. </w:t>
      </w:r>
      <w:r w:rsidRPr="00931737">
        <w:rPr>
          <w:rFonts w:ascii="Times New Roman" w:eastAsia="Times New Roman" w:hAnsi="Times New Roman" w:cs="Times New Roman"/>
          <w:i/>
          <w:iCs/>
          <w:sz w:val="24"/>
          <w:szCs w:val="24"/>
          <w:lang w:val="en-US"/>
        </w:rPr>
        <w:t>Psychological Science, 23</w:t>
      </w:r>
      <w:r w:rsidRPr="00931737">
        <w:rPr>
          <w:rFonts w:ascii="Times New Roman" w:eastAsia="Times New Roman" w:hAnsi="Times New Roman" w:cs="Times New Roman"/>
          <w:sz w:val="24"/>
          <w:szCs w:val="24"/>
          <w:lang w:val="en-US"/>
        </w:rPr>
        <w:t xml:space="preserve">(10), 1117–1122. </w:t>
      </w:r>
      <w:hyperlink r:id="rId9" w:history="1">
        <w:r w:rsidRPr="00931737">
          <w:rPr>
            <w:rFonts w:ascii="Times New Roman" w:eastAsia="Times New Roman" w:hAnsi="Times New Roman" w:cs="Times New Roman"/>
            <w:color w:val="0000FF"/>
            <w:sz w:val="24"/>
            <w:szCs w:val="24"/>
            <w:u w:val="single"/>
            <w:lang w:val="en-US"/>
          </w:rPr>
          <w:t>https://doi.org/10.1177/0956797612446024</w:t>
        </w:r>
      </w:hyperlink>
    </w:p>
    <w:p w14:paraId="0313C8F4" w14:textId="1A99295E" w:rsidR="00931737" w:rsidRPr="00931737" w:rsidRDefault="00931737" w:rsidP="00931737">
      <w:pPr>
        <w:spacing w:after="0" w:line="240" w:lineRule="auto"/>
        <w:ind w:left="540" w:hanging="540"/>
        <w:jc w:val="both"/>
        <w:rPr>
          <w:rFonts w:ascii="Times New Roman" w:eastAsia="Times New Roman" w:hAnsi="Times New Roman" w:cs="Times New Roman"/>
          <w:sz w:val="24"/>
          <w:szCs w:val="24"/>
          <w:lang w:val="en-US"/>
        </w:rPr>
      </w:pPr>
      <w:r w:rsidRPr="00931737">
        <w:rPr>
          <w:rFonts w:ascii="Times New Roman" w:eastAsia="Times New Roman" w:hAnsi="Times New Roman" w:cs="Times New Roman"/>
          <w:sz w:val="24"/>
          <w:szCs w:val="24"/>
          <w:lang w:val="en-US"/>
        </w:rPr>
        <w:t xml:space="preserve">Bostrom, N., &amp; Sandberg, A. (2009). Cognitive enhancement: Methods, ethics, regulatory challenges. </w:t>
      </w:r>
      <w:r w:rsidRPr="00931737">
        <w:rPr>
          <w:rFonts w:ascii="Times New Roman" w:eastAsia="Times New Roman" w:hAnsi="Times New Roman" w:cs="Times New Roman"/>
          <w:i/>
          <w:iCs/>
          <w:sz w:val="24"/>
          <w:szCs w:val="24"/>
          <w:lang w:val="en-US"/>
        </w:rPr>
        <w:t>Science and Engineering Ethics, 15</w:t>
      </w:r>
      <w:r w:rsidRPr="00931737">
        <w:rPr>
          <w:rFonts w:ascii="Times New Roman" w:eastAsia="Times New Roman" w:hAnsi="Times New Roman" w:cs="Times New Roman"/>
          <w:sz w:val="24"/>
          <w:szCs w:val="24"/>
          <w:lang w:val="en-US"/>
        </w:rPr>
        <w:t xml:space="preserve">(3), 311–341. </w:t>
      </w:r>
      <w:hyperlink r:id="rId10" w:history="1">
        <w:r w:rsidRPr="00931737">
          <w:rPr>
            <w:rFonts w:ascii="Times New Roman" w:eastAsia="Times New Roman" w:hAnsi="Times New Roman" w:cs="Times New Roman"/>
            <w:color w:val="0000FF"/>
            <w:sz w:val="24"/>
            <w:szCs w:val="24"/>
            <w:u w:val="single"/>
            <w:lang w:val="en-US"/>
          </w:rPr>
          <w:t>https://doi.org/10.1007/s11948-009-9142-5</w:t>
        </w:r>
      </w:hyperlink>
    </w:p>
    <w:p w14:paraId="2910E6F3" w14:textId="43334B93" w:rsidR="00931737" w:rsidRPr="00931737" w:rsidRDefault="00931737" w:rsidP="00931737">
      <w:pPr>
        <w:spacing w:after="0" w:line="240" w:lineRule="auto"/>
        <w:ind w:left="540" w:hanging="540"/>
        <w:jc w:val="both"/>
        <w:rPr>
          <w:rFonts w:ascii="Times New Roman" w:eastAsia="Times New Roman" w:hAnsi="Times New Roman" w:cs="Times New Roman"/>
          <w:sz w:val="24"/>
          <w:szCs w:val="24"/>
          <w:lang w:val="en-US"/>
        </w:rPr>
      </w:pPr>
      <w:r w:rsidRPr="00931737">
        <w:rPr>
          <w:rFonts w:ascii="Times New Roman" w:eastAsia="Times New Roman" w:hAnsi="Times New Roman" w:cs="Times New Roman"/>
          <w:sz w:val="24"/>
          <w:szCs w:val="24"/>
          <w:lang w:val="en-US"/>
        </w:rPr>
        <w:t xml:space="preserve">Caliskan, A., Bryson, J. J., &amp; Narayanan, A. (2017). Semantics derived automatically from language corpora contain human-like biases. </w:t>
      </w:r>
      <w:r w:rsidRPr="00931737">
        <w:rPr>
          <w:rFonts w:ascii="Times New Roman" w:eastAsia="Times New Roman" w:hAnsi="Times New Roman" w:cs="Times New Roman"/>
          <w:i/>
          <w:iCs/>
          <w:sz w:val="24"/>
          <w:szCs w:val="24"/>
          <w:lang w:val="en-US"/>
        </w:rPr>
        <w:t>Science, 356</w:t>
      </w:r>
      <w:r w:rsidRPr="00931737">
        <w:rPr>
          <w:rFonts w:ascii="Times New Roman" w:eastAsia="Times New Roman" w:hAnsi="Times New Roman" w:cs="Times New Roman"/>
          <w:sz w:val="24"/>
          <w:szCs w:val="24"/>
          <w:lang w:val="en-US"/>
        </w:rPr>
        <w:t xml:space="preserve">(6334), 183–186. </w:t>
      </w:r>
      <w:hyperlink r:id="rId11" w:history="1">
        <w:r w:rsidRPr="00931737">
          <w:rPr>
            <w:rFonts w:ascii="Times New Roman" w:eastAsia="Times New Roman" w:hAnsi="Times New Roman" w:cs="Times New Roman"/>
            <w:color w:val="0000FF"/>
            <w:sz w:val="24"/>
            <w:szCs w:val="24"/>
            <w:u w:val="single"/>
            <w:lang w:val="en-US"/>
          </w:rPr>
          <w:t>https://doi.org/10.1126/science.aal4230</w:t>
        </w:r>
      </w:hyperlink>
    </w:p>
    <w:p w14:paraId="0878B580" w14:textId="2AEEE088" w:rsidR="00931737" w:rsidRPr="00931737" w:rsidRDefault="00931737" w:rsidP="00931737">
      <w:pPr>
        <w:spacing w:after="0" w:line="240" w:lineRule="auto"/>
        <w:ind w:left="540" w:hanging="540"/>
        <w:jc w:val="both"/>
        <w:rPr>
          <w:rFonts w:ascii="Times New Roman" w:eastAsia="Times New Roman" w:hAnsi="Times New Roman" w:cs="Times New Roman"/>
          <w:sz w:val="24"/>
          <w:szCs w:val="24"/>
          <w:lang w:val="en-US"/>
        </w:rPr>
      </w:pPr>
      <w:r w:rsidRPr="00931737">
        <w:rPr>
          <w:rFonts w:ascii="Times New Roman" w:eastAsia="Times New Roman" w:hAnsi="Times New Roman" w:cs="Times New Roman"/>
          <w:sz w:val="24"/>
          <w:szCs w:val="24"/>
          <w:lang w:val="en-US"/>
        </w:rPr>
        <w:lastRenderedPageBreak/>
        <w:t xml:space="preserve">Chen, L., Chen, P., &amp; Lin, Z. (2020). Artificial intelligence in education: A review. </w:t>
      </w:r>
      <w:r w:rsidRPr="00931737">
        <w:rPr>
          <w:rFonts w:ascii="Times New Roman" w:eastAsia="Times New Roman" w:hAnsi="Times New Roman" w:cs="Times New Roman"/>
          <w:i/>
          <w:iCs/>
          <w:sz w:val="24"/>
          <w:szCs w:val="24"/>
          <w:lang w:val="en-US"/>
        </w:rPr>
        <w:t>IEEE Access, 8</w:t>
      </w:r>
      <w:r w:rsidRPr="00931737">
        <w:rPr>
          <w:rFonts w:ascii="Times New Roman" w:eastAsia="Times New Roman" w:hAnsi="Times New Roman" w:cs="Times New Roman"/>
          <w:sz w:val="24"/>
          <w:szCs w:val="24"/>
          <w:lang w:val="en-US"/>
        </w:rPr>
        <w:t xml:space="preserve">, 75264–75278. </w:t>
      </w:r>
      <w:hyperlink r:id="rId12" w:history="1">
        <w:r w:rsidRPr="00931737">
          <w:rPr>
            <w:rFonts w:ascii="Times New Roman" w:eastAsia="Times New Roman" w:hAnsi="Times New Roman" w:cs="Times New Roman"/>
            <w:color w:val="0000FF"/>
            <w:sz w:val="24"/>
            <w:szCs w:val="24"/>
            <w:u w:val="single"/>
            <w:lang w:val="en-US"/>
          </w:rPr>
          <w:t>https://doi.org/10.1109/ACCESS.2020.2988510</w:t>
        </w:r>
      </w:hyperlink>
    </w:p>
    <w:p w14:paraId="19D7A2FA" w14:textId="42400080" w:rsidR="00931737" w:rsidRPr="00931737" w:rsidRDefault="00931737" w:rsidP="00931737">
      <w:pPr>
        <w:spacing w:after="0" w:line="240" w:lineRule="auto"/>
        <w:ind w:left="540" w:hanging="540"/>
        <w:jc w:val="both"/>
        <w:rPr>
          <w:rFonts w:ascii="Times New Roman" w:eastAsia="Times New Roman" w:hAnsi="Times New Roman" w:cs="Times New Roman"/>
          <w:sz w:val="24"/>
          <w:szCs w:val="24"/>
          <w:lang w:val="en-US"/>
        </w:rPr>
      </w:pPr>
      <w:r w:rsidRPr="00931737">
        <w:rPr>
          <w:rFonts w:ascii="Times New Roman" w:eastAsia="Times New Roman" w:hAnsi="Times New Roman" w:cs="Times New Roman"/>
          <w:sz w:val="24"/>
          <w:szCs w:val="24"/>
          <w:lang w:val="en-US"/>
        </w:rPr>
        <w:t xml:space="preserve">Clark, A., &amp; Chalmers, D. J. (1998). The extended mind. </w:t>
      </w:r>
      <w:r w:rsidRPr="00931737">
        <w:rPr>
          <w:rFonts w:ascii="Times New Roman" w:eastAsia="Times New Roman" w:hAnsi="Times New Roman" w:cs="Times New Roman"/>
          <w:i/>
          <w:iCs/>
          <w:sz w:val="24"/>
          <w:szCs w:val="24"/>
          <w:lang w:val="en-US"/>
        </w:rPr>
        <w:t>Analysis, 58</w:t>
      </w:r>
      <w:r w:rsidRPr="00931737">
        <w:rPr>
          <w:rFonts w:ascii="Times New Roman" w:eastAsia="Times New Roman" w:hAnsi="Times New Roman" w:cs="Times New Roman"/>
          <w:sz w:val="24"/>
          <w:szCs w:val="24"/>
          <w:lang w:val="en-US"/>
        </w:rPr>
        <w:t xml:space="preserve">(1), 7–19. </w:t>
      </w:r>
      <w:hyperlink r:id="rId13" w:history="1">
        <w:r w:rsidRPr="00931737">
          <w:rPr>
            <w:rFonts w:ascii="Times New Roman" w:eastAsia="Times New Roman" w:hAnsi="Times New Roman" w:cs="Times New Roman"/>
            <w:color w:val="0000FF"/>
            <w:sz w:val="24"/>
            <w:szCs w:val="24"/>
            <w:u w:val="single"/>
            <w:lang w:val="en-US"/>
          </w:rPr>
          <w:t>https://doi.org/10.1093/analys/58.1.7</w:t>
        </w:r>
      </w:hyperlink>
    </w:p>
    <w:p w14:paraId="0094227F" w14:textId="1A6D011E" w:rsidR="00931737" w:rsidRPr="00931737" w:rsidRDefault="00931737" w:rsidP="00931737">
      <w:pPr>
        <w:spacing w:after="0" w:line="240" w:lineRule="auto"/>
        <w:ind w:left="540" w:hanging="540"/>
        <w:jc w:val="both"/>
        <w:rPr>
          <w:rFonts w:ascii="Times New Roman" w:eastAsia="Times New Roman" w:hAnsi="Times New Roman" w:cs="Times New Roman"/>
          <w:sz w:val="24"/>
          <w:szCs w:val="24"/>
          <w:lang w:val="en-US"/>
        </w:rPr>
      </w:pPr>
      <w:r w:rsidRPr="00931737">
        <w:rPr>
          <w:rFonts w:ascii="Times New Roman" w:eastAsia="Times New Roman" w:hAnsi="Times New Roman" w:cs="Times New Roman"/>
          <w:sz w:val="24"/>
          <w:szCs w:val="24"/>
          <w:lang w:val="en-US"/>
        </w:rPr>
        <w:t xml:space="preserve">Clayton, R. B., Leshner, G., &amp; Almond, A. (2015). The extended </w:t>
      </w:r>
      <w:proofErr w:type="spellStart"/>
      <w:r w:rsidRPr="00931737">
        <w:rPr>
          <w:rFonts w:ascii="Times New Roman" w:eastAsia="Times New Roman" w:hAnsi="Times New Roman" w:cs="Times New Roman"/>
          <w:sz w:val="24"/>
          <w:szCs w:val="24"/>
          <w:lang w:val="en-US"/>
        </w:rPr>
        <w:t>iSelf</w:t>
      </w:r>
      <w:proofErr w:type="spellEnd"/>
      <w:r w:rsidRPr="00931737">
        <w:rPr>
          <w:rFonts w:ascii="Times New Roman" w:eastAsia="Times New Roman" w:hAnsi="Times New Roman" w:cs="Times New Roman"/>
          <w:sz w:val="24"/>
          <w:szCs w:val="24"/>
          <w:lang w:val="en-US"/>
        </w:rPr>
        <w:t xml:space="preserve">: The impact of iPhone separation on cognition, emotion, and physiology. </w:t>
      </w:r>
      <w:r w:rsidRPr="00931737">
        <w:rPr>
          <w:rFonts w:ascii="Times New Roman" w:eastAsia="Times New Roman" w:hAnsi="Times New Roman" w:cs="Times New Roman"/>
          <w:i/>
          <w:iCs/>
          <w:sz w:val="24"/>
          <w:szCs w:val="24"/>
          <w:lang w:val="en-US"/>
        </w:rPr>
        <w:t>Journal of Computer-Mediated Communication, 20</w:t>
      </w:r>
      <w:r w:rsidRPr="00931737">
        <w:rPr>
          <w:rFonts w:ascii="Times New Roman" w:eastAsia="Times New Roman" w:hAnsi="Times New Roman" w:cs="Times New Roman"/>
          <w:sz w:val="24"/>
          <w:szCs w:val="24"/>
          <w:lang w:val="en-US"/>
        </w:rPr>
        <w:t xml:space="preserve">(2), 119–135. </w:t>
      </w:r>
      <w:hyperlink r:id="rId14" w:history="1">
        <w:r w:rsidRPr="00931737">
          <w:rPr>
            <w:rFonts w:ascii="Times New Roman" w:eastAsia="Times New Roman" w:hAnsi="Times New Roman" w:cs="Times New Roman"/>
            <w:color w:val="0000FF"/>
            <w:sz w:val="24"/>
            <w:szCs w:val="24"/>
            <w:u w:val="single"/>
            <w:lang w:val="en-US"/>
          </w:rPr>
          <w:t>https://doi.org/10.1111/jcc4.12109</w:t>
        </w:r>
      </w:hyperlink>
    </w:p>
    <w:p w14:paraId="4DFC152A" w14:textId="03DDE265" w:rsidR="00931737" w:rsidRPr="00931737" w:rsidRDefault="00931737" w:rsidP="00931737">
      <w:pPr>
        <w:spacing w:after="0" w:line="240" w:lineRule="auto"/>
        <w:ind w:left="540" w:hanging="540"/>
        <w:jc w:val="both"/>
        <w:rPr>
          <w:rFonts w:ascii="Times New Roman" w:eastAsia="Times New Roman" w:hAnsi="Times New Roman" w:cs="Times New Roman"/>
          <w:sz w:val="24"/>
          <w:szCs w:val="24"/>
          <w:lang w:val="en-US"/>
        </w:rPr>
      </w:pPr>
      <w:r w:rsidRPr="00931737">
        <w:rPr>
          <w:rFonts w:ascii="Times New Roman" w:eastAsia="Times New Roman" w:hAnsi="Times New Roman" w:cs="Times New Roman"/>
          <w:sz w:val="24"/>
          <w:szCs w:val="24"/>
          <w:lang w:val="en-US"/>
        </w:rPr>
        <w:t xml:space="preserve">Deci, E. L., &amp; Ryan, R. M. (2000). The “what” and “why” of goal pursuits: Human needs and the self-determination of behavior. </w:t>
      </w:r>
      <w:r w:rsidRPr="00931737">
        <w:rPr>
          <w:rFonts w:ascii="Times New Roman" w:eastAsia="Times New Roman" w:hAnsi="Times New Roman" w:cs="Times New Roman"/>
          <w:i/>
          <w:iCs/>
          <w:sz w:val="24"/>
          <w:szCs w:val="24"/>
          <w:lang w:val="en-US"/>
        </w:rPr>
        <w:t>Psychological Inquiry, 11</w:t>
      </w:r>
      <w:r w:rsidRPr="00931737">
        <w:rPr>
          <w:rFonts w:ascii="Times New Roman" w:eastAsia="Times New Roman" w:hAnsi="Times New Roman" w:cs="Times New Roman"/>
          <w:sz w:val="24"/>
          <w:szCs w:val="24"/>
          <w:lang w:val="en-US"/>
        </w:rPr>
        <w:t xml:space="preserve">(4), 227–268. </w:t>
      </w:r>
      <w:hyperlink r:id="rId15" w:history="1">
        <w:r w:rsidRPr="00931737">
          <w:rPr>
            <w:rFonts w:ascii="Times New Roman" w:eastAsia="Times New Roman" w:hAnsi="Times New Roman" w:cs="Times New Roman"/>
            <w:color w:val="0000FF"/>
            <w:sz w:val="24"/>
            <w:szCs w:val="24"/>
            <w:u w:val="single"/>
            <w:lang w:val="en-US"/>
          </w:rPr>
          <w:t>https://doi.org/10.1207/S15327965PLI1104_01</w:t>
        </w:r>
      </w:hyperlink>
    </w:p>
    <w:p w14:paraId="5AC4BA7C" w14:textId="3880DE5F" w:rsidR="00931737" w:rsidRPr="00931737" w:rsidRDefault="00931737" w:rsidP="00931737">
      <w:pPr>
        <w:spacing w:after="0" w:line="240" w:lineRule="auto"/>
        <w:ind w:left="540" w:hanging="540"/>
        <w:jc w:val="both"/>
        <w:rPr>
          <w:rFonts w:ascii="Times New Roman" w:eastAsia="Times New Roman" w:hAnsi="Times New Roman" w:cs="Times New Roman"/>
          <w:sz w:val="24"/>
          <w:szCs w:val="24"/>
          <w:lang w:val="en-US"/>
        </w:rPr>
      </w:pPr>
      <w:proofErr w:type="spellStart"/>
      <w:r w:rsidRPr="00931737">
        <w:rPr>
          <w:rFonts w:ascii="Times New Roman" w:eastAsia="Times New Roman" w:hAnsi="Times New Roman" w:cs="Times New Roman"/>
          <w:sz w:val="24"/>
          <w:szCs w:val="24"/>
          <w:lang w:val="en-US"/>
        </w:rPr>
        <w:t>Dietvorst</w:t>
      </w:r>
      <w:proofErr w:type="spellEnd"/>
      <w:r w:rsidRPr="00931737">
        <w:rPr>
          <w:rFonts w:ascii="Times New Roman" w:eastAsia="Times New Roman" w:hAnsi="Times New Roman" w:cs="Times New Roman"/>
          <w:sz w:val="24"/>
          <w:szCs w:val="24"/>
          <w:lang w:val="en-US"/>
        </w:rPr>
        <w:t xml:space="preserve">, B. J., Simmons, J. P., &amp; Massey, C. (2015). Algorithm aversion: People erroneously avoid algorithms after seeing them err. </w:t>
      </w:r>
      <w:r w:rsidRPr="00931737">
        <w:rPr>
          <w:rFonts w:ascii="Times New Roman" w:eastAsia="Times New Roman" w:hAnsi="Times New Roman" w:cs="Times New Roman"/>
          <w:i/>
          <w:iCs/>
          <w:sz w:val="24"/>
          <w:szCs w:val="24"/>
          <w:lang w:val="en-US"/>
        </w:rPr>
        <w:t>Journal of Experimental Psychology: General, 144</w:t>
      </w:r>
      <w:r w:rsidRPr="00931737">
        <w:rPr>
          <w:rFonts w:ascii="Times New Roman" w:eastAsia="Times New Roman" w:hAnsi="Times New Roman" w:cs="Times New Roman"/>
          <w:sz w:val="24"/>
          <w:szCs w:val="24"/>
          <w:lang w:val="en-US"/>
        </w:rPr>
        <w:t xml:space="preserve">(1), 114–126. </w:t>
      </w:r>
      <w:hyperlink r:id="rId16" w:history="1">
        <w:r w:rsidRPr="00931737">
          <w:rPr>
            <w:rFonts w:ascii="Times New Roman" w:eastAsia="Times New Roman" w:hAnsi="Times New Roman" w:cs="Times New Roman"/>
            <w:color w:val="0000FF"/>
            <w:sz w:val="24"/>
            <w:szCs w:val="24"/>
            <w:u w:val="single"/>
            <w:lang w:val="en-US"/>
          </w:rPr>
          <w:t>https://doi.org/10.1037/xge0000033</w:t>
        </w:r>
      </w:hyperlink>
    </w:p>
    <w:p w14:paraId="4832FE43" w14:textId="7A169C0E" w:rsidR="00931737" w:rsidRPr="00931737" w:rsidRDefault="00931737" w:rsidP="00931737">
      <w:pPr>
        <w:spacing w:after="0" w:line="240" w:lineRule="auto"/>
        <w:ind w:left="540" w:hanging="540"/>
        <w:jc w:val="both"/>
        <w:rPr>
          <w:rFonts w:ascii="Times New Roman" w:eastAsia="Times New Roman" w:hAnsi="Times New Roman" w:cs="Times New Roman"/>
          <w:sz w:val="24"/>
          <w:szCs w:val="24"/>
          <w:lang w:val="en-US"/>
        </w:rPr>
      </w:pPr>
      <w:r w:rsidRPr="00931737">
        <w:rPr>
          <w:rFonts w:ascii="Times New Roman" w:eastAsia="Times New Roman" w:hAnsi="Times New Roman" w:cs="Times New Roman"/>
          <w:sz w:val="24"/>
          <w:szCs w:val="24"/>
          <w:lang w:val="en-US"/>
        </w:rPr>
        <w:t xml:space="preserve">Doshi, A. R., &amp; Hauser, O. P. (2024). Generative AI enhances individual creativity but reduces the collective diversity of novel content. </w:t>
      </w:r>
      <w:r w:rsidRPr="00931737">
        <w:rPr>
          <w:rFonts w:ascii="Times New Roman" w:eastAsia="Times New Roman" w:hAnsi="Times New Roman" w:cs="Times New Roman"/>
          <w:i/>
          <w:iCs/>
          <w:sz w:val="24"/>
          <w:szCs w:val="24"/>
          <w:lang w:val="en-US"/>
        </w:rPr>
        <w:t>Science Advances, 10</w:t>
      </w:r>
      <w:r w:rsidRPr="00931737">
        <w:rPr>
          <w:rFonts w:ascii="Times New Roman" w:eastAsia="Times New Roman" w:hAnsi="Times New Roman" w:cs="Times New Roman"/>
          <w:sz w:val="24"/>
          <w:szCs w:val="24"/>
          <w:lang w:val="en-US"/>
        </w:rPr>
        <w:t xml:space="preserve">(28), Article eadn5290. </w:t>
      </w:r>
      <w:hyperlink r:id="rId17" w:history="1">
        <w:r w:rsidRPr="00931737">
          <w:rPr>
            <w:rFonts w:ascii="Times New Roman" w:eastAsia="Times New Roman" w:hAnsi="Times New Roman" w:cs="Times New Roman"/>
            <w:color w:val="0000FF"/>
            <w:sz w:val="24"/>
            <w:szCs w:val="24"/>
            <w:u w:val="single"/>
            <w:lang w:val="en-US"/>
          </w:rPr>
          <w:t>https://doi.org/10.1126/sciadv.adn5290</w:t>
        </w:r>
      </w:hyperlink>
    </w:p>
    <w:p w14:paraId="67513AA9" w14:textId="199D62D5" w:rsidR="00931737" w:rsidRPr="00931737" w:rsidRDefault="00931737" w:rsidP="00931737">
      <w:pPr>
        <w:spacing w:after="0" w:line="240" w:lineRule="auto"/>
        <w:ind w:left="540" w:hanging="540"/>
        <w:jc w:val="both"/>
        <w:rPr>
          <w:rFonts w:ascii="Times New Roman" w:eastAsia="Times New Roman" w:hAnsi="Times New Roman" w:cs="Times New Roman"/>
          <w:sz w:val="24"/>
          <w:szCs w:val="24"/>
          <w:lang w:val="en-US"/>
        </w:rPr>
      </w:pPr>
      <w:r w:rsidRPr="00931737">
        <w:rPr>
          <w:rFonts w:ascii="Times New Roman" w:eastAsia="Times New Roman" w:hAnsi="Times New Roman" w:cs="Times New Roman"/>
          <w:sz w:val="24"/>
          <w:szCs w:val="24"/>
          <w:lang w:val="en-US"/>
        </w:rPr>
        <w:t xml:space="preserve">Ecker, U. K. H., Lewandowsky, S., Cook, J., Schmid, P., Fazio, L. K., Brashier, N., </w:t>
      </w:r>
      <w:proofErr w:type="spellStart"/>
      <w:r w:rsidRPr="00931737">
        <w:rPr>
          <w:rFonts w:ascii="Times New Roman" w:eastAsia="Times New Roman" w:hAnsi="Times New Roman" w:cs="Times New Roman"/>
          <w:sz w:val="24"/>
          <w:szCs w:val="24"/>
          <w:lang w:val="en-US"/>
        </w:rPr>
        <w:t>Kendeou</w:t>
      </w:r>
      <w:proofErr w:type="spellEnd"/>
      <w:r w:rsidRPr="00931737">
        <w:rPr>
          <w:rFonts w:ascii="Times New Roman" w:eastAsia="Times New Roman" w:hAnsi="Times New Roman" w:cs="Times New Roman"/>
          <w:sz w:val="24"/>
          <w:szCs w:val="24"/>
          <w:lang w:val="en-US"/>
        </w:rPr>
        <w:t xml:space="preserve">, P., </w:t>
      </w:r>
      <w:proofErr w:type="spellStart"/>
      <w:r w:rsidRPr="00931737">
        <w:rPr>
          <w:rFonts w:ascii="Times New Roman" w:eastAsia="Times New Roman" w:hAnsi="Times New Roman" w:cs="Times New Roman"/>
          <w:sz w:val="24"/>
          <w:szCs w:val="24"/>
          <w:lang w:val="en-US"/>
        </w:rPr>
        <w:t>Vraga</w:t>
      </w:r>
      <w:proofErr w:type="spellEnd"/>
      <w:r w:rsidRPr="00931737">
        <w:rPr>
          <w:rFonts w:ascii="Times New Roman" w:eastAsia="Times New Roman" w:hAnsi="Times New Roman" w:cs="Times New Roman"/>
          <w:sz w:val="24"/>
          <w:szCs w:val="24"/>
          <w:lang w:val="en-US"/>
        </w:rPr>
        <w:t xml:space="preserve">, E. K., &amp; Amazeen, M. A. (2022). The psychological drivers of misinformation belief and its resistance to correction. </w:t>
      </w:r>
      <w:r w:rsidRPr="00931737">
        <w:rPr>
          <w:rFonts w:ascii="Times New Roman" w:eastAsia="Times New Roman" w:hAnsi="Times New Roman" w:cs="Times New Roman"/>
          <w:i/>
          <w:iCs/>
          <w:sz w:val="24"/>
          <w:szCs w:val="24"/>
          <w:lang w:val="en-US"/>
        </w:rPr>
        <w:t>Nature Reviews Psychology, 1</w:t>
      </w:r>
      <w:r w:rsidRPr="00931737">
        <w:rPr>
          <w:rFonts w:ascii="Times New Roman" w:eastAsia="Times New Roman" w:hAnsi="Times New Roman" w:cs="Times New Roman"/>
          <w:sz w:val="24"/>
          <w:szCs w:val="24"/>
          <w:lang w:val="en-US"/>
        </w:rPr>
        <w:t xml:space="preserve">(1), 13–29. </w:t>
      </w:r>
      <w:hyperlink r:id="rId18" w:history="1">
        <w:r w:rsidRPr="00931737">
          <w:rPr>
            <w:rFonts w:ascii="Times New Roman" w:eastAsia="Times New Roman" w:hAnsi="Times New Roman" w:cs="Times New Roman"/>
            <w:color w:val="0000FF"/>
            <w:sz w:val="24"/>
            <w:szCs w:val="24"/>
            <w:u w:val="single"/>
            <w:lang w:val="en-US"/>
          </w:rPr>
          <w:t>https://doi.org/10.1038/s44159-021-00006-y</w:t>
        </w:r>
      </w:hyperlink>
    </w:p>
    <w:p w14:paraId="32445BEF" w14:textId="409A10BA" w:rsidR="00931737" w:rsidRPr="00931737" w:rsidRDefault="00931737" w:rsidP="00931737">
      <w:pPr>
        <w:spacing w:after="0" w:line="240" w:lineRule="auto"/>
        <w:ind w:left="540" w:hanging="540"/>
        <w:jc w:val="both"/>
        <w:rPr>
          <w:rFonts w:ascii="Times New Roman" w:eastAsia="Times New Roman" w:hAnsi="Times New Roman" w:cs="Times New Roman"/>
          <w:sz w:val="24"/>
          <w:szCs w:val="24"/>
          <w:lang w:val="en-US"/>
        </w:rPr>
      </w:pPr>
      <w:r w:rsidRPr="00931737">
        <w:rPr>
          <w:rFonts w:ascii="Times New Roman" w:eastAsia="Times New Roman" w:hAnsi="Times New Roman" w:cs="Times New Roman"/>
          <w:sz w:val="24"/>
          <w:szCs w:val="24"/>
          <w:lang w:val="nl-BE"/>
        </w:rPr>
        <w:t xml:space="preserve">Eppler, M. J., &amp; Mengis, J. (2004). </w:t>
      </w:r>
      <w:r w:rsidRPr="00931737">
        <w:rPr>
          <w:rFonts w:ascii="Times New Roman" w:eastAsia="Times New Roman" w:hAnsi="Times New Roman" w:cs="Times New Roman"/>
          <w:sz w:val="24"/>
          <w:szCs w:val="24"/>
          <w:lang w:val="en-US"/>
        </w:rPr>
        <w:t xml:space="preserve">The concept of information overload: A review of literature from organization science, accounting, marketing, MIS, and related disciplines. </w:t>
      </w:r>
      <w:r w:rsidRPr="00931737">
        <w:rPr>
          <w:rFonts w:ascii="Times New Roman" w:eastAsia="Times New Roman" w:hAnsi="Times New Roman" w:cs="Times New Roman"/>
          <w:i/>
          <w:iCs/>
          <w:sz w:val="24"/>
          <w:szCs w:val="24"/>
          <w:lang w:val="en-US"/>
        </w:rPr>
        <w:t>The Information Society, 20</w:t>
      </w:r>
      <w:r w:rsidRPr="00931737">
        <w:rPr>
          <w:rFonts w:ascii="Times New Roman" w:eastAsia="Times New Roman" w:hAnsi="Times New Roman" w:cs="Times New Roman"/>
          <w:sz w:val="24"/>
          <w:szCs w:val="24"/>
          <w:lang w:val="en-US"/>
        </w:rPr>
        <w:t xml:space="preserve">(5), 325–344. </w:t>
      </w:r>
      <w:hyperlink r:id="rId19" w:history="1">
        <w:r w:rsidRPr="00931737">
          <w:rPr>
            <w:rFonts w:ascii="Times New Roman" w:eastAsia="Times New Roman" w:hAnsi="Times New Roman" w:cs="Times New Roman"/>
            <w:color w:val="0000FF"/>
            <w:sz w:val="24"/>
            <w:szCs w:val="24"/>
            <w:u w:val="single"/>
            <w:lang w:val="en-US"/>
          </w:rPr>
          <w:t>https://doi.org/10.1080/01972240490507974</w:t>
        </w:r>
      </w:hyperlink>
    </w:p>
    <w:p w14:paraId="0387A0F1" w14:textId="120E93AD" w:rsidR="00931737" w:rsidRPr="00931737" w:rsidRDefault="00931737" w:rsidP="00931737">
      <w:pPr>
        <w:spacing w:after="0" w:line="240" w:lineRule="auto"/>
        <w:ind w:left="540" w:hanging="540"/>
        <w:jc w:val="both"/>
        <w:rPr>
          <w:rFonts w:ascii="Times New Roman" w:eastAsia="Times New Roman" w:hAnsi="Times New Roman" w:cs="Times New Roman"/>
          <w:sz w:val="24"/>
          <w:szCs w:val="24"/>
          <w:lang w:val="en-US"/>
        </w:rPr>
      </w:pPr>
      <w:r w:rsidRPr="00931737">
        <w:rPr>
          <w:rFonts w:ascii="Times New Roman" w:eastAsia="Times New Roman" w:hAnsi="Times New Roman" w:cs="Times New Roman"/>
          <w:sz w:val="24"/>
          <w:szCs w:val="24"/>
          <w:lang w:val="en-US"/>
        </w:rPr>
        <w:t xml:space="preserve">Firth, J., </w:t>
      </w:r>
      <w:proofErr w:type="spellStart"/>
      <w:r w:rsidRPr="00931737">
        <w:rPr>
          <w:rFonts w:ascii="Times New Roman" w:eastAsia="Times New Roman" w:hAnsi="Times New Roman" w:cs="Times New Roman"/>
          <w:sz w:val="24"/>
          <w:szCs w:val="24"/>
          <w:lang w:val="en-US"/>
        </w:rPr>
        <w:t>Torous</w:t>
      </w:r>
      <w:proofErr w:type="spellEnd"/>
      <w:r w:rsidRPr="00931737">
        <w:rPr>
          <w:rFonts w:ascii="Times New Roman" w:eastAsia="Times New Roman" w:hAnsi="Times New Roman" w:cs="Times New Roman"/>
          <w:sz w:val="24"/>
          <w:szCs w:val="24"/>
          <w:lang w:val="en-US"/>
        </w:rPr>
        <w:t xml:space="preserve">, J., Stubbs, B., Firth, J. A., Steiner, G. Z., Smith, L., Alvarez-Jimenez, M., Gleeson, J., </w:t>
      </w:r>
      <w:proofErr w:type="spellStart"/>
      <w:r w:rsidRPr="00931737">
        <w:rPr>
          <w:rFonts w:ascii="Times New Roman" w:eastAsia="Times New Roman" w:hAnsi="Times New Roman" w:cs="Times New Roman"/>
          <w:sz w:val="24"/>
          <w:szCs w:val="24"/>
          <w:lang w:val="en-US"/>
        </w:rPr>
        <w:t>Vancampfort</w:t>
      </w:r>
      <w:proofErr w:type="spellEnd"/>
      <w:r w:rsidRPr="00931737">
        <w:rPr>
          <w:rFonts w:ascii="Times New Roman" w:eastAsia="Times New Roman" w:hAnsi="Times New Roman" w:cs="Times New Roman"/>
          <w:sz w:val="24"/>
          <w:szCs w:val="24"/>
          <w:lang w:val="en-US"/>
        </w:rPr>
        <w:t xml:space="preserve">, D., Armitage, C. J., &amp; Sarris, J. (2019). The “online brain”: How the Internet may be changing our cognition. </w:t>
      </w:r>
      <w:r w:rsidRPr="00931737">
        <w:rPr>
          <w:rFonts w:ascii="Times New Roman" w:eastAsia="Times New Roman" w:hAnsi="Times New Roman" w:cs="Times New Roman"/>
          <w:i/>
          <w:iCs/>
          <w:sz w:val="24"/>
          <w:szCs w:val="24"/>
          <w:lang w:val="en-US"/>
        </w:rPr>
        <w:t>World Psychiatry, 18</w:t>
      </w:r>
      <w:r w:rsidRPr="00931737">
        <w:rPr>
          <w:rFonts w:ascii="Times New Roman" w:eastAsia="Times New Roman" w:hAnsi="Times New Roman" w:cs="Times New Roman"/>
          <w:sz w:val="24"/>
          <w:szCs w:val="24"/>
          <w:lang w:val="en-US"/>
        </w:rPr>
        <w:t xml:space="preserve">(2), 119–129. </w:t>
      </w:r>
      <w:hyperlink r:id="rId20" w:history="1">
        <w:r w:rsidRPr="00931737">
          <w:rPr>
            <w:rFonts w:ascii="Times New Roman" w:eastAsia="Times New Roman" w:hAnsi="Times New Roman" w:cs="Times New Roman"/>
            <w:color w:val="0000FF"/>
            <w:sz w:val="24"/>
            <w:szCs w:val="24"/>
            <w:u w:val="single"/>
            <w:lang w:val="en-US"/>
          </w:rPr>
          <w:t>https://doi.org/10.1002/wps.20617</w:t>
        </w:r>
      </w:hyperlink>
    </w:p>
    <w:p w14:paraId="0535EB1C" w14:textId="1864EEAE" w:rsidR="00931737" w:rsidRPr="00931737" w:rsidRDefault="00931737" w:rsidP="00931737">
      <w:pPr>
        <w:spacing w:after="0" w:line="240" w:lineRule="auto"/>
        <w:ind w:left="540" w:hanging="540"/>
        <w:jc w:val="both"/>
        <w:rPr>
          <w:rFonts w:ascii="Times New Roman" w:eastAsia="Times New Roman" w:hAnsi="Times New Roman" w:cs="Times New Roman"/>
          <w:sz w:val="24"/>
          <w:szCs w:val="24"/>
          <w:lang w:val="en-US"/>
        </w:rPr>
      </w:pPr>
      <w:r w:rsidRPr="00931737">
        <w:rPr>
          <w:rFonts w:ascii="Times New Roman" w:eastAsia="Times New Roman" w:hAnsi="Times New Roman" w:cs="Times New Roman"/>
          <w:sz w:val="24"/>
          <w:szCs w:val="24"/>
          <w:lang w:val="en-US"/>
        </w:rPr>
        <w:t xml:space="preserve">Fitzpatrick, K. K., Darcy, A., &amp; </w:t>
      </w:r>
      <w:proofErr w:type="spellStart"/>
      <w:r w:rsidRPr="00931737">
        <w:rPr>
          <w:rFonts w:ascii="Times New Roman" w:eastAsia="Times New Roman" w:hAnsi="Times New Roman" w:cs="Times New Roman"/>
          <w:sz w:val="24"/>
          <w:szCs w:val="24"/>
          <w:lang w:val="en-US"/>
        </w:rPr>
        <w:t>Vierhile</w:t>
      </w:r>
      <w:proofErr w:type="spellEnd"/>
      <w:r w:rsidRPr="00931737">
        <w:rPr>
          <w:rFonts w:ascii="Times New Roman" w:eastAsia="Times New Roman" w:hAnsi="Times New Roman" w:cs="Times New Roman"/>
          <w:sz w:val="24"/>
          <w:szCs w:val="24"/>
          <w:lang w:val="en-US"/>
        </w:rPr>
        <w:t>, M. (2017). Delivering cognitive behavior therapy to young adults with symptoms of depression and anxiety using a fully automated conversational agent (</w:t>
      </w:r>
      <w:proofErr w:type="spellStart"/>
      <w:r w:rsidRPr="00931737">
        <w:rPr>
          <w:rFonts w:ascii="Times New Roman" w:eastAsia="Times New Roman" w:hAnsi="Times New Roman" w:cs="Times New Roman"/>
          <w:sz w:val="24"/>
          <w:szCs w:val="24"/>
          <w:lang w:val="en-US"/>
        </w:rPr>
        <w:t>Woebot</w:t>
      </w:r>
      <w:proofErr w:type="spellEnd"/>
      <w:r w:rsidRPr="00931737">
        <w:rPr>
          <w:rFonts w:ascii="Times New Roman" w:eastAsia="Times New Roman" w:hAnsi="Times New Roman" w:cs="Times New Roman"/>
          <w:sz w:val="24"/>
          <w:szCs w:val="24"/>
          <w:lang w:val="en-US"/>
        </w:rPr>
        <w:t xml:space="preserve">): A randomized controlled trial. </w:t>
      </w:r>
      <w:r w:rsidRPr="00931737">
        <w:rPr>
          <w:rFonts w:ascii="Times New Roman" w:eastAsia="Times New Roman" w:hAnsi="Times New Roman" w:cs="Times New Roman"/>
          <w:i/>
          <w:iCs/>
          <w:sz w:val="24"/>
          <w:szCs w:val="24"/>
          <w:lang w:val="en-US"/>
        </w:rPr>
        <w:t>JMIR Mental Health, 4</w:t>
      </w:r>
      <w:r w:rsidRPr="00931737">
        <w:rPr>
          <w:rFonts w:ascii="Times New Roman" w:eastAsia="Times New Roman" w:hAnsi="Times New Roman" w:cs="Times New Roman"/>
          <w:sz w:val="24"/>
          <w:szCs w:val="24"/>
          <w:lang w:val="en-US"/>
        </w:rPr>
        <w:t xml:space="preserve">(2), Article e19. </w:t>
      </w:r>
      <w:hyperlink r:id="rId21" w:history="1">
        <w:r w:rsidRPr="00931737">
          <w:rPr>
            <w:rFonts w:ascii="Times New Roman" w:eastAsia="Times New Roman" w:hAnsi="Times New Roman" w:cs="Times New Roman"/>
            <w:color w:val="0000FF"/>
            <w:sz w:val="24"/>
            <w:szCs w:val="24"/>
            <w:u w:val="single"/>
            <w:lang w:val="en-US"/>
          </w:rPr>
          <w:t>https://doi.org/10.2196/mental.7785</w:t>
        </w:r>
      </w:hyperlink>
    </w:p>
    <w:p w14:paraId="00895570" w14:textId="6A253C7B" w:rsidR="00931737" w:rsidRPr="00931737" w:rsidRDefault="00931737" w:rsidP="00931737">
      <w:pPr>
        <w:spacing w:after="0" w:line="240" w:lineRule="auto"/>
        <w:ind w:left="540" w:hanging="540"/>
        <w:jc w:val="both"/>
        <w:rPr>
          <w:rFonts w:ascii="Times New Roman" w:eastAsia="Times New Roman" w:hAnsi="Times New Roman" w:cs="Times New Roman"/>
          <w:sz w:val="24"/>
          <w:szCs w:val="24"/>
          <w:lang w:val="nl-BE"/>
        </w:rPr>
      </w:pPr>
      <w:r w:rsidRPr="00931737">
        <w:rPr>
          <w:rFonts w:ascii="Times New Roman" w:eastAsia="Times New Roman" w:hAnsi="Times New Roman" w:cs="Times New Roman"/>
          <w:sz w:val="24"/>
          <w:szCs w:val="24"/>
          <w:lang w:val="en-US"/>
        </w:rPr>
        <w:t xml:space="preserve">Flavell, J. H. (1979). Metacognition and cognitive monitoring: A new area of cognitive-developmental inquiry. </w:t>
      </w:r>
      <w:r w:rsidRPr="00931737">
        <w:rPr>
          <w:rFonts w:ascii="Times New Roman" w:eastAsia="Times New Roman" w:hAnsi="Times New Roman" w:cs="Times New Roman"/>
          <w:i/>
          <w:iCs/>
          <w:sz w:val="24"/>
          <w:szCs w:val="24"/>
          <w:lang w:val="nl-BE"/>
        </w:rPr>
        <w:t>American Psychologist, 34</w:t>
      </w:r>
      <w:r w:rsidRPr="00931737">
        <w:rPr>
          <w:rFonts w:ascii="Times New Roman" w:eastAsia="Times New Roman" w:hAnsi="Times New Roman" w:cs="Times New Roman"/>
          <w:sz w:val="24"/>
          <w:szCs w:val="24"/>
          <w:lang w:val="nl-BE"/>
        </w:rPr>
        <w:t xml:space="preserve">(10), 906–911. </w:t>
      </w:r>
      <w:r w:rsidRPr="00931737">
        <w:rPr>
          <w:rFonts w:ascii="Times New Roman" w:eastAsia="Times New Roman" w:hAnsi="Times New Roman" w:cs="Times New Roman"/>
          <w:sz w:val="24"/>
          <w:szCs w:val="24"/>
          <w:lang w:val="en-US"/>
        </w:rPr>
        <w:fldChar w:fldCharType="begin"/>
      </w:r>
      <w:r w:rsidRPr="00931737">
        <w:rPr>
          <w:rFonts w:ascii="Times New Roman" w:eastAsia="Times New Roman" w:hAnsi="Times New Roman" w:cs="Times New Roman"/>
          <w:sz w:val="24"/>
          <w:szCs w:val="24"/>
          <w:lang w:val="nl-BE"/>
        </w:rPr>
        <w:instrText>HYPERLINK "https://doi.org/10.1037/0003-066X.34.10.906"</w:instrText>
      </w:r>
      <w:r w:rsidRPr="00931737">
        <w:rPr>
          <w:lang w:val="en-US"/>
        </w:rPr>
      </w:r>
      <w:r w:rsidRPr="00931737">
        <w:rPr>
          <w:rFonts w:ascii="Times New Roman" w:eastAsia="Times New Roman" w:hAnsi="Times New Roman" w:cs="Times New Roman"/>
          <w:sz w:val="24"/>
          <w:szCs w:val="24"/>
          <w:lang w:val="en-US"/>
        </w:rPr>
        <w:fldChar w:fldCharType="separate"/>
      </w:r>
      <w:r w:rsidRPr="00931737">
        <w:rPr>
          <w:rFonts w:ascii="Times New Roman" w:eastAsia="Times New Roman" w:hAnsi="Times New Roman" w:cs="Times New Roman"/>
          <w:color w:val="0000FF"/>
          <w:sz w:val="24"/>
          <w:szCs w:val="24"/>
          <w:u w:val="single"/>
          <w:lang w:val="nl-BE"/>
        </w:rPr>
        <w:t>https://doi.org/10.1037/0003-066X.34.10.906</w:t>
      </w:r>
      <w:r w:rsidRPr="00931737">
        <w:rPr>
          <w:rFonts w:ascii="Times New Roman" w:eastAsia="Times New Roman" w:hAnsi="Times New Roman" w:cs="Times New Roman"/>
          <w:sz w:val="24"/>
          <w:szCs w:val="24"/>
          <w:lang w:val="en-US"/>
        </w:rPr>
        <w:fldChar w:fldCharType="end"/>
      </w:r>
    </w:p>
    <w:p w14:paraId="2F9F4902" w14:textId="5AB54DC9" w:rsidR="00931737" w:rsidRPr="00931737" w:rsidRDefault="00931737" w:rsidP="00931737">
      <w:pPr>
        <w:spacing w:after="0" w:line="240" w:lineRule="auto"/>
        <w:ind w:left="540" w:hanging="540"/>
        <w:jc w:val="both"/>
        <w:rPr>
          <w:rFonts w:ascii="Times New Roman" w:eastAsia="Times New Roman" w:hAnsi="Times New Roman" w:cs="Times New Roman"/>
          <w:sz w:val="24"/>
          <w:szCs w:val="24"/>
          <w:lang w:val="en-US"/>
        </w:rPr>
      </w:pPr>
      <w:r w:rsidRPr="00931737">
        <w:rPr>
          <w:rFonts w:ascii="Times New Roman" w:eastAsia="Times New Roman" w:hAnsi="Times New Roman" w:cs="Times New Roman"/>
          <w:sz w:val="24"/>
          <w:szCs w:val="24"/>
          <w:lang w:val="nl-BE"/>
        </w:rPr>
        <w:t xml:space="preserve">Haidt, J., &amp; Allen, N. (2020). </w:t>
      </w:r>
      <w:r w:rsidRPr="00931737">
        <w:rPr>
          <w:rFonts w:ascii="Times New Roman" w:eastAsia="Times New Roman" w:hAnsi="Times New Roman" w:cs="Times New Roman"/>
          <w:sz w:val="24"/>
          <w:szCs w:val="24"/>
          <w:lang w:val="en-US"/>
        </w:rPr>
        <w:t xml:space="preserve">Scrutinizing the effects of digital technology on mental health. </w:t>
      </w:r>
      <w:r w:rsidRPr="00931737">
        <w:rPr>
          <w:rFonts w:ascii="Times New Roman" w:eastAsia="Times New Roman" w:hAnsi="Times New Roman" w:cs="Times New Roman"/>
          <w:i/>
          <w:iCs/>
          <w:sz w:val="24"/>
          <w:szCs w:val="24"/>
          <w:lang w:val="en-US"/>
        </w:rPr>
        <w:t>Nature, 578</w:t>
      </w:r>
      <w:r w:rsidRPr="00931737">
        <w:rPr>
          <w:rFonts w:ascii="Times New Roman" w:eastAsia="Times New Roman" w:hAnsi="Times New Roman" w:cs="Times New Roman"/>
          <w:sz w:val="24"/>
          <w:szCs w:val="24"/>
          <w:lang w:val="en-US"/>
        </w:rPr>
        <w:t xml:space="preserve">(7794), 226–227. </w:t>
      </w:r>
      <w:hyperlink r:id="rId22" w:history="1">
        <w:r w:rsidRPr="00931737">
          <w:rPr>
            <w:rFonts w:ascii="Times New Roman" w:eastAsia="Times New Roman" w:hAnsi="Times New Roman" w:cs="Times New Roman"/>
            <w:color w:val="0000FF"/>
            <w:sz w:val="24"/>
            <w:szCs w:val="24"/>
            <w:u w:val="single"/>
            <w:lang w:val="en-US"/>
          </w:rPr>
          <w:t>https://doi.org/10.1038/d41586-020-00296-x</w:t>
        </w:r>
      </w:hyperlink>
    </w:p>
    <w:p w14:paraId="0CC0A8B9" w14:textId="33035F78" w:rsidR="00931737" w:rsidRPr="00931737" w:rsidRDefault="00931737" w:rsidP="00931737">
      <w:pPr>
        <w:spacing w:after="0" w:line="240" w:lineRule="auto"/>
        <w:ind w:left="540" w:hanging="540"/>
        <w:jc w:val="both"/>
        <w:rPr>
          <w:rFonts w:ascii="Times New Roman" w:eastAsia="Times New Roman" w:hAnsi="Times New Roman" w:cs="Times New Roman"/>
          <w:sz w:val="24"/>
          <w:szCs w:val="24"/>
          <w:lang w:val="en-US"/>
        </w:rPr>
      </w:pPr>
      <w:r w:rsidRPr="00931737">
        <w:rPr>
          <w:rFonts w:ascii="Times New Roman" w:eastAsia="Times New Roman" w:hAnsi="Times New Roman" w:cs="Times New Roman"/>
          <w:sz w:val="24"/>
          <w:szCs w:val="24"/>
          <w:lang w:val="en-US"/>
        </w:rPr>
        <w:t xml:space="preserve">Henkel, L. A. (2014). Point-and-shoot memories: The influence of taking photos on memory for a museum tour. </w:t>
      </w:r>
      <w:r w:rsidRPr="00931737">
        <w:rPr>
          <w:rFonts w:ascii="Times New Roman" w:eastAsia="Times New Roman" w:hAnsi="Times New Roman" w:cs="Times New Roman"/>
          <w:i/>
          <w:iCs/>
          <w:sz w:val="24"/>
          <w:szCs w:val="24"/>
          <w:lang w:val="en-US"/>
        </w:rPr>
        <w:t>Psychological Science, 25</w:t>
      </w:r>
      <w:r w:rsidRPr="00931737">
        <w:rPr>
          <w:rFonts w:ascii="Times New Roman" w:eastAsia="Times New Roman" w:hAnsi="Times New Roman" w:cs="Times New Roman"/>
          <w:sz w:val="24"/>
          <w:szCs w:val="24"/>
          <w:lang w:val="en-US"/>
        </w:rPr>
        <w:t xml:space="preserve">(2), 396–402. </w:t>
      </w:r>
      <w:hyperlink r:id="rId23" w:history="1">
        <w:r w:rsidRPr="00931737">
          <w:rPr>
            <w:rFonts w:ascii="Times New Roman" w:eastAsia="Times New Roman" w:hAnsi="Times New Roman" w:cs="Times New Roman"/>
            <w:color w:val="0000FF"/>
            <w:sz w:val="24"/>
            <w:szCs w:val="24"/>
            <w:u w:val="single"/>
            <w:lang w:val="en-US"/>
          </w:rPr>
          <w:t>https://doi.org/10.1177/0956797613504438</w:t>
        </w:r>
      </w:hyperlink>
    </w:p>
    <w:p w14:paraId="56157BC3" w14:textId="3848E6BA" w:rsidR="00931737" w:rsidRPr="00931737" w:rsidRDefault="00931737" w:rsidP="00931737">
      <w:pPr>
        <w:spacing w:after="0" w:line="240" w:lineRule="auto"/>
        <w:ind w:left="540" w:hanging="540"/>
        <w:jc w:val="both"/>
        <w:rPr>
          <w:rFonts w:ascii="Times New Roman" w:eastAsia="Times New Roman" w:hAnsi="Times New Roman" w:cs="Times New Roman"/>
          <w:sz w:val="24"/>
          <w:szCs w:val="24"/>
          <w:lang w:val="en-US"/>
        </w:rPr>
      </w:pPr>
      <w:r w:rsidRPr="00931737">
        <w:rPr>
          <w:rFonts w:ascii="Times New Roman" w:eastAsia="Times New Roman" w:hAnsi="Times New Roman" w:cs="Times New Roman"/>
          <w:sz w:val="24"/>
          <w:szCs w:val="24"/>
          <w:lang w:val="en-US"/>
        </w:rPr>
        <w:t xml:space="preserve">Hollingshead, A. B. (1998). Retrieval processes in transactive memory systems. </w:t>
      </w:r>
      <w:r w:rsidRPr="00931737">
        <w:rPr>
          <w:rFonts w:ascii="Times New Roman" w:eastAsia="Times New Roman" w:hAnsi="Times New Roman" w:cs="Times New Roman"/>
          <w:i/>
          <w:iCs/>
          <w:sz w:val="24"/>
          <w:szCs w:val="24"/>
          <w:lang w:val="en-US"/>
        </w:rPr>
        <w:t>Journal of Personality and Social Psychology, 74</w:t>
      </w:r>
      <w:r w:rsidRPr="00931737">
        <w:rPr>
          <w:rFonts w:ascii="Times New Roman" w:eastAsia="Times New Roman" w:hAnsi="Times New Roman" w:cs="Times New Roman"/>
          <w:sz w:val="24"/>
          <w:szCs w:val="24"/>
          <w:lang w:val="en-US"/>
        </w:rPr>
        <w:t xml:space="preserve">(3), 659–671. </w:t>
      </w:r>
      <w:hyperlink r:id="rId24" w:history="1">
        <w:r w:rsidRPr="00931737">
          <w:rPr>
            <w:rFonts w:ascii="Times New Roman" w:eastAsia="Times New Roman" w:hAnsi="Times New Roman" w:cs="Times New Roman"/>
            <w:color w:val="0000FF"/>
            <w:sz w:val="24"/>
            <w:szCs w:val="24"/>
            <w:u w:val="single"/>
            <w:lang w:val="en-US"/>
          </w:rPr>
          <w:t>https://doi.org/10.1037/0022-3514.74.3.659</w:t>
        </w:r>
      </w:hyperlink>
    </w:p>
    <w:p w14:paraId="1139D307" w14:textId="346DBED9" w:rsidR="00931737" w:rsidRPr="00931737" w:rsidRDefault="00931737" w:rsidP="00931737">
      <w:pPr>
        <w:spacing w:after="0" w:line="240" w:lineRule="auto"/>
        <w:ind w:left="540" w:hanging="540"/>
        <w:jc w:val="both"/>
        <w:rPr>
          <w:rFonts w:ascii="Times New Roman" w:eastAsia="Times New Roman" w:hAnsi="Times New Roman" w:cs="Times New Roman"/>
          <w:sz w:val="24"/>
          <w:szCs w:val="24"/>
          <w:lang w:val="en-US"/>
        </w:rPr>
      </w:pPr>
      <w:r w:rsidRPr="00931737">
        <w:rPr>
          <w:rFonts w:ascii="Times New Roman" w:eastAsia="Times New Roman" w:hAnsi="Times New Roman" w:cs="Times New Roman"/>
          <w:sz w:val="24"/>
          <w:szCs w:val="24"/>
          <w:lang w:val="en-US"/>
        </w:rPr>
        <w:t xml:space="preserve">Jobin, A., Ienca, M., &amp; </w:t>
      </w:r>
      <w:proofErr w:type="spellStart"/>
      <w:r w:rsidRPr="00931737">
        <w:rPr>
          <w:rFonts w:ascii="Times New Roman" w:eastAsia="Times New Roman" w:hAnsi="Times New Roman" w:cs="Times New Roman"/>
          <w:sz w:val="24"/>
          <w:szCs w:val="24"/>
          <w:lang w:val="en-US"/>
        </w:rPr>
        <w:t>Vayena</w:t>
      </w:r>
      <w:proofErr w:type="spellEnd"/>
      <w:r w:rsidRPr="00931737">
        <w:rPr>
          <w:rFonts w:ascii="Times New Roman" w:eastAsia="Times New Roman" w:hAnsi="Times New Roman" w:cs="Times New Roman"/>
          <w:sz w:val="24"/>
          <w:szCs w:val="24"/>
          <w:lang w:val="en-US"/>
        </w:rPr>
        <w:t xml:space="preserve">, E. (2019). The global landscape of AI ethics guidelines. </w:t>
      </w:r>
      <w:r w:rsidRPr="00931737">
        <w:rPr>
          <w:rFonts w:ascii="Times New Roman" w:eastAsia="Times New Roman" w:hAnsi="Times New Roman" w:cs="Times New Roman"/>
          <w:i/>
          <w:iCs/>
          <w:sz w:val="24"/>
          <w:szCs w:val="24"/>
          <w:lang w:val="en-US"/>
        </w:rPr>
        <w:t>Nature Machine Intelligence, 1</w:t>
      </w:r>
      <w:r w:rsidRPr="00931737">
        <w:rPr>
          <w:rFonts w:ascii="Times New Roman" w:eastAsia="Times New Roman" w:hAnsi="Times New Roman" w:cs="Times New Roman"/>
          <w:sz w:val="24"/>
          <w:szCs w:val="24"/>
          <w:lang w:val="en-US"/>
        </w:rPr>
        <w:t xml:space="preserve">(9), 389–399. </w:t>
      </w:r>
      <w:hyperlink r:id="rId25" w:history="1">
        <w:r w:rsidRPr="00931737">
          <w:rPr>
            <w:rFonts w:ascii="Times New Roman" w:eastAsia="Times New Roman" w:hAnsi="Times New Roman" w:cs="Times New Roman"/>
            <w:color w:val="0000FF"/>
            <w:sz w:val="24"/>
            <w:szCs w:val="24"/>
            <w:u w:val="single"/>
            <w:lang w:val="en-US"/>
          </w:rPr>
          <w:t>https://doi.org/10.1038/s42256-019-0088-2</w:t>
        </w:r>
      </w:hyperlink>
    </w:p>
    <w:p w14:paraId="726173FB" w14:textId="0799E4C5" w:rsidR="00931737" w:rsidRPr="00931737" w:rsidRDefault="00931737" w:rsidP="00931737">
      <w:pPr>
        <w:spacing w:after="0" w:line="240" w:lineRule="auto"/>
        <w:ind w:left="540" w:hanging="540"/>
        <w:jc w:val="both"/>
        <w:rPr>
          <w:rFonts w:ascii="Times New Roman" w:eastAsia="Times New Roman" w:hAnsi="Times New Roman" w:cs="Times New Roman"/>
          <w:sz w:val="24"/>
          <w:szCs w:val="24"/>
          <w:lang w:val="en-US"/>
        </w:rPr>
      </w:pPr>
      <w:r w:rsidRPr="00931737">
        <w:rPr>
          <w:rFonts w:ascii="Times New Roman" w:eastAsia="Times New Roman" w:hAnsi="Times New Roman" w:cs="Times New Roman"/>
          <w:sz w:val="24"/>
          <w:szCs w:val="24"/>
          <w:lang w:val="en-US"/>
        </w:rPr>
        <w:t xml:space="preserve">Kirsh, D., &amp; Maglio, P. (1994). On distinguishing epistemic from pragmatic action. </w:t>
      </w:r>
      <w:r w:rsidRPr="00931737">
        <w:rPr>
          <w:rFonts w:ascii="Times New Roman" w:eastAsia="Times New Roman" w:hAnsi="Times New Roman" w:cs="Times New Roman"/>
          <w:i/>
          <w:iCs/>
          <w:sz w:val="24"/>
          <w:szCs w:val="24"/>
          <w:lang w:val="en-US"/>
        </w:rPr>
        <w:t>Cognitive Science, 18</w:t>
      </w:r>
      <w:r w:rsidRPr="00931737">
        <w:rPr>
          <w:rFonts w:ascii="Times New Roman" w:eastAsia="Times New Roman" w:hAnsi="Times New Roman" w:cs="Times New Roman"/>
          <w:sz w:val="24"/>
          <w:szCs w:val="24"/>
          <w:lang w:val="en-US"/>
        </w:rPr>
        <w:t xml:space="preserve">(4), 513–549. </w:t>
      </w:r>
      <w:hyperlink r:id="rId26" w:history="1">
        <w:r w:rsidRPr="00931737">
          <w:rPr>
            <w:rFonts w:ascii="Times New Roman" w:eastAsia="Times New Roman" w:hAnsi="Times New Roman" w:cs="Times New Roman"/>
            <w:color w:val="0000FF"/>
            <w:sz w:val="24"/>
            <w:szCs w:val="24"/>
            <w:u w:val="single"/>
            <w:lang w:val="en-US"/>
          </w:rPr>
          <w:t>https://doi.org/10.1207/s15516709cog1804_1</w:t>
        </w:r>
      </w:hyperlink>
    </w:p>
    <w:p w14:paraId="1FAB461E" w14:textId="7EBBEFF9" w:rsidR="00931737" w:rsidRPr="00931737" w:rsidRDefault="00931737" w:rsidP="00931737">
      <w:pPr>
        <w:spacing w:after="0" w:line="240" w:lineRule="auto"/>
        <w:ind w:left="540" w:hanging="540"/>
        <w:jc w:val="both"/>
        <w:rPr>
          <w:rFonts w:ascii="Times New Roman" w:eastAsia="Times New Roman" w:hAnsi="Times New Roman" w:cs="Times New Roman"/>
          <w:sz w:val="24"/>
          <w:szCs w:val="24"/>
          <w:lang w:val="en-US"/>
        </w:rPr>
      </w:pPr>
      <w:r w:rsidRPr="00931737">
        <w:rPr>
          <w:rFonts w:ascii="Times New Roman" w:eastAsia="Times New Roman" w:hAnsi="Times New Roman" w:cs="Times New Roman"/>
          <w:sz w:val="24"/>
          <w:szCs w:val="24"/>
          <w:lang w:val="en-US"/>
        </w:rPr>
        <w:t xml:space="preserve">Kruger, J., &amp; Dunning, D. (1999). Unskilled and unaware of it: How difficulties in recognizing one’s own incompetence </w:t>
      </w:r>
      <w:proofErr w:type="gramStart"/>
      <w:r w:rsidRPr="00931737">
        <w:rPr>
          <w:rFonts w:ascii="Times New Roman" w:eastAsia="Times New Roman" w:hAnsi="Times New Roman" w:cs="Times New Roman"/>
          <w:sz w:val="24"/>
          <w:szCs w:val="24"/>
          <w:lang w:val="en-US"/>
        </w:rPr>
        <w:t>lead</w:t>
      </w:r>
      <w:proofErr w:type="gramEnd"/>
      <w:r w:rsidRPr="00931737">
        <w:rPr>
          <w:rFonts w:ascii="Times New Roman" w:eastAsia="Times New Roman" w:hAnsi="Times New Roman" w:cs="Times New Roman"/>
          <w:sz w:val="24"/>
          <w:szCs w:val="24"/>
          <w:lang w:val="en-US"/>
        </w:rPr>
        <w:t xml:space="preserve"> to inflated self-assessments. </w:t>
      </w:r>
      <w:r w:rsidRPr="00931737">
        <w:rPr>
          <w:rFonts w:ascii="Times New Roman" w:eastAsia="Times New Roman" w:hAnsi="Times New Roman" w:cs="Times New Roman"/>
          <w:i/>
          <w:iCs/>
          <w:sz w:val="24"/>
          <w:szCs w:val="24"/>
          <w:lang w:val="en-US"/>
        </w:rPr>
        <w:t xml:space="preserve">Journal of </w:t>
      </w:r>
      <w:r w:rsidRPr="00931737">
        <w:rPr>
          <w:rFonts w:ascii="Times New Roman" w:eastAsia="Times New Roman" w:hAnsi="Times New Roman" w:cs="Times New Roman"/>
          <w:i/>
          <w:iCs/>
          <w:sz w:val="24"/>
          <w:szCs w:val="24"/>
          <w:lang w:val="en-US"/>
        </w:rPr>
        <w:lastRenderedPageBreak/>
        <w:t>Personality and Social Psychology, 77</w:t>
      </w:r>
      <w:r w:rsidRPr="00931737">
        <w:rPr>
          <w:rFonts w:ascii="Times New Roman" w:eastAsia="Times New Roman" w:hAnsi="Times New Roman" w:cs="Times New Roman"/>
          <w:sz w:val="24"/>
          <w:szCs w:val="24"/>
          <w:lang w:val="en-US"/>
        </w:rPr>
        <w:t xml:space="preserve">(6), 1121–1134. </w:t>
      </w:r>
      <w:hyperlink r:id="rId27" w:history="1">
        <w:r w:rsidRPr="00931737">
          <w:rPr>
            <w:rFonts w:ascii="Times New Roman" w:eastAsia="Times New Roman" w:hAnsi="Times New Roman" w:cs="Times New Roman"/>
            <w:color w:val="0000FF"/>
            <w:sz w:val="24"/>
            <w:szCs w:val="24"/>
            <w:u w:val="single"/>
            <w:lang w:val="en-US"/>
          </w:rPr>
          <w:t>https://doi.org/10.1037/0022-3514.77.6.1121</w:t>
        </w:r>
      </w:hyperlink>
    </w:p>
    <w:p w14:paraId="08ADAFF7" w14:textId="3258F5C4" w:rsidR="00931737" w:rsidRPr="00931737" w:rsidRDefault="00931737" w:rsidP="00931737">
      <w:pPr>
        <w:spacing w:after="0" w:line="240" w:lineRule="auto"/>
        <w:ind w:left="540" w:hanging="540"/>
        <w:jc w:val="both"/>
        <w:rPr>
          <w:rFonts w:ascii="Times New Roman" w:eastAsia="Times New Roman" w:hAnsi="Times New Roman" w:cs="Times New Roman"/>
          <w:sz w:val="24"/>
          <w:szCs w:val="24"/>
          <w:lang w:val="en-US"/>
        </w:rPr>
      </w:pPr>
      <w:r w:rsidRPr="00931737">
        <w:rPr>
          <w:rFonts w:ascii="Times New Roman" w:eastAsia="Times New Roman" w:hAnsi="Times New Roman" w:cs="Times New Roman"/>
          <w:sz w:val="24"/>
          <w:szCs w:val="24"/>
          <w:lang w:val="en-US"/>
        </w:rPr>
        <w:t xml:space="preserve">Kumar, C. A., &amp; Saratha, M. (2025). Exploring the students and </w:t>
      </w:r>
      <w:proofErr w:type="gramStart"/>
      <w:r w:rsidRPr="00931737">
        <w:rPr>
          <w:rFonts w:ascii="Times New Roman" w:eastAsia="Times New Roman" w:hAnsi="Times New Roman" w:cs="Times New Roman"/>
          <w:sz w:val="24"/>
          <w:szCs w:val="24"/>
          <w:lang w:val="en-US"/>
        </w:rPr>
        <w:t>teachers</w:t>
      </w:r>
      <w:proofErr w:type="gramEnd"/>
      <w:r w:rsidRPr="00931737">
        <w:rPr>
          <w:rFonts w:ascii="Times New Roman" w:eastAsia="Times New Roman" w:hAnsi="Times New Roman" w:cs="Times New Roman"/>
          <w:sz w:val="24"/>
          <w:szCs w:val="24"/>
          <w:lang w:val="en-US"/>
        </w:rPr>
        <w:t xml:space="preserve"> perception on artificial </w:t>
      </w:r>
      <w:proofErr w:type="gramStart"/>
      <w:r w:rsidRPr="00931737">
        <w:rPr>
          <w:rFonts w:ascii="Times New Roman" w:eastAsia="Times New Roman" w:hAnsi="Times New Roman" w:cs="Times New Roman"/>
          <w:sz w:val="24"/>
          <w:szCs w:val="24"/>
          <w:lang w:val="en-US"/>
        </w:rPr>
        <w:t>intelligence based</w:t>
      </w:r>
      <w:proofErr w:type="gramEnd"/>
      <w:r w:rsidRPr="00931737">
        <w:rPr>
          <w:rFonts w:ascii="Times New Roman" w:eastAsia="Times New Roman" w:hAnsi="Times New Roman" w:cs="Times New Roman"/>
          <w:sz w:val="24"/>
          <w:szCs w:val="24"/>
          <w:lang w:val="en-US"/>
        </w:rPr>
        <w:t xml:space="preserve"> techno-pedagogical integration. </w:t>
      </w:r>
      <w:r w:rsidRPr="00931737">
        <w:rPr>
          <w:rFonts w:ascii="Times New Roman" w:eastAsia="Times New Roman" w:hAnsi="Times New Roman" w:cs="Times New Roman"/>
          <w:i/>
          <w:iCs/>
          <w:sz w:val="24"/>
          <w:szCs w:val="24"/>
          <w:lang w:val="en-US"/>
        </w:rPr>
        <w:t>Asian Journal of Arts, Humanities and Social Studies, 8</w:t>
      </w:r>
      <w:r w:rsidRPr="00931737">
        <w:rPr>
          <w:rFonts w:ascii="Times New Roman" w:eastAsia="Times New Roman" w:hAnsi="Times New Roman" w:cs="Times New Roman"/>
          <w:sz w:val="24"/>
          <w:szCs w:val="24"/>
          <w:lang w:val="en-US"/>
        </w:rPr>
        <w:t xml:space="preserve">(2), 169–176. </w:t>
      </w:r>
      <w:hyperlink r:id="rId28" w:history="1">
        <w:r w:rsidRPr="00931737">
          <w:rPr>
            <w:rFonts w:ascii="Times New Roman" w:eastAsia="Times New Roman" w:hAnsi="Times New Roman" w:cs="Times New Roman"/>
            <w:color w:val="0000FF"/>
            <w:sz w:val="24"/>
            <w:szCs w:val="24"/>
            <w:u w:val="single"/>
            <w:lang w:val="en-US"/>
          </w:rPr>
          <w:t>https://doi.org/10.56557/ajahss/2025/v8i288</w:t>
        </w:r>
      </w:hyperlink>
    </w:p>
    <w:p w14:paraId="0A4439A7" w14:textId="026A7DA4" w:rsidR="00931737" w:rsidRPr="00931737" w:rsidRDefault="00931737" w:rsidP="00931737">
      <w:pPr>
        <w:spacing w:after="0" w:line="240" w:lineRule="auto"/>
        <w:ind w:left="540" w:hanging="540"/>
        <w:jc w:val="both"/>
        <w:rPr>
          <w:rFonts w:ascii="Times New Roman" w:eastAsia="Times New Roman" w:hAnsi="Times New Roman" w:cs="Times New Roman"/>
          <w:sz w:val="24"/>
          <w:szCs w:val="24"/>
          <w:lang w:val="en-US"/>
        </w:rPr>
      </w:pPr>
      <w:r w:rsidRPr="00931737">
        <w:rPr>
          <w:rFonts w:ascii="Times New Roman" w:eastAsia="Times New Roman" w:hAnsi="Times New Roman" w:cs="Times New Roman"/>
          <w:sz w:val="24"/>
          <w:szCs w:val="24"/>
          <w:lang w:val="en-US"/>
        </w:rPr>
        <w:t xml:space="preserve">Lazer, D. M. J., Baum, M. A., </w:t>
      </w:r>
      <w:proofErr w:type="spellStart"/>
      <w:r w:rsidRPr="00931737">
        <w:rPr>
          <w:rFonts w:ascii="Times New Roman" w:eastAsia="Times New Roman" w:hAnsi="Times New Roman" w:cs="Times New Roman"/>
          <w:sz w:val="24"/>
          <w:szCs w:val="24"/>
          <w:lang w:val="en-US"/>
        </w:rPr>
        <w:t>Benkler</w:t>
      </w:r>
      <w:proofErr w:type="spellEnd"/>
      <w:r w:rsidRPr="00931737">
        <w:rPr>
          <w:rFonts w:ascii="Times New Roman" w:eastAsia="Times New Roman" w:hAnsi="Times New Roman" w:cs="Times New Roman"/>
          <w:sz w:val="24"/>
          <w:szCs w:val="24"/>
          <w:lang w:val="en-US"/>
        </w:rPr>
        <w:t xml:space="preserve">, Y., Berinsky, A. J., Greenhill, K. M., Menczer, F., Metzger, M. J., Nyhan, B., Pennycook, G., Rothschild, D., </w:t>
      </w:r>
      <w:proofErr w:type="spellStart"/>
      <w:r w:rsidRPr="00931737">
        <w:rPr>
          <w:rFonts w:ascii="Times New Roman" w:eastAsia="Times New Roman" w:hAnsi="Times New Roman" w:cs="Times New Roman"/>
          <w:sz w:val="24"/>
          <w:szCs w:val="24"/>
          <w:lang w:val="en-US"/>
        </w:rPr>
        <w:t>Schudson</w:t>
      </w:r>
      <w:proofErr w:type="spellEnd"/>
      <w:r w:rsidRPr="00931737">
        <w:rPr>
          <w:rFonts w:ascii="Times New Roman" w:eastAsia="Times New Roman" w:hAnsi="Times New Roman" w:cs="Times New Roman"/>
          <w:sz w:val="24"/>
          <w:szCs w:val="24"/>
          <w:lang w:val="en-US"/>
        </w:rPr>
        <w:t xml:space="preserve">, M., Sloman, S. A., Sunstein, C. R., Thorson, E. A., Watts, D. J., &amp; </w:t>
      </w:r>
      <w:proofErr w:type="spellStart"/>
      <w:r w:rsidRPr="00931737">
        <w:rPr>
          <w:rFonts w:ascii="Times New Roman" w:eastAsia="Times New Roman" w:hAnsi="Times New Roman" w:cs="Times New Roman"/>
          <w:sz w:val="24"/>
          <w:szCs w:val="24"/>
          <w:lang w:val="en-US"/>
        </w:rPr>
        <w:t>Zittrain</w:t>
      </w:r>
      <w:proofErr w:type="spellEnd"/>
      <w:r w:rsidRPr="00931737">
        <w:rPr>
          <w:rFonts w:ascii="Times New Roman" w:eastAsia="Times New Roman" w:hAnsi="Times New Roman" w:cs="Times New Roman"/>
          <w:sz w:val="24"/>
          <w:szCs w:val="24"/>
          <w:lang w:val="en-US"/>
        </w:rPr>
        <w:t xml:space="preserve">, J. L. (2018). The science of fake news. </w:t>
      </w:r>
      <w:r w:rsidRPr="00931737">
        <w:rPr>
          <w:rFonts w:ascii="Times New Roman" w:eastAsia="Times New Roman" w:hAnsi="Times New Roman" w:cs="Times New Roman"/>
          <w:i/>
          <w:iCs/>
          <w:sz w:val="24"/>
          <w:szCs w:val="24"/>
          <w:lang w:val="en-US"/>
        </w:rPr>
        <w:t>Science, 359</w:t>
      </w:r>
      <w:r w:rsidRPr="00931737">
        <w:rPr>
          <w:rFonts w:ascii="Times New Roman" w:eastAsia="Times New Roman" w:hAnsi="Times New Roman" w:cs="Times New Roman"/>
          <w:sz w:val="24"/>
          <w:szCs w:val="24"/>
          <w:lang w:val="en-US"/>
        </w:rPr>
        <w:t xml:space="preserve">(6380), 1094–1096. </w:t>
      </w:r>
      <w:hyperlink r:id="rId29" w:history="1">
        <w:r w:rsidRPr="00931737">
          <w:rPr>
            <w:rFonts w:ascii="Times New Roman" w:eastAsia="Times New Roman" w:hAnsi="Times New Roman" w:cs="Times New Roman"/>
            <w:color w:val="0000FF"/>
            <w:sz w:val="24"/>
            <w:szCs w:val="24"/>
            <w:u w:val="single"/>
            <w:lang w:val="en-US"/>
          </w:rPr>
          <w:t>https://doi.org/10.1126/science.aao2998</w:t>
        </w:r>
      </w:hyperlink>
    </w:p>
    <w:p w14:paraId="76646181" w14:textId="1F96C179" w:rsidR="00931737" w:rsidRPr="00931737" w:rsidRDefault="00931737" w:rsidP="00931737">
      <w:pPr>
        <w:spacing w:after="0" w:line="240" w:lineRule="auto"/>
        <w:ind w:left="540" w:hanging="540"/>
        <w:jc w:val="both"/>
        <w:rPr>
          <w:rFonts w:ascii="Times New Roman" w:eastAsia="Times New Roman" w:hAnsi="Times New Roman" w:cs="Times New Roman"/>
          <w:sz w:val="24"/>
          <w:szCs w:val="24"/>
          <w:lang w:val="en-US"/>
        </w:rPr>
      </w:pPr>
      <w:r w:rsidRPr="00931737">
        <w:rPr>
          <w:rFonts w:ascii="Times New Roman" w:eastAsia="Times New Roman" w:hAnsi="Times New Roman" w:cs="Times New Roman"/>
          <w:sz w:val="24"/>
          <w:szCs w:val="24"/>
          <w:lang w:val="en-US"/>
        </w:rPr>
        <w:t xml:space="preserve">Logg, J. M., Minson, J. A., &amp; Moore, D. A. (2019). Algorithm appreciation: People prefer algorithmic to human judgment. </w:t>
      </w:r>
      <w:r w:rsidRPr="00931737">
        <w:rPr>
          <w:rFonts w:ascii="Times New Roman" w:eastAsia="Times New Roman" w:hAnsi="Times New Roman" w:cs="Times New Roman"/>
          <w:i/>
          <w:iCs/>
          <w:sz w:val="24"/>
          <w:szCs w:val="24"/>
          <w:lang w:val="en-US"/>
        </w:rPr>
        <w:t>Organizational Behavior and Human Decision Processes, 151</w:t>
      </w:r>
      <w:r w:rsidRPr="00931737">
        <w:rPr>
          <w:rFonts w:ascii="Times New Roman" w:eastAsia="Times New Roman" w:hAnsi="Times New Roman" w:cs="Times New Roman"/>
          <w:sz w:val="24"/>
          <w:szCs w:val="24"/>
          <w:lang w:val="en-US"/>
        </w:rPr>
        <w:t xml:space="preserve">, 90–103. </w:t>
      </w:r>
      <w:hyperlink r:id="rId30" w:history="1">
        <w:r w:rsidRPr="00931737">
          <w:rPr>
            <w:rFonts w:ascii="Times New Roman" w:eastAsia="Times New Roman" w:hAnsi="Times New Roman" w:cs="Times New Roman"/>
            <w:color w:val="0000FF"/>
            <w:sz w:val="24"/>
            <w:szCs w:val="24"/>
            <w:u w:val="single"/>
            <w:lang w:val="en-US"/>
          </w:rPr>
          <w:t>https://doi.org/10.1016/j.obhdp.2018.12.005</w:t>
        </w:r>
      </w:hyperlink>
    </w:p>
    <w:p w14:paraId="03FD87A8" w14:textId="79E99E43" w:rsidR="00931737" w:rsidRPr="00931737" w:rsidRDefault="00931737" w:rsidP="00931737">
      <w:pPr>
        <w:spacing w:after="0" w:line="240" w:lineRule="auto"/>
        <w:ind w:left="540" w:hanging="540"/>
        <w:jc w:val="both"/>
        <w:rPr>
          <w:rFonts w:ascii="Times New Roman" w:eastAsia="Times New Roman" w:hAnsi="Times New Roman" w:cs="Times New Roman"/>
          <w:sz w:val="24"/>
          <w:szCs w:val="24"/>
          <w:lang w:val="en-US"/>
        </w:rPr>
      </w:pPr>
      <w:r w:rsidRPr="00931737">
        <w:rPr>
          <w:rFonts w:ascii="Times New Roman" w:eastAsia="Times New Roman" w:hAnsi="Times New Roman" w:cs="Times New Roman"/>
          <w:sz w:val="24"/>
          <w:szCs w:val="24"/>
          <w:lang w:val="nl-BE"/>
        </w:rPr>
        <w:t xml:space="preserve">Mueller, P. A., &amp; Oppenheimer, D. M. (2014). </w:t>
      </w:r>
      <w:r w:rsidRPr="00931737">
        <w:rPr>
          <w:rFonts w:ascii="Times New Roman" w:eastAsia="Times New Roman" w:hAnsi="Times New Roman" w:cs="Times New Roman"/>
          <w:sz w:val="24"/>
          <w:szCs w:val="24"/>
          <w:lang w:val="en-US"/>
        </w:rPr>
        <w:t xml:space="preserve">The pen is mightier than the keyboard: Advantages of longhand over laptop note taking. </w:t>
      </w:r>
      <w:r w:rsidRPr="00931737">
        <w:rPr>
          <w:rFonts w:ascii="Times New Roman" w:eastAsia="Times New Roman" w:hAnsi="Times New Roman" w:cs="Times New Roman"/>
          <w:i/>
          <w:iCs/>
          <w:sz w:val="24"/>
          <w:szCs w:val="24"/>
          <w:lang w:val="en-US"/>
        </w:rPr>
        <w:t>Psychological Science, 25</w:t>
      </w:r>
      <w:r w:rsidRPr="00931737">
        <w:rPr>
          <w:rFonts w:ascii="Times New Roman" w:eastAsia="Times New Roman" w:hAnsi="Times New Roman" w:cs="Times New Roman"/>
          <w:sz w:val="24"/>
          <w:szCs w:val="24"/>
          <w:lang w:val="en-US"/>
        </w:rPr>
        <w:t xml:space="preserve">(6), 1159–1168. </w:t>
      </w:r>
      <w:hyperlink r:id="rId31" w:history="1">
        <w:r w:rsidRPr="00931737">
          <w:rPr>
            <w:rFonts w:ascii="Times New Roman" w:eastAsia="Times New Roman" w:hAnsi="Times New Roman" w:cs="Times New Roman"/>
            <w:color w:val="0000FF"/>
            <w:sz w:val="24"/>
            <w:szCs w:val="24"/>
            <w:u w:val="single"/>
            <w:lang w:val="en-US"/>
          </w:rPr>
          <w:t>https://doi.org/10.1177/0956797614524581</w:t>
        </w:r>
      </w:hyperlink>
    </w:p>
    <w:p w14:paraId="3049D9D3" w14:textId="406A4560" w:rsidR="00931737" w:rsidRPr="00931737" w:rsidRDefault="00931737" w:rsidP="00931737">
      <w:pPr>
        <w:spacing w:after="0" w:line="240" w:lineRule="auto"/>
        <w:ind w:left="540" w:hanging="540"/>
        <w:jc w:val="both"/>
        <w:rPr>
          <w:rFonts w:ascii="Times New Roman" w:eastAsia="Times New Roman" w:hAnsi="Times New Roman" w:cs="Times New Roman"/>
          <w:sz w:val="24"/>
          <w:szCs w:val="24"/>
          <w:lang w:val="en-US"/>
        </w:rPr>
      </w:pPr>
      <w:r w:rsidRPr="00931737">
        <w:rPr>
          <w:rFonts w:ascii="Times New Roman" w:eastAsia="Times New Roman" w:hAnsi="Times New Roman" w:cs="Times New Roman"/>
          <w:sz w:val="24"/>
          <w:szCs w:val="24"/>
          <w:lang w:val="en-US"/>
        </w:rPr>
        <w:t xml:space="preserve">Noy, S., &amp; Zhang, W. (2023). Experimental evidence on the productivity effects of generative artificial intelligence. </w:t>
      </w:r>
      <w:r w:rsidRPr="00931737">
        <w:rPr>
          <w:rFonts w:ascii="Times New Roman" w:eastAsia="Times New Roman" w:hAnsi="Times New Roman" w:cs="Times New Roman"/>
          <w:i/>
          <w:iCs/>
          <w:sz w:val="24"/>
          <w:szCs w:val="24"/>
          <w:lang w:val="en-US"/>
        </w:rPr>
        <w:t>Science, 381</w:t>
      </w:r>
      <w:r w:rsidRPr="00931737">
        <w:rPr>
          <w:rFonts w:ascii="Times New Roman" w:eastAsia="Times New Roman" w:hAnsi="Times New Roman" w:cs="Times New Roman"/>
          <w:sz w:val="24"/>
          <w:szCs w:val="24"/>
          <w:lang w:val="en-US"/>
        </w:rPr>
        <w:t xml:space="preserve">(6654), 187–192. </w:t>
      </w:r>
      <w:hyperlink r:id="rId32" w:history="1">
        <w:r w:rsidRPr="00931737">
          <w:rPr>
            <w:rFonts w:ascii="Times New Roman" w:eastAsia="Times New Roman" w:hAnsi="Times New Roman" w:cs="Times New Roman"/>
            <w:color w:val="0000FF"/>
            <w:sz w:val="24"/>
            <w:szCs w:val="24"/>
            <w:u w:val="single"/>
            <w:lang w:val="en-US"/>
          </w:rPr>
          <w:t>https://doi.org/10.1126/science.adh2586</w:t>
        </w:r>
      </w:hyperlink>
    </w:p>
    <w:p w14:paraId="1C364A6C" w14:textId="08A4A6AD" w:rsidR="00931737" w:rsidRPr="00931737" w:rsidRDefault="00931737" w:rsidP="00931737">
      <w:pPr>
        <w:spacing w:after="0" w:line="240" w:lineRule="auto"/>
        <w:ind w:left="540" w:hanging="540"/>
        <w:jc w:val="both"/>
        <w:rPr>
          <w:rFonts w:ascii="Times New Roman" w:eastAsia="Times New Roman" w:hAnsi="Times New Roman" w:cs="Times New Roman"/>
          <w:sz w:val="24"/>
          <w:szCs w:val="24"/>
          <w:lang w:val="en-US"/>
        </w:rPr>
      </w:pPr>
      <w:r w:rsidRPr="00931737">
        <w:rPr>
          <w:rFonts w:ascii="Times New Roman" w:eastAsia="Times New Roman" w:hAnsi="Times New Roman" w:cs="Times New Roman"/>
          <w:sz w:val="24"/>
          <w:szCs w:val="24"/>
          <w:lang w:val="en-US"/>
        </w:rPr>
        <w:t xml:space="preserve">Ophir, E., Nass, C., &amp; Wagner, A. D. (2009). Cognitive control in media multitaskers. </w:t>
      </w:r>
      <w:r w:rsidRPr="00931737">
        <w:rPr>
          <w:rFonts w:ascii="Times New Roman" w:eastAsia="Times New Roman" w:hAnsi="Times New Roman" w:cs="Times New Roman"/>
          <w:i/>
          <w:iCs/>
          <w:sz w:val="24"/>
          <w:szCs w:val="24"/>
          <w:lang w:val="en-US"/>
        </w:rPr>
        <w:t>Proceedings of the National Academy of Sciences of the United States of America, 106</w:t>
      </w:r>
      <w:r w:rsidRPr="00931737">
        <w:rPr>
          <w:rFonts w:ascii="Times New Roman" w:eastAsia="Times New Roman" w:hAnsi="Times New Roman" w:cs="Times New Roman"/>
          <w:sz w:val="24"/>
          <w:szCs w:val="24"/>
          <w:lang w:val="en-US"/>
        </w:rPr>
        <w:t xml:space="preserve">(37), 15583–15587. </w:t>
      </w:r>
      <w:hyperlink r:id="rId33" w:history="1">
        <w:r w:rsidRPr="00931737">
          <w:rPr>
            <w:rFonts w:ascii="Times New Roman" w:eastAsia="Times New Roman" w:hAnsi="Times New Roman" w:cs="Times New Roman"/>
            <w:color w:val="0000FF"/>
            <w:sz w:val="24"/>
            <w:szCs w:val="24"/>
            <w:u w:val="single"/>
            <w:lang w:val="en-US"/>
          </w:rPr>
          <w:t>https://doi.org/10.1073/pnas.0903620106</w:t>
        </w:r>
      </w:hyperlink>
    </w:p>
    <w:p w14:paraId="69D1D1BF" w14:textId="6237BDAC" w:rsidR="00931737" w:rsidRPr="00931737" w:rsidRDefault="00931737" w:rsidP="00931737">
      <w:pPr>
        <w:spacing w:after="0" w:line="240" w:lineRule="auto"/>
        <w:ind w:left="540" w:hanging="540"/>
        <w:jc w:val="both"/>
        <w:rPr>
          <w:rFonts w:ascii="Times New Roman" w:eastAsia="Times New Roman" w:hAnsi="Times New Roman" w:cs="Times New Roman"/>
          <w:sz w:val="24"/>
          <w:szCs w:val="24"/>
          <w:lang w:val="en-US"/>
        </w:rPr>
      </w:pPr>
      <w:r w:rsidRPr="00931737">
        <w:rPr>
          <w:rFonts w:ascii="Times New Roman" w:eastAsia="Times New Roman" w:hAnsi="Times New Roman" w:cs="Times New Roman"/>
          <w:sz w:val="24"/>
          <w:szCs w:val="24"/>
          <w:lang w:val="nl-BE"/>
        </w:rPr>
        <w:t xml:space="preserve">Orben, A., &amp; Przybylski, A. K. (2019). </w:t>
      </w:r>
      <w:r w:rsidRPr="00931737">
        <w:rPr>
          <w:rFonts w:ascii="Times New Roman" w:eastAsia="Times New Roman" w:hAnsi="Times New Roman" w:cs="Times New Roman"/>
          <w:sz w:val="24"/>
          <w:szCs w:val="24"/>
          <w:lang w:val="en-US"/>
        </w:rPr>
        <w:t xml:space="preserve">The association between adolescent well-being and digital technology use. </w:t>
      </w:r>
      <w:r w:rsidRPr="00931737">
        <w:rPr>
          <w:rFonts w:ascii="Times New Roman" w:eastAsia="Times New Roman" w:hAnsi="Times New Roman" w:cs="Times New Roman"/>
          <w:i/>
          <w:iCs/>
          <w:sz w:val="24"/>
          <w:szCs w:val="24"/>
          <w:lang w:val="en-US"/>
        </w:rPr>
        <w:t xml:space="preserve">Nature Human </w:t>
      </w:r>
      <w:proofErr w:type="spellStart"/>
      <w:r w:rsidRPr="00931737">
        <w:rPr>
          <w:rFonts w:ascii="Times New Roman" w:eastAsia="Times New Roman" w:hAnsi="Times New Roman" w:cs="Times New Roman"/>
          <w:i/>
          <w:iCs/>
          <w:sz w:val="24"/>
          <w:szCs w:val="24"/>
          <w:lang w:val="en-US"/>
        </w:rPr>
        <w:t>Behaviour</w:t>
      </w:r>
      <w:proofErr w:type="spellEnd"/>
      <w:r w:rsidRPr="00931737">
        <w:rPr>
          <w:rFonts w:ascii="Times New Roman" w:eastAsia="Times New Roman" w:hAnsi="Times New Roman" w:cs="Times New Roman"/>
          <w:i/>
          <w:iCs/>
          <w:sz w:val="24"/>
          <w:szCs w:val="24"/>
          <w:lang w:val="en-US"/>
        </w:rPr>
        <w:t>, 3</w:t>
      </w:r>
      <w:r w:rsidRPr="00931737">
        <w:rPr>
          <w:rFonts w:ascii="Times New Roman" w:eastAsia="Times New Roman" w:hAnsi="Times New Roman" w:cs="Times New Roman"/>
          <w:sz w:val="24"/>
          <w:szCs w:val="24"/>
          <w:lang w:val="en-US"/>
        </w:rPr>
        <w:t xml:space="preserve">(2), 173–182. </w:t>
      </w:r>
      <w:hyperlink r:id="rId34" w:history="1">
        <w:r w:rsidRPr="00931737">
          <w:rPr>
            <w:rFonts w:ascii="Times New Roman" w:eastAsia="Times New Roman" w:hAnsi="Times New Roman" w:cs="Times New Roman"/>
            <w:color w:val="0000FF"/>
            <w:sz w:val="24"/>
            <w:szCs w:val="24"/>
            <w:u w:val="single"/>
            <w:lang w:val="en-US"/>
          </w:rPr>
          <w:t>https://doi.org/10.1038/s41562-018-0506-1</w:t>
        </w:r>
      </w:hyperlink>
    </w:p>
    <w:p w14:paraId="3168754A" w14:textId="2987BC39" w:rsidR="00931737" w:rsidRPr="00931737" w:rsidRDefault="00931737" w:rsidP="00931737">
      <w:pPr>
        <w:spacing w:after="0" w:line="240" w:lineRule="auto"/>
        <w:ind w:left="540" w:hanging="540"/>
        <w:jc w:val="both"/>
        <w:rPr>
          <w:rFonts w:ascii="Times New Roman" w:eastAsia="Times New Roman" w:hAnsi="Times New Roman" w:cs="Times New Roman"/>
          <w:sz w:val="24"/>
          <w:szCs w:val="24"/>
          <w:lang w:val="en-US"/>
        </w:rPr>
      </w:pPr>
      <w:r w:rsidRPr="00931737">
        <w:rPr>
          <w:rFonts w:ascii="Times New Roman" w:eastAsia="Times New Roman" w:hAnsi="Times New Roman" w:cs="Times New Roman"/>
          <w:sz w:val="24"/>
          <w:szCs w:val="24"/>
          <w:lang w:val="en-US"/>
        </w:rPr>
        <w:t xml:space="preserve">Paas, F., Renkl, A., &amp; </w:t>
      </w:r>
      <w:proofErr w:type="spellStart"/>
      <w:r w:rsidRPr="00931737">
        <w:rPr>
          <w:rFonts w:ascii="Times New Roman" w:eastAsia="Times New Roman" w:hAnsi="Times New Roman" w:cs="Times New Roman"/>
          <w:sz w:val="24"/>
          <w:szCs w:val="24"/>
          <w:lang w:val="en-US"/>
        </w:rPr>
        <w:t>Sweller</w:t>
      </w:r>
      <w:proofErr w:type="spellEnd"/>
      <w:r w:rsidRPr="00931737">
        <w:rPr>
          <w:rFonts w:ascii="Times New Roman" w:eastAsia="Times New Roman" w:hAnsi="Times New Roman" w:cs="Times New Roman"/>
          <w:sz w:val="24"/>
          <w:szCs w:val="24"/>
          <w:lang w:val="en-US"/>
        </w:rPr>
        <w:t xml:space="preserve">, J. (2003). Cognitive load theory and instructional design: Recent developments. </w:t>
      </w:r>
      <w:r w:rsidRPr="00931737">
        <w:rPr>
          <w:rFonts w:ascii="Times New Roman" w:eastAsia="Times New Roman" w:hAnsi="Times New Roman" w:cs="Times New Roman"/>
          <w:i/>
          <w:iCs/>
          <w:sz w:val="24"/>
          <w:szCs w:val="24"/>
          <w:lang w:val="en-US"/>
        </w:rPr>
        <w:t>Educational Psychologist, 38</w:t>
      </w:r>
      <w:r w:rsidRPr="00931737">
        <w:rPr>
          <w:rFonts w:ascii="Times New Roman" w:eastAsia="Times New Roman" w:hAnsi="Times New Roman" w:cs="Times New Roman"/>
          <w:sz w:val="24"/>
          <w:szCs w:val="24"/>
          <w:lang w:val="en-US"/>
        </w:rPr>
        <w:t xml:space="preserve">(1), 1–4. </w:t>
      </w:r>
      <w:hyperlink r:id="rId35" w:history="1">
        <w:r w:rsidRPr="00931737">
          <w:rPr>
            <w:rFonts w:ascii="Times New Roman" w:eastAsia="Times New Roman" w:hAnsi="Times New Roman" w:cs="Times New Roman"/>
            <w:color w:val="0000FF"/>
            <w:sz w:val="24"/>
            <w:szCs w:val="24"/>
            <w:u w:val="single"/>
            <w:lang w:val="en-US"/>
          </w:rPr>
          <w:t>https://doi.org/10.1207/S15326985EP3801_1</w:t>
        </w:r>
      </w:hyperlink>
    </w:p>
    <w:p w14:paraId="0F6856C0" w14:textId="18641CE0" w:rsidR="00931737" w:rsidRPr="00931737" w:rsidRDefault="00931737" w:rsidP="00931737">
      <w:pPr>
        <w:spacing w:after="0" w:line="240" w:lineRule="auto"/>
        <w:ind w:left="540" w:hanging="540"/>
        <w:jc w:val="both"/>
        <w:rPr>
          <w:rFonts w:ascii="Times New Roman" w:eastAsia="Times New Roman" w:hAnsi="Times New Roman" w:cs="Times New Roman"/>
          <w:sz w:val="24"/>
          <w:szCs w:val="24"/>
          <w:lang w:val="en-US"/>
        </w:rPr>
      </w:pPr>
      <w:r w:rsidRPr="00931737">
        <w:rPr>
          <w:rFonts w:ascii="Times New Roman" w:eastAsia="Times New Roman" w:hAnsi="Times New Roman" w:cs="Times New Roman"/>
          <w:sz w:val="24"/>
          <w:szCs w:val="24"/>
          <w:lang w:val="en-US"/>
        </w:rPr>
        <w:t xml:space="preserve">Parasuraman, R., &amp; </w:t>
      </w:r>
      <w:proofErr w:type="spellStart"/>
      <w:r w:rsidRPr="00931737">
        <w:rPr>
          <w:rFonts w:ascii="Times New Roman" w:eastAsia="Times New Roman" w:hAnsi="Times New Roman" w:cs="Times New Roman"/>
          <w:sz w:val="24"/>
          <w:szCs w:val="24"/>
          <w:lang w:val="en-US"/>
        </w:rPr>
        <w:t>Manzey</w:t>
      </w:r>
      <w:proofErr w:type="spellEnd"/>
      <w:r w:rsidRPr="00931737">
        <w:rPr>
          <w:rFonts w:ascii="Times New Roman" w:eastAsia="Times New Roman" w:hAnsi="Times New Roman" w:cs="Times New Roman"/>
          <w:sz w:val="24"/>
          <w:szCs w:val="24"/>
          <w:lang w:val="en-US"/>
        </w:rPr>
        <w:t xml:space="preserve">, D. H. (2010). Complacency and bias in human use of automation: An attentional integration. </w:t>
      </w:r>
      <w:r w:rsidRPr="00931737">
        <w:rPr>
          <w:rFonts w:ascii="Times New Roman" w:eastAsia="Times New Roman" w:hAnsi="Times New Roman" w:cs="Times New Roman"/>
          <w:i/>
          <w:iCs/>
          <w:sz w:val="24"/>
          <w:szCs w:val="24"/>
          <w:lang w:val="en-US"/>
        </w:rPr>
        <w:t>Human Factors, 52</w:t>
      </w:r>
      <w:r w:rsidRPr="00931737">
        <w:rPr>
          <w:rFonts w:ascii="Times New Roman" w:eastAsia="Times New Roman" w:hAnsi="Times New Roman" w:cs="Times New Roman"/>
          <w:sz w:val="24"/>
          <w:szCs w:val="24"/>
          <w:lang w:val="en-US"/>
        </w:rPr>
        <w:t xml:space="preserve">(3), 381–410. </w:t>
      </w:r>
      <w:hyperlink r:id="rId36" w:history="1">
        <w:r w:rsidRPr="00931737">
          <w:rPr>
            <w:rFonts w:ascii="Times New Roman" w:eastAsia="Times New Roman" w:hAnsi="Times New Roman" w:cs="Times New Roman"/>
            <w:color w:val="0000FF"/>
            <w:sz w:val="24"/>
            <w:szCs w:val="24"/>
            <w:u w:val="single"/>
            <w:lang w:val="en-US"/>
          </w:rPr>
          <w:t>https://doi.org/10.1177/0018720810376055</w:t>
        </w:r>
      </w:hyperlink>
    </w:p>
    <w:p w14:paraId="30D4C670" w14:textId="1504CD4B" w:rsidR="00931737" w:rsidRPr="00931737" w:rsidRDefault="00931737" w:rsidP="00931737">
      <w:pPr>
        <w:spacing w:after="0" w:line="240" w:lineRule="auto"/>
        <w:ind w:left="540" w:hanging="540"/>
        <w:jc w:val="both"/>
        <w:rPr>
          <w:rFonts w:ascii="Times New Roman" w:eastAsia="Times New Roman" w:hAnsi="Times New Roman" w:cs="Times New Roman"/>
          <w:sz w:val="24"/>
          <w:szCs w:val="24"/>
          <w:lang w:val="en-US"/>
        </w:rPr>
      </w:pPr>
      <w:r w:rsidRPr="00931737">
        <w:rPr>
          <w:rFonts w:ascii="Times New Roman" w:eastAsia="Times New Roman" w:hAnsi="Times New Roman" w:cs="Times New Roman"/>
          <w:sz w:val="24"/>
          <w:szCs w:val="24"/>
          <w:lang w:val="en-US"/>
        </w:rPr>
        <w:t xml:space="preserve">Parasuraman, R., Sheridan, T. B., &amp; Wickens, C. D. (2000). A model for types and levels of human interaction with automation. </w:t>
      </w:r>
      <w:r w:rsidRPr="00931737">
        <w:rPr>
          <w:rFonts w:ascii="Times New Roman" w:eastAsia="Times New Roman" w:hAnsi="Times New Roman" w:cs="Times New Roman"/>
          <w:i/>
          <w:iCs/>
          <w:sz w:val="24"/>
          <w:szCs w:val="24"/>
          <w:lang w:val="en-US"/>
        </w:rPr>
        <w:t>IEEE Transactions on Systems, Man, and Cybernetics - Part A: Systems and Humans, 30</w:t>
      </w:r>
      <w:r w:rsidRPr="00931737">
        <w:rPr>
          <w:rFonts w:ascii="Times New Roman" w:eastAsia="Times New Roman" w:hAnsi="Times New Roman" w:cs="Times New Roman"/>
          <w:sz w:val="24"/>
          <w:szCs w:val="24"/>
          <w:lang w:val="en-US"/>
        </w:rPr>
        <w:t xml:space="preserve">(3), 286–297. </w:t>
      </w:r>
      <w:hyperlink r:id="rId37" w:history="1">
        <w:r w:rsidRPr="00931737">
          <w:rPr>
            <w:rFonts w:ascii="Times New Roman" w:eastAsia="Times New Roman" w:hAnsi="Times New Roman" w:cs="Times New Roman"/>
            <w:color w:val="0000FF"/>
            <w:sz w:val="24"/>
            <w:szCs w:val="24"/>
            <w:u w:val="single"/>
            <w:lang w:val="en-US"/>
          </w:rPr>
          <w:t>https://doi.org/10.1109/3468.844354</w:t>
        </w:r>
      </w:hyperlink>
    </w:p>
    <w:p w14:paraId="6DCD837D" w14:textId="11929197" w:rsidR="00931737" w:rsidRPr="00931737" w:rsidRDefault="00931737" w:rsidP="00931737">
      <w:pPr>
        <w:spacing w:after="0" w:line="240" w:lineRule="auto"/>
        <w:ind w:left="540" w:hanging="540"/>
        <w:jc w:val="both"/>
        <w:rPr>
          <w:rFonts w:ascii="Times New Roman" w:eastAsia="Times New Roman" w:hAnsi="Times New Roman" w:cs="Times New Roman"/>
          <w:sz w:val="24"/>
          <w:szCs w:val="24"/>
          <w:lang w:val="en-US"/>
        </w:rPr>
      </w:pPr>
      <w:r w:rsidRPr="00931737">
        <w:rPr>
          <w:rFonts w:ascii="Times New Roman" w:eastAsia="Times New Roman" w:hAnsi="Times New Roman" w:cs="Times New Roman"/>
          <w:sz w:val="24"/>
          <w:szCs w:val="24"/>
          <w:lang w:val="en-US"/>
        </w:rPr>
        <w:t xml:space="preserve">Risko, E. F., &amp; Gilbert, S. J. (2016). Cognitive offloading. </w:t>
      </w:r>
      <w:r w:rsidRPr="00931737">
        <w:rPr>
          <w:rFonts w:ascii="Times New Roman" w:eastAsia="Times New Roman" w:hAnsi="Times New Roman" w:cs="Times New Roman"/>
          <w:i/>
          <w:iCs/>
          <w:sz w:val="24"/>
          <w:szCs w:val="24"/>
          <w:lang w:val="en-US"/>
        </w:rPr>
        <w:t>Trends in Cognitive Sciences, 20</w:t>
      </w:r>
      <w:r w:rsidRPr="00931737">
        <w:rPr>
          <w:rFonts w:ascii="Times New Roman" w:eastAsia="Times New Roman" w:hAnsi="Times New Roman" w:cs="Times New Roman"/>
          <w:sz w:val="24"/>
          <w:szCs w:val="24"/>
          <w:lang w:val="en-US"/>
        </w:rPr>
        <w:t xml:space="preserve">(9), 676–688. </w:t>
      </w:r>
      <w:hyperlink r:id="rId38" w:history="1">
        <w:r w:rsidRPr="00931737">
          <w:rPr>
            <w:rFonts w:ascii="Times New Roman" w:eastAsia="Times New Roman" w:hAnsi="Times New Roman" w:cs="Times New Roman"/>
            <w:color w:val="0000FF"/>
            <w:sz w:val="24"/>
            <w:szCs w:val="24"/>
            <w:u w:val="single"/>
            <w:lang w:val="en-US"/>
          </w:rPr>
          <w:t>https://doi.org/10.1016/j.tics.2016.07.002</w:t>
        </w:r>
      </w:hyperlink>
    </w:p>
    <w:p w14:paraId="003A3339" w14:textId="7D318034" w:rsidR="00931737" w:rsidRPr="00931737" w:rsidRDefault="00931737" w:rsidP="00931737">
      <w:pPr>
        <w:spacing w:after="0" w:line="240" w:lineRule="auto"/>
        <w:ind w:left="540" w:hanging="540"/>
        <w:jc w:val="both"/>
        <w:rPr>
          <w:rFonts w:ascii="Times New Roman" w:eastAsia="Times New Roman" w:hAnsi="Times New Roman" w:cs="Times New Roman"/>
          <w:sz w:val="24"/>
          <w:szCs w:val="24"/>
          <w:lang w:val="nl-BE"/>
        </w:rPr>
      </w:pPr>
      <w:r w:rsidRPr="00931737">
        <w:rPr>
          <w:rFonts w:ascii="Times New Roman" w:eastAsia="Times New Roman" w:hAnsi="Times New Roman" w:cs="Times New Roman"/>
          <w:sz w:val="24"/>
          <w:szCs w:val="24"/>
          <w:lang w:val="en-US"/>
        </w:rPr>
        <w:t xml:space="preserve">Ruginski, I. T., Creem-Regehr, S. H., </w:t>
      </w:r>
      <w:proofErr w:type="spellStart"/>
      <w:r w:rsidRPr="00931737">
        <w:rPr>
          <w:rFonts w:ascii="Times New Roman" w:eastAsia="Times New Roman" w:hAnsi="Times New Roman" w:cs="Times New Roman"/>
          <w:sz w:val="24"/>
          <w:szCs w:val="24"/>
          <w:lang w:val="en-US"/>
        </w:rPr>
        <w:t>Stefanucci</w:t>
      </w:r>
      <w:proofErr w:type="spellEnd"/>
      <w:r w:rsidRPr="00931737">
        <w:rPr>
          <w:rFonts w:ascii="Times New Roman" w:eastAsia="Times New Roman" w:hAnsi="Times New Roman" w:cs="Times New Roman"/>
          <w:sz w:val="24"/>
          <w:szCs w:val="24"/>
          <w:lang w:val="en-US"/>
        </w:rPr>
        <w:t xml:space="preserve">, J. K., &amp; </w:t>
      </w:r>
      <w:proofErr w:type="spellStart"/>
      <w:r w:rsidRPr="00931737">
        <w:rPr>
          <w:rFonts w:ascii="Times New Roman" w:eastAsia="Times New Roman" w:hAnsi="Times New Roman" w:cs="Times New Roman"/>
          <w:sz w:val="24"/>
          <w:szCs w:val="24"/>
          <w:lang w:val="en-US"/>
        </w:rPr>
        <w:t>Cashdan</w:t>
      </w:r>
      <w:proofErr w:type="spellEnd"/>
      <w:r w:rsidRPr="00931737">
        <w:rPr>
          <w:rFonts w:ascii="Times New Roman" w:eastAsia="Times New Roman" w:hAnsi="Times New Roman" w:cs="Times New Roman"/>
          <w:sz w:val="24"/>
          <w:szCs w:val="24"/>
          <w:lang w:val="en-US"/>
        </w:rPr>
        <w:t xml:space="preserve">, E. (2019). GPS use negatively affects environmental learning through spatial transformation abilities. </w:t>
      </w:r>
      <w:r w:rsidRPr="00931737">
        <w:rPr>
          <w:rFonts w:ascii="Times New Roman" w:eastAsia="Times New Roman" w:hAnsi="Times New Roman" w:cs="Times New Roman"/>
          <w:i/>
          <w:iCs/>
          <w:sz w:val="24"/>
          <w:szCs w:val="24"/>
          <w:lang w:val="nl-BE"/>
        </w:rPr>
        <w:t>Journal of Environmental Psychology, 64</w:t>
      </w:r>
      <w:r w:rsidRPr="00931737">
        <w:rPr>
          <w:rFonts w:ascii="Times New Roman" w:eastAsia="Times New Roman" w:hAnsi="Times New Roman" w:cs="Times New Roman"/>
          <w:sz w:val="24"/>
          <w:szCs w:val="24"/>
          <w:lang w:val="nl-BE"/>
        </w:rPr>
        <w:t xml:space="preserve">, 12–20. </w:t>
      </w:r>
      <w:r w:rsidRPr="00931737">
        <w:rPr>
          <w:rFonts w:ascii="Times New Roman" w:eastAsia="Times New Roman" w:hAnsi="Times New Roman" w:cs="Times New Roman"/>
          <w:sz w:val="24"/>
          <w:szCs w:val="24"/>
          <w:lang w:val="en-US"/>
        </w:rPr>
        <w:fldChar w:fldCharType="begin"/>
      </w:r>
      <w:r w:rsidRPr="00931737">
        <w:rPr>
          <w:rFonts w:ascii="Times New Roman" w:eastAsia="Times New Roman" w:hAnsi="Times New Roman" w:cs="Times New Roman"/>
          <w:sz w:val="24"/>
          <w:szCs w:val="24"/>
          <w:lang w:val="nl-BE"/>
        </w:rPr>
        <w:instrText>HYPERLINK "https://doi.org/10.1016/j.jenvp.2019.05.001"</w:instrText>
      </w:r>
      <w:r w:rsidRPr="00931737">
        <w:rPr>
          <w:lang w:val="en-US"/>
        </w:rPr>
      </w:r>
      <w:r w:rsidRPr="00931737">
        <w:rPr>
          <w:rFonts w:ascii="Times New Roman" w:eastAsia="Times New Roman" w:hAnsi="Times New Roman" w:cs="Times New Roman"/>
          <w:sz w:val="24"/>
          <w:szCs w:val="24"/>
          <w:lang w:val="en-US"/>
        </w:rPr>
        <w:fldChar w:fldCharType="separate"/>
      </w:r>
      <w:r w:rsidRPr="00931737">
        <w:rPr>
          <w:rFonts w:ascii="Times New Roman" w:eastAsia="Times New Roman" w:hAnsi="Times New Roman" w:cs="Times New Roman"/>
          <w:color w:val="0000FF"/>
          <w:sz w:val="24"/>
          <w:szCs w:val="24"/>
          <w:u w:val="single"/>
          <w:lang w:val="nl-BE"/>
        </w:rPr>
        <w:t>https://doi.org/10.1016/j.jenvp.2019.05.001</w:t>
      </w:r>
      <w:r w:rsidRPr="00931737">
        <w:rPr>
          <w:rFonts w:ascii="Times New Roman" w:eastAsia="Times New Roman" w:hAnsi="Times New Roman" w:cs="Times New Roman"/>
          <w:sz w:val="24"/>
          <w:szCs w:val="24"/>
          <w:lang w:val="en-US"/>
        </w:rPr>
        <w:fldChar w:fldCharType="end"/>
      </w:r>
    </w:p>
    <w:p w14:paraId="53CBB8E5" w14:textId="60E7D87D" w:rsidR="00931737" w:rsidRPr="00931737" w:rsidRDefault="00931737" w:rsidP="00931737">
      <w:pPr>
        <w:spacing w:after="0" w:line="240" w:lineRule="auto"/>
        <w:ind w:left="540" w:hanging="540"/>
        <w:jc w:val="both"/>
        <w:rPr>
          <w:rFonts w:ascii="Times New Roman" w:eastAsia="Times New Roman" w:hAnsi="Times New Roman" w:cs="Times New Roman"/>
          <w:sz w:val="24"/>
          <w:szCs w:val="24"/>
          <w:lang w:val="en-US"/>
        </w:rPr>
      </w:pPr>
      <w:r w:rsidRPr="00931737">
        <w:rPr>
          <w:rFonts w:ascii="Times New Roman" w:eastAsia="Times New Roman" w:hAnsi="Times New Roman" w:cs="Times New Roman"/>
          <w:sz w:val="24"/>
          <w:szCs w:val="24"/>
          <w:lang w:val="nl-BE"/>
        </w:rPr>
        <w:t xml:space="preserve">Seeber, I., Bittner, E., Briggs, R. O., de Vreede, G.-J., de Vreede, T., Elkins, A., Maier, R., Merz, A. B., Oeste-Reiß, S., Randrup, N., Schwabe, G., &amp; Söllner, M. (2020). </w:t>
      </w:r>
      <w:r w:rsidRPr="00931737">
        <w:rPr>
          <w:rFonts w:ascii="Times New Roman" w:eastAsia="Times New Roman" w:hAnsi="Times New Roman" w:cs="Times New Roman"/>
          <w:sz w:val="24"/>
          <w:szCs w:val="24"/>
          <w:lang w:val="en-US"/>
        </w:rPr>
        <w:t xml:space="preserve">Machines as teammates: A research agenda on AI in team collaboration. </w:t>
      </w:r>
      <w:r w:rsidRPr="00931737">
        <w:rPr>
          <w:rFonts w:ascii="Times New Roman" w:eastAsia="Times New Roman" w:hAnsi="Times New Roman" w:cs="Times New Roman"/>
          <w:i/>
          <w:iCs/>
          <w:sz w:val="24"/>
          <w:szCs w:val="24"/>
          <w:lang w:val="en-US"/>
        </w:rPr>
        <w:t>Information &amp; Management, 57</w:t>
      </w:r>
      <w:r w:rsidRPr="00931737">
        <w:rPr>
          <w:rFonts w:ascii="Times New Roman" w:eastAsia="Times New Roman" w:hAnsi="Times New Roman" w:cs="Times New Roman"/>
          <w:sz w:val="24"/>
          <w:szCs w:val="24"/>
          <w:lang w:val="en-US"/>
        </w:rPr>
        <w:t xml:space="preserve">(2), Article 103174. </w:t>
      </w:r>
      <w:hyperlink r:id="rId39" w:history="1">
        <w:r w:rsidRPr="00931737">
          <w:rPr>
            <w:rFonts w:ascii="Times New Roman" w:eastAsia="Times New Roman" w:hAnsi="Times New Roman" w:cs="Times New Roman"/>
            <w:color w:val="0000FF"/>
            <w:sz w:val="24"/>
            <w:szCs w:val="24"/>
            <w:u w:val="single"/>
            <w:lang w:val="en-US"/>
          </w:rPr>
          <w:t>https://doi.org/10.1016/j.im.2019.103174</w:t>
        </w:r>
      </w:hyperlink>
    </w:p>
    <w:p w14:paraId="498102F5" w14:textId="72171D36" w:rsidR="00931737" w:rsidRPr="00931737" w:rsidRDefault="00931737" w:rsidP="00931737">
      <w:pPr>
        <w:spacing w:after="0" w:line="240" w:lineRule="auto"/>
        <w:ind w:left="540" w:hanging="540"/>
        <w:jc w:val="both"/>
        <w:rPr>
          <w:rFonts w:ascii="Times New Roman" w:eastAsia="Times New Roman" w:hAnsi="Times New Roman" w:cs="Times New Roman"/>
          <w:sz w:val="24"/>
          <w:szCs w:val="24"/>
          <w:lang w:val="en-US"/>
        </w:rPr>
      </w:pPr>
      <w:r w:rsidRPr="00931737">
        <w:rPr>
          <w:rFonts w:ascii="Times New Roman" w:eastAsia="Times New Roman" w:hAnsi="Times New Roman" w:cs="Times New Roman"/>
          <w:sz w:val="24"/>
          <w:szCs w:val="24"/>
          <w:lang w:val="en-US"/>
        </w:rPr>
        <w:t xml:space="preserve">Shank, D. B., &amp; DeSanti, A. (2018). Attributions of morality and mind to artificial intelligence after real-world moral violations. </w:t>
      </w:r>
      <w:r w:rsidRPr="00931737">
        <w:rPr>
          <w:rFonts w:ascii="Times New Roman" w:eastAsia="Times New Roman" w:hAnsi="Times New Roman" w:cs="Times New Roman"/>
          <w:i/>
          <w:iCs/>
          <w:sz w:val="24"/>
          <w:szCs w:val="24"/>
          <w:lang w:val="en-US"/>
        </w:rPr>
        <w:t>Computers in Human Behavior, 86</w:t>
      </w:r>
      <w:r w:rsidRPr="00931737">
        <w:rPr>
          <w:rFonts w:ascii="Times New Roman" w:eastAsia="Times New Roman" w:hAnsi="Times New Roman" w:cs="Times New Roman"/>
          <w:sz w:val="24"/>
          <w:szCs w:val="24"/>
          <w:lang w:val="en-US"/>
        </w:rPr>
        <w:t xml:space="preserve">, 401–411. </w:t>
      </w:r>
      <w:hyperlink r:id="rId40" w:history="1">
        <w:r w:rsidRPr="00931737">
          <w:rPr>
            <w:rFonts w:ascii="Times New Roman" w:eastAsia="Times New Roman" w:hAnsi="Times New Roman" w:cs="Times New Roman"/>
            <w:color w:val="0000FF"/>
            <w:sz w:val="24"/>
            <w:szCs w:val="24"/>
            <w:u w:val="single"/>
            <w:lang w:val="en-US"/>
          </w:rPr>
          <w:t>https://doi.org/10.1016/j.chb.2018.05.014</w:t>
        </w:r>
      </w:hyperlink>
    </w:p>
    <w:p w14:paraId="755B4A17" w14:textId="15981CAF" w:rsidR="00931737" w:rsidRPr="00931737" w:rsidRDefault="00931737" w:rsidP="00931737">
      <w:pPr>
        <w:spacing w:after="0" w:line="240" w:lineRule="auto"/>
        <w:ind w:left="540" w:hanging="540"/>
        <w:jc w:val="both"/>
        <w:rPr>
          <w:rFonts w:ascii="Times New Roman" w:eastAsia="Times New Roman" w:hAnsi="Times New Roman" w:cs="Times New Roman"/>
          <w:sz w:val="24"/>
          <w:szCs w:val="24"/>
          <w:lang w:val="en-US"/>
        </w:rPr>
      </w:pPr>
      <w:proofErr w:type="spellStart"/>
      <w:r w:rsidRPr="00931737">
        <w:rPr>
          <w:rFonts w:ascii="Times New Roman" w:eastAsia="Times New Roman" w:hAnsi="Times New Roman" w:cs="Times New Roman"/>
          <w:sz w:val="24"/>
          <w:szCs w:val="24"/>
          <w:lang w:val="en-US"/>
        </w:rPr>
        <w:lastRenderedPageBreak/>
        <w:t>Skitka</w:t>
      </w:r>
      <w:proofErr w:type="spellEnd"/>
      <w:r w:rsidRPr="00931737">
        <w:rPr>
          <w:rFonts w:ascii="Times New Roman" w:eastAsia="Times New Roman" w:hAnsi="Times New Roman" w:cs="Times New Roman"/>
          <w:sz w:val="24"/>
          <w:szCs w:val="24"/>
          <w:lang w:val="en-US"/>
        </w:rPr>
        <w:t xml:space="preserve">, L. J., Mosier, K. L., &amp; Burdick, M. (1999). Does automation bias decision-making? </w:t>
      </w:r>
      <w:r w:rsidRPr="00931737">
        <w:rPr>
          <w:rFonts w:ascii="Times New Roman" w:eastAsia="Times New Roman" w:hAnsi="Times New Roman" w:cs="Times New Roman"/>
          <w:i/>
          <w:iCs/>
          <w:sz w:val="24"/>
          <w:szCs w:val="24"/>
          <w:lang w:val="en-US"/>
        </w:rPr>
        <w:t>International Journal of Human-Computer Studies, 51</w:t>
      </w:r>
      <w:r w:rsidRPr="00931737">
        <w:rPr>
          <w:rFonts w:ascii="Times New Roman" w:eastAsia="Times New Roman" w:hAnsi="Times New Roman" w:cs="Times New Roman"/>
          <w:sz w:val="24"/>
          <w:szCs w:val="24"/>
          <w:lang w:val="en-US"/>
        </w:rPr>
        <w:t xml:space="preserve">(5), 991–1006. </w:t>
      </w:r>
      <w:hyperlink r:id="rId41" w:history="1">
        <w:r w:rsidRPr="00931737">
          <w:rPr>
            <w:rFonts w:ascii="Times New Roman" w:eastAsia="Times New Roman" w:hAnsi="Times New Roman" w:cs="Times New Roman"/>
            <w:color w:val="0000FF"/>
            <w:sz w:val="24"/>
            <w:szCs w:val="24"/>
            <w:u w:val="single"/>
            <w:lang w:val="en-US"/>
          </w:rPr>
          <w:t>https://doi.org/10.1006/ijhc.1999.0252</w:t>
        </w:r>
      </w:hyperlink>
    </w:p>
    <w:p w14:paraId="4A36536F" w14:textId="5435583B" w:rsidR="00931737" w:rsidRPr="00931737" w:rsidRDefault="00931737" w:rsidP="00931737">
      <w:pPr>
        <w:spacing w:after="0" w:line="240" w:lineRule="auto"/>
        <w:ind w:left="540" w:hanging="540"/>
        <w:jc w:val="both"/>
        <w:rPr>
          <w:rFonts w:ascii="Times New Roman" w:eastAsia="Times New Roman" w:hAnsi="Times New Roman" w:cs="Times New Roman"/>
          <w:sz w:val="24"/>
          <w:szCs w:val="24"/>
          <w:lang w:val="en-US"/>
        </w:rPr>
      </w:pPr>
      <w:r w:rsidRPr="00931737">
        <w:rPr>
          <w:rFonts w:ascii="Times New Roman" w:eastAsia="Times New Roman" w:hAnsi="Times New Roman" w:cs="Times New Roman"/>
          <w:sz w:val="24"/>
          <w:szCs w:val="24"/>
          <w:lang w:val="en-US"/>
        </w:rPr>
        <w:t xml:space="preserve">Small, G. W., Lee, J., Kaufman, A., Jalil, J., Siddarth, P., Gaddipati, H., Moody, T. D., &amp; Bookheimer, S. Y. (2020). Brain health consequences of digital technology use. </w:t>
      </w:r>
      <w:r w:rsidRPr="00931737">
        <w:rPr>
          <w:rFonts w:ascii="Times New Roman" w:eastAsia="Times New Roman" w:hAnsi="Times New Roman" w:cs="Times New Roman"/>
          <w:i/>
          <w:iCs/>
          <w:sz w:val="24"/>
          <w:szCs w:val="24"/>
          <w:lang w:val="en-US"/>
        </w:rPr>
        <w:t>Dialogues in Clinical Neuroscience, 22</w:t>
      </w:r>
      <w:r w:rsidRPr="00931737">
        <w:rPr>
          <w:rFonts w:ascii="Times New Roman" w:eastAsia="Times New Roman" w:hAnsi="Times New Roman" w:cs="Times New Roman"/>
          <w:sz w:val="24"/>
          <w:szCs w:val="24"/>
          <w:lang w:val="en-US"/>
        </w:rPr>
        <w:t xml:space="preserve">(2), 179–187. </w:t>
      </w:r>
      <w:hyperlink r:id="rId42" w:history="1">
        <w:r w:rsidRPr="00931737">
          <w:rPr>
            <w:rFonts w:ascii="Times New Roman" w:eastAsia="Times New Roman" w:hAnsi="Times New Roman" w:cs="Times New Roman"/>
            <w:color w:val="0000FF"/>
            <w:sz w:val="24"/>
            <w:szCs w:val="24"/>
            <w:u w:val="single"/>
            <w:lang w:val="en-US"/>
          </w:rPr>
          <w:t>https://doi.org/10.31887/DCNS.2020.22.2/gsmall</w:t>
        </w:r>
      </w:hyperlink>
    </w:p>
    <w:p w14:paraId="212BA590" w14:textId="7B00F433" w:rsidR="00931737" w:rsidRPr="00931737" w:rsidRDefault="00931737" w:rsidP="00931737">
      <w:pPr>
        <w:spacing w:after="0" w:line="240" w:lineRule="auto"/>
        <w:ind w:left="540" w:hanging="540"/>
        <w:jc w:val="both"/>
        <w:rPr>
          <w:rFonts w:ascii="Times New Roman" w:eastAsia="Times New Roman" w:hAnsi="Times New Roman" w:cs="Times New Roman"/>
          <w:sz w:val="24"/>
          <w:szCs w:val="24"/>
          <w:lang w:val="en-US"/>
        </w:rPr>
      </w:pPr>
      <w:r w:rsidRPr="00931737">
        <w:rPr>
          <w:rFonts w:ascii="Times New Roman" w:eastAsia="Times New Roman" w:hAnsi="Times New Roman" w:cs="Times New Roman"/>
          <w:sz w:val="24"/>
          <w:szCs w:val="24"/>
          <w:lang w:val="en-US"/>
        </w:rPr>
        <w:t xml:space="preserve">Snyder, H. (2019). Literature review as a research methodology: An overview and guidelines. </w:t>
      </w:r>
      <w:r w:rsidRPr="00931737">
        <w:rPr>
          <w:rFonts w:ascii="Times New Roman" w:eastAsia="Times New Roman" w:hAnsi="Times New Roman" w:cs="Times New Roman"/>
          <w:i/>
          <w:iCs/>
          <w:sz w:val="24"/>
          <w:szCs w:val="24"/>
          <w:lang w:val="en-US"/>
        </w:rPr>
        <w:t>Journal of Business Research, 104</w:t>
      </w:r>
      <w:r w:rsidRPr="00931737">
        <w:rPr>
          <w:rFonts w:ascii="Times New Roman" w:eastAsia="Times New Roman" w:hAnsi="Times New Roman" w:cs="Times New Roman"/>
          <w:sz w:val="24"/>
          <w:szCs w:val="24"/>
          <w:lang w:val="en-US"/>
        </w:rPr>
        <w:t xml:space="preserve">, 333–339. </w:t>
      </w:r>
      <w:hyperlink r:id="rId43" w:history="1">
        <w:r w:rsidRPr="00931737">
          <w:rPr>
            <w:rFonts w:ascii="Times New Roman" w:eastAsia="Times New Roman" w:hAnsi="Times New Roman" w:cs="Times New Roman"/>
            <w:color w:val="0000FF"/>
            <w:sz w:val="24"/>
            <w:szCs w:val="24"/>
            <w:u w:val="single"/>
            <w:lang w:val="en-US"/>
          </w:rPr>
          <w:t>https://doi.org/10.1016/j.jbusres.2019.07.039</w:t>
        </w:r>
      </w:hyperlink>
    </w:p>
    <w:p w14:paraId="227B4FCB" w14:textId="335B20BA" w:rsidR="00931737" w:rsidRPr="00931737" w:rsidRDefault="00931737" w:rsidP="00931737">
      <w:pPr>
        <w:spacing w:after="0" w:line="240" w:lineRule="auto"/>
        <w:ind w:left="540" w:hanging="540"/>
        <w:jc w:val="both"/>
        <w:rPr>
          <w:rFonts w:ascii="Times New Roman" w:eastAsia="Times New Roman" w:hAnsi="Times New Roman" w:cs="Times New Roman"/>
          <w:sz w:val="24"/>
          <w:szCs w:val="24"/>
          <w:lang w:val="en-US"/>
        </w:rPr>
      </w:pPr>
      <w:r w:rsidRPr="00931737">
        <w:rPr>
          <w:rFonts w:ascii="Times New Roman" w:eastAsia="Times New Roman" w:hAnsi="Times New Roman" w:cs="Times New Roman"/>
          <w:sz w:val="24"/>
          <w:szCs w:val="24"/>
          <w:lang w:val="en-US"/>
        </w:rPr>
        <w:t xml:space="preserve">Sparrow, B., Liu, J., &amp; Wegner, D. M. (2011). Google effects on memory: Cognitive consequences of having information at our fingertips. </w:t>
      </w:r>
      <w:r w:rsidRPr="00931737">
        <w:rPr>
          <w:rFonts w:ascii="Times New Roman" w:eastAsia="Times New Roman" w:hAnsi="Times New Roman" w:cs="Times New Roman"/>
          <w:i/>
          <w:iCs/>
          <w:sz w:val="24"/>
          <w:szCs w:val="24"/>
          <w:lang w:val="en-US"/>
        </w:rPr>
        <w:t>Science, 333</w:t>
      </w:r>
      <w:r w:rsidRPr="00931737">
        <w:rPr>
          <w:rFonts w:ascii="Times New Roman" w:eastAsia="Times New Roman" w:hAnsi="Times New Roman" w:cs="Times New Roman"/>
          <w:sz w:val="24"/>
          <w:szCs w:val="24"/>
          <w:lang w:val="en-US"/>
        </w:rPr>
        <w:t xml:space="preserve">(6043), 776–778. </w:t>
      </w:r>
      <w:hyperlink r:id="rId44" w:history="1">
        <w:r w:rsidRPr="00931737">
          <w:rPr>
            <w:rFonts w:ascii="Times New Roman" w:eastAsia="Times New Roman" w:hAnsi="Times New Roman" w:cs="Times New Roman"/>
            <w:color w:val="0000FF"/>
            <w:sz w:val="24"/>
            <w:szCs w:val="24"/>
            <w:u w:val="single"/>
            <w:lang w:val="en-US"/>
          </w:rPr>
          <w:t>https://doi.org/10.1126/science.1207745</w:t>
        </w:r>
      </w:hyperlink>
    </w:p>
    <w:p w14:paraId="6FB0E759" w14:textId="01D49086" w:rsidR="00931737" w:rsidRPr="00931737" w:rsidRDefault="00931737" w:rsidP="00931737">
      <w:pPr>
        <w:spacing w:after="0" w:line="240" w:lineRule="auto"/>
        <w:ind w:left="540" w:hanging="540"/>
        <w:jc w:val="both"/>
        <w:rPr>
          <w:rFonts w:ascii="Times New Roman" w:eastAsia="Times New Roman" w:hAnsi="Times New Roman" w:cs="Times New Roman"/>
          <w:sz w:val="24"/>
          <w:szCs w:val="24"/>
          <w:lang w:val="en-US"/>
        </w:rPr>
      </w:pPr>
      <w:r w:rsidRPr="00931737">
        <w:rPr>
          <w:rFonts w:ascii="Times New Roman" w:eastAsia="Times New Roman" w:hAnsi="Times New Roman" w:cs="Times New Roman"/>
          <w:sz w:val="24"/>
          <w:szCs w:val="24"/>
          <w:lang w:val="en-US"/>
        </w:rPr>
        <w:t xml:space="preserve">Stern, Y. (2009). Cognitive reserve. </w:t>
      </w:r>
      <w:proofErr w:type="spellStart"/>
      <w:r w:rsidRPr="00931737">
        <w:rPr>
          <w:rFonts w:ascii="Times New Roman" w:eastAsia="Times New Roman" w:hAnsi="Times New Roman" w:cs="Times New Roman"/>
          <w:i/>
          <w:iCs/>
          <w:sz w:val="24"/>
          <w:szCs w:val="24"/>
          <w:lang w:val="en-US"/>
        </w:rPr>
        <w:t>Neuropsychologia</w:t>
      </w:r>
      <w:proofErr w:type="spellEnd"/>
      <w:r w:rsidRPr="00931737">
        <w:rPr>
          <w:rFonts w:ascii="Times New Roman" w:eastAsia="Times New Roman" w:hAnsi="Times New Roman" w:cs="Times New Roman"/>
          <w:i/>
          <w:iCs/>
          <w:sz w:val="24"/>
          <w:szCs w:val="24"/>
          <w:lang w:val="en-US"/>
        </w:rPr>
        <w:t>, 47</w:t>
      </w:r>
      <w:r w:rsidRPr="00931737">
        <w:rPr>
          <w:rFonts w:ascii="Times New Roman" w:eastAsia="Times New Roman" w:hAnsi="Times New Roman" w:cs="Times New Roman"/>
          <w:sz w:val="24"/>
          <w:szCs w:val="24"/>
          <w:lang w:val="en-US"/>
        </w:rPr>
        <w:t xml:space="preserve">(10), 2015–2028. </w:t>
      </w:r>
      <w:hyperlink r:id="rId45" w:history="1">
        <w:r w:rsidRPr="00931737">
          <w:rPr>
            <w:rFonts w:ascii="Times New Roman" w:eastAsia="Times New Roman" w:hAnsi="Times New Roman" w:cs="Times New Roman"/>
            <w:color w:val="0000FF"/>
            <w:sz w:val="24"/>
            <w:szCs w:val="24"/>
            <w:u w:val="single"/>
            <w:lang w:val="en-US"/>
          </w:rPr>
          <w:t>https://doi.org/10.1016/j.neuropsychologia.2009.03.004</w:t>
        </w:r>
      </w:hyperlink>
    </w:p>
    <w:p w14:paraId="70A841E8" w14:textId="7C6DB912" w:rsidR="00931737" w:rsidRPr="00931737" w:rsidRDefault="00931737" w:rsidP="00931737">
      <w:pPr>
        <w:spacing w:after="0" w:line="240" w:lineRule="auto"/>
        <w:ind w:left="540" w:hanging="540"/>
        <w:jc w:val="both"/>
        <w:rPr>
          <w:rFonts w:ascii="Times New Roman" w:eastAsia="Times New Roman" w:hAnsi="Times New Roman" w:cs="Times New Roman"/>
          <w:sz w:val="24"/>
          <w:szCs w:val="24"/>
          <w:lang w:val="en-US"/>
        </w:rPr>
      </w:pPr>
      <w:r w:rsidRPr="00931737">
        <w:rPr>
          <w:rFonts w:ascii="Times New Roman" w:eastAsia="Times New Roman" w:hAnsi="Times New Roman" w:cs="Times New Roman"/>
          <w:sz w:val="24"/>
          <w:szCs w:val="24"/>
          <w:lang w:val="en-US"/>
        </w:rPr>
        <w:t xml:space="preserve">Storm, B. C., &amp; Stone, S. M. (2015). Saving-enhanced memory: The benefits of saving on the learning and remembering of new information. </w:t>
      </w:r>
      <w:r w:rsidRPr="00931737">
        <w:rPr>
          <w:rFonts w:ascii="Times New Roman" w:eastAsia="Times New Roman" w:hAnsi="Times New Roman" w:cs="Times New Roman"/>
          <w:i/>
          <w:iCs/>
          <w:sz w:val="24"/>
          <w:szCs w:val="24"/>
          <w:lang w:val="en-US"/>
        </w:rPr>
        <w:t>Psychological Science, 26</w:t>
      </w:r>
      <w:r w:rsidRPr="00931737">
        <w:rPr>
          <w:rFonts w:ascii="Times New Roman" w:eastAsia="Times New Roman" w:hAnsi="Times New Roman" w:cs="Times New Roman"/>
          <w:sz w:val="24"/>
          <w:szCs w:val="24"/>
          <w:lang w:val="en-US"/>
        </w:rPr>
        <w:t xml:space="preserve">(2), 182–188. </w:t>
      </w:r>
      <w:hyperlink r:id="rId46" w:history="1">
        <w:r w:rsidRPr="00931737">
          <w:rPr>
            <w:rFonts w:ascii="Times New Roman" w:eastAsia="Times New Roman" w:hAnsi="Times New Roman" w:cs="Times New Roman"/>
            <w:color w:val="0000FF"/>
            <w:sz w:val="24"/>
            <w:szCs w:val="24"/>
            <w:u w:val="single"/>
            <w:lang w:val="en-US"/>
          </w:rPr>
          <w:t>https://doi.org/10.1177/0956797614559285</w:t>
        </w:r>
      </w:hyperlink>
    </w:p>
    <w:p w14:paraId="01F555CD" w14:textId="1F2830A6" w:rsidR="00931737" w:rsidRPr="00931737" w:rsidRDefault="00931737" w:rsidP="00931737">
      <w:pPr>
        <w:spacing w:after="0" w:line="240" w:lineRule="auto"/>
        <w:ind w:left="540" w:hanging="540"/>
        <w:jc w:val="both"/>
        <w:rPr>
          <w:rFonts w:ascii="Times New Roman" w:eastAsia="Times New Roman" w:hAnsi="Times New Roman" w:cs="Times New Roman"/>
          <w:sz w:val="24"/>
          <w:szCs w:val="24"/>
          <w:lang w:val="nl-BE"/>
        </w:rPr>
      </w:pPr>
      <w:proofErr w:type="spellStart"/>
      <w:r w:rsidRPr="00931737">
        <w:rPr>
          <w:rFonts w:ascii="Times New Roman" w:eastAsia="Times New Roman" w:hAnsi="Times New Roman" w:cs="Times New Roman"/>
          <w:sz w:val="24"/>
          <w:szCs w:val="24"/>
          <w:lang w:val="en-US"/>
        </w:rPr>
        <w:t>Sweller</w:t>
      </w:r>
      <w:proofErr w:type="spellEnd"/>
      <w:r w:rsidRPr="00931737">
        <w:rPr>
          <w:rFonts w:ascii="Times New Roman" w:eastAsia="Times New Roman" w:hAnsi="Times New Roman" w:cs="Times New Roman"/>
          <w:sz w:val="24"/>
          <w:szCs w:val="24"/>
          <w:lang w:val="en-US"/>
        </w:rPr>
        <w:t xml:space="preserve">, J. (1988). Cognitive load during problem solving: Effects on learning. </w:t>
      </w:r>
      <w:r w:rsidRPr="00931737">
        <w:rPr>
          <w:rFonts w:ascii="Times New Roman" w:eastAsia="Times New Roman" w:hAnsi="Times New Roman" w:cs="Times New Roman"/>
          <w:i/>
          <w:iCs/>
          <w:sz w:val="24"/>
          <w:szCs w:val="24"/>
          <w:lang w:val="nl-BE"/>
        </w:rPr>
        <w:t>Cognitive Science, 12</w:t>
      </w:r>
      <w:r w:rsidRPr="00931737">
        <w:rPr>
          <w:rFonts w:ascii="Times New Roman" w:eastAsia="Times New Roman" w:hAnsi="Times New Roman" w:cs="Times New Roman"/>
          <w:sz w:val="24"/>
          <w:szCs w:val="24"/>
          <w:lang w:val="nl-BE"/>
        </w:rPr>
        <w:t xml:space="preserve">(2), 257–285. </w:t>
      </w:r>
      <w:r w:rsidRPr="00931737">
        <w:rPr>
          <w:rFonts w:ascii="Times New Roman" w:eastAsia="Times New Roman" w:hAnsi="Times New Roman" w:cs="Times New Roman"/>
          <w:sz w:val="24"/>
          <w:szCs w:val="24"/>
          <w:lang w:val="en-US"/>
        </w:rPr>
        <w:fldChar w:fldCharType="begin"/>
      </w:r>
      <w:r w:rsidRPr="00931737">
        <w:rPr>
          <w:rFonts w:ascii="Times New Roman" w:eastAsia="Times New Roman" w:hAnsi="Times New Roman" w:cs="Times New Roman"/>
          <w:sz w:val="24"/>
          <w:szCs w:val="24"/>
          <w:lang w:val="nl-BE"/>
        </w:rPr>
        <w:instrText>HYPERLINK "https://doi.org/10.1207/s15516709cog1202_4"</w:instrText>
      </w:r>
      <w:r w:rsidRPr="00931737">
        <w:rPr>
          <w:lang w:val="en-US"/>
        </w:rPr>
      </w:r>
      <w:r w:rsidRPr="00931737">
        <w:rPr>
          <w:rFonts w:ascii="Times New Roman" w:eastAsia="Times New Roman" w:hAnsi="Times New Roman" w:cs="Times New Roman"/>
          <w:sz w:val="24"/>
          <w:szCs w:val="24"/>
          <w:lang w:val="en-US"/>
        </w:rPr>
        <w:fldChar w:fldCharType="separate"/>
      </w:r>
      <w:r w:rsidRPr="00931737">
        <w:rPr>
          <w:rFonts w:ascii="Times New Roman" w:eastAsia="Times New Roman" w:hAnsi="Times New Roman" w:cs="Times New Roman"/>
          <w:color w:val="0000FF"/>
          <w:sz w:val="24"/>
          <w:szCs w:val="24"/>
          <w:u w:val="single"/>
          <w:lang w:val="nl-BE"/>
        </w:rPr>
        <w:t>https://doi.org/10.1207/s15516709cog1202_4</w:t>
      </w:r>
      <w:r w:rsidRPr="00931737">
        <w:rPr>
          <w:rFonts w:ascii="Times New Roman" w:eastAsia="Times New Roman" w:hAnsi="Times New Roman" w:cs="Times New Roman"/>
          <w:sz w:val="24"/>
          <w:szCs w:val="24"/>
          <w:lang w:val="en-US"/>
        </w:rPr>
        <w:fldChar w:fldCharType="end"/>
      </w:r>
    </w:p>
    <w:p w14:paraId="3BE937F8" w14:textId="685A2C33" w:rsidR="00931737" w:rsidRPr="00931737" w:rsidRDefault="00931737" w:rsidP="00931737">
      <w:pPr>
        <w:spacing w:after="0" w:line="240" w:lineRule="auto"/>
        <w:ind w:left="540" w:hanging="540"/>
        <w:jc w:val="both"/>
        <w:rPr>
          <w:rFonts w:ascii="Times New Roman" w:eastAsia="Times New Roman" w:hAnsi="Times New Roman" w:cs="Times New Roman"/>
          <w:sz w:val="24"/>
          <w:szCs w:val="24"/>
          <w:lang w:val="en-US"/>
        </w:rPr>
      </w:pPr>
      <w:r w:rsidRPr="00931737">
        <w:rPr>
          <w:rFonts w:ascii="Times New Roman" w:eastAsia="Times New Roman" w:hAnsi="Times New Roman" w:cs="Times New Roman"/>
          <w:sz w:val="24"/>
          <w:szCs w:val="24"/>
          <w:lang w:val="nl-BE"/>
        </w:rPr>
        <w:t xml:space="preserve">van Laar, E., van Deursen, A. J. A. M., van Dijk, J. A. G. M., &amp; de Haan, J. (2019). </w:t>
      </w:r>
      <w:r w:rsidRPr="00931737">
        <w:rPr>
          <w:rFonts w:ascii="Times New Roman" w:eastAsia="Times New Roman" w:hAnsi="Times New Roman" w:cs="Times New Roman"/>
          <w:sz w:val="24"/>
          <w:szCs w:val="24"/>
          <w:lang w:val="en-US"/>
        </w:rPr>
        <w:t xml:space="preserve">Determinants of 21st-century digital skills: A large-scale survey among working professionals. </w:t>
      </w:r>
      <w:r w:rsidRPr="00931737">
        <w:rPr>
          <w:rFonts w:ascii="Times New Roman" w:eastAsia="Times New Roman" w:hAnsi="Times New Roman" w:cs="Times New Roman"/>
          <w:i/>
          <w:iCs/>
          <w:sz w:val="24"/>
          <w:szCs w:val="24"/>
          <w:lang w:val="en-US"/>
        </w:rPr>
        <w:t>Computers in Human Behavior, 100</w:t>
      </w:r>
      <w:r w:rsidRPr="00931737">
        <w:rPr>
          <w:rFonts w:ascii="Times New Roman" w:eastAsia="Times New Roman" w:hAnsi="Times New Roman" w:cs="Times New Roman"/>
          <w:sz w:val="24"/>
          <w:szCs w:val="24"/>
          <w:lang w:val="en-US"/>
        </w:rPr>
        <w:t xml:space="preserve">, 93–104. </w:t>
      </w:r>
      <w:hyperlink r:id="rId47" w:history="1">
        <w:r w:rsidRPr="00931737">
          <w:rPr>
            <w:rFonts w:ascii="Times New Roman" w:eastAsia="Times New Roman" w:hAnsi="Times New Roman" w:cs="Times New Roman"/>
            <w:color w:val="0000FF"/>
            <w:sz w:val="24"/>
            <w:szCs w:val="24"/>
            <w:u w:val="single"/>
            <w:lang w:val="en-US"/>
          </w:rPr>
          <w:t>https://doi.org/10.1016/j.chb.2019.06.017</w:t>
        </w:r>
      </w:hyperlink>
    </w:p>
    <w:p w14:paraId="7D14FC29" w14:textId="18A7D8F0" w:rsidR="00931737" w:rsidRPr="00931737" w:rsidRDefault="00931737" w:rsidP="00931737">
      <w:pPr>
        <w:spacing w:after="0" w:line="240" w:lineRule="auto"/>
        <w:ind w:left="540" w:hanging="540"/>
        <w:jc w:val="both"/>
        <w:rPr>
          <w:rFonts w:ascii="Times New Roman" w:eastAsia="Times New Roman" w:hAnsi="Times New Roman" w:cs="Times New Roman"/>
          <w:sz w:val="24"/>
          <w:szCs w:val="24"/>
          <w:lang w:val="en-US"/>
        </w:rPr>
      </w:pPr>
      <w:r w:rsidRPr="00931737">
        <w:rPr>
          <w:rFonts w:ascii="Times New Roman" w:eastAsia="Times New Roman" w:hAnsi="Times New Roman" w:cs="Times New Roman"/>
          <w:sz w:val="24"/>
          <w:szCs w:val="24"/>
          <w:lang w:val="en-US"/>
        </w:rPr>
        <w:t xml:space="preserve">Ward, A. F., Duke, K., Gneezy, A., &amp; Bos, M. W. (2017). Brain </w:t>
      </w:r>
      <w:proofErr w:type="gramStart"/>
      <w:r w:rsidRPr="00931737">
        <w:rPr>
          <w:rFonts w:ascii="Times New Roman" w:eastAsia="Times New Roman" w:hAnsi="Times New Roman" w:cs="Times New Roman"/>
          <w:sz w:val="24"/>
          <w:szCs w:val="24"/>
          <w:lang w:val="en-US"/>
        </w:rPr>
        <w:t>drain</w:t>
      </w:r>
      <w:proofErr w:type="gramEnd"/>
      <w:r w:rsidRPr="00931737">
        <w:rPr>
          <w:rFonts w:ascii="Times New Roman" w:eastAsia="Times New Roman" w:hAnsi="Times New Roman" w:cs="Times New Roman"/>
          <w:sz w:val="24"/>
          <w:szCs w:val="24"/>
          <w:lang w:val="en-US"/>
        </w:rPr>
        <w:t xml:space="preserve">: The mere presence of one’s own smartphone reduces available cognitive capacity. </w:t>
      </w:r>
      <w:r w:rsidRPr="00931737">
        <w:rPr>
          <w:rFonts w:ascii="Times New Roman" w:eastAsia="Times New Roman" w:hAnsi="Times New Roman" w:cs="Times New Roman"/>
          <w:i/>
          <w:iCs/>
          <w:sz w:val="24"/>
          <w:szCs w:val="24"/>
          <w:lang w:val="en-US"/>
        </w:rPr>
        <w:t>Journal of the Association for Consumer Research, 2</w:t>
      </w:r>
      <w:r w:rsidRPr="00931737">
        <w:rPr>
          <w:rFonts w:ascii="Times New Roman" w:eastAsia="Times New Roman" w:hAnsi="Times New Roman" w:cs="Times New Roman"/>
          <w:sz w:val="24"/>
          <w:szCs w:val="24"/>
          <w:lang w:val="en-US"/>
        </w:rPr>
        <w:t xml:space="preserve">(2), 140–154. </w:t>
      </w:r>
      <w:hyperlink r:id="rId48" w:history="1">
        <w:r w:rsidRPr="00931737">
          <w:rPr>
            <w:rFonts w:ascii="Times New Roman" w:eastAsia="Times New Roman" w:hAnsi="Times New Roman" w:cs="Times New Roman"/>
            <w:color w:val="0000FF"/>
            <w:sz w:val="24"/>
            <w:szCs w:val="24"/>
            <w:u w:val="single"/>
            <w:lang w:val="en-US"/>
          </w:rPr>
          <w:t>https://doi.org/10.1086/691462</w:t>
        </w:r>
      </w:hyperlink>
    </w:p>
    <w:p w14:paraId="291AA449" w14:textId="79A2567E" w:rsidR="00931737" w:rsidRPr="00931737" w:rsidRDefault="00931737" w:rsidP="00931737">
      <w:pPr>
        <w:spacing w:after="0" w:line="240" w:lineRule="auto"/>
        <w:ind w:left="540" w:hanging="540"/>
        <w:jc w:val="both"/>
        <w:rPr>
          <w:rFonts w:ascii="Times New Roman" w:eastAsia="Times New Roman" w:hAnsi="Times New Roman" w:cs="Times New Roman"/>
          <w:sz w:val="24"/>
          <w:szCs w:val="24"/>
          <w:lang w:val="en-US"/>
        </w:rPr>
      </w:pPr>
      <w:proofErr w:type="spellStart"/>
      <w:r w:rsidRPr="00931737">
        <w:rPr>
          <w:rFonts w:ascii="Times New Roman" w:eastAsia="Times New Roman" w:hAnsi="Times New Roman" w:cs="Times New Roman"/>
          <w:sz w:val="24"/>
          <w:szCs w:val="24"/>
          <w:lang w:val="en-US"/>
        </w:rPr>
        <w:t>Waytz</w:t>
      </w:r>
      <w:proofErr w:type="spellEnd"/>
      <w:r w:rsidRPr="00931737">
        <w:rPr>
          <w:rFonts w:ascii="Times New Roman" w:eastAsia="Times New Roman" w:hAnsi="Times New Roman" w:cs="Times New Roman"/>
          <w:sz w:val="24"/>
          <w:szCs w:val="24"/>
          <w:lang w:val="en-US"/>
        </w:rPr>
        <w:t xml:space="preserve">, A., Gray, K., Epley, N., &amp; Wegner, D. M. (2010). Causes and consequences of mind perception. </w:t>
      </w:r>
      <w:r w:rsidRPr="00931737">
        <w:rPr>
          <w:rFonts w:ascii="Times New Roman" w:eastAsia="Times New Roman" w:hAnsi="Times New Roman" w:cs="Times New Roman"/>
          <w:i/>
          <w:iCs/>
          <w:sz w:val="24"/>
          <w:szCs w:val="24"/>
          <w:lang w:val="en-US"/>
        </w:rPr>
        <w:t>Trends in Cognitive Sciences, 14</w:t>
      </w:r>
      <w:r w:rsidRPr="00931737">
        <w:rPr>
          <w:rFonts w:ascii="Times New Roman" w:eastAsia="Times New Roman" w:hAnsi="Times New Roman" w:cs="Times New Roman"/>
          <w:sz w:val="24"/>
          <w:szCs w:val="24"/>
          <w:lang w:val="en-US"/>
        </w:rPr>
        <w:t xml:space="preserve">(8), 383–388. </w:t>
      </w:r>
      <w:hyperlink r:id="rId49" w:history="1">
        <w:r w:rsidRPr="00931737">
          <w:rPr>
            <w:rFonts w:ascii="Times New Roman" w:eastAsia="Times New Roman" w:hAnsi="Times New Roman" w:cs="Times New Roman"/>
            <w:color w:val="0000FF"/>
            <w:sz w:val="24"/>
            <w:szCs w:val="24"/>
            <w:u w:val="single"/>
            <w:lang w:val="en-US"/>
          </w:rPr>
          <w:t>https://doi.org/10.1016/j.tics.2010.05.006</w:t>
        </w:r>
      </w:hyperlink>
    </w:p>
    <w:p w14:paraId="7E1D53DD" w14:textId="31949658" w:rsidR="00931737" w:rsidRPr="00931737" w:rsidRDefault="00931737" w:rsidP="00931737">
      <w:pPr>
        <w:spacing w:after="0" w:line="240" w:lineRule="auto"/>
        <w:ind w:left="540" w:hanging="540"/>
        <w:jc w:val="both"/>
        <w:rPr>
          <w:rFonts w:ascii="Times New Roman" w:eastAsia="Times New Roman" w:hAnsi="Times New Roman" w:cs="Times New Roman"/>
          <w:sz w:val="24"/>
          <w:szCs w:val="24"/>
          <w:lang w:val="en-US"/>
        </w:rPr>
      </w:pPr>
      <w:r w:rsidRPr="00931737">
        <w:rPr>
          <w:rFonts w:ascii="Times New Roman" w:eastAsia="Times New Roman" w:hAnsi="Times New Roman" w:cs="Times New Roman"/>
          <w:sz w:val="24"/>
          <w:szCs w:val="24"/>
          <w:lang w:val="en-US"/>
        </w:rPr>
        <w:t xml:space="preserve">Wilmer, H. H., Sherman, L. E., &amp; Chein, J. M. (2017). Smartphones and cognition: A review of research exploring the links between mobile technology habits and cognitive functioning. </w:t>
      </w:r>
      <w:r w:rsidRPr="00931737">
        <w:rPr>
          <w:rFonts w:ascii="Times New Roman" w:eastAsia="Times New Roman" w:hAnsi="Times New Roman" w:cs="Times New Roman"/>
          <w:i/>
          <w:iCs/>
          <w:sz w:val="24"/>
          <w:szCs w:val="24"/>
          <w:lang w:val="en-US"/>
        </w:rPr>
        <w:t>Frontiers in Psychology, 8</w:t>
      </w:r>
      <w:r w:rsidRPr="00931737">
        <w:rPr>
          <w:rFonts w:ascii="Times New Roman" w:eastAsia="Times New Roman" w:hAnsi="Times New Roman" w:cs="Times New Roman"/>
          <w:sz w:val="24"/>
          <w:szCs w:val="24"/>
          <w:lang w:val="en-US"/>
        </w:rPr>
        <w:t xml:space="preserve">, Article 605. </w:t>
      </w:r>
      <w:hyperlink r:id="rId50" w:history="1">
        <w:r w:rsidRPr="00931737">
          <w:rPr>
            <w:rFonts w:ascii="Times New Roman" w:eastAsia="Times New Roman" w:hAnsi="Times New Roman" w:cs="Times New Roman"/>
            <w:color w:val="0000FF"/>
            <w:sz w:val="24"/>
            <w:szCs w:val="24"/>
            <w:u w:val="single"/>
            <w:lang w:val="en-US"/>
          </w:rPr>
          <w:t>https://doi.org/10.3389/fpsyg.2017.00605</w:t>
        </w:r>
      </w:hyperlink>
    </w:p>
    <w:p w14:paraId="723EE9AF" w14:textId="59748E13" w:rsidR="00980A99" w:rsidRPr="00931737" w:rsidRDefault="00931737" w:rsidP="00931737">
      <w:pPr>
        <w:spacing w:before="100" w:after="100" w:line="240" w:lineRule="auto"/>
        <w:ind w:left="540" w:hanging="540"/>
        <w:jc w:val="both"/>
        <w:rPr>
          <w:bCs/>
        </w:rPr>
      </w:pPr>
      <w:r w:rsidRPr="00931737">
        <w:rPr>
          <w:rFonts w:ascii="Times New Roman" w:eastAsia="Times New Roman" w:hAnsi="Times New Roman" w:cs="Times New Roman"/>
          <w:sz w:val="24"/>
          <w:szCs w:val="24"/>
          <w:lang w:val="en-US"/>
        </w:rPr>
        <w:t xml:space="preserve">Zhai, C., Wibowo, S., &amp; Li, L. D. (2024). The effects of over-reliance on AI dialogue systems on students’ cognitive abilities: A systematic review. </w:t>
      </w:r>
      <w:r w:rsidRPr="00931737">
        <w:rPr>
          <w:rFonts w:ascii="Times New Roman" w:eastAsia="Times New Roman" w:hAnsi="Times New Roman" w:cs="Times New Roman"/>
          <w:i/>
          <w:iCs/>
          <w:sz w:val="24"/>
          <w:szCs w:val="24"/>
          <w:lang w:val="en-US"/>
        </w:rPr>
        <w:t>Smart Learning Environments, 11</w:t>
      </w:r>
      <w:r w:rsidRPr="00931737">
        <w:rPr>
          <w:rFonts w:ascii="Times New Roman" w:eastAsia="Times New Roman" w:hAnsi="Times New Roman" w:cs="Times New Roman"/>
          <w:sz w:val="24"/>
          <w:szCs w:val="24"/>
          <w:lang w:val="en-US"/>
        </w:rPr>
        <w:t xml:space="preserve">, Article 28. </w:t>
      </w:r>
      <w:hyperlink r:id="rId51" w:history="1">
        <w:r w:rsidRPr="00931737">
          <w:rPr>
            <w:rFonts w:ascii="Times New Roman" w:eastAsia="Times New Roman" w:hAnsi="Times New Roman" w:cs="Times New Roman"/>
            <w:color w:val="0000FF"/>
            <w:sz w:val="24"/>
            <w:szCs w:val="24"/>
            <w:u w:val="single"/>
            <w:lang w:val="en-US"/>
          </w:rPr>
          <w:t>https://doi.org/10.1186/s40561-024-00316-7</w:t>
        </w:r>
      </w:hyperlink>
    </w:p>
    <w:sectPr w:rsidR="00980A99" w:rsidRPr="00931737" w:rsidSect="004841B3">
      <w:headerReference w:type="even" r:id="rId52"/>
      <w:headerReference w:type="default" r:id="rId53"/>
      <w:footerReference w:type="even" r:id="rId54"/>
      <w:footerReference w:type="default" r:id="rId55"/>
      <w:headerReference w:type="first" r:id="rId56"/>
      <w:footerReference w:type="first" r:id="rId5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F587F" w14:textId="77777777" w:rsidR="004C766C" w:rsidRDefault="004C766C" w:rsidP="0072465E">
      <w:pPr>
        <w:spacing w:after="0" w:line="240" w:lineRule="auto"/>
      </w:pPr>
      <w:r>
        <w:separator/>
      </w:r>
    </w:p>
  </w:endnote>
  <w:endnote w:type="continuationSeparator" w:id="0">
    <w:p w14:paraId="0428B5B2" w14:textId="77777777" w:rsidR="004C766C" w:rsidRDefault="004C766C" w:rsidP="00724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99B41" w14:textId="77777777" w:rsidR="0072465E" w:rsidRDefault="007246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6668B" w14:textId="77777777" w:rsidR="0072465E" w:rsidRDefault="007246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544F7" w14:textId="77777777" w:rsidR="0072465E" w:rsidRDefault="007246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798CF" w14:textId="77777777" w:rsidR="004C766C" w:rsidRDefault="004C766C" w:rsidP="0072465E">
      <w:pPr>
        <w:spacing w:after="0" w:line="240" w:lineRule="auto"/>
      </w:pPr>
      <w:r>
        <w:separator/>
      </w:r>
    </w:p>
  </w:footnote>
  <w:footnote w:type="continuationSeparator" w:id="0">
    <w:p w14:paraId="2C569BC1" w14:textId="77777777" w:rsidR="004C766C" w:rsidRDefault="004C766C" w:rsidP="007246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470FB" w14:textId="77777777" w:rsidR="0072465E" w:rsidRDefault="00000000">
    <w:pPr>
      <w:pStyle w:val="Header"/>
    </w:pPr>
    <w:r>
      <w:rPr>
        <w:noProof/>
      </w:rPr>
      <w:pict w14:anchorId="55D009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1450297"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4EF44" w14:textId="77777777" w:rsidR="0072465E" w:rsidRDefault="00000000">
    <w:pPr>
      <w:pStyle w:val="Header"/>
    </w:pPr>
    <w:r>
      <w:rPr>
        <w:noProof/>
      </w:rPr>
      <w:pict w14:anchorId="7E8FFC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1450298"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86249" w14:textId="77777777" w:rsidR="0072465E" w:rsidRDefault="00000000">
    <w:pPr>
      <w:pStyle w:val="Header"/>
    </w:pPr>
    <w:r>
      <w:rPr>
        <w:noProof/>
      </w:rPr>
      <w:pict w14:anchorId="31288C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1450296"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3742FF"/>
    <w:multiLevelType w:val="hybridMultilevel"/>
    <w:tmpl w:val="D20CD38A"/>
    <w:lvl w:ilvl="0" w:tplc="04090001">
      <w:start w:val="2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3F5E3D"/>
    <w:multiLevelType w:val="hybridMultilevel"/>
    <w:tmpl w:val="49386C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F840AFA"/>
    <w:multiLevelType w:val="hybridMultilevel"/>
    <w:tmpl w:val="B2F4AA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6886427">
    <w:abstractNumId w:val="1"/>
  </w:num>
  <w:num w:numId="2" w16cid:durableId="90592720">
    <w:abstractNumId w:val="2"/>
  </w:num>
  <w:num w:numId="3" w16cid:durableId="928151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MjOzNDIytLSwNDA1NLNU0lEKTi0uzszPAykwqgUA//5WoywAAAA="/>
  </w:docVars>
  <w:rsids>
    <w:rsidRoot w:val="008E6AC3"/>
    <w:rsid w:val="000C566E"/>
    <w:rsid w:val="002C44DC"/>
    <w:rsid w:val="004841B3"/>
    <w:rsid w:val="004C766C"/>
    <w:rsid w:val="00554C2C"/>
    <w:rsid w:val="006E7C7D"/>
    <w:rsid w:val="006F3202"/>
    <w:rsid w:val="0072465E"/>
    <w:rsid w:val="007703BF"/>
    <w:rsid w:val="007D73C7"/>
    <w:rsid w:val="008E6AC3"/>
    <w:rsid w:val="00931737"/>
    <w:rsid w:val="00980A99"/>
    <w:rsid w:val="009D291A"/>
    <w:rsid w:val="009D5110"/>
    <w:rsid w:val="009E755F"/>
    <w:rsid w:val="00B240F5"/>
    <w:rsid w:val="00BE2CEA"/>
    <w:rsid w:val="00C172FD"/>
    <w:rsid w:val="00C21DE6"/>
    <w:rsid w:val="00D26B68"/>
    <w:rsid w:val="00D4133F"/>
    <w:rsid w:val="00D5467E"/>
    <w:rsid w:val="00E079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4284B4"/>
  <w15:docId w15:val="{95D48DF8-5BC3-4CF7-A3E0-488EEA126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2">
    <w:name w:val="heading 2"/>
    <w:basedOn w:val="Normal"/>
    <w:link w:val="Heading2Char"/>
    <w:uiPriority w:val="9"/>
    <w:qFormat/>
    <w:rsid w:val="008E6AC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8E6AC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8E6AC3"/>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E6AC3"/>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8E6AC3"/>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8E6AC3"/>
    <w:rPr>
      <w:rFonts w:ascii="Times New Roman" w:eastAsia="Times New Roman" w:hAnsi="Times New Roman" w:cs="Times New Roman"/>
      <w:b/>
      <w:bCs/>
      <w:sz w:val="24"/>
      <w:szCs w:val="24"/>
      <w:lang w:eastAsia="en-GB"/>
    </w:rPr>
  </w:style>
  <w:style w:type="paragraph" w:customStyle="1" w:styleId="font-claude-response-body">
    <w:name w:val="font-claude-response-body"/>
    <w:basedOn w:val="Normal"/>
    <w:rsid w:val="008E6AC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E6AC3"/>
    <w:rPr>
      <w:b/>
      <w:bCs/>
    </w:rPr>
  </w:style>
  <w:style w:type="character" w:styleId="Emphasis">
    <w:name w:val="Emphasis"/>
    <w:basedOn w:val="DefaultParagraphFont"/>
    <w:uiPriority w:val="20"/>
    <w:qFormat/>
    <w:rsid w:val="008E6AC3"/>
    <w:rPr>
      <w:i/>
      <w:iCs/>
    </w:rPr>
  </w:style>
  <w:style w:type="character" w:styleId="Hyperlink">
    <w:name w:val="Hyperlink"/>
    <w:basedOn w:val="DefaultParagraphFont"/>
    <w:uiPriority w:val="99"/>
    <w:semiHidden/>
    <w:unhideWhenUsed/>
    <w:rsid w:val="008E6AC3"/>
    <w:rPr>
      <w:color w:val="0000FF"/>
      <w:u w:val="single"/>
    </w:rPr>
  </w:style>
  <w:style w:type="paragraph" w:styleId="ListParagraph">
    <w:name w:val="List Paragraph"/>
    <w:basedOn w:val="Normal"/>
    <w:uiPriority w:val="34"/>
    <w:qFormat/>
    <w:rsid w:val="00B240F5"/>
    <w:pPr>
      <w:ind w:left="720"/>
      <w:contextualSpacing/>
    </w:pPr>
  </w:style>
  <w:style w:type="paragraph" w:styleId="NormalWeb">
    <w:name w:val="Normal (Web)"/>
    <w:basedOn w:val="Normal"/>
    <w:uiPriority w:val="99"/>
    <w:unhideWhenUsed/>
    <w:rsid w:val="00B240F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B240F5"/>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B240F5"/>
    <w:rPr>
      <w:rFonts w:ascii="Arial" w:eastAsia="Times New Roman" w:hAnsi="Arial" w:cs="Arial"/>
      <w:vanish/>
      <w:sz w:val="16"/>
      <w:szCs w:val="16"/>
      <w:lang w:eastAsia="en-GB"/>
    </w:rPr>
  </w:style>
  <w:style w:type="paragraph" w:customStyle="1" w:styleId="placeholder">
    <w:name w:val="placeholder"/>
    <w:basedOn w:val="Normal"/>
    <w:rsid w:val="00B240F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BottomofForm">
    <w:name w:val="HTML Bottom of Form"/>
    <w:basedOn w:val="Normal"/>
    <w:next w:val="Normal"/>
    <w:link w:val="z-BottomofFormChar"/>
    <w:hidden/>
    <w:uiPriority w:val="99"/>
    <w:semiHidden/>
    <w:unhideWhenUsed/>
    <w:rsid w:val="00B240F5"/>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B240F5"/>
    <w:rPr>
      <w:rFonts w:ascii="Arial" w:eastAsia="Times New Roman" w:hAnsi="Arial" w:cs="Arial"/>
      <w:vanish/>
      <w:sz w:val="16"/>
      <w:szCs w:val="16"/>
      <w:lang w:eastAsia="en-GB"/>
    </w:rPr>
  </w:style>
  <w:style w:type="table" w:styleId="TableGrid">
    <w:name w:val="Table Grid"/>
    <w:basedOn w:val="TableNormal"/>
    <w:uiPriority w:val="59"/>
    <w:rsid w:val="009D29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246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465E"/>
  </w:style>
  <w:style w:type="paragraph" w:styleId="Footer">
    <w:name w:val="footer"/>
    <w:basedOn w:val="Normal"/>
    <w:link w:val="FooterChar"/>
    <w:uiPriority w:val="99"/>
    <w:unhideWhenUsed/>
    <w:rsid w:val="007246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46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5391364">
      <w:bodyDiv w:val="1"/>
      <w:marLeft w:val="0"/>
      <w:marRight w:val="0"/>
      <w:marTop w:val="0"/>
      <w:marBottom w:val="0"/>
      <w:divBdr>
        <w:top w:val="none" w:sz="0" w:space="0" w:color="auto"/>
        <w:left w:val="none" w:sz="0" w:space="0" w:color="auto"/>
        <w:bottom w:val="none" w:sz="0" w:space="0" w:color="auto"/>
        <w:right w:val="none" w:sz="0" w:space="0" w:color="auto"/>
      </w:divBdr>
      <w:divsChild>
        <w:div w:id="1505169770">
          <w:marLeft w:val="0"/>
          <w:marRight w:val="0"/>
          <w:marTop w:val="0"/>
          <w:marBottom w:val="0"/>
          <w:divBdr>
            <w:top w:val="none" w:sz="0" w:space="0" w:color="auto"/>
            <w:left w:val="none" w:sz="0" w:space="0" w:color="auto"/>
            <w:bottom w:val="none" w:sz="0" w:space="0" w:color="auto"/>
            <w:right w:val="none" w:sz="0" w:space="0" w:color="auto"/>
          </w:divBdr>
          <w:divsChild>
            <w:div w:id="673456620">
              <w:marLeft w:val="0"/>
              <w:marRight w:val="0"/>
              <w:marTop w:val="0"/>
              <w:marBottom w:val="0"/>
              <w:divBdr>
                <w:top w:val="none" w:sz="0" w:space="0" w:color="auto"/>
                <w:left w:val="none" w:sz="0" w:space="0" w:color="auto"/>
                <w:bottom w:val="none" w:sz="0" w:space="0" w:color="auto"/>
                <w:right w:val="none" w:sz="0" w:space="0" w:color="auto"/>
              </w:divBdr>
              <w:divsChild>
                <w:div w:id="1272014259">
                  <w:marLeft w:val="0"/>
                  <w:marRight w:val="0"/>
                  <w:marTop w:val="0"/>
                  <w:marBottom w:val="0"/>
                  <w:divBdr>
                    <w:top w:val="none" w:sz="0" w:space="0" w:color="auto"/>
                    <w:left w:val="none" w:sz="0" w:space="0" w:color="auto"/>
                    <w:bottom w:val="none" w:sz="0" w:space="0" w:color="auto"/>
                    <w:right w:val="none" w:sz="0" w:space="0" w:color="auto"/>
                  </w:divBdr>
                  <w:divsChild>
                    <w:div w:id="1002511324">
                      <w:marLeft w:val="0"/>
                      <w:marRight w:val="0"/>
                      <w:marTop w:val="0"/>
                      <w:marBottom w:val="0"/>
                      <w:divBdr>
                        <w:top w:val="none" w:sz="0" w:space="0" w:color="auto"/>
                        <w:left w:val="none" w:sz="0" w:space="0" w:color="auto"/>
                        <w:bottom w:val="none" w:sz="0" w:space="0" w:color="auto"/>
                        <w:right w:val="none" w:sz="0" w:space="0" w:color="auto"/>
                      </w:divBdr>
                      <w:divsChild>
                        <w:div w:id="581842462">
                          <w:marLeft w:val="0"/>
                          <w:marRight w:val="0"/>
                          <w:marTop w:val="0"/>
                          <w:marBottom w:val="0"/>
                          <w:divBdr>
                            <w:top w:val="none" w:sz="0" w:space="0" w:color="auto"/>
                            <w:left w:val="none" w:sz="0" w:space="0" w:color="auto"/>
                            <w:bottom w:val="none" w:sz="0" w:space="0" w:color="auto"/>
                            <w:right w:val="none" w:sz="0" w:space="0" w:color="auto"/>
                          </w:divBdr>
                          <w:divsChild>
                            <w:div w:id="206601529">
                              <w:marLeft w:val="0"/>
                              <w:marRight w:val="0"/>
                              <w:marTop w:val="0"/>
                              <w:marBottom w:val="0"/>
                              <w:divBdr>
                                <w:top w:val="none" w:sz="0" w:space="0" w:color="auto"/>
                                <w:left w:val="none" w:sz="0" w:space="0" w:color="auto"/>
                                <w:bottom w:val="none" w:sz="0" w:space="0" w:color="auto"/>
                                <w:right w:val="none" w:sz="0" w:space="0" w:color="auto"/>
                              </w:divBdr>
                              <w:divsChild>
                                <w:div w:id="1285891975">
                                  <w:marLeft w:val="0"/>
                                  <w:marRight w:val="0"/>
                                  <w:marTop w:val="0"/>
                                  <w:marBottom w:val="0"/>
                                  <w:divBdr>
                                    <w:top w:val="none" w:sz="0" w:space="0" w:color="auto"/>
                                    <w:left w:val="none" w:sz="0" w:space="0" w:color="auto"/>
                                    <w:bottom w:val="none" w:sz="0" w:space="0" w:color="auto"/>
                                    <w:right w:val="none" w:sz="0" w:space="0" w:color="auto"/>
                                  </w:divBdr>
                                  <w:divsChild>
                                    <w:div w:id="1639913409">
                                      <w:marLeft w:val="0"/>
                                      <w:marRight w:val="0"/>
                                      <w:marTop w:val="0"/>
                                      <w:marBottom w:val="0"/>
                                      <w:divBdr>
                                        <w:top w:val="none" w:sz="0" w:space="0" w:color="auto"/>
                                        <w:left w:val="none" w:sz="0" w:space="0" w:color="auto"/>
                                        <w:bottom w:val="none" w:sz="0" w:space="0" w:color="auto"/>
                                        <w:right w:val="none" w:sz="0" w:space="0" w:color="auto"/>
                                      </w:divBdr>
                                      <w:divsChild>
                                        <w:div w:id="370767022">
                                          <w:marLeft w:val="0"/>
                                          <w:marRight w:val="0"/>
                                          <w:marTop w:val="0"/>
                                          <w:marBottom w:val="0"/>
                                          <w:divBdr>
                                            <w:top w:val="none" w:sz="0" w:space="0" w:color="auto"/>
                                            <w:left w:val="none" w:sz="0" w:space="0" w:color="auto"/>
                                            <w:bottom w:val="none" w:sz="0" w:space="0" w:color="auto"/>
                                            <w:right w:val="none" w:sz="0" w:space="0" w:color="auto"/>
                                          </w:divBdr>
                                          <w:divsChild>
                                            <w:div w:id="807404896">
                                              <w:marLeft w:val="0"/>
                                              <w:marRight w:val="0"/>
                                              <w:marTop w:val="0"/>
                                              <w:marBottom w:val="0"/>
                                              <w:divBdr>
                                                <w:top w:val="none" w:sz="0" w:space="0" w:color="auto"/>
                                                <w:left w:val="none" w:sz="0" w:space="0" w:color="auto"/>
                                                <w:bottom w:val="none" w:sz="0" w:space="0" w:color="auto"/>
                                                <w:right w:val="none" w:sz="0" w:space="0" w:color="auto"/>
                                              </w:divBdr>
                                              <w:divsChild>
                                                <w:div w:id="930240896">
                                                  <w:marLeft w:val="0"/>
                                                  <w:marRight w:val="0"/>
                                                  <w:marTop w:val="0"/>
                                                  <w:marBottom w:val="0"/>
                                                  <w:divBdr>
                                                    <w:top w:val="none" w:sz="0" w:space="0" w:color="auto"/>
                                                    <w:left w:val="none" w:sz="0" w:space="0" w:color="auto"/>
                                                    <w:bottom w:val="none" w:sz="0" w:space="0" w:color="auto"/>
                                                    <w:right w:val="none" w:sz="0" w:space="0" w:color="auto"/>
                                                  </w:divBdr>
                                                  <w:divsChild>
                                                    <w:div w:id="1335718761">
                                                      <w:marLeft w:val="0"/>
                                                      <w:marRight w:val="0"/>
                                                      <w:marTop w:val="0"/>
                                                      <w:marBottom w:val="0"/>
                                                      <w:divBdr>
                                                        <w:top w:val="none" w:sz="0" w:space="0" w:color="auto"/>
                                                        <w:left w:val="none" w:sz="0" w:space="0" w:color="auto"/>
                                                        <w:bottom w:val="none" w:sz="0" w:space="0" w:color="auto"/>
                                                        <w:right w:val="none" w:sz="0" w:space="0" w:color="auto"/>
                                                      </w:divBdr>
                                                      <w:divsChild>
                                                        <w:div w:id="319240471">
                                                          <w:marLeft w:val="0"/>
                                                          <w:marRight w:val="0"/>
                                                          <w:marTop w:val="0"/>
                                                          <w:marBottom w:val="0"/>
                                                          <w:divBdr>
                                                            <w:top w:val="none" w:sz="0" w:space="0" w:color="auto"/>
                                                            <w:left w:val="none" w:sz="0" w:space="0" w:color="auto"/>
                                                            <w:bottom w:val="none" w:sz="0" w:space="0" w:color="auto"/>
                                                            <w:right w:val="none" w:sz="0" w:space="0" w:color="auto"/>
                                                          </w:divBdr>
                                                          <w:divsChild>
                                                            <w:div w:id="1540898931">
                                                              <w:marLeft w:val="0"/>
                                                              <w:marRight w:val="0"/>
                                                              <w:marTop w:val="0"/>
                                                              <w:marBottom w:val="0"/>
                                                              <w:divBdr>
                                                                <w:top w:val="none" w:sz="0" w:space="0" w:color="auto"/>
                                                                <w:left w:val="none" w:sz="0" w:space="0" w:color="auto"/>
                                                                <w:bottom w:val="none" w:sz="0" w:space="0" w:color="auto"/>
                                                                <w:right w:val="none" w:sz="0" w:space="0" w:color="auto"/>
                                                              </w:divBdr>
                                                              <w:divsChild>
                                                                <w:div w:id="1487471975">
                                                                  <w:marLeft w:val="0"/>
                                                                  <w:marRight w:val="0"/>
                                                                  <w:marTop w:val="0"/>
                                                                  <w:marBottom w:val="0"/>
                                                                  <w:divBdr>
                                                                    <w:top w:val="none" w:sz="0" w:space="0" w:color="auto"/>
                                                                    <w:left w:val="none" w:sz="0" w:space="0" w:color="auto"/>
                                                                    <w:bottom w:val="none" w:sz="0" w:space="0" w:color="auto"/>
                                                                    <w:right w:val="none" w:sz="0" w:space="0" w:color="auto"/>
                                                                  </w:divBdr>
                                                                  <w:divsChild>
                                                                    <w:div w:id="1134757947">
                                                                      <w:marLeft w:val="0"/>
                                                                      <w:marRight w:val="0"/>
                                                                      <w:marTop w:val="0"/>
                                                                      <w:marBottom w:val="0"/>
                                                                      <w:divBdr>
                                                                        <w:top w:val="none" w:sz="0" w:space="0" w:color="auto"/>
                                                                        <w:left w:val="none" w:sz="0" w:space="0" w:color="auto"/>
                                                                        <w:bottom w:val="none" w:sz="0" w:space="0" w:color="auto"/>
                                                                        <w:right w:val="none" w:sz="0" w:space="0" w:color="auto"/>
                                                                      </w:divBdr>
                                                                      <w:divsChild>
                                                                        <w:div w:id="1872954937">
                                                                          <w:marLeft w:val="0"/>
                                                                          <w:marRight w:val="0"/>
                                                                          <w:marTop w:val="0"/>
                                                                          <w:marBottom w:val="0"/>
                                                                          <w:divBdr>
                                                                            <w:top w:val="none" w:sz="0" w:space="0" w:color="auto"/>
                                                                            <w:left w:val="none" w:sz="0" w:space="0" w:color="auto"/>
                                                                            <w:bottom w:val="none" w:sz="0" w:space="0" w:color="auto"/>
                                                                            <w:right w:val="none" w:sz="0" w:space="0" w:color="auto"/>
                                                                          </w:divBdr>
                                                                          <w:divsChild>
                                                                            <w:div w:id="758525287">
                                                                              <w:marLeft w:val="0"/>
                                                                              <w:marRight w:val="0"/>
                                                                              <w:marTop w:val="0"/>
                                                                              <w:marBottom w:val="0"/>
                                                                              <w:divBdr>
                                                                                <w:top w:val="none" w:sz="0" w:space="0" w:color="auto"/>
                                                                                <w:left w:val="none" w:sz="0" w:space="0" w:color="auto"/>
                                                                                <w:bottom w:val="none" w:sz="0" w:space="0" w:color="auto"/>
                                                                                <w:right w:val="none" w:sz="0" w:space="0" w:color="auto"/>
                                                                              </w:divBdr>
                                                                              <w:divsChild>
                                                                                <w:div w:id="47776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871107">
                                              <w:marLeft w:val="0"/>
                                              <w:marRight w:val="0"/>
                                              <w:marTop w:val="0"/>
                                              <w:marBottom w:val="0"/>
                                              <w:divBdr>
                                                <w:top w:val="none" w:sz="0" w:space="0" w:color="auto"/>
                                                <w:left w:val="none" w:sz="0" w:space="0" w:color="auto"/>
                                                <w:bottom w:val="none" w:sz="0" w:space="0" w:color="auto"/>
                                                <w:right w:val="none" w:sz="0" w:space="0" w:color="auto"/>
                                              </w:divBdr>
                                              <w:divsChild>
                                                <w:div w:id="214436084">
                                                  <w:marLeft w:val="0"/>
                                                  <w:marRight w:val="0"/>
                                                  <w:marTop w:val="0"/>
                                                  <w:marBottom w:val="0"/>
                                                  <w:divBdr>
                                                    <w:top w:val="none" w:sz="0" w:space="0" w:color="auto"/>
                                                    <w:left w:val="none" w:sz="0" w:space="0" w:color="auto"/>
                                                    <w:bottom w:val="none" w:sz="0" w:space="0" w:color="auto"/>
                                                    <w:right w:val="none" w:sz="0" w:space="0" w:color="auto"/>
                                                  </w:divBdr>
                                                  <w:divsChild>
                                                    <w:div w:id="926184289">
                                                      <w:marLeft w:val="0"/>
                                                      <w:marRight w:val="0"/>
                                                      <w:marTop w:val="0"/>
                                                      <w:marBottom w:val="0"/>
                                                      <w:divBdr>
                                                        <w:top w:val="none" w:sz="0" w:space="0" w:color="auto"/>
                                                        <w:left w:val="none" w:sz="0" w:space="0" w:color="auto"/>
                                                        <w:bottom w:val="none" w:sz="0" w:space="0" w:color="auto"/>
                                                        <w:right w:val="none" w:sz="0" w:space="0" w:color="auto"/>
                                                      </w:divBdr>
                                                      <w:divsChild>
                                                        <w:div w:id="1679846606">
                                                          <w:marLeft w:val="0"/>
                                                          <w:marRight w:val="0"/>
                                                          <w:marTop w:val="0"/>
                                                          <w:marBottom w:val="0"/>
                                                          <w:divBdr>
                                                            <w:top w:val="none" w:sz="0" w:space="0" w:color="auto"/>
                                                            <w:left w:val="none" w:sz="0" w:space="0" w:color="auto"/>
                                                            <w:bottom w:val="none" w:sz="0" w:space="0" w:color="auto"/>
                                                            <w:right w:val="none" w:sz="0" w:space="0" w:color="auto"/>
                                                          </w:divBdr>
                                                          <w:divsChild>
                                                            <w:div w:id="268395366">
                                                              <w:marLeft w:val="0"/>
                                                              <w:marRight w:val="0"/>
                                                              <w:marTop w:val="0"/>
                                                              <w:marBottom w:val="0"/>
                                                              <w:divBdr>
                                                                <w:top w:val="none" w:sz="0" w:space="0" w:color="auto"/>
                                                                <w:left w:val="none" w:sz="0" w:space="0" w:color="auto"/>
                                                                <w:bottom w:val="none" w:sz="0" w:space="0" w:color="auto"/>
                                                                <w:right w:val="none" w:sz="0" w:space="0" w:color="auto"/>
                                                              </w:divBdr>
                                                              <w:divsChild>
                                                                <w:div w:id="1181816160">
                                                                  <w:marLeft w:val="0"/>
                                                                  <w:marRight w:val="0"/>
                                                                  <w:marTop w:val="0"/>
                                                                  <w:marBottom w:val="0"/>
                                                                  <w:divBdr>
                                                                    <w:top w:val="none" w:sz="0" w:space="0" w:color="auto"/>
                                                                    <w:left w:val="none" w:sz="0" w:space="0" w:color="auto"/>
                                                                    <w:bottom w:val="none" w:sz="0" w:space="0" w:color="auto"/>
                                                                    <w:right w:val="none" w:sz="0" w:space="0" w:color="auto"/>
                                                                  </w:divBdr>
                                                                  <w:divsChild>
                                                                    <w:div w:id="2073772752">
                                                                      <w:marLeft w:val="0"/>
                                                                      <w:marRight w:val="0"/>
                                                                      <w:marTop w:val="0"/>
                                                                      <w:marBottom w:val="0"/>
                                                                      <w:divBdr>
                                                                        <w:top w:val="none" w:sz="0" w:space="0" w:color="auto"/>
                                                                        <w:left w:val="none" w:sz="0" w:space="0" w:color="auto"/>
                                                                        <w:bottom w:val="none" w:sz="0" w:space="0" w:color="auto"/>
                                                                        <w:right w:val="none" w:sz="0" w:space="0" w:color="auto"/>
                                                                      </w:divBdr>
                                                                      <w:divsChild>
                                                                        <w:div w:id="1946307042">
                                                                          <w:marLeft w:val="0"/>
                                                                          <w:marRight w:val="0"/>
                                                                          <w:marTop w:val="0"/>
                                                                          <w:marBottom w:val="0"/>
                                                                          <w:divBdr>
                                                                            <w:top w:val="none" w:sz="0" w:space="0" w:color="auto"/>
                                                                            <w:left w:val="none" w:sz="0" w:space="0" w:color="auto"/>
                                                                            <w:bottom w:val="none" w:sz="0" w:space="0" w:color="auto"/>
                                                                            <w:right w:val="none" w:sz="0" w:space="0" w:color="auto"/>
                                                                          </w:divBdr>
                                                                          <w:divsChild>
                                                                            <w:div w:id="29109047">
                                                                              <w:marLeft w:val="0"/>
                                                                              <w:marRight w:val="0"/>
                                                                              <w:marTop w:val="0"/>
                                                                              <w:marBottom w:val="0"/>
                                                                              <w:divBdr>
                                                                                <w:top w:val="none" w:sz="0" w:space="0" w:color="auto"/>
                                                                                <w:left w:val="none" w:sz="0" w:space="0" w:color="auto"/>
                                                                                <w:bottom w:val="none" w:sz="0" w:space="0" w:color="auto"/>
                                                                                <w:right w:val="none" w:sz="0" w:space="0" w:color="auto"/>
                                                                              </w:divBdr>
                                                                              <w:divsChild>
                                                                                <w:div w:id="1494564538">
                                                                                  <w:marLeft w:val="0"/>
                                                                                  <w:marRight w:val="0"/>
                                                                                  <w:marTop w:val="0"/>
                                                                                  <w:marBottom w:val="0"/>
                                                                                  <w:divBdr>
                                                                                    <w:top w:val="none" w:sz="0" w:space="0" w:color="auto"/>
                                                                                    <w:left w:val="none" w:sz="0" w:space="0" w:color="auto"/>
                                                                                    <w:bottom w:val="none" w:sz="0" w:space="0" w:color="auto"/>
                                                                                    <w:right w:val="none" w:sz="0" w:space="0" w:color="auto"/>
                                                                                  </w:divBdr>
                                                                                  <w:divsChild>
                                                                                    <w:div w:id="2106730985">
                                                                                      <w:marLeft w:val="0"/>
                                                                                      <w:marRight w:val="0"/>
                                                                                      <w:marTop w:val="0"/>
                                                                                      <w:marBottom w:val="0"/>
                                                                                      <w:divBdr>
                                                                                        <w:top w:val="none" w:sz="0" w:space="0" w:color="auto"/>
                                                                                        <w:left w:val="none" w:sz="0" w:space="0" w:color="auto"/>
                                                                                        <w:bottom w:val="none" w:sz="0" w:space="0" w:color="auto"/>
                                                                                        <w:right w:val="none" w:sz="0" w:space="0" w:color="auto"/>
                                                                                      </w:divBdr>
                                                                                      <w:divsChild>
                                                                                        <w:div w:id="1165978271">
                                                                                          <w:marLeft w:val="0"/>
                                                                                          <w:marRight w:val="0"/>
                                                                                          <w:marTop w:val="0"/>
                                                                                          <w:marBottom w:val="0"/>
                                                                                          <w:divBdr>
                                                                                            <w:top w:val="none" w:sz="0" w:space="0" w:color="auto"/>
                                                                                            <w:left w:val="none" w:sz="0" w:space="0" w:color="auto"/>
                                                                                            <w:bottom w:val="none" w:sz="0" w:space="0" w:color="auto"/>
                                                                                            <w:right w:val="none" w:sz="0" w:space="0" w:color="auto"/>
                                                                                          </w:divBdr>
                                                                                          <w:divsChild>
                                                                                            <w:div w:id="76677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4213574">
      <w:bodyDiv w:val="1"/>
      <w:marLeft w:val="0"/>
      <w:marRight w:val="0"/>
      <w:marTop w:val="0"/>
      <w:marBottom w:val="0"/>
      <w:divBdr>
        <w:top w:val="none" w:sz="0" w:space="0" w:color="auto"/>
        <w:left w:val="none" w:sz="0" w:space="0" w:color="auto"/>
        <w:bottom w:val="none" w:sz="0" w:space="0" w:color="auto"/>
        <w:right w:val="none" w:sz="0" w:space="0" w:color="auto"/>
      </w:divBdr>
      <w:divsChild>
        <w:div w:id="921262142">
          <w:marLeft w:val="0"/>
          <w:marRight w:val="0"/>
          <w:marTop w:val="0"/>
          <w:marBottom w:val="0"/>
          <w:divBdr>
            <w:top w:val="none" w:sz="0" w:space="0" w:color="auto"/>
            <w:left w:val="none" w:sz="0" w:space="0" w:color="auto"/>
            <w:bottom w:val="none" w:sz="0" w:space="0" w:color="auto"/>
            <w:right w:val="none" w:sz="0" w:space="0" w:color="auto"/>
          </w:divBdr>
          <w:divsChild>
            <w:div w:id="1103769558">
              <w:marLeft w:val="0"/>
              <w:marRight w:val="0"/>
              <w:marTop w:val="0"/>
              <w:marBottom w:val="0"/>
              <w:divBdr>
                <w:top w:val="none" w:sz="0" w:space="0" w:color="auto"/>
                <w:left w:val="none" w:sz="0" w:space="0" w:color="auto"/>
                <w:bottom w:val="none" w:sz="0" w:space="0" w:color="auto"/>
                <w:right w:val="none" w:sz="0" w:space="0" w:color="auto"/>
              </w:divBdr>
              <w:divsChild>
                <w:div w:id="1223298271">
                  <w:marLeft w:val="0"/>
                  <w:marRight w:val="0"/>
                  <w:marTop w:val="0"/>
                  <w:marBottom w:val="0"/>
                  <w:divBdr>
                    <w:top w:val="none" w:sz="0" w:space="0" w:color="auto"/>
                    <w:left w:val="none" w:sz="0" w:space="0" w:color="auto"/>
                    <w:bottom w:val="none" w:sz="0" w:space="0" w:color="auto"/>
                    <w:right w:val="none" w:sz="0" w:space="0" w:color="auto"/>
                  </w:divBdr>
                  <w:divsChild>
                    <w:div w:id="1898932690">
                      <w:marLeft w:val="0"/>
                      <w:marRight w:val="0"/>
                      <w:marTop w:val="0"/>
                      <w:marBottom w:val="0"/>
                      <w:divBdr>
                        <w:top w:val="none" w:sz="0" w:space="0" w:color="auto"/>
                        <w:left w:val="none" w:sz="0" w:space="0" w:color="auto"/>
                        <w:bottom w:val="none" w:sz="0" w:space="0" w:color="auto"/>
                        <w:right w:val="none" w:sz="0" w:space="0" w:color="auto"/>
                      </w:divBdr>
                      <w:divsChild>
                        <w:div w:id="2000383140">
                          <w:marLeft w:val="0"/>
                          <w:marRight w:val="0"/>
                          <w:marTop w:val="0"/>
                          <w:marBottom w:val="0"/>
                          <w:divBdr>
                            <w:top w:val="none" w:sz="0" w:space="0" w:color="auto"/>
                            <w:left w:val="none" w:sz="0" w:space="0" w:color="auto"/>
                            <w:bottom w:val="none" w:sz="0" w:space="0" w:color="auto"/>
                            <w:right w:val="none" w:sz="0" w:space="0" w:color="auto"/>
                          </w:divBdr>
                          <w:divsChild>
                            <w:div w:id="1905097620">
                              <w:marLeft w:val="0"/>
                              <w:marRight w:val="0"/>
                              <w:marTop w:val="0"/>
                              <w:marBottom w:val="0"/>
                              <w:divBdr>
                                <w:top w:val="none" w:sz="0" w:space="0" w:color="auto"/>
                                <w:left w:val="none" w:sz="0" w:space="0" w:color="auto"/>
                                <w:bottom w:val="none" w:sz="0" w:space="0" w:color="auto"/>
                                <w:right w:val="none" w:sz="0" w:space="0" w:color="auto"/>
                              </w:divBdr>
                              <w:divsChild>
                                <w:div w:id="528686285">
                                  <w:marLeft w:val="0"/>
                                  <w:marRight w:val="0"/>
                                  <w:marTop w:val="0"/>
                                  <w:marBottom w:val="0"/>
                                  <w:divBdr>
                                    <w:top w:val="none" w:sz="0" w:space="0" w:color="auto"/>
                                    <w:left w:val="none" w:sz="0" w:space="0" w:color="auto"/>
                                    <w:bottom w:val="none" w:sz="0" w:space="0" w:color="auto"/>
                                    <w:right w:val="none" w:sz="0" w:space="0" w:color="auto"/>
                                  </w:divBdr>
                                  <w:divsChild>
                                    <w:div w:id="18089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5438465">
      <w:bodyDiv w:val="1"/>
      <w:marLeft w:val="0"/>
      <w:marRight w:val="0"/>
      <w:marTop w:val="0"/>
      <w:marBottom w:val="0"/>
      <w:divBdr>
        <w:top w:val="none" w:sz="0" w:space="0" w:color="auto"/>
        <w:left w:val="none" w:sz="0" w:space="0" w:color="auto"/>
        <w:bottom w:val="none" w:sz="0" w:space="0" w:color="auto"/>
        <w:right w:val="none" w:sz="0" w:space="0" w:color="auto"/>
      </w:divBdr>
      <w:divsChild>
        <w:div w:id="1067917146">
          <w:marLeft w:val="0"/>
          <w:marRight w:val="0"/>
          <w:marTop w:val="0"/>
          <w:marBottom w:val="0"/>
          <w:divBdr>
            <w:top w:val="none" w:sz="0" w:space="0" w:color="auto"/>
            <w:left w:val="none" w:sz="0" w:space="0" w:color="auto"/>
            <w:bottom w:val="none" w:sz="0" w:space="0" w:color="auto"/>
            <w:right w:val="none" w:sz="0" w:space="0" w:color="auto"/>
          </w:divBdr>
        </w:div>
        <w:div w:id="1575623622">
          <w:marLeft w:val="0"/>
          <w:marRight w:val="0"/>
          <w:marTop w:val="0"/>
          <w:marBottom w:val="0"/>
          <w:divBdr>
            <w:top w:val="none" w:sz="0" w:space="0" w:color="auto"/>
            <w:left w:val="none" w:sz="0" w:space="0" w:color="auto"/>
            <w:bottom w:val="none" w:sz="0" w:space="0" w:color="auto"/>
            <w:right w:val="none" w:sz="0" w:space="0" w:color="auto"/>
          </w:divBdr>
        </w:div>
        <w:div w:id="104228045">
          <w:marLeft w:val="0"/>
          <w:marRight w:val="0"/>
          <w:marTop w:val="0"/>
          <w:marBottom w:val="0"/>
          <w:divBdr>
            <w:top w:val="none" w:sz="0" w:space="0" w:color="auto"/>
            <w:left w:val="none" w:sz="0" w:space="0" w:color="auto"/>
            <w:bottom w:val="none" w:sz="0" w:space="0" w:color="auto"/>
            <w:right w:val="none" w:sz="0" w:space="0" w:color="auto"/>
          </w:divBdr>
        </w:div>
        <w:div w:id="997726296">
          <w:marLeft w:val="0"/>
          <w:marRight w:val="0"/>
          <w:marTop w:val="0"/>
          <w:marBottom w:val="0"/>
          <w:divBdr>
            <w:top w:val="none" w:sz="0" w:space="0" w:color="auto"/>
            <w:left w:val="none" w:sz="0" w:space="0" w:color="auto"/>
            <w:bottom w:val="none" w:sz="0" w:space="0" w:color="auto"/>
            <w:right w:val="none" w:sz="0" w:space="0" w:color="auto"/>
          </w:divBdr>
        </w:div>
        <w:div w:id="2094812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93/analys/58.1.7" TargetMode="External"/><Relationship Id="rId18" Type="http://schemas.openxmlformats.org/officeDocument/2006/relationships/hyperlink" Target="https://doi.org/10.1038/s44159-021-00006-y" TargetMode="External"/><Relationship Id="rId26" Type="http://schemas.openxmlformats.org/officeDocument/2006/relationships/hyperlink" Target="https://doi.org/10.1207/s15516709cog1804_1" TargetMode="External"/><Relationship Id="rId39" Type="http://schemas.openxmlformats.org/officeDocument/2006/relationships/hyperlink" Target="https://doi.org/10.1016/j.im.2019.103174" TargetMode="External"/><Relationship Id="rId21" Type="http://schemas.openxmlformats.org/officeDocument/2006/relationships/hyperlink" Target="https://doi.org/10.2196/mental.7785" TargetMode="External"/><Relationship Id="rId34" Type="http://schemas.openxmlformats.org/officeDocument/2006/relationships/hyperlink" Target="https://doi.org/10.1038/s41562-018-0506-1" TargetMode="External"/><Relationship Id="rId42" Type="http://schemas.openxmlformats.org/officeDocument/2006/relationships/hyperlink" Target="https://doi.org/10.31887/DCNS.2020.22.2/gsmall" TargetMode="External"/><Relationship Id="rId47" Type="http://schemas.openxmlformats.org/officeDocument/2006/relationships/hyperlink" Target="https://doi.org/10.1016/j.chb.2019.06.017" TargetMode="External"/><Relationship Id="rId50" Type="http://schemas.openxmlformats.org/officeDocument/2006/relationships/hyperlink" Target="https://doi.org/10.3389/fpsyg.2017.00605" TargetMode="External"/><Relationship Id="rId55" Type="http://schemas.openxmlformats.org/officeDocument/2006/relationships/footer" Target="footer2.xml"/><Relationship Id="rId7" Type="http://schemas.openxmlformats.org/officeDocument/2006/relationships/hyperlink" Target="https://doi.org/10.9734/ajess/2025/v51i102579" TargetMode="External"/><Relationship Id="rId2" Type="http://schemas.openxmlformats.org/officeDocument/2006/relationships/styles" Target="styles.xml"/><Relationship Id="rId16" Type="http://schemas.openxmlformats.org/officeDocument/2006/relationships/hyperlink" Target="https://doi.org/10.1037/xge0000033" TargetMode="External"/><Relationship Id="rId29" Type="http://schemas.openxmlformats.org/officeDocument/2006/relationships/hyperlink" Target="https://doi.org/10.1126/science.aao2998" TargetMode="External"/><Relationship Id="rId11" Type="http://schemas.openxmlformats.org/officeDocument/2006/relationships/hyperlink" Target="https://doi.org/10.1126/science.aal4230" TargetMode="External"/><Relationship Id="rId24" Type="http://schemas.openxmlformats.org/officeDocument/2006/relationships/hyperlink" Target="https://doi.org/10.1037/0022-3514.74.3.659" TargetMode="External"/><Relationship Id="rId32" Type="http://schemas.openxmlformats.org/officeDocument/2006/relationships/hyperlink" Target="https://doi.org/10.1126/science.adh2586" TargetMode="External"/><Relationship Id="rId37" Type="http://schemas.openxmlformats.org/officeDocument/2006/relationships/hyperlink" Target="https://doi.org/10.1109/3468.844354" TargetMode="External"/><Relationship Id="rId40" Type="http://schemas.openxmlformats.org/officeDocument/2006/relationships/hyperlink" Target="https://doi.org/10.1016/j.chb.2018.05.014" TargetMode="External"/><Relationship Id="rId45" Type="http://schemas.openxmlformats.org/officeDocument/2006/relationships/hyperlink" Target="https://doi.org/10.1016/j.neuropsychologia.2009.03.004" TargetMode="External"/><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hyperlink" Target="https://doi.org/10.1080/01972240490507974" TargetMode="External"/><Relationship Id="rId4" Type="http://schemas.openxmlformats.org/officeDocument/2006/relationships/webSettings" Target="webSettings.xml"/><Relationship Id="rId9" Type="http://schemas.openxmlformats.org/officeDocument/2006/relationships/hyperlink" Target="https://doi.org/10.1177/0956797612446024" TargetMode="External"/><Relationship Id="rId14" Type="http://schemas.openxmlformats.org/officeDocument/2006/relationships/hyperlink" Target="https://doi.org/10.1111/jcc4.12109" TargetMode="External"/><Relationship Id="rId22" Type="http://schemas.openxmlformats.org/officeDocument/2006/relationships/hyperlink" Target="https://doi.org/10.1038/d41586-020-00296-x" TargetMode="External"/><Relationship Id="rId27" Type="http://schemas.openxmlformats.org/officeDocument/2006/relationships/hyperlink" Target="https://doi.org/10.1037/0022-3514.77.6.1121" TargetMode="External"/><Relationship Id="rId30" Type="http://schemas.openxmlformats.org/officeDocument/2006/relationships/hyperlink" Target="https://doi.org/10.1016/j.obhdp.2018.12.005" TargetMode="External"/><Relationship Id="rId35" Type="http://schemas.openxmlformats.org/officeDocument/2006/relationships/hyperlink" Target="https://doi.org/10.1207/S15326985EP3801_1" TargetMode="External"/><Relationship Id="rId43" Type="http://schemas.openxmlformats.org/officeDocument/2006/relationships/hyperlink" Target="https://doi.org/10.1016/j.jbusres.2019.07.039" TargetMode="External"/><Relationship Id="rId48" Type="http://schemas.openxmlformats.org/officeDocument/2006/relationships/hyperlink" Target="https://doi.org/10.1086/691462" TargetMode="External"/><Relationship Id="rId56" Type="http://schemas.openxmlformats.org/officeDocument/2006/relationships/header" Target="header3.xml"/><Relationship Id="rId8" Type="http://schemas.openxmlformats.org/officeDocument/2006/relationships/hyperlink" Target="https://doi.org/10.1257/jep.29.3.3" TargetMode="External"/><Relationship Id="rId51" Type="http://schemas.openxmlformats.org/officeDocument/2006/relationships/hyperlink" Target="https://doi.org/10.1186/s40561-024-00316-7" TargetMode="External"/><Relationship Id="rId3" Type="http://schemas.openxmlformats.org/officeDocument/2006/relationships/settings" Target="settings.xml"/><Relationship Id="rId12" Type="http://schemas.openxmlformats.org/officeDocument/2006/relationships/hyperlink" Target="https://doi.org/10.1109/ACCESS.2020.2988510" TargetMode="External"/><Relationship Id="rId17" Type="http://schemas.openxmlformats.org/officeDocument/2006/relationships/hyperlink" Target="https://doi.org/10.1126/sciadv.adn5290" TargetMode="External"/><Relationship Id="rId25" Type="http://schemas.openxmlformats.org/officeDocument/2006/relationships/hyperlink" Target="https://doi.org/10.1038/s42256-019-0088-2" TargetMode="External"/><Relationship Id="rId33" Type="http://schemas.openxmlformats.org/officeDocument/2006/relationships/hyperlink" Target="https://doi.org/10.1073/pnas.0903620106" TargetMode="External"/><Relationship Id="rId38" Type="http://schemas.openxmlformats.org/officeDocument/2006/relationships/hyperlink" Target="https://doi.org/10.1016/j.tics.2016.07.002" TargetMode="External"/><Relationship Id="rId46" Type="http://schemas.openxmlformats.org/officeDocument/2006/relationships/hyperlink" Target="https://doi.org/10.1177/0956797614559285" TargetMode="External"/><Relationship Id="rId59" Type="http://schemas.openxmlformats.org/officeDocument/2006/relationships/theme" Target="theme/theme1.xml"/><Relationship Id="rId20" Type="http://schemas.openxmlformats.org/officeDocument/2006/relationships/hyperlink" Target="https://doi.org/10.1002/wps.20617" TargetMode="External"/><Relationship Id="rId41" Type="http://schemas.openxmlformats.org/officeDocument/2006/relationships/hyperlink" Target="https://doi.org/10.1006/ijhc.1999.0252" TargetMode="External"/><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1207/S15327965PLI1104_01" TargetMode="External"/><Relationship Id="rId23" Type="http://schemas.openxmlformats.org/officeDocument/2006/relationships/hyperlink" Target="https://doi.org/10.1177/0956797613504438" TargetMode="External"/><Relationship Id="rId28" Type="http://schemas.openxmlformats.org/officeDocument/2006/relationships/hyperlink" Target="https://doi.org/10.56557/ajahss/2025/v8i288" TargetMode="External"/><Relationship Id="rId36" Type="http://schemas.openxmlformats.org/officeDocument/2006/relationships/hyperlink" Target="https://doi.org/10.1177/0018720810376055" TargetMode="External"/><Relationship Id="rId49" Type="http://schemas.openxmlformats.org/officeDocument/2006/relationships/hyperlink" Target="https://doi.org/10.1016/j.tics.2010.05.006" TargetMode="External"/><Relationship Id="rId57" Type="http://schemas.openxmlformats.org/officeDocument/2006/relationships/footer" Target="footer3.xml"/><Relationship Id="rId10" Type="http://schemas.openxmlformats.org/officeDocument/2006/relationships/hyperlink" Target="https://doi.org/10.1007/s11948-009-9142-5" TargetMode="External"/><Relationship Id="rId31" Type="http://schemas.openxmlformats.org/officeDocument/2006/relationships/hyperlink" Target="https://doi.org/10.1177/0956797614524581" TargetMode="External"/><Relationship Id="rId44" Type="http://schemas.openxmlformats.org/officeDocument/2006/relationships/hyperlink" Target="https://doi.org/10.1126/science.1207745" TargetMode="External"/><Relationship Id="rId5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24</Pages>
  <Words>12177</Words>
  <Characters>69410</Characters>
  <Application>Microsoft Office Word</Application>
  <DocSecurity>0</DocSecurity>
  <Lines>578</Lines>
  <Paragraphs>162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2026_AJOCR_15129</dc:title>
  <dc:subject/>
  <dc:creator>Managing Editor</dc:creator>
  <cp:keywords/>
  <dc:description/>
  <cp:lastModifiedBy>Editor-90</cp:lastModifiedBy>
  <cp:revision>11</cp:revision>
  <dcterms:created xsi:type="dcterms:W3CDTF">2026-06-21T14:03:00Z</dcterms:created>
  <dcterms:modified xsi:type="dcterms:W3CDTF">2026-06-27T07:58:00Z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6aaa5fda-8004-4ab3-84d5-32d98e586636</vt:lpwstr>
  </property>
</Properties>
</file>