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B9C9A" w14:textId="77777777" w:rsidR="00336B42" w:rsidRPr="00336B42" w:rsidRDefault="00336B42" w:rsidP="00426CF9">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336B42">
        <w:rPr>
          <w:rFonts w:ascii="Times New Roman" w:eastAsia="Times New Roman" w:hAnsi="Times New Roman" w:cs="Times New Roman"/>
          <w:b/>
          <w:bCs/>
          <w:sz w:val="36"/>
          <w:szCs w:val="36"/>
          <w:lang w:eastAsia="en-GB"/>
        </w:rPr>
        <w:t>Experimental Methodology for Antimicrobial Screening of Medicinal Plants: A Critical Review of Extraction, Phytochemical Characterisation and Susceptibility Testing Approaches</w:t>
      </w:r>
    </w:p>
    <w:p w14:paraId="2BA390CB"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Abstract</w:t>
      </w:r>
    </w:p>
    <w:p w14:paraId="3CF69536"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The rise of antimicrobial resistance has renewed scientific interest in medicinal plants as a source of novel antimicrobial leads, yet the methodological rigour applied to their laboratory evaluation remains highly variable across the published literature. This review critically examines the experimental workflow used in antimicrobial screening of medicinal plants, from plant selection and extraction through to phytochemical characterisation, in vitro susceptibility testing, anti-virulence and synergy assessment, mechanistic elucidation and safety evaluation. Conventional extraction techniques such as maceration, Soxhlet extraction and hydrodistillation are compared against modern approaches, including ultrasound-assisted extraction and green solvent systems based on natural deep eutectic solvents, with attention to yield, selectivity and preservation of thermolabile constituents. Qualitative phytochemical assays and chromatographic identification methods are discussed alongside their limitations for confirming bioactivity. The review evaluates the principal bacterial susceptibility testing formats, including disc diffusion, broth microdilution, agar dilution and bioautography, before turning to the distinct methodological demands of antifungal and antibiofilm testing, where reference standards developed by different standard-setting bodies do not always agree. Approaches for quantifying synergy between plant extracts and antibiotics, inhibition of bacterial quorum sensing, mechanistic studies of antimicrobial action, and cytotoxicity screening are considered in turn, illustrated with case studies drawn from several plant families. Recurring weaknesses identified across the literature include inconsistent reporting of extract concentrations, poor standardisation of inoculum size and growth media, limited use of appropriate positive and negative controls, and insufficient attention to reproducibility and selectivity. Recommendations are offered for methodological harmonisation to strengthen the translational value of future research in this field.</w:t>
      </w:r>
    </w:p>
    <w:p w14:paraId="5AC70DCF"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Keywords:</w:t>
      </w:r>
      <w:r w:rsidRPr="00336B42">
        <w:rPr>
          <w:rFonts w:ascii="Times New Roman" w:eastAsia="Times New Roman" w:hAnsi="Times New Roman" w:cs="Times New Roman"/>
          <w:sz w:val="24"/>
          <w:szCs w:val="24"/>
          <w:lang w:eastAsia="en-GB"/>
        </w:rPr>
        <w:t xml:space="preserve"> medicinal plants; antimicrobial screening; extraction methods; minimum inhibitory concentration; phytochemical analysis; quorum sensing; antibiotic resistance</w:t>
      </w:r>
    </w:p>
    <w:p w14:paraId="2169AC32"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 Introduction</w:t>
      </w:r>
    </w:p>
    <w:p w14:paraId="6DFFC683"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1.1 Background</w:t>
      </w:r>
    </w:p>
    <w:p w14:paraId="3B734A7D" w14:textId="0C6C327D" w:rsidR="00353AAD"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Plants have supplied humanity with therapeutic agents for millennia, and a substantial proportion of the modern pharmacopoeia can be traced, directly or indirectly, to phytochemical origins. Interest in the antimicrobial properties of medicinal plants has intensified in recent years as clinically important pathogens have acquired resistance to multiple classes of antibiotics, narrowing the therapeutic options available to clinicians. The World Health Organization has documented a continuing rise in resistance across numerous pathogen–antibiotic combinations monitored through its Global Antimicrobial Resistance and Use Surveillance System, with resistance increasing in a substantial proportion of the combinations tracked between 2018 and 2023 (World Health Organization, 2025). This trend has renewed scientific and commercial interest in botanical sources as reservoirs of </w:t>
      </w:r>
      <w:r w:rsidRPr="00336B42">
        <w:rPr>
          <w:rFonts w:ascii="Times New Roman" w:eastAsia="Times New Roman" w:hAnsi="Times New Roman" w:cs="Times New Roman"/>
          <w:sz w:val="24"/>
          <w:szCs w:val="24"/>
          <w:lang w:eastAsia="en-GB"/>
        </w:rPr>
        <w:lastRenderedPageBreak/>
        <w:t>structurally novel antimicrobial scaffolds, either as stand-alone agents, as adjuvants capable of restoring the efficacy of existing antibiotics, or as anti-virulence agents that disarm rather than kill the pathogen (Cushnie et al., 2020).</w:t>
      </w:r>
      <w:r w:rsidR="00426CF9">
        <w:rPr>
          <w:rFonts w:ascii="Times New Roman" w:eastAsia="Times New Roman" w:hAnsi="Times New Roman" w:cs="Times New Roman"/>
          <w:sz w:val="24"/>
          <w:szCs w:val="24"/>
          <w:lang w:eastAsia="en-GB"/>
        </w:rPr>
        <w:t xml:space="preserve"> </w:t>
      </w:r>
      <w:r w:rsidRPr="00426CF9">
        <w:rPr>
          <w:rFonts w:ascii="Times New Roman" w:hAnsi="Times New Roman"/>
          <w:bCs/>
          <w:highlight w:val="yellow"/>
        </w:rPr>
        <w:t>Recent reviews nevertheless emphasise that observed antimicrobial activity alone is insufficient for candidate prioritisation unless it is accompanied by clearer evidence on mechanism, safety and potential use alongside existing antibiotics (Angelini, 2024).</w:t>
      </w:r>
    </w:p>
    <w:p w14:paraId="50FD82DD"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1.2 Rationale for Methodological Scrutiny</w:t>
      </w:r>
    </w:p>
    <w:p w14:paraId="0B438B2E" w14:textId="0E2D20C3" w:rsidR="00353AAD" w:rsidRPr="00426CF9"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Despite the volume of published research on plant-derived antimicrobials, the field has long been criticised for methodological inconsistency. Studies frequently differ in the solvents and extraction conditions employed, the susceptibility testing format selected, the inoculum density and growth medium used, and the manner in which activity is expressed and interpreted. Klančnik et al. (2010) demonstrated that different diffusion and dilution methods can yield materially different estimates of antibacterial activity for the same plant extract, and cautioned that disc diffusion alone is unsuitable as a quantitative endpoint. Cushnie et al. (2020) extended this concern across the entire bioprospecting pipeline, arguing that mismatches between source material and screening strategy, inconsistent extract dissolution practice, and inattention to selectivity index calculation routinely undermine the translational credibility of otherwise promising findings. A critical appraisal of the experimental methodology underpinning this literature is therefore warranted.</w:t>
      </w:r>
      <w:r w:rsidR="00426CF9">
        <w:rPr>
          <w:rFonts w:ascii="Times New Roman" w:eastAsia="Times New Roman" w:hAnsi="Times New Roman" w:cs="Times New Roman"/>
          <w:sz w:val="24"/>
          <w:szCs w:val="24"/>
          <w:lang w:eastAsia="en-GB"/>
        </w:rPr>
        <w:t xml:space="preserve"> </w:t>
      </w:r>
      <w:r w:rsidRPr="00426CF9">
        <w:rPr>
          <w:rFonts w:ascii="Times New Roman" w:hAnsi="Times New Roman"/>
          <w:bCs/>
          <w:highlight w:val="yellow"/>
        </w:rPr>
        <w:t>Recent methodological reviews further show that the selection and interpretation of antimicrobial assays are shaped by practicality, sensitivity, reproducibility, extract solubility and the absence of natural-product-specific breakpoints (Gonzalez-Pastor et al., 2023). Standardised preliminary screening approaches have therefore been proposed to improve the consistency and efficiency of testing plant materials and fractionated extracts (Zubko, 2024). Large-scale screening of prefractionated natural-product libraries also illustrates the value of linking primary screening to dose-response confirmation and subsequent identification of active constituents within a staged workflow (Martínez-Fructuoso et al., 2023).</w:t>
      </w:r>
    </w:p>
    <w:p w14:paraId="393F1F48"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1.3 Scope, Research Gap and Objectives</w:t>
      </w:r>
    </w:p>
    <w:p w14:paraId="459FD024"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This review focuses specifically on the experimental methods used to evaluate the antimicrobial properties of medicinal plants in vitro, spanning the sequence from raw material selection through extraction, phytochemical characterisation, bacterial and fungal susceptibility testing, anti-virulence and synergy assessment, mechanistic investigation and preliminary safety screening. It does not attempt to catalogue individual plant species or their reported activities in an exhaustive sense, nor does it address clinical or in vivo pharmacokinetic evidence, which lie outside the intended scope. The principal research gap addressed here concerns the absence of a single, widely cited synthesis that draws together methodological guidance across the full experimental pipeline, rather than treating extraction, bacterial testing, antifungal testing and mechanistic work as separate literatures. The objectives of the review are fourfold: first, to compare the technical basis, advantages and limitations of the principal extraction and testing methods currently in use, including modern green extraction chemistry; second, to examine the distinct methodological considerations that apply when the target organism is a fungus rather than a bacterium, or when the endpoint of interest is virulence attenuation rather than growth inhibition; third, to identify recurring sources of methodological weakness that compromise comparability between studies, illustrated with case studies from several plant families; and fourth, to propose practical recommendations that might improve the rigour and translational value of future experimental work in this area.</w:t>
      </w:r>
    </w:p>
    <w:p w14:paraId="1F00DDC1"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lastRenderedPageBreak/>
        <w:t>2. Methods for Literature Selection</w:t>
      </w:r>
    </w:p>
    <w:p w14:paraId="7F48056F"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2.1 Information Sources</w:t>
      </w:r>
    </w:p>
    <w:p w14:paraId="090568BE"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Literature was identified through structured searches of Web of Science, Scopus, PubMed and Google Scholar, supplemented by field-specific indexing platforms selected for their coverage of natural product and microbiological research: CAB Abstracts, AGRICOLA, the Directory of Open Access Journals, and the Cochrane Library for methodological guidance on review conduct. Reference lists of retrieved articles were also screened manually to identify additional relevant studies not captured by the electronic search.</w:t>
      </w:r>
    </w:p>
    <w:p w14:paraId="2F8FE66A"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2.2 Search Strategy and Date Range</w:t>
      </w:r>
    </w:p>
    <w:p w14:paraId="3E873C7C"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Search strings combined terms relating to plant material ("medicinal plant*" OR "plant extract*" OR "phytochemical*"), antimicrobial evaluation ("antimicrobial screening" OR "antibacterial activity" OR "antifungal activity" OR "minimum inhibitory concentration" OR "disc diffusion" OR "broth microdilution" OR "biofilm"), anti-virulence approaches ("quorum sensing inhibitor*" OR "anti-virulence"), and methodology ("extraction method*" OR "green extraction" OR "susceptibility testing" OR "bioautography" OR "synergy" OR "checkerboard" OR "selectivity index"). Boolean operators and truncation were applied consistently across databases, with search fields restricted to title, abstract and keywords. The literature search covered material published between 2005 and April 2026, a window selected to capture the period during which standardised Clinical and Laboratory Standards Institute protocols became widely adopted in natural product research, while classic methodological papers published prior to this window were retained where they remain the primary methodological reference for a given technique.</w:t>
      </w:r>
    </w:p>
    <w:p w14:paraId="652841ED"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2.3 Inclusion and Exclusion Criteria</w:t>
      </w:r>
    </w:p>
    <w:p w14:paraId="54761BFB"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Peer-reviewed original research articles and review articles published in indexed journals were eligible for inclusion where they addressed at least one stage of the experimental pipeline for antimicrobial screening of medicinal plants. Authoritative institutional reports were considered where no equivalent peer-reviewed source existed, provided a verifiable uniform resource locator was available. Books, unpublished theses, conference abstracts, trade publications, preprints, patents and non-peer-reviewed sources were excluded. Articles not available in English, and those for which full-text access could not be obtained, were also excluded.</w:t>
      </w:r>
    </w:p>
    <w:p w14:paraId="521C41D3"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2.4 Rationale for a Narrative Approach</w:t>
      </w:r>
    </w:p>
    <w:p w14:paraId="21162D19"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 narrative rather than a systematic review design was adopted because the objective was to synthesise methodological principles and technical comparisons across a heterogeneous body of laboratory literature rather than to answer a single, narrowly defined clinical or effectiveness question amenable to quantitative pooling. Narrative reviews are recognised as a distinct and legitimate form of knowledge synthesis, particularly suited to topics where the aim is broad interpretation and critical appraisal of methods rather than aggregation of comparable outcome measures (Sukhera, 2022). This approach permitted flexible integration of technical, chemical and microbiological literature that would not readily conform to a single systematic review protocol.</w:t>
      </w:r>
    </w:p>
    <w:p w14:paraId="6ACCCBB5" w14:textId="77777777" w:rsidR="00336B42" w:rsidRPr="00336B42" w:rsidRDefault="00336B42" w:rsidP="00426CF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lastRenderedPageBreak/>
        <w:t>2.5 Screening Workflow and Selection of Influential Studies</w:t>
      </w:r>
    </w:p>
    <w:p w14:paraId="4DAFBE5D"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Titles and abstracts retrieved from each database were screened for topical relevance, and duplicate records identified across databases were removed prior to full-text assessment. Full texts were then examined against the inclusion criteria described above. Where multiple studies reported broadly similar methodological findings, preference was given to those most frequently cited within the field, those published in higher-impact microbiology or pharmacognosy journals, and those offering the clearest technical description of the method under discussion, or the clearest illustrative case study of a particular plant family. Non-English language records identified during screening were excluded at the title and abstract stage.</w:t>
      </w:r>
    </w:p>
    <w:p w14:paraId="6A26C6EE"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3. Selection and Preparation of Plant Material</w:t>
      </w:r>
    </w:p>
    <w:p w14:paraId="6CAA8DCC"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The reliability of any subsequent antimicrobial assay depends substantially on the quality of the plant material used. Botanical authentication by a qualified taxonomist, with deposition of a voucher specimen in a recognised herbarium, is considered essential practice, since misidentification undermines the reproducibility of any reported activity. Plant part selection (leaf, bark, root, seed, flower or whole plant), collection season, geographical origin and post-harvest handling all influence the concentration of secondary metabolites and, consequently, the antimicrobial activity subsequently measured. Kebede et al. (2021) illustrated this dependence in their evaluation of seven Ethiopian medicinal plants, in which percentage extraction yield varied considerably between species collected from the same locality and processed under identical conditions. Cushnie et al. (2020) further note that legal and taxonomic due diligence surrounding source material, including compliance with access and benefit-sharing obligations, has become an unavoidable component of responsible bioprospecting and should be documented alongside the botanical methods section of any study.</w:t>
      </w:r>
    </w:p>
    <w:p w14:paraId="660EB62E"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4. Extraction Methodologies</w:t>
      </w:r>
    </w:p>
    <w:p w14:paraId="5D6FF247"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Extraction represents the critical interface between raw plant material and the pool of bioactive constituents available for testing, and the choice of solvent and technique materially shapes the phytochemical profile obtained. Conventional methods, including maceration, Soxhlet extraction and hydrodistillation, remain widely used owing to their simplicity and low equipment cost, but are frequently criticised for prolonged extraction times, high solvent consumption and thermal degradation of heat-sensitive constituents such as certain flavonoids and terpenoids (Zaky et al., 2024). Modern techniques, including ultrasound-assisted extraction, microwave-assisted extraction, pressurised liquid extraction and supercritical fluid extraction, have been developed to address these shortcomings, generally offering shorter processing times, reduced solvent volumes and improved preservation of thermolabile compounds, although at greater capital cost and with a need for careful optimisation of parameters such as power, temperature and pressure (Ferri et al., 2023; Zaky et al., 2024).</w:t>
      </w:r>
    </w:p>
    <w:p w14:paraId="2AAE7964"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A further development of particular relevance to antimicrobial screening is the use of natural deep eutectic solvents, formed by combining hydrogen-bond donors and acceptors such as choline chloride, organic acids and sugars in defined molar ratios. García-Roldán et al. (2023) demonstrated that natural deep eutectic solvent extraction of polyphenols from spent coffee ground produced extracts whose antimicrobial activity was around ten times greater than that of equivalent ethanolic or aqueous extracts, while operating under milder temperature </w:t>
      </w:r>
      <w:r w:rsidRPr="00336B42">
        <w:rPr>
          <w:rFonts w:ascii="Times New Roman" w:eastAsia="Times New Roman" w:hAnsi="Times New Roman" w:cs="Times New Roman"/>
          <w:sz w:val="24"/>
          <w:szCs w:val="24"/>
          <w:lang w:eastAsia="en-GB"/>
        </w:rPr>
        <w:lastRenderedPageBreak/>
        <w:t>conditions and avoiding flammable organic solvents. This finding illustrates a wider principle in green extraction chemistry: the improved selectivity of these solvents for polyphenolic constituents can translate directly into enhanced antimicrobial potency, rather than merely offering an environmentally preferable alternative with equivalent yield. Solvent polarity more generally exerts a dominant influence on which classes of secondary metabolite are recovered, and comparative studies consistently find that hydroalcoholic mixtures, typically 70–80 per cent methanol or ethanol in water, extract a broader spectrum of phenolic and flavonoid constituents than purely aqueous or purely non-polar solvents, translating into superior antimicrobial performance in several plant species (Kebede et al., 2021).</w:t>
      </w:r>
    </w:p>
    <w:p w14:paraId="0273C4E1"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Table 1 summarises the principal extraction methods discussed above, comparing their underlying principle, typical yield or selectivity profile, and key limitations.</w:t>
      </w:r>
    </w:p>
    <w:p w14:paraId="2E548D28"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1. Comparison of principal extraction methods used in antimicrobial screening of medicinal plants</w:t>
      </w:r>
    </w:p>
    <w:tbl>
      <w:tblPr>
        <w:tblStyle w:val="TableGrid"/>
        <w:tblW w:w="0" w:type="auto"/>
        <w:tblLook w:val="04A0" w:firstRow="1" w:lastRow="0" w:firstColumn="1" w:lastColumn="0" w:noHBand="0" w:noVBand="1"/>
      </w:tblPr>
      <w:tblGrid>
        <w:gridCol w:w="1904"/>
        <w:gridCol w:w="1960"/>
        <w:gridCol w:w="1983"/>
        <w:gridCol w:w="2059"/>
        <w:gridCol w:w="1336"/>
      </w:tblGrid>
      <w:tr w:rsidR="00336B42" w:rsidRPr="00336B42" w14:paraId="16ABF5E1" w14:textId="77777777" w:rsidTr="00336B42">
        <w:tc>
          <w:tcPr>
            <w:tcW w:w="0" w:type="auto"/>
            <w:hideMark/>
          </w:tcPr>
          <w:p w14:paraId="7CB811D2"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Method</w:t>
            </w:r>
          </w:p>
        </w:tc>
        <w:tc>
          <w:tcPr>
            <w:tcW w:w="0" w:type="auto"/>
            <w:hideMark/>
          </w:tcPr>
          <w:p w14:paraId="3C909169"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Principle</w:t>
            </w:r>
          </w:p>
        </w:tc>
        <w:tc>
          <w:tcPr>
            <w:tcW w:w="0" w:type="auto"/>
            <w:hideMark/>
          </w:tcPr>
          <w:p w14:paraId="1127472F"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Typical yield/selectivity</w:t>
            </w:r>
          </w:p>
        </w:tc>
        <w:tc>
          <w:tcPr>
            <w:tcW w:w="0" w:type="auto"/>
            <w:hideMark/>
          </w:tcPr>
          <w:p w14:paraId="2AE287FA"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Key limitations</w:t>
            </w:r>
          </w:p>
        </w:tc>
        <w:tc>
          <w:tcPr>
            <w:tcW w:w="0" w:type="auto"/>
            <w:hideMark/>
          </w:tcPr>
          <w:p w14:paraId="4F875A9C"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references</w:t>
            </w:r>
          </w:p>
        </w:tc>
      </w:tr>
      <w:tr w:rsidR="00336B42" w:rsidRPr="00336B42" w14:paraId="5E3ECE3C" w14:textId="77777777" w:rsidTr="00336B42">
        <w:tc>
          <w:tcPr>
            <w:tcW w:w="0" w:type="auto"/>
            <w:hideMark/>
          </w:tcPr>
          <w:p w14:paraId="5E047F1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Maceration</w:t>
            </w:r>
          </w:p>
        </w:tc>
        <w:tc>
          <w:tcPr>
            <w:tcW w:w="0" w:type="auto"/>
            <w:hideMark/>
          </w:tcPr>
          <w:p w14:paraId="6D8CAB0F"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Prolonged soaking in solvent at ambient temperature</w:t>
            </w:r>
          </w:p>
        </w:tc>
        <w:tc>
          <w:tcPr>
            <w:tcW w:w="0" w:type="auto"/>
            <w:hideMark/>
          </w:tcPr>
          <w:p w14:paraId="488B5B8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Moderate yield; broad-spectrum recovery</w:t>
            </w:r>
          </w:p>
        </w:tc>
        <w:tc>
          <w:tcPr>
            <w:tcW w:w="0" w:type="auto"/>
            <w:hideMark/>
          </w:tcPr>
          <w:p w14:paraId="254243D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Slow (days); risk of microbial contamination of extract</w:t>
            </w:r>
          </w:p>
        </w:tc>
        <w:tc>
          <w:tcPr>
            <w:tcW w:w="0" w:type="auto"/>
            <w:hideMark/>
          </w:tcPr>
          <w:p w14:paraId="7A31A97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Zaky et al. (2024); Kebede et al. (2021)</w:t>
            </w:r>
          </w:p>
        </w:tc>
      </w:tr>
      <w:tr w:rsidR="00336B42" w:rsidRPr="00336B42" w14:paraId="167F50F5" w14:textId="77777777" w:rsidTr="00336B42">
        <w:tc>
          <w:tcPr>
            <w:tcW w:w="0" w:type="auto"/>
            <w:hideMark/>
          </w:tcPr>
          <w:p w14:paraId="2A7AC0D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Soxhlet extraction</w:t>
            </w:r>
          </w:p>
        </w:tc>
        <w:tc>
          <w:tcPr>
            <w:tcW w:w="0" w:type="auto"/>
            <w:hideMark/>
          </w:tcPr>
          <w:p w14:paraId="4243F6C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Continuous solvent reflux through plant matrix</w:t>
            </w:r>
          </w:p>
        </w:tc>
        <w:tc>
          <w:tcPr>
            <w:tcW w:w="0" w:type="auto"/>
            <w:hideMark/>
          </w:tcPr>
          <w:p w14:paraId="445F1CDD"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yield for non-polar/moderately polar constituents</w:t>
            </w:r>
          </w:p>
        </w:tc>
        <w:tc>
          <w:tcPr>
            <w:tcW w:w="0" w:type="auto"/>
            <w:hideMark/>
          </w:tcPr>
          <w:p w14:paraId="0FE32BB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Prolonged heating; thermal degradation of labile compounds</w:t>
            </w:r>
          </w:p>
        </w:tc>
        <w:tc>
          <w:tcPr>
            <w:tcW w:w="0" w:type="auto"/>
            <w:hideMark/>
          </w:tcPr>
          <w:p w14:paraId="1910043D"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Zaky et al. (2024)</w:t>
            </w:r>
          </w:p>
        </w:tc>
      </w:tr>
      <w:tr w:rsidR="00336B42" w:rsidRPr="00336B42" w14:paraId="1E262622" w14:textId="77777777" w:rsidTr="00336B42">
        <w:tc>
          <w:tcPr>
            <w:tcW w:w="0" w:type="auto"/>
            <w:hideMark/>
          </w:tcPr>
          <w:p w14:paraId="2D5194B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Hydrodistillation</w:t>
            </w:r>
          </w:p>
        </w:tc>
        <w:tc>
          <w:tcPr>
            <w:tcW w:w="0" w:type="auto"/>
            <w:hideMark/>
          </w:tcPr>
          <w:p w14:paraId="2DC2A51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Steam-mediated volatilisation of essential oil constituents</w:t>
            </w:r>
          </w:p>
        </w:tc>
        <w:tc>
          <w:tcPr>
            <w:tcW w:w="0" w:type="auto"/>
            <w:hideMark/>
          </w:tcPr>
          <w:p w14:paraId="1F444C2F"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selectivity for volatile terpenoids</w:t>
            </w:r>
          </w:p>
        </w:tc>
        <w:tc>
          <w:tcPr>
            <w:tcW w:w="0" w:type="auto"/>
            <w:hideMark/>
          </w:tcPr>
          <w:p w14:paraId="1A2B5EF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Limited to volatile fraction; loses non-volatile actives</w:t>
            </w:r>
          </w:p>
        </w:tc>
        <w:tc>
          <w:tcPr>
            <w:tcW w:w="0" w:type="auto"/>
            <w:hideMark/>
          </w:tcPr>
          <w:p w14:paraId="0CE73D4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Filatov et al. (2023); Ghavam et al. (2022)</w:t>
            </w:r>
          </w:p>
        </w:tc>
      </w:tr>
      <w:tr w:rsidR="00336B42" w:rsidRPr="00336B42" w14:paraId="2323A52D" w14:textId="77777777" w:rsidTr="00336B42">
        <w:tc>
          <w:tcPr>
            <w:tcW w:w="0" w:type="auto"/>
            <w:hideMark/>
          </w:tcPr>
          <w:p w14:paraId="3891A45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Ultrasound-assisted extraction</w:t>
            </w:r>
          </w:p>
        </w:tc>
        <w:tc>
          <w:tcPr>
            <w:tcW w:w="0" w:type="auto"/>
            <w:hideMark/>
          </w:tcPr>
          <w:p w14:paraId="4659999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Acoustic cavitation disrupts cell walls, enhancing solvent penetration</w:t>
            </w:r>
          </w:p>
        </w:tc>
        <w:tc>
          <w:tcPr>
            <w:tcW w:w="0" w:type="auto"/>
            <w:hideMark/>
          </w:tcPr>
          <w:p w14:paraId="7665C10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Reduced extraction time; improved yield of phenolics</w:t>
            </w:r>
          </w:p>
        </w:tc>
        <w:tc>
          <w:tcPr>
            <w:tcW w:w="0" w:type="auto"/>
            <w:hideMark/>
          </w:tcPr>
          <w:p w14:paraId="38AAB92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Requires optimisation of frequency/power; scale-up challenges</w:t>
            </w:r>
          </w:p>
        </w:tc>
        <w:tc>
          <w:tcPr>
            <w:tcW w:w="0" w:type="auto"/>
            <w:hideMark/>
          </w:tcPr>
          <w:p w14:paraId="088CF87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Ferri et al. (2023); Zaky et al. (2024)</w:t>
            </w:r>
          </w:p>
        </w:tc>
      </w:tr>
      <w:tr w:rsidR="00336B42" w:rsidRPr="00336B42" w14:paraId="17E70369" w14:textId="77777777" w:rsidTr="00336B42">
        <w:tc>
          <w:tcPr>
            <w:tcW w:w="0" w:type="auto"/>
            <w:hideMark/>
          </w:tcPr>
          <w:p w14:paraId="29846393"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Natural deep eutectic solvent extraction</w:t>
            </w:r>
          </w:p>
        </w:tc>
        <w:tc>
          <w:tcPr>
            <w:tcW w:w="0" w:type="auto"/>
            <w:hideMark/>
          </w:tcPr>
          <w:p w14:paraId="56ECC90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Hydrogen-bonded eutectic mixtures (e.g., choline chloride/organic acid) replace organic solvents</w:t>
            </w:r>
          </w:p>
        </w:tc>
        <w:tc>
          <w:tcPr>
            <w:tcW w:w="0" w:type="auto"/>
            <w:hideMark/>
          </w:tcPr>
          <w:p w14:paraId="54E90E73"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polyphenol selectivity; markedly enhanced antimicrobial yield reported</w:t>
            </w:r>
          </w:p>
        </w:tc>
        <w:tc>
          <w:tcPr>
            <w:tcW w:w="0" w:type="auto"/>
            <w:hideMark/>
          </w:tcPr>
          <w:p w14:paraId="0BDC23C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Higher viscosity complicates downstream handling; optimisation of molar ratio required</w:t>
            </w:r>
          </w:p>
        </w:tc>
        <w:tc>
          <w:tcPr>
            <w:tcW w:w="0" w:type="auto"/>
            <w:hideMark/>
          </w:tcPr>
          <w:p w14:paraId="17544BA7"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García-Roldán et al. (2023)</w:t>
            </w:r>
          </w:p>
        </w:tc>
      </w:tr>
      <w:tr w:rsidR="00336B42" w:rsidRPr="00336B42" w14:paraId="76234204" w14:textId="77777777" w:rsidTr="00336B42">
        <w:tc>
          <w:tcPr>
            <w:tcW w:w="0" w:type="auto"/>
            <w:hideMark/>
          </w:tcPr>
          <w:p w14:paraId="147AA06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Supercritical fluid extraction (CO₂)</w:t>
            </w:r>
          </w:p>
        </w:tc>
        <w:tc>
          <w:tcPr>
            <w:tcW w:w="0" w:type="auto"/>
            <w:hideMark/>
          </w:tcPr>
          <w:p w14:paraId="3F6826F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Solvation using fluid above its critical point</w:t>
            </w:r>
          </w:p>
        </w:tc>
        <w:tc>
          <w:tcPr>
            <w:tcW w:w="0" w:type="auto"/>
            <w:hideMark/>
          </w:tcPr>
          <w:p w14:paraId="19AAED1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selectivity; solvent-free extract</w:t>
            </w:r>
          </w:p>
        </w:tc>
        <w:tc>
          <w:tcPr>
            <w:tcW w:w="0" w:type="auto"/>
            <w:hideMark/>
          </w:tcPr>
          <w:p w14:paraId="4D56DA7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capital cost; limited to non-polar/moderately polar targets without co-solvent</w:t>
            </w:r>
          </w:p>
        </w:tc>
        <w:tc>
          <w:tcPr>
            <w:tcW w:w="0" w:type="auto"/>
            <w:hideMark/>
          </w:tcPr>
          <w:p w14:paraId="1807967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Zaky et al. (2024)</w:t>
            </w:r>
          </w:p>
        </w:tc>
      </w:tr>
    </w:tbl>
    <w:p w14:paraId="41A892E8"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lastRenderedPageBreak/>
        <w:t>5. Phytochemical Screening and Characterisation</w:t>
      </w:r>
    </w:p>
    <w:p w14:paraId="7B18A711"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Following extraction, preliminary qualitative phytochemical screening is routinely undertaken to identify the broad classes of secondary metabolite present, using colorimetric and precipitation reactions for alkaloids, flavonoids, tannins, saponins, terpenoids, cardiac glycosides and phenolic compounds. Kebede et al. (2021) applied standard reagent-based tests, including Dragendorff's reagent for alkaloids, ferric chloride for phenolics and the Salkowski test for terpenoids, to demonstrate that methanolic extracts of Ethiopian medicinal plants contained a wider array of secondary metabolites than corresponding aqueous extracts, a pattern that paralleled the superior antimicrobial performance of the methanolic fractions. Comparable qualitative profiling was applied by Obistioiu et al. (2021) across four Fabaceae species, in which the presence of flavonoids and tannins correlated with activity against Staphylococcus aureus and Streptococcus pyogenes.</w:t>
      </w:r>
    </w:p>
    <w:p w14:paraId="7BCE40BE"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While informative for a preliminary characterisation, qualitative colour and precipitation reactions are inherently non-specific and provide no quantitative measure of constituent concentration, so authors are increasingly encouraged to supplement these tests with chromatographic or spectrometric confirmation. Gas chromatography–mass spectrometry has become the principal method for characterising volatile constituents of essential oils and related preparations, and validated methods now exist that satisfy pharmacopoeial requirements for specificity, linearity and precision when quantifying individual terpenoid markers within a multicomponent antimicrobial preparation (Filatov et al., 2023). High-performance liquid chromatography is similarly applied to quantify individual phenolic acids and flavonoids, allowing the phytochemical profile of an extract to be linked more directly to its measured antimicrobial potency than is possible using qualitative screening alone.</w:t>
      </w:r>
    </w:p>
    <w:p w14:paraId="3296A5BF"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Table 2 sets out the reagent-based screening tests most commonly used at this stage, alongside their target constituent class and positive indicator.</w:t>
      </w:r>
    </w:p>
    <w:p w14:paraId="58615971"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2. Common qualitative phytochemical screening tests and their target constituents</w:t>
      </w:r>
    </w:p>
    <w:tbl>
      <w:tblPr>
        <w:tblStyle w:val="TableGrid"/>
        <w:tblW w:w="0" w:type="auto"/>
        <w:tblLook w:val="04A0" w:firstRow="1" w:lastRow="0" w:firstColumn="1" w:lastColumn="0" w:noHBand="0" w:noVBand="1"/>
      </w:tblPr>
      <w:tblGrid>
        <w:gridCol w:w="2510"/>
        <w:gridCol w:w="2578"/>
        <w:gridCol w:w="2318"/>
        <w:gridCol w:w="1836"/>
      </w:tblGrid>
      <w:tr w:rsidR="00336B42" w:rsidRPr="00336B42" w14:paraId="4D7F59A8" w14:textId="77777777" w:rsidTr="00336B42">
        <w:tc>
          <w:tcPr>
            <w:tcW w:w="0" w:type="auto"/>
            <w:hideMark/>
          </w:tcPr>
          <w:p w14:paraId="29B121B6"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Test</w:t>
            </w:r>
          </w:p>
        </w:tc>
        <w:tc>
          <w:tcPr>
            <w:tcW w:w="0" w:type="auto"/>
            <w:hideMark/>
          </w:tcPr>
          <w:p w14:paraId="0B671EE8"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Target constituent class</w:t>
            </w:r>
          </w:p>
        </w:tc>
        <w:tc>
          <w:tcPr>
            <w:tcW w:w="0" w:type="auto"/>
            <w:hideMark/>
          </w:tcPr>
          <w:p w14:paraId="0E197151"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Positive indication</w:t>
            </w:r>
          </w:p>
        </w:tc>
        <w:tc>
          <w:tcPr>
            <w:tcW w:w="0" w:type="auto"/>
            <w:hideMark/>
          </w:tcPr>
          <w:p w14:paraId="011CEB66"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w:t>
            </w:r>
          </w:p>
        </w:tc>
      </w:tr>
      <w:tr w:rsidR="00336B42" w:rsidRPr="00336B42" w14:paraId="488AF846" w14:textId="77777777" w:rsidTr="00336B42">
        <w:tc>
          <w:tcPr>
            <w:tcW w:w="0" w:type="auto"/>
            <w:hideMark/>
          </w:tcPr>
          <w:p w14:paraId="299F655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Dragendorff/Mayer test</w:t>
            </w:r>
          </w:p>
        </w:tc>
        <w:tc>
          <w:tcPr>
            <w:tcW w:w="0" w:type="auto"/>
            <w:hideMark/>
          </w:tcPr>
          <w:p w14:paraId="62FE86D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Alkaloids</w:t>
            </w:r>
          </w:p>
        </w:tc>
        <w:tc>
          <w:tcPr>
            <w:tcW w:w="0" w:type="auto"/>
            <w:hideMark/>
          </w:tcPr>
          <w:p w14:paraId="59883C6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Orange-brown or cream precipitate</w:t>
            </w:r>
          </w:p>
        </w:tc>
        <w:tc>
          <w:tcPr>
            <w:tcW w:w="0" w:type="auto"/>
            <w:hideMark/>
          </w:tcPr>
          <w:p w14:paraId="5A8201C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56067367" w14:textId="77777777" w:rsidTr="00336B42">
        <w:tc>
          <w:tcPr>
            <w:tcW w:w="0" w:type="auto"/>
            <w:hideMark/>
          </w:tcPr>
          <w:p w14:paraId="16636C2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Ferric chloride test</w:t>
            </w:r>
          </w:p>
        </w:tc>
        <w:tc>
          <w:tcPr>
            <w:tcW w:w="0" w:type="auto"/>
            <w:hideMark/>
          </w:tcPr>
          <w:p w14:paraId="7F37C12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Phenolic compounds/tannins</w:t>
            </w:r>
          </w:p>
        </w:tc>
        <w:tc>
          <w:tcPr>
            <w:tcW w:w="0" w:type="auto"/>
            <w:hideMark/>
          </w:tcPr>
          <w:p w14:paraId="18FA7BA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Blue-black or greenish colouration</w:t>
            </w:r>
          </w:p>
        </w:tc>
        <w:tc>
          <w:tcPr>
            <w:tcW w:w="0" w:type="auto"/>
            <w:hideMark/>
          </w:tcPr>
          <w:p w14:paraId="5C66278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 Obistioiu et al. (2021)</w:t>
            </w:r>
          </w:p>
        </w:tc>
      </w:tr>
      <w:tr w:rsidR="00336B42" w:rsidRPr="00336B42" w14:paraId="5878D58E" w14:textId="77777777" w:rsidTr="00336B42">
        <w:tc>
          <w:tcPr>
            <w:tcW w:w="0" w:type="auto"/>
            <w:hideMark/>
          </w:tcPr>
          <w:p w14:paraId="508613B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Frothing test</w:t>
            </w:r>
          </w:p>
        </w:tc>
        <w:tc>
          <w:tcPr>
            <w:tcW w:w="0" w:type="auto"/>
            <w:hideMark/>
          </w:tcPr>
          <w:p w14:paraId="42AEBFB3"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Saponins</w:t>
            </w:r>
          </w:p>
        </w:tc>
        <w:tc>
          <w:tcPr>
            <w:tcW w:w="0" w:type="auto"/>
            <w:hideMark/>
          </w:tcPr>
          <w:p w14:paraId="44FD11A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Persistent foam after agitation</w:t>
            </w:r>
          </w:p>
        </w:tc>
        <w:tc>
          <w:tcPr>
            <w:tcW w:w="0" w:type="auto"/>
            <w:hideMark/>
          </w:tcPr>
          <w:p w14:paraId="3B9B863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211032C6" w14:textId="77777777" w:rsidTr="00336B42">
        <w:tc>
          <w:tcPr>
            <w:tcW w:w="0" w:type="auto"/>
            <w:hideMark/>
          </w:tcPr>
          <w:p w14:paraId="2EA57FCE"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Salkowski test</w:t>
            </w:r>
          </w:p>
        </w:tc>
        <w:tc>
          <w:tcPr>
            <w:tcW w:w="0" w:type="auto"/>
            <w:hideMark/>
          </w:tcPr>
          <w:p w14:paraId="1E24C5CC"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Terpenoids</w:t>
            </w:r>
          </w:p>
        </w:tc>
        <w:tc>
          <w:tcPr>
            <w:tcW w:w="0" w:type="auto"/>
            <w:hideMark/>
          </w:tcPr>
          <w:p w14:paraId="03C4F34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Grey/reddish-brown interface colouration</w:t>
            </w:r>
          </w:p>
        </w:tc>
        <w:tc>
          <w:tcPr>
            <w:tcW w:w="0" w:type="auto"/>
            <w:hideMark/>
          </w:tcPr>
          <w:p w14:paraId="35B5F8A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04C4A722" w14:textId="77777777" w:rsidTr="00336B42">
        <w:tc>
          <w:tcPr>
            <w:tcW w:w="0" w:type="auto"/>
            <w:hideMark/>
          </w:tcPr>
          <w:p w14:paraId="05789A3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Keller–Kiliani test</w:t>
            </w:r>
          </w:p>
        </w:tc>
        <w:tc>
          <w:tcPr>
            <w:tcW w:w="0" w:type="auto"/>
            <w:hideMark/>
          </w:tcPr>
          <w:p w14:paraId="7EC00F7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Cardiac glycosides</w:t>
            </w:r>
          </w:p>
        </w:tc>
        <w:tc>
          <w:tcPr>
            <w:tcW w:w="0" w:type="auto"/>
            <w:hideMark/>
          </w:tcPr>
          <w:p w14:paraId="291EDF0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Reddish-brown interface ring</w:t>
            </w:r>
          </w:p>
        </w:tc>
        <w:tc>
          <w:tcPr>
            <w:tcW w:w="0" w:type="auto"/>
            <w:hideMark/>
          </w:tcPr>
          <w:p w14:paraId="205F582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Kebede et al. (2021)</w:t>
            </w:r>
          </w:p>
        </w:tc>
      </w:tr>
      <w:tr w:rsidR="00336B42" w:rsidRPr="00336B42" w14:paraId="646ED71A" w14:textId="77777777" w:rsidTr="00336B42">
        <w:tc>
          <w:tcPr>
            <w:tcW w:w="0" w:type="auto"/>
            <w:hideMark/>
          </w:tcPr>
          <w:p w14:paraId="074C7F3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Gas chromatography–mass spectrometry</w:t>
            </w:r>
          </w:p>
        </w:tc>
        <w:tc>
          <w:tcPr>
            <w:tcW w:w="0" w:type="auto"/>
            <w:hideMark/>
          </w:tcPr>
          <w:p w14:paraId="1CB9663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Volatile terpenoids, essential oil constituents</w:t>
            </w:r>
          </w:p>
        </w:tc>
        <w:tc>
          <w:tcPr>
            <w:tcW w:w="0" w:type="auto"/>
            <w:hideMark/>
          </w:tcPr>
          <w:p w14:paraId="0F92B11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Quantified peak matched to reference spectral library</w:t>
            </w:r>
          </w:p>
        </w:tc>
        <w:tc>
          <w:tcPr>
            <w:tcW w:w="0" w:type="auto"/>
            <w:hideMark/>
          </w:tcPr>
          <w:p w14:paraId="09A0447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Filatov et al. (2023); Ghavam et al. (2022)</w:t>
            </w:r>
          </w:p>
        </w:tc>
      </w:tr>
    </w:tbl>
    <w:p w14:paraId="0B3EECCC"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lastRenderedPageBreak/>
        <w:t>6. In Vitro Antibacterial Susceptibility Testing</w:t>
      </w:r>
    </w:p>
    <w:p w14:paraId="080EF440"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The evaluation of antibacterial activity in vitro relies on a small number of core methodological formats, each with distinct strengths and limitations, and no single format has emerged as a universal reference standard analogous to the protocols long established for synthetic antibiotics. The disc or well diffusion method, in which a defined volume or mass of extract diffuses radially through an agar medium seeded with a test organism, remains the most widely used preliminary screening tool owing to its simplicity, low cost and capacity to test multiple samples simultaneously. However, its principal limitation is that the diameter of the resulting inhibition zone is strongly influenced by the diffusion coefficient of the test substance through agar, meaning that hydrophobic or high-molecular-weight constituents diffuse poorly and may appear inactive despite genuine antimicrobial potency (Klančnik et al., 2010). For this reason, diffusion methods are best regarded as a qualitative or semi-quantitative screening step rather than a definitive measure of activity, and should be followed by a dilution-based method capable of generating a quantitative minimum inhibitory concentration.</w:t>
      </w:r>
    </w:p>
    <w:p w14:paraId="40BD002F"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Broth microdilution, performed in ninety-six-well microtitre plates, has become the preferred quantitative method for determining minimum inhibitory concentration and minimum bactericidal concentration, following serial two-fold dilution of the extract across a defined concentration range in a standard broth medium (Wiegand et al., 2008). The addition of a tetrazolium-based viability indicator, such as 2,3,5-triphenyltetrazolium chloride, assists visual determination of the endpoint in extracts that themselves possess colour or turbidity, since bacterial dehydrogenase activity reduces the colourless salt to a coloured formazan product only in viable cells (Klančnik et al., 2010). Agar dilution, in which the extract is incorporated directly into molten agar prior to solidification and inoculation, offers comparable accuracy to broth microdilution for Gram-positive organisms but is more resource-intensive and less amenable to high-throughput screening (Klančnik et al., 2010). Bioautography, which couples thin-layer chromatographic separation of extract constituents with an overlaid agar or direct contact bioassay, allows the specific chromatographic band responsible for observed activity to be localised prior to isolation, and remains a valuable tool for activity-guided fractionation of complex extracts (Rahalison et al., 1991).</w:t>
      </w:r>
    </w:p>
    <w:p w14:paraId="2DBCE91C"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Across all bacterial testing formats, a recurring methodological weakness in the published literature is inconsistent reporting of inoculum density, incubation temperature and duration, and the identity and concentration of positive control antibiotics, all of which materially affect the comparability of reported minimum inhibitory concentration values between laboratories (Wiegand et al., 2008; Cushnie et al., 2020). Standardised protocols developed originally for antibiotic susceptibility testing by bodies such as the Clinical and Laboratory Standards Institute have been widely adapted for plant extracts, but the absence of interpretive breakpoints specific to natural products means that authors must exercise judgement when categorising an extract as active, moderately active or inactive, and comparability across studies remains imperfect as a result (Kebede et al., 2021). Table 3, presented at the end of Section 7, brings together the bacterial and fungal formats discussed in this review for direct comparison.</w:t>
      </w:r>
    </w:p>
    <w:p w14:paraId="4347AF70"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7. Antifungal and Antibiofilm Susceptibility Testing</w:t>
      </w:r>
    </w:p>
    <w:p w14:paraId="3022347B"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Fungal targets, particularly Candida species, present distinct methodological challenges that are not always adequately addressed when protocols developed for bacteria are applied </w:t>
      </w:r>
      <w:r w:rsidRPr="00336B42">
        <w:rPr>
          <w:rFonts w:ascii="Times New Roman" w:eastAsia="Times New Roman" w:hAnsi="Times New Roman" w:cs="Times New Roman"/>
          <w:sz w:val="24"/>
          <w:szCs w:val="24"/>
          <w:lang w:eastAsia="en-GB"/>
        </w:rPr>
        <w:lastRenderedPageBreak/>
        <w:t>without modification. The reference method for broth dilution antifungal susceptibility testing of yeasts, developed by the Clinical and Laboratory Standards Institute as document M27, specifies the use of RPMI 1640 medium buffered with morpholinepropanesulfonic acid, defined inoculum densities and standardised reading times, and has evolved through several editions since its provisional publication (Berkow et al., 2020). A parallel reference method has been developed independently by the European Committee on Antimicrobial Susceptibility Testing, and Berkow et al. (2020) note that the interpretive breakpoints issued by the two organisations for the same antifungal agents do not always coincide: for example, the European committee publishes breakpoints for amphotericin B against several Candida species that the Clinical and Laboratory Standards Institute does not, while the reverse is true for caspofungin, where high interlaboratory variation in the modal minimum inhibitory concentration range has so far prevented the European committee from issuing a breakpoint at all. This divergence between two internationally recognised reference standards for conventional antifungal agents underscores the caution warranted when applying either method, without modification, to structurally novel plant-derived antifungal candidates, for which no equivalent interpretive breakpoints yet exist.</w:t>
      </w:r>
    </w:p>
    <w:p w14:paraId="2B440F87"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Biofilm formation adds a further layer of complexity that planktonic susceptibility testing does not capture, since Candida biofilms embedded in an extracellular matrix are characteristically far less susceptible to both conventional antifungals and plant-derived agents than free-living cells of the same strain. The crystal violet staining assay, which quantifies total biofilm biomass following fixation and dye uptake, remains the most widely used method for assessing antibiofilm activity, and is frequently used alongside metabolic viability assays based on tetrazolium salt reduction to distinguish reductions in biomass from reductions in cell viability (Loaiza-Oliva et al., 2023). A scoping review of the literature on plant derivatives tested against Candida albicans biofilms found that crystal violet staining and tetrazolium-based metabolic assays were the two most frequently applied techniques, often used in combination, with viable colony counts, dry weight measurement and microscopy applied less frequently as complementary methods (Loaiza-Oliva et al., 2023). The same review noted considerable variation between studies in the exposure times used for biofilm formation and subsequent treatment, commonly either twenty-four or forty-eight hours, which further complicates cross-study comparison of reported antibiofilm potency.</w:t>
      </w:r>
    </w:p>
    <w:p w14:paraId="6D147466"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Table 3 draws together the bacterial methods introduced in Section 6 with the fungal- and biofilm-specific methods discussed above, to highlight where the same underlying principle (diffusion, dilution, or biomass quantification) has been adapted differently across organism types.</w:t>
      </w:r>
    </w:p>
    <w:p w14:paraId="44C25C66"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3. Comparison of principal in vitro susceptibility and biofilm testing methods for bacteria and fungi</w:t>
      </w:r>
    </w:p>
    <w:tbl>
      <w:tblPr>
        <w:tblStyle w:val="TableGrid"/>
        <w:tblW w:w="0" w:type="auto"/>
        <w:tblLook w:val="04A0" w:firstRow="1" w:lastRow="0" w:firstColumn="1" w:lastColumn="0" w:noHBand="0" w:noVBand="1"/>
      </w:tblPr>
      <w:tblGrid>
        <w:gridCol w:w="1935"/>
        <w:gridCol w:w="2366"/>
        <w:gridCol w:w="1651"/>
        <w:gridCol w:w="2004"/>
        <w:gridCol w:w="1286"/>
      </w:tblGrid>
      <w:tr w:rsidR="00336B42" w:rsidRPr="00336B42" w14:paraId="21079729" w14:textId="77777777" w:rsidTr="00336B42">
        <w:tc>
          <w:tcPr>
            <w:tcW w:w="0" w:type="auto"/>
            <w:hideMark/>
          </w:tcPr>
          <w:p w14:paraId="6F5F8BE5"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Method</w:t>
            </w:r>
          </w:p>
        </w:tc>
        <w:tc>
          <w:tcPr>
            <w:tcW w:w="0" w:type="auto"/>
            <w:hideMark/>
          </w:tcPr>
          <w:p w14:paraId="3F86BE09"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Organism/endpoint</w:t>
            </w:r>
          </w:p>
        </w:tc>
        <w:tc>
          <w:tcPr>
            <w:tcW w:w="0" w:type="auto"/>
            <w:hideMark/>
          </w:tcPr>
          <w:p w14:paraId="2F354433"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Advantages</w:t>
            </w:r>
          </w:p>
        </w:tc>
        <w:tc>
          <w:tcPr>
            <w:tcW w:w="0" w:type="auto"/>
            <w:hideMark/>
          </w:tcPr>
          <w:p w14:paraId="298625B5"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Key limitations</w:t>
            </w:r>
          </w:p>
        </w:tc>
        <w:tc>
          <w:tcPr>
            <w:tcW w:w="0" w:type="auto"/>
            <w:hideMark/>
          </w:tcPr>
          <w:p w14:paraId="1A6147AE"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references</w:t>
            </w:r>
          </w:p>
        </w:tc>
      </w:tr>
      <w:tr w:rsidR="00336B42" w:rsidRPr="00336B42" w14:paraId="0390779A" w14:textId="77777777" w:rsidTr="00336B42">
        <w:tc>
          <w:tcPr>
            <w:tcW w:w="0" w:type="auto"/>
            <w:hideMark/>
          </w:tcPr>
          <w:p w14:paraId="3B3EB52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Disc/well diffusion</w:t>
            </w:r>
          </w:p>
        </w:tc>
        <w:tc>
          <w:tcPr>
            <w:tcW w:w="0" w:type="auto"/>
            <w:hideMark/>
          </w:tcPr>
          <w:p w14:paraId="6FB9121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 zone of inhibition</w:t>
            </w:r>
          </w:p>
        </w:tc>
        <w:tc>
          <w:tcPr>
            <w:tcW w:w="0" w:type="auto"/>
            <w:hideMark/>
          </w:tcPr>
          <w:p w14:paraId="29F772D7"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Simple, inexpensive, high throughput</w:t>
            </w:r>
          </w:p>
        </w:tc>
        <w:tc>
          <w:tcPr>
            <w:tcW w:w="0" w:type="auto"/>
            <w:hideMark/>
          </w:tcPr>
          <w:p w14:paraId="14FD796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Poor for hydrophobic/large molecules; qualitative only</w:t>
            </w:r>
          </w:p>
        </w:tc>
        <w:tc>
          <w:tcPr>
            <w:tcW w:w="0" w:type="auto"/>
            <w:hideMark/>
          </w:tcPr>
          <w:p w14:paraId="5B2708F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Klančnik et al. (2010)</w:t>
            </w:r>
          </w:p>
        </w:tc>
      </w:tr>
      <w:tr w:rsidR="00336B42" w:rsidRPr="00336B42" w14:paraId="2AD5627F" w14:textId="77777777" w:rsidTr="00336B42">
        <w:tc>
          <w:tcPr>
            <w:tcW w:w="0" w:type="auto"/>
            <w:hideMark/>
          </w:tcPr>
          <w:p w14:paraId="5849106E"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Broth microdilution</w:t>
            </w:r>
          </w:p>
        </w:tc>
        <w:tc>
          <w:tcPr>
            <w:tcW w:w="0" w:type="auto"/>
            <w:hideMark/>
          </w:tcPr>
          <w:p w14:paraId="060842B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 minimum inhibitory/bactericidal concentration</w:t>
            </w:r>
          </w:p>
        </w:tc>
        <w:tc>
          <w:tcPr>
            <w:tcW w:w="0" w:type="auto"/>
            <w:hideMark/>
          </w:tcPr>
          <w:p w14:paraId="05F4893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Quantitative; low reagent volume; </w:t>
            </w:r>
            <w:r w:rsidRPr="00336B42">
              <w:rPr>
                <w:rFonts w:ascii="Times New Roman" w:eastAsia="Times New Roman" w:hAnsi="Times New Roman" w:cs="Times New Roman"/>
                <w:sz w:val="24"/>
                <w:szCs w:val="24"/>
                <w:lang w:eastAsia="en-GB"/>
              </w:rPr>
              <w:lastRenderedPageBreak/>
              <w:t>amenable to plate readers</w:t>
            </w:r>
          </w:p>
        </w:tc>
        <w:tc>
          <w:tcPr>
            <w:tcW w:w="0" w:type="auto"/>
            <w:hideMark/>
          </w:tcPr>
          <w:p w14:paraId="11413DA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 xml:space="preserve">Requires clear/soluble extract or viability </w:t>
            </w:r>
            <w:r w:rsidRPr="00336B42">
              <w:rPr>
                <w:rFonts w:ascii="Times New Roman" w:eastAsia="Times New Roman" w:hAnsi="Times New Roman" w:cs="Times New Roman"/>
                <w:sz w:val="24"/>
                <w:szCs w:val="24"/>
                <w:lang w:eastAsia="en-GB"/>
              </w:rPr>
              <w:lastRenderedPageBreak/>
              <w:t>dye</w:t>
            </w:r>
          </w:p>
        </w:tc>
        <w:tc>
          <w:tcPr>
            <w:tcW w:w="0" w:type="auto"/>
            <w:hideMark/>
          </w:tcPr>
          <w:p w14:paraId="0EE60EE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 xml:space="preserve">Wiegand et al. (2008); </w:t>
            </w:r>
            <w:r w:rsidRPr="00336B42">
              <w:rPr>
                <w:rFonts w:ascii="Times New Roman" w:eastAsia="Times New Roman" w:hAnsi="Times New Roman" w:cs="Times New Roman"/>
                <w:sz w:val="24"/>
                <w:szCs w:val="24"/>
                <w:lang w:eastAsia="en-GB"/>
              </w:rPr>
              <w:lastRenderedPageBreak/>
              <w:t>Klančnik et al. (2010)</w:t>
            </w:r>
          </w:p>
        </w:tc>
      </w:tr>
      <w:tr w:rsidR="00336B42" w:rsidRPr="00336B42" w14:paraId="068D6B13" w14:textId="77777777" w:rsidTr="00336B42">
        <w:tc>
          <w:tcPr>
            <w:tcW w:w="0" w:type="auto"/>
            <w:hideMark/>
          </w:tcPr>
          <w:p w14:paraId="573061AD"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Agar dilution</w:t>
            </w:r>
          </w:p>
        </w:tc>
        <w:tc>
          <w:tcPr>
            <w:tcW w:w="0" w:type="auto"/>
            <w:hideMark/>
          </w:tcPr>
          <w:p w14:paraId="762004E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 minimum inhibitory concentration</w:t>
            </w:r>
          </w:p>
        </w:tc>
        <w:tc>
          <w:tcPr>
            <w:tcW w:w="0" w:type="auto"/>
            <w:hideMark/>
          </w:tcPr>
          <w:p w14:paraId="4568468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Reference-grade accuracy for Gram-positive organisms</w:t>
            </w:r>
          </w:p>
        </w:tc>
        <w:tc>
          <w:tcPr>
            <w:tcW w:w="0" w:type="auto"/>
            <w:hideMark/>
          </w:tcPr>
          <w:p w14:paraId="4C67007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High labour and material cost</w:t>
            </w:r>
          </w:p>
        </w:tc>
        <w:tc>
          <w:tcPr>
            <w:tcW w:w="0" w:type="auto"/>
            <w:hideMark/>
          </w:tcPr>
          <w:p w14:paraId="2689910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Klančnik et al. (2010)</w:t>
            </w:r>
          </w:p>
        </w:tc>
      </w:tr>
      <w:tr w:rsidR="00336B42" w:rsidRPr="00336B42" w14:paraId="5B0089EB" w14:textId="77777777" w:rsidTr="00336B42">
        <w:tc>
          <w:tcPr>
            <w:tcW w:w="0" w:type="auto"/>
            <w:hideMark/>
          </w:tcPr>
          <w:p w14:paraId="7A516DD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Bioautography (agar overlay/direct)</w:t>
            </w:r>
          </w:p>
        </w:tc>
        <w:tc>
          <w:tcPr>
            <w:tcW w:w="0" w:type="auto"/>
            <w:hideMark/>
          </w:tcPr>
          <w:p w14:paraId="20F015A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Bacteria/fungi; localisation of active fraction</w:t>
            </w:r>
          </w:p>
        </w:tc>
        <w:tc>
          <w:tcPr>
            <w:tcW w:w="0" w:type="auto"/>
            <w:hideMark/>
          </w:tcPr>
          <w:p w14:paraId="357B1F8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Links activity to specific constituent; guides isolation</w:t>
            </w:r>
          </w:p>
        </w:tc>
        <w:tc>
          <w:tcPr>
            <w:tcW w:w="0" w:type="auto"/>
            <w:hideMark/>
          </w:tcPr>
          <w:p w14:paraId="4F74530E"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Semi-quantitative; sensitive to plate/solvent conditions</w:t>
            </w:r>
          </w:p>
        </w:tc>
        <w:tc>
          <w:tcPr>
            <w:tcW w:w="0" w:type="auto"/>
            <w:hideMark/>
          </w:tcPr>
          <w:p w14:paraId="3CA32CF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Rahalison et al. (1991)</w:t>
            </w:r>
          </w:p>
        </w:tc>
      </w:tr>
      <w:tr w:rsidR="00336B42" w:rsidRPr="00336B42" w14:paraId="0D5F0352" w14:textId="77777777" w:rsidTr="00336B42">
        <w:tc>
          <w:tcPr>
            <w:tcW w:w="0" w:type="auto"/>
            <w:hideMark/>
          </w:tcPr>
          <w:p w14:paraId="3EB7F12F"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CLSI M27/EUCAST broth microdilution</w:t>
            </w:r>
          </w:p>
        </w:tc>
        <w:tc>
          <w:tcPr>
            <w:tcW w:w="0" w:type="auto"/>
            <w:hideMark/>
          </w:tcPr>
          <w:p w14:paraId="31AC78BC"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Candida spp.; minimum inhibitory concentration</w:t>
            </w:r>
          </w:p>
        </w:tc>
        <w:tc>
          <w:tcPr>
            <w:tcW w:w="0" w:type="auto"/>
            <w:hideMark/>
          </w:tcPr>
          <w:p w14:paraId="40A083E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Internationally recognised reference standards</w:t>
            </w:r>
          </w:p>
        </w:tc>
        <w:tc>
          <w:tcPr>
            <w:tcW w:w="0" w:type="auto"/>
            <w:hideMark/>
          </w:tcPr>
          <w:p w14:paraId="68F163A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Breakpoints differ between the two standards; no plant-specific breakpoints</w:t>
            </w:r>
          </w:p>
        </w:tc>
        <w:tc>
          <w:tcPr>
            <w:tcW w:w="0" w:type="auto"/>
            <w:hideMark/>
          </w:tcPr>
          <w:p w14:paraId="0F88C7A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Berkow et al. (2020)</w:t>
            </w:r>
          </w:p>
        </w:tc>
      </w:tr>
      <w:tr w:rsidR="00336B42" w:rsidRPr="00336B42" w14:paraId="44AFC55F" w14:textId="77777777" w:rsidTr="00336B42">
        <w:tc>
          <w:tcPr>
            <w:tcW w:w="0" w:type="auto"/>
            <w:hideMark/>
          </w:tcPr>
          <w:p w14:paraId="110F0B2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Crystal violet/tetrazolium biofilm assay</w:t>
            </w:r>
          </w:p>
        </w:tc>
        <w:tc>
          <w:tcPr>
            <w:tcW w:w="0" w:type="auto"/>
            <w:hideMark/>
          </w:tcPr>
          <w:p w14:paraId="092A962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Fungal (and bacterial) biofilm biomass/viability</w:t>
            </w:r>
          </w:p>
        </w:tc>
        <w:tc>
          <w:tcPr>
            <w:tcW w:w="0" w:type="auto"/>
            <w:hideMark/>
          </w:tcPr>
          <w:p w14:paraId="41CF339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Quantifies matrix-embedded, drug-tolerant populations</w:t>
            </w:r>
          </w:p>
        </w:tc>
        <w:tc>
          <w:tcPr>
            <w:tcW w:w="0" w:type="auto"/>
            <w:hideMark/>
          </w:tcPr>
          <w:p w14:paraId="44FB883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Variable exposure-time protocols; biomass ≠ viability</w:t>
            </w:r>
          </w:p>
        </w:tc>
        <w:tc>
          <w:tcPr>
            <w:tcW w:w="0" w:type="auto"/>
            <w:hideMark/>
          </w:tcPr>
          <w:p w14:paraId="00A49333"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Loaiza-Oliva et al. (2023)</w:t>
            </w:r>
          </w:p>
        </w:tc>
      </w:tr>
    </w:tbl>
    <w:p w14:paraId="2633B00C"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8. Assessment of Synergistic Interactions and Combination Therapies</w:t>
      </w:r>
    </w:p>
    <w:p w14:paraId="27F575D5"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Beyond evaluating extracts in isolation, a growing body of work examines whether plant-derived constituents can potentiate the activity of existing antibiotics, offering a route to restoring efficacy against otherwise resistant pathogens. The checkerboard titration method, in which two agents are combined across a matrix of two-fold serial dilutions, remains the standard approach for quantifying such interactions, with the fractional inhibitory concentration index calculated from the ratio of the minimum inhibitory concentration of each agent in combination relative to its concentration when tested alone. An index below 0.5 is generally interpreted as synergy, values between 0.5 and 4 as an additive or indifferent interaction, and values above 4 as antagonism. Time-kill kinetic assays, which track the reduction in viable colony counts over a defined incubation period, provide a complementary dynamic perspective on the rate rather than merely the magnitude of bacterial inactivation, and are recommended for use alongside the checkerboard method rather than in isolation (Basri and Khairon, 2012). Basri and Khairon (2012) demonstrated synergy between an acetone extract of Quercus infectoria galls and vancomycin against methicillin-resistant Staphylococcus aureus, with the checkerboard method indicating synergistic fractional inhibitory concentration index values while time-kill assays confirmed accelerated bactericidal action relative to vancomycin alone. Table 4 summarises the conventional interpretation of the fractional inhibitory concentration index used to categorise such interactions.</w:t>
      </w:r>
    </w:p>
    <w:p w14:paraId="0EB62C12"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4. Interpretation of the fractional inhibitory concentration index in checkerboard synergy assays</w:t>
      </w:r>
    </w:p>
    <w:tbl>
      <w:tblPr>
        <w:tblStyle w:val="TableGrid"/>
        <w:tblW w:w="0" w:type="auto"/>
        <w:tblLook w:val="04A0" w:firstRow="1" w:lastRow="0" w:firstColumn="1" w:lastColumn="0" w:noHBand="0" w:noVBand="1"/>
      </w:tblPr>
      <w:tblGrid>
        <w:gridCol w:w="2784"/>
        <w:gridCol w:w="2414"/>
        <w:gridCol w:w="2256"/>
        <w:gridCol w:w="1788"/>
      </w:tblGrid>
      <w:tr w:rsidR="00336B42" w:rsidRPr="00336B42" w14:paraId="1652E081" w14:textId="77777777" w:rsidTr="00336B42">
        <w:tc>
          <w:tcPr>
            <w:tcW w:w="0" w:type="auto"/>
            <w:hideMark/>
          </w:tcPr>
          <w:p w14:paraId="7DC57126"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 xml:space="preserve">Fractional inhibitory </w:t>
            </w:r>
            <w:r w:rsidRPr="00336B42">
              <w:rPr>
                <w:rFonts w:ascii="Times New Roman" w:eastAsia="Times New Roman" w:hAnsi="Times New Roman" w:cs="Times New Roman"/>
                <w:b/>
                <w:bCs/>
                <w:sz w:val="24"/>
                <w:szCs w:val="24"/>
                <w:lang w:eastAsia="en-GB"/>
              </w:rPr>
              <w:lastRenderedPageBreak/>
              <w:t>concentration index</w:t>
            </w:r>
          </w:p>
        </w:tc>
        <w:tc>
          <w:tcPr>
            <w:tcW w:w="0" w:type="auto"/>
            <w:hideMark/>
          </w:tcPr>
          <w:p w14:paraId="1A92AB01"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lastRenderedPageBreak/>
              <w:t>Interpretation</w:t>
            </w:r>
          </w:p>
        </w:tc>
        <w:tc>
          <w:tcPr>
            <w:tcW w:w="0" w:type="auto"/>
            <w:hideMark/>
          </w:tcPr>
          <w:p w14:paraId="07B703EF"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 xml:space="preserve">Typical </w:t>
            </w:r>
            <w:r w:rsidRPr="00336B42">
              <w:rPr>
                <w:rFonts w:ascii="Times New Roman" w:eastAsia="Times New Roman" w:hAnsi="Times New Roman" w:cs="Times New Roman"/>
                <w:b/>
                <w:bCs/>
                <w:sz w:val="24"/>
                <w:szCs w:val="24"/>
                <w:lang w:eastAsia="en-GB"/>
              </w:rPr>
              <w:lastRenderedPageBreak/>
              <w:t>confirmatory method</w:t>
            </w:r>
          </w:p>
        </w:tc>
        <w:tc>
          <w:tcPr>
            <w:tcW w:w="0" w:type="auto"/>
            <w:hideMark/>
          </w:tcPr>
          <w:p w14:paraId="131E8EA4"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lastRenderedPageBreak/>
              <w:t xml:space="preserve">Source </w:t>
            </w:r>
            <w:r w:rsidRPr="00336B42">
              <w:rPr>
                <w:rFonts w:ascii="Times New Roman" w:eastAsia="Times New Roman" w:hAnsi="Times New Roman" w:cs="Times New Roman"/>
                <w:b/>
                <w:bCs/>
                <w:sz w:val="24"/>
                <w:szCs w:val="24"/>
                <w:lang w:eastAsia="en-GB"/>
              </w:rPr>
              <w:lastRenderedPageBreak/>
              <w:t>reference</w:t>
            </w:r>
          </w:p>
        </w:tc>
      </w:tr>
      <w:tr w:rsidR="00336B42" w:rsidRPr="00336B42" w14:paraId="324CE8BD" w14:textId="77777777" w:rsidTr="00336B42">
        <w:tc>
          <w:tcPr>
            <w:tcW w:w="0" w:type="auto"/>
            <w:hideMark/>
          </w:tcPr>
          <w:p w14:paraId="047B6DD0"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&lt; 0.5</w:t>
            </w:r>
          </w:p>
        </w:tc>
        <w:tc>
          <w:tcPr>
            <w:tcW w:w="0" w:type="auto"/>
            <w:hideMark/>
          </w:tcPr>
          <w:p w14:paraId="0E3079D7"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Synergy</w:t>
            </w:r>
          </w:p>
        </w:tc>
        <w:tc>
          <w:tcPr>
            <w:tcW w:w="0" w:type="auto"/>
            <w:hideMark/>
          </w:tcPr>
          <w:p w14:paraId="74BEE633"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Time-kill kinetic assay</w:t>
            </w:r>
          </w:p>
        </w:tc>
        <w:tc>
          <w:tcPr>
            <w:tcW w:w="0" w:type="auto"/>
            <w:hideMark/>
          </w:tcPr>
          <w:p w14:paraId="5A921C1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Basri and Khairon (2012)</w:t>
            </w:r>
          </w:p>
        </w:tc>
      </w:tr>
      <w:tr w:rsidR="00336B42" w:rsidRPr="00336B42" w14:paraId="426A4082" w14:textId="77777777" w:rsidTr="00336B42">
        <w:tc>
          <w:tcPr>
            <w:tcW w:w="0" w:type="auto"/>
            <w:hideMark/>
          </w:tcPr>
          <w:p w14:paraId="4B896597"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0.5–4.0</w:t>
            </w:r>
          </w:p>
        </w:tc>
        <w:tc>
          <w:tcPr>
            <w:tcW w:w="0" w:type="auto"/>
            <w:hideMark/>
          </w:tcPr>
          <w:p w14:paraId="710B1DE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Additive or indifferent interaction</w:t>
            </w:r>
          </w:p>
        </w:tc>
        <w:tc>
          <w:tcPr>
            <w:tcW w:w="0" w:type="auto"/>
            <w:hideMark/>
          </w:tcPr>
          <w:p w14:paraId="5287352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Time-kill kinetic assay</w:t>
            </w:r>
          </w:p>
        </w:tc>
        <w:tc>
          <w:tcPr>
            <w:tcW w:w="0" w:type="auto"/>
            <w:hideMark/>
          </w:tcPr>
          <w:p w14:paraId="280E29E7"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Basri and Khairon (2012)</w:t>
            </w:r>
          </w:p>
        </w:tc>
      </w:tr>
      <w:tr w:rsidR="00336B42" w:rsidRPr="00336B42" w14:paraId="26EF0111" w14:textId="77777777" w:rsidTr="00336B42">
        <w:tc>
          <w:tcPr>
            <w:tcW w:w="0" w:type="auto"/>
            <w:hideMark/>
          </w:tcPr>
          <w:p w14:paraId="0139A0E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&gt; 4.0</w:t>
            </w:r>
          </w:p>
        </w:tc>
        <w:tc>
          <w:tcPr>
            <w:tcW w:w="0" w:type="auto"/>
            <w:hideMark/>
          </w:tcPr>
          <w:p w14:paraId="1ADEAA6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Antagonism</w:t>
            </w:r>
          </w:p>
        </w:tc>
        <w:tc>
          <w:tcPr>
            <w:tcW w:w="0" w:type="auto"/>
            <w:hideMark/>
          </w:tcPr>
          <w:p w14:paraId="6B3C7EF2"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Time-kill kinetic assay</w:t>
            </w:r>
          </w:p>
        </w:tc>
        <w:tc>
          <w:tcPr>
            <w:tcW w:w="0" w:type="auto"/>
            <w:hideMark/>
          </w:tcPr>
          <w:p w14:paraId="0ADEF87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Basri and Khairon (2012)</w:t>
            </w:r>
          </w:p>
        </w:tc>
      </w:tr>
    </w:tbl>
    <w:p w14:paraId="3A08AB1D"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9. Anti-Virulence Approaches: Inhibition of Bacterial Quorum Sensing</w:t>
      </w:r>
    </w:p>
    <w:p w14:paraId="79994B60"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An alternative and increasingly influential experimental strategy targets bacterial virulence rather than viability, on the reasoning that disarming a pathogen imposes weaker selective pressure for resistance than killing it outright. Many Gram-negative pathogens, most notably Pseudomonas aeruginosa, coordinate the expression of virulence factors such as biofilm formation, elastase, pyocyanin and rhamnolipid production through cell-density-dependent quorum-sensing systems, and inhibition of these systems, rather than direct bactericidal action, has become a recognised anti-virulence screening endpoint (Khameneh et al., 2019). Methodologically, this requires a different set of assays from conventional susceptibility testing: reporter strains such as Chromobacterium violaceum, which produces a visible violet pigment under quorum-sensing control, allow rapid colorimetric screening for quorum-quenching activity, while reverse-transcription polymerase chain reaction or reporter-gene fusions are used to confirm downregulation of specific quorum-sensing regulatory genes (Ahmed et al., 2019).</w:t>
      </w:r>
    </w:p>
    <w:p w14:paraId="08EDABE6"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Ahmed et al. (2019) demonstrated that two naturally occurring plant compounds, trans-cinnamaldehyde and salicylic acid, significantly downregulated expression of the las and rhl quorum-sensing systems in Pseudomonas aeruginosa at sub-inhibitory concentrations, with corresponding reductions in extracellular protease, elastase and pyocyanin production, and without any accompanying bactericidal effect, a signature considered characteristic of a genuine anti-virulence mechanism rather than simple growth inhibition. Maisuria et al. (2016) extended this approach to a whole-organism infection model, showing that cranberry-derived proanthocyanidins reduced production of quorum-sensing signalling molecules, inhibited the LasI and RhlI autoinducer synthase genes and antagonised the LasR and RhlR transcriptional regulators, and protected Drosophila melanogaster from otherwise lethal Pseudomonas aeruginosa infection, an experimental design that links in vitro quorum-quenching data to a measurable survival benefit. D'Aquila et al. (2023) applied a comparable screening framework across essential oils from five different plant families, evaluating bacterial growth, biofilm formation and quorum sensing in parallel in Chromobacterium violaceum, Pseudomonas aeruginosa and Enterococcus faecalis; among the ten oils tested, Origanum vulgare and Foeniculum vulgare produced the most pronounced inhibition of bacterial growth in Chromobacterium violaceum and Enterococcus faecalis specifically, illustrating that a single screening panel can usefully separate growth-inhibitory from virulence-modifying activity within one experimental design.</w:t>
      </w:r>
    </w:p>
    <w:p w14:paraId="20E83A26"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10. Mechanistic Elucidation of Antimicrobial Action</w:t>
      </w:r>
    </w:p>
    <w:p w14:paraId="080B8200"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Demonstrating that a plant extract inhibits microbial growth is only the first step in characterising its therapeutic potential; understanding the underlying mechanism of action strengthens the case for further development and assists in anticipating potential resistance </w:t>
      </w:r>
      <w:r w:rsidRPr="00336B42">
        <w:rPr>
          <w:rFonts w:ascii="Times New Roman" w:eastAsia="Times New Roman" w:hAnsi="Times New Roman" w:cs="Times New Roman"/>
          <w:sz w:val="24"/>
          <w:szCs w:val="24"/>
          <w:lang w:eastAsia="en-GB"/>
        </w:rPr>
        <w:lastRenderedPageBreak/>
        <w:t>development. Plant secondary metabolites exert antimicrobial effects through a diverse range of mechanisms, including disruption of bacterial membrane integrity, inhibition of efflux pump function, interference with nucleic acid or protein synthesis, and inhibition of the quorum-sensing systems discussed in Section 9 (Khameneh et al., 2019). Alkaloids have frequently been associated with inhibition of bacterial efflux pumps, while polyphenolic constituents such as flavonoids and tannins are more commonly linked to alterations in membrane permeability and inhibition of bacterial enzymes through hydrogen-bonding interactions (Jubair et al., 2021). Techniques used to investigate these mechanisms include measurement of potassium ion or nucleic acid leakage as an index of membrane damage, scanning and transmission electron microscopy to visualise morphological alteration of the bacterial cell envelope, and assays of intracellular adenosine triphosphate concentration as a proxy for metabolic disruption. Tsamo et al. (2021) illustrated this mechanistic approach in their evaluation of secondary metabolites from Trifolium baccarinii, employing bacterial lysis and salt-tolerance assays alongside antioxidant enzyme measurements to characterise the mode of antibacterial action of the isolated compounds. Notwithstanding this expanding mechanistic literature, Jubair et al. (2021) observe that the precise mechanism of action remains undetermined for a substantial proportion of reported plant antimicrobials, reflecting the resource-intensive nature of mechanistic studies relative to simple susceptibility testing.</w:t>
      </w:r>
    </w:p>
    <w:p w14:paraId="3C86E456"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11. Cytotoxicity, Safety and Selectivity Assessment</w:t>
      </w:r>
    </w:p>
    <w:p w14:paraId="1DF282C6"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 plant extract of genuine therapeutic interest must additionally demonstrate an acceptable safety profile, yet cytotoxicity testing is frequently omitted or conducted only cursorily in the published literature. The brine shrimp lethality assay, using nauplii of Artemia salina exposed to a range of extract concentrations for twenty-four hours, offers a rapid, low-cost and equipment-light preliminary indication of general toxicity, with median lethal concentration values above one milligram per millilitre generally considered indicative of low toxicity. The tetrazolium-based colorimetric assay, applied to mammalian cell lines, provides a more physiologically relevant measure of cytotoxicity and is increasingly used alongside the brine shrimp assay to strengthen confidence in a preliminary safety assessment. Ghuman et al. (2016) applied both assays in parallel to eleven South African medicinal plants used traditionally for wound healing, reporting survival rates of ninety to one hundred per cent in the brine shrimp assay and median lethal concentration values exceeding one milligram per millilitre in the tetrazolium-based assay for all extracts tested, supporting the traditional use of these species while illustrating the value of combining complementary cytotoxicity endpoints.</w:t>
      </w:r>
    </w:p>
    <w:p w14:paraId="7B8F9D00"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Cushnie et al. (2020) argue that the selectivity index, expressed as the ratio of the cytotoxic concentration to the minimum inhibitory concentration, should be calculated routinely and used, alongside the absolute minimum inhibitory concentration value, as the primary criterion for deciding whether an extract or isolated compound merits further development. A high antimicrobial potency accompanied by a low selectivity index offers limited therapeutic promise, since equivalent toxicity toward host cells is likely to accompany any dose sufficient to inhibit the pathogen, and the same review catalogues a series of avoidable pitfalls in extract dissolution and vehicle-control design that can otherwise produce spuriously favourable selectivity estimates.</w:t>
      </w:r>
    </w:p>
    <w:p w14:paraId="4F86F63F"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12. Case Studies Across Plant Families</w:t>
      </w:r>
    </w:p>
    <w:p w14:paraId="07A1A26F"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Comparing methodologically similar studies conducted on different plant families illustrates both the consistency of the core experimental pipeline described above and the extent to which family-specific chemistry shapes the choice of extraction and testing method. Members of the Lamiaceae, a family rich in volatile monoterpenes, are most commonly evaluated using hydrodistillation to obtain essential oils, followed by broth microdilution against bacteria and fungi. Ghavam et al. (2022) applied this pipeline to four Iranian Lamiaceae species, obtaining two distinct kinds of finding depending on the endpoint used: by inhibition-zone diameter, the essential oil of Thymus daenensis produced the largest zones against the Gram-positive bacterium Staphylococcus aureus and the fungus Aspergillus brasiliensis, whereas by minimum inhibitory concentration, the oils of Hymenocrater incanus and Stachys inflata were the most potent specifically against the Gram-negative bacterium Pseudomonas aeruginosa. This distinction is a useful reminder that "most active" can mean different things depending on which endpoint a study reports, and that inhibition-zone and minimum-inhibitory-concentration rankings need not agree. Potente et al. (2020) reviewed the anti-Candida activity of Lamiaceae essential oils more broadly, noting that beyond straightforward growth inhibition, several oils also reduced expression of Candida virulence factors such as the yeast-to-hyphal transition and biofilm formation, echoing the anti-virulence framework described for bacteria in Section 9.</w:t>
      </w:r>
    </w:p>
    <w:p w14:paraId="5EE1441B"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By contrast, Obistioiu et al. (2021) evaluated four Fabaceae species using conventional hydroalcoholic rather than volatile-oil extraction, reflecting the family's characteristic phenolic and flavonoid chemistry, and identified activity against a panel of both bacterial and fungal test organisms including Staphylococcus aureus, Escherichia coli and Candida species, with the specific phenolic constituents responsible for activity identified by chromatographic analysis. Tsamo et al. (2021) similarly worked within the Fabaceae, using organic solvent maceration of Trifolium baccarinii to obtain extracts subsequently evaluated by broth microdilution and mechanistic lysis assays. Taken together, these family-level comparisons demonstrate that the choice of extraction technique is not arbitrary but should be informed by the predominant secondary metabolite chemistry expected within a given plant family, a consideration too rarely made explicit in the methods sections of individual primary studies. Table 5 summarises these five illustrative case studies.</w:t>
      </w:r>
    </w:p>
    <w:p w14:paraId="02FE9A1A"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b/>
          <w:bCs/>
          <w:sz w:val="24"/>
          <w:szCs w:val="24"/>
          <w:lang w:eastAsia="en-GB"/>
        </w:rPr>
        <w:t>Table 5. Illustrative case studies of the experimental pipeline applied within specific plant families</w:t>
      </w:r>
    </w:p>
    <w:tbl>
      <w:tblPr>
        <w:tblStyle w:val="TableGrid"/>
        <w:tblW w:w="0" w:type="auto"/>
        <w:tblLook w:val="04A0" w:firstRow="1" w:lastRow="0" w:firstColumn="1" w:lastColumn="0" w:noHBand="0" w:noVBand="1"/>
      </w:tblPr>
      <w:tblGrid>
        <w:gridCol w:w="1382"/>
        <w:gridCol w:w="1871"/>
        <w:gridCol w:w="2555"/>
        <w:gridCol w:w="2158"/>
        <w:gridCol w:w="1276"/>
      </w:tblGrid>
      <w:tr w:rsidR="00336B42" w:rsidRPr="00336B42" w14:paraId="45C598A2" w14:textId="77777777" w:rsidTr="00336B42">
        <w:tc>
          <w:tcPr>
            <w:tcW w:w="0" w:type="auto"/>
            <w:hideMark/>
          </w:tcPr>
          <w:p w14:paraId="7C6A8632"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Plant family</w:t>
            </w:r>
          </w:p>
        </w:tc>
        <w:tc>
          <w:tcPr>
            <w:tcW w:w="0" w:type="auto"/>
            <w:hideMark/>
          </w:tcPr>
          <w:p w14:paraId="1DAB398F"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Extraction approach used</w:t>
            </w:r>
          </w:p>
        </w:tc>
        <w:tc>
          <w:tcPr>
            <w:tcW w:w="0" w:type="auto"/>
            <w:hideMark/>
          </w:tcPr>
          <w:p w14:paraId="4CCBE410"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Principal testing methods</w:t>
            </w:r>
          </w:p>
        </w:tc>
        <w:tc>
          <w:tcPr>
            <w:tcW w:w="0" w:type="auto"/>
            <w:hideMark/>
          </w:tcPr>
          <w:p w14:paraId="44F90DBB"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Key finding</w:t>
            </w:r>
          </w:p>
        </w:tc>
        <w:tc>
          <w:tcPr>
            <w:tcW w:w="0" w:type="auto"/>
            <w:hideMark/>
          </w:tcPr>
          <w:p w14:paraId="2190A98F" w14:textId="77777777" w:rsidR="00336B42" w:rsidRPr="00336B42" w:rsidRDefault="00336B42" w:rsidP="00426CF9">
            <w:pPr>
              <w:jc w:val="both"/>
              <w:rPr>
                <w:rFonts w:ascii="Times New Roman" w:eastAsia="Times New Roman" w:hAnsi="Times New Roman" w:cs="Times New Roman"/>
                <w:b/>
                <w:bCs/>
                <w:sz w:val="24"/>
                <w:szCs w:val="24"/>
                <w:lang w:eastAsia="en-GB"/>
              </w:rPr>
            </w:pPr>
            <w:r w:rsidRPr="00336B42">
              <w:rPr>
                <w:rFonts w:ascii="Times New Roman" w:eastAsia="Times New Roman" w:hAnsi="Times New Roman" w:cs="Times New Roman"/>
                <w:b/>
                <w:bCs/>
                <w:sz w:val="24"/>
                <w:szCs w:val="24"/>
                <w:lang w:eastAsia="en-GB"/>
              </w:rPr>
              <w:t>Source references</w:t>
            </w:r>
          </w:p>
        </w:tc>
      </w:tr>
      <w:tr w:rsidR="00336B42" w:rsidRPr="00336B42" w14:paraId="00A91E6D" w14:textId="77777777" w:rsidTr="00336B42">
        <w:tc>
          <w:tcPr>
            <w:tcW w:w="0" w:type="auto"/>
            <w:hideMark/>
          </w:tcPr>
          <w:p w14:paraId="487D55D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Lamiaceae</w:t>
            </w:r>
          </w:p>
        </w:tc>
        <w:tc>
          <w:tcPr>
            <w:tcW w:w="0" w:type="auto"/>
            <w:hideMark/>
          </w:tcPr>
          <w:p w14:paraId="0B5314E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Hydrodistillation (essential oil)</w:t>
            </w:r>
          </w:p>
        </w:tc>
        <w:tc>
          <w:tcPr>
            <w:tcW w:w="0" w:type="auto"/>
            <w:hideMark/>
          </w:tcPr>
          <w:p w14:paraId="0D552501"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Broth microdilution; disc/zone diffusion</w:t>
            </w:r>
          </w:p>
        </w:tc>
        <w:tc>
          <w:tcPr>
            <w:tcW w:w="0" w:type="auto"/>
            <w:hideMark/>
          </w:tcPr>
          <w:p w14:paraId="1679575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Zone-based ranking (T. daenensis strongest vs. S. aureus/A. brasiliensis) diverged from MIC-based ranking (H. incanus/S. inflata strongest vs. P. aeruginosa)</w:t>
            </w:r>
          </w:p>
        </w:tc>
        <w:tc>
          <w:tcPr>
            <w:tcW w:w="0" w:type="auto"/>
            <w:hideMark/>
          </w:tcPr>
          <w:p w14:paraId="4818F62E"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Ghavam et al. (2022)</w:t>
            </w:r>
          </w:p>
        </w:tc>
      </w:tr>
      <w:tr w:rsidR="00336B42" w:rsidRPr="00336B42" w14:paraId="55BF24EB" w14:textId="77777777" w:rsidTr="00336B42">
        <w:tc>
          <w:tcPr>
            <w:tcW w:w="0" w:type="auto"/>
            <w:hideMark/>
          </w:tcPr>
          <w:p w14:paraId="7300FBA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Lamiaceae</w:t>
            </w:r>
          </w:p>
        </w:tc>
        <w:tc>
          <w:tcPr>
            <w:tcW w:w="0" w:type="auto"/>
            <w:hideMark/>
          </w:tcPr>
          <w:p w14:paraId="07C367D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Hydrodistillation (essential oil)</w:t>
            </w:r>
          </w:p>
        </w:tc>
        <w:tc>
          <w:tcPr>
            <w:tcW w:w="0" w:type="auto"/>
            <w:hideMark/>
          </w:tcPr>
          <w:p w14:paraId="6E73D2F6"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Growth inhibition plus virulence-factor assays</w:t>
            </w:r>
          </w:p>
        </w:tc>
        <w:tc>
          <w:tcPr>
            <w:tcW w:w="0" w:type="auto"/>
            <w:hideMark/>
          </w:tcPr>
          <w:p w14:paraId="6C710D1E"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Oils reduce Candida yeast-to-hyphal transition </w:t>
            </w:r>
            <w:r w:rsidRPr="00336B42">
              <w:rPr>
                <w:rFonts w:ascii="Times New Roman" w:eastAsia="Times New Roman" w:hAnsi="Times New Roman" w:cs="Times New Roman"/>
                <w:sz w:val="24"/>
                <w:szCs w:val="24"/>
                <w:lang w:eastAsia="en-GB"/>
              </w:rPr>
              <w:lastRenderedPageBreak/>
              <w:t>and biofilm formation, not only growth</w:t>
            </w:r>
          </w:p>
        </w:tc>
        <w:tc>
          <w:tcPr>
            <w:tcW w:w="0" w:type="auto"/>
            <w:hideMark/>
          </w:tcPr>
          <w:p w14:paraId="48112B83"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lastRenderedPageBreak/>
              <w:t>Potente et al. (2020)</w:t>
            </w:r>
          </w:p>
        </w:tc>
      </w:tr>
      <w:tr w:rsidR="00336B42" w:rsidRPr="00336B42" w14:paraId="037512C4" w14:textId="77777777" w:rsidTr="00336B42">
        <w:tc>
          <w:tcPr>
            <w:tcW w:w="0" w:type="auto"/>
            <w:hideMark/>
          </w:tcPr>
          <w:p w14:paraId="20F82D8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Fabaceae</w:t>
            </w:r>
          </w:p>
        </w:tc>
        <w:tc>
          <w:tcPr>
            <w:tcW w:w="0" w:type="auto"/>
            <w:hideMark/>
          </w:tcPr>
          <w:p w14:paraId="6BF76BEE"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Conventional hydroalcoholic extraction</w:t>
            </w:r>
          </w:p>
        </w:tc>
        <w:tc>
          <w:tcPr>
            <w:tcW w:w="0" w:type="auto"/>
            <w:hideMark/>
          </w:tcPr>
          <w:p w14:paraId="0DF48C2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Disc diffusion/microdilution; chromatographic constituent identification</w:t>
            </w:r>
          </w:p>
        </w:tc>
        <w:tc>
          <w:tcPr>
            <w:tcW w:w="0" w:type="auto"/>
            <w:hideMark/>
          </w:tcPr>
          <w:p w14:paraId="79B0EC29"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Phenolic/flavonoid content linked to activity against Gram-positive and Gram-negative bacteria and Candida</w:t>
            </w:r>
          </w:p>
        </w:tc>
        <w:tc>
          <w:tcPr>
            <w:tcW w:w="0" w:type="auto"/>
            <w:hideMark/>
          </w:tcPr>
          <w:p w14:paraId="1360CBBF"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Obistioiu et al. (2021)</w:t>
            </w:r>
          </w:p>
        </w:tc>
      </w:tr>
      <w:tr w:rsidR="00336B42" w:rsidRPr="00336B42" w14:paraId="498F58AE" w14:textId="77777777" w:rsidTr="00336B42">
        <w:tc>
          <w:tcPr>
            <w:tcW w:w="0" w:type="auto"/>
            <w:hideMark/>
          </w:tcPr>
          <w:p w14:paraId="3D5D9B68"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Fabaceae</w:t>
            </w:r>
          </w:p>
        </w:tc>
        <w:tc>
          <w:tcPr>
            <w:tcW w:w="0" w:type="auto"/>
            <w:hideMark/>
          </w:tcPr>
          <w:p w14:paraId="4B1FB315"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Organic solvent maceration</w:t>
            </w:r>
          </w:p>
        </w:tc>
        <w:tc>
          <w:tcPr>
            <w:tcW w:w="0" w:type="auto"/>
            <w:hideMark/>
          </w:tcPr>
          <w:p w14:paraId="1A25FF5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Broth microdilution; lysis and salt-tolerance mechanistic assays</w:t>
            </w:r>
          </w:p>
        </w:tc>
        <w:tc>
          <w:tcPr>
            <w:tcW w:w="0" w:type="auto"/>
            <w:hideMark/>
          </w:tcPr>
          <w:p w14:paraId="3EC1E78D"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Antibacterial action linked to membrane disruption and antioxidant enzyme modulation</w:t>
            </w:r>
          </w:p>
        </w:tc>
        <w:tc>
          <w:tcPr>
            <w:tcW w:w="0" w:type="auto"/>
            <w:hideMark/>
          </w:tcPr>
          <w:p w14:paraId="2FDCED7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Tsamo et al. (2021)</w:t>
            </w:r>
          </w:p>
        </w:tc>
      </w:tr>
      <w:tr w:rsidR="00336B42" w:rsidRPr="00336B42" w14:paraId="6DAD8FC1" w14:textId="77777777" w:rsidTr="00336B42">
        <w:tc>
          <w:tcPr>
            <w:tcW w:w="0" w:type="auto"/>
            <w:hideMark/>
          </w:tcPr>
          <w:p w14:paraId="1B49F29D"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Cross-family comparison (Apiaceae, Lamiaceae, Lauraceae, Myrtaceae, Rutaceae)</w:t>
            </w:r>
          </w:p>
        </w:tc>
        <w:tc>
          <w:tcPr>
            <w:tcW w:w="0" w:type="auto"/>
            <w:hideMark/>
          </w:tcPr>
          <w:p w14:paraId="7EED3DFC"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Hydrodistillation (essential oils)</w:t>
            </w:r>
          </w:p>
        </w:tc>
        <w:tc>
          <w:tcPr>
            <w:tcW w:w="0" w:type="auto"/>
            <w:hideMark/>
          </w:tcPr>
          <w:p w14:paraId="6E6FDB4A"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Growth, biofilm and quorum-sensing inhibition assays in parallel</w:t>
            </w:r>
          </w:p>
        </w:tc>
        <w:tc>
          <w:tcPr>
            <w:tcW w:w="0" w:type="auto"/>
            <w:hideMark/>
          </w:tcPr>
          <w:p w14:paraId="543C91B4"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Oregano and fennel oils were most growth-inhibitory in two of the three test organisms; growth inhibition and virulence-modifying activity were assessed as separable endpoints within one design</w:t>
            </w:r>
          </w:p>
        </w:tc>
        <w:tc>
          <w:tcPr>
            <w:tcW w:w="0" w:type="auto"/>
            <w:hideMark/>
          </w:tcPr>
          <w:p w14:paraId="32AE8EEB" w14:textId="77777777" w:rsidR="00336B42" w:rsidRPr="00336B42" w:rsidRDefault="00336B42" w:rsidP="00426CF9">
            <w:pPr>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D'Aquila et al. (2023)</w:t>
            </w:r>
          </w:p>
        </w:tc>
      </w:tr>
    </w:tbl>
    <w:p w14:paraId="3670DCC5"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13. Standardisation, Quality Control and Reproducibility Challenges</w:t>
      </w:r>
    </w:p>
    <w:p w14:paraId="22D23C92"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Several recurring issues undermine the comparability and reproducibility of antimicrobial screening data across the medicinal plant literature. First, the absence of internationally agreed interpretive breakpoints for plant extracts, in contrast to the breakpoints available for conventional antibiotics and antifungals, means that classification of an extract as active or inactive rests on inconsistent and sometimes arbitrary thresholds between studies (Kebede et al., 2021; Berkow et al., 2020). Second, variation in the units used to express extract concentration, whether as crude extract mass per millilitre or as concentration of a specific marker compound, complicates cross-study comparison and meta-analytic synthesis. Third, inconsistent reporting of solvent controls, positive control antibiotics and the precise microbial strain or American Type Culture Collection reference number used introduces uncertainty regarding whether observed activity reflects a genuine phytochemical effect rather than residual solvent toxicity or strain-specific susceptibility. Fourth, the extraction method itself, as discussed in Section 4, materially alters the phytochemical profile presented to the test organism, such that studies employing different solvents or techniques on the same plant species may report substantially divergent activity.</w:t>
      </w:r>
    </w:p>
    <w:p w14:paraId="766A800E"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Cushnie et al. (2020) provide the most comprehensive treatment of these recurring pitfalls, identifying poor practice in extract dissolution, in the choice and concentration of vehicle controls, and in the failure to calculate or report a selectivity index, as avoidable weaknesses that recur across the bioprospecting literature independently of the plant family or organism studied. Addressing these challenges will require greater adherence to established reporting </w:t>
      </w:r>
      <w:r w:rsidRPr="00336B42">
        <w:rPr>
          <w:rFonts w:ascii="Times New Roman" w:eastAsia="Times New Roman" w:hAnsi="Times New Roman" w:cs="Times New Roman"/>
          <w:sz w:val="24"/>
          <w:szCs w:val="24"/>
          <w:lang w:eastAsia="en-GB"/>
        </w:rPr>
        <w:lastRenderedPageBreak/>
        <w:t>guidelines, wider adoption of quantitative dilution-based endpoints in preference to diffusion zone measurements alone, routine inclusion of appropriate positive controls, solvent controls, selectivity index calculation and cytotoxicity data within a single publication, and clearer distinction, in the case of biofilm and quorum-sensing studies, between reduction in biomass, reduction in viability, and genuine attenuation of a defined virulence phenotype.</w:t>
      </w:r>
    </w:p>
    <w:p w14:paraId="6EBFA32D"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14. Future Directions</w:t>
      </w:r>
    </w:p>
    <w:p w14:paraId="48E3EC8F"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Future research in this field would benefit from the development of consensus reporting guidelines specific to plant-derived antimicrobial screening, analogous to those already established for clinical antibiotic and antifungal susceptibility testing, to improve cross-study comparability. Greater integration of mechanistic and genomic techniques, including transcriptomic profiling of treated organisms and molecular docking studies linking specific phytochemical structures to putative bacterial or fungal targets, would strengthen the scientific basis for prioritising candidate extracts for further development. Expanded use of combination and synergy testing alongside conventional antibiotics offers a pragmatic near-term translational pathway, particularly where whole extracts or standardised fractions, rather than single isolated compounds, are pursued as adjuvant therapies, and anti-virulence and quorum-quenching endpoints deserve wider adoption alongside conventional growth-inhibition assays, given their distinct resistance-evolution profile. Advances in green extraction technologies, including natural deep eutectic solvent systems, are likely to improve the efficiency, reproducibility, environmental sustainability and, in some cases, the potency of extract preparation, while wider application of chromatographic fingerprinting should help establish batch-to-batch consistency, a prerequisite for any eventual regulatory development pathway. Finally, closer collaboration between phytochemists, microbiologists and pharmacologists, together with earlier incorporation of cytotoxicity, selectivity index and biofilm assessment into the experimental pipeline, would help ensure that promising in vitro findings are not pursued indefinitely without a realistic appraisal of their translational potential.</w:t>
      </w:r>
    </w:p>
    <w:p w14:paraId="6AF7037C"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15. Conclusions</w:t>
      </w:r>
    </w:p>
    <w:p w14:paraId="214DAE93" w14:textId="77777777" w:rsidR="00336B42" w:rsidRP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 xml:space="preserve">The experimental evaluation of medicinal plants for antimicrobial activity spans a sequence of interdependent stages, beginning with authenticated plant material and extraction, proceeding through phytochemical characterisation and susceptibility testing against both bacteria and fungi, and extending to anti-virulence, mechanistic and safety assessment. Each stage offers a range of established methodological options, none of which is without limitation, and the choice made at any one stage materially influences the results obtained at every subsequent stage. Disc diffusion remains a useful preliminary screening tool but is unsuitable as a definitive quantitative endpoint, and should be complemented by broth microdilution or agar dilution to establish reliable minimum inhibitory and bactericidal concentrations, while fungal and biofilm targets require reference methods and endpoints distinct from those developed for planktonic bacteria. Synergy testing combining checkerboard titration with time-kill kinetics offers a pragmatic route towards antibiotic-sparing combination strategies, quorum-sensing inhibition assays offer a complementary anti-virulence strategy with a potentially lower propensity to drive resistance, and mechanistic and cytotoxicity studies, though less commonly performed, are essential to substantiate claims of therapeutic promise. Case studies drawn from the Lamiaceae and Fabaceae families illustrate that methodological choices, particularly around extraction, are most effective when informed by family-level secondary metabolite chemistry rather than applied uniformly across </w:t>
      </w:r>
      <w:r w:rsidRPr="00336B42">
        <w:rPr>
          <w:rFonts w:ascii="Times New Roman" w:eastAsia="Times New Roman" w:hAnsi="Times New Roman" w:cs="Times New Roman"/>
          <w:sz w:val="24"/>
          <w:szCs w:val="24"/>
          <w:lang w:eastAsia="en-GB"/>
        </w:rPr>
        <w:lastRenderedPageBreak/>
        <w:t>unrelated plant groups, and that the ranking of "most active" extracts can shift depending on which testing endpoint is reported. Methodological harmonisation across these stages, supported by more consistent reporting practice and routine calculation of selectivity indices, would considerably strengthen the scientific and translational value of future research in this important field.</w:t>
      </w:r>
    </w:p>
    <w:p w14:paraId="3C2F0110"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16. Limitations</w:t>
      </w:r>
    </w:p>
    <w:p w14:paraId="72489D79" w14:textId="77777777" w:rsidR="00336B42" w:rsidRDefault="00336B42" w:rsidP="00426CF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36B42">
        <w:rPr>
          <w:rFonts w:ascii="Times New Roman" w:eastAsia="Times New Roman" w:hAnsi="Times New Roman" w:cs="Times New Roman"/>
          <w:sz w:val="24"/>
          <w:szCs w:val="24"/>
          <w:lang w:eastAsia="en-GB"/>
        </w:rPr>
        <w:t>This review is subject to several limitations. As a narrative rather than systematic review, the selection and weighting of included studies reflects the authors' judgement rather than a predefined, fully reproducible protocol, and the possibility of selection bias towards more prominently cited or more accessible studies cannot be excluded. The restriction to English-language, peer-reviewed sources may have excluded relevant methodological insights published in other languages or in grey literature. The rapidly evolving nature of extraction and analytical technology means that some emerging techniques may be underrepresented relative to their eventual significance. The case studies presented in Section 12 are illustrative rather than exhaustive and were selected to demonstrate methodological principles within two well-studied plant families; readers seeking a comprehensive account of antimicrobial findings across the full breadth of medicinal plant families should consult family- or species-focused reviews directly. Finally, because the review addresses methodology rather than reported efficacy against specific pathogens, it does not provide a comprehensive assessment of the antimicrobial potential of any individual plant species.</w:t>
      </w:r>
    </w:p>
    <w:p w14:paraId="66CE22EA" w14:textId="77777777" w:rsidR="005A6205" w:rsidRPr="004B3EB7" w:rsidRDefault="005A6205" w:rsidP="00426CF9">
      <w:pPr>
        <w:spacing w:after="160" w:line="259" w:lineRule="auto"/>
        <w:jc w:val="both"/>
        <w:rPr>
          <w:rFonts w:ascii="Arial" w:eastAsia="Calibri" w:hAnsi="Arial" w:cs="Arial"/>
          <w:b/>
          <w:bCs/>
          <w:kern w:val="2"/>
          <w:lang w:val="en-IN"/>
        </w:rPr>
      </w:pPr>
      <w:bookmarkStart w:id="0" w:name="_Hlk220510767"/>
      <w:r w:rsidRPr="004B3EB7">
        <w:rPr>
          <w:rFonts w:ascii="Arial" w:eastAsia="Calibri" w:hAnsi="Arial" w:cs="Arial"/>
          <w:b/>
          <w:bCs/>
          <w:kern w:val="2"/>
          <w:lang w:val="en-IN"/>
        </w:rPr>
        <w:t>Declaration of AI Use</w:t>
      </w:r>
    </w:p>
    <w:p w14:paraId="0D1E63DF" w14:textId="77777777" w:rsidR="005A6205" w:rsidRPr="00336B42" w:rsidRDefault="005A6205" w:rsidP="00426CF9">
      <w:pPr>
        <w:spacing w:after="160" w:line="259" w:lineRule="auto"/>
        <w:jc w:val="both"/>
        <w:rPr>
          <w:rFonts w:ascii="Times New Roman" w:eastAsia="Times New Roman" w:hAnsi="Times New Roman" w:cs="Times New Roman"/>
          <w:sz w:val="24"/>
          <w:szCs w:val="24"/>
          <w:lang w:eastAsia="en-GB"/>
        </w:rPr>
      </w:pPr>
      <w:r w:rsidRPr="004B3EB7">
        <w:rPr>
          <w:rFonts w:ascii="Arial" w:eastAsia="Calibri" w:hAnsi="Arial" w:cs="Arial"/>
          <w:kern w:val="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0"/>
    </w:p>
    <w:p w14:paraId="61EA14F6" w14:textId="77777777" w:rsidR="00336B42" w:rsidRPr="00336B42" w:rsidRDefault="00336B42" w:rsidP="00426CF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36B42">
        <w:rPr>
          <w:rFonts w:ascii="Times New Roman" w:eastAsia="Times New Roman" w:hAnsi="Times New Roman" w:cs="Times New Roman"/>
          <w:b/>
          <w:bCs/>
          <w:sz w:val="27"/>
          <w:szCs w:val="27"/>
          <w:lang w:eastAsia="en-GB"/>
        </w:rPr>
        <w:t>References</w:t>
      </w:r>
    </w:p>
    <w:p w14:paraId="605232D3"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Ahmed, S. A. K. S., Rudden, M., Smyth, T. J., Dooley, J. S. G., Marchant, R., &amp; Banat, I. M. (2019). Natural quorum sensing inhibitors effectively downregulate gene expression of </w:t>
      </w:r>
      <w:r w:rsidRPr="000B0034">
        <w:rPr>
          <w:rFonts w:ascii="Times New Roman" w:eastAsia="Times New Roman" w:hAnsi="Times New Roman" w:cs="Times New Roman"/>
          <w:i/>
          <w:iCs/>
          <w:sz w:val="24"/>
          <w:szCs w:val="24"/>
          <w:lang w:val="en-US"/>
        </w:rPr>
        <w:t>Pseudomonas aeruginosa</w:t>
      </w:r>
      <w:r w:rsidRPr="000B0034">
        <w:rPr>
          <w:rFonts w:ascii="Times New Roman" w:eastAsia="Times New Roman" w:hAnsi="Times New Roman" w:cs="Times New Roman"/>
          <w:sz w:val="24"/>
          <w:szCs w:val="24"/>
          <w:lang w:val="en-US"/>
        </w:rPr>
        <w:t xml:space="preserve"> virulence factors. </w:t>
      </w:r>
      <w:r w:rsidRPr="000B0034">
        <w:rPr>
          <w:rFonts w:ascii="Times New Roman" w:eastAsia="Times New Roman" w:hAnsi="Times New Roman" w:cs="Times New Roman"/>
          <w:i/>
          <w:iCs/>
          <w:sz w:val="24"/>
          <w:szCs w:val="24"/>
          <w:lang w:val="en-US"/>
        </w:rPr>
        <w:t>Applied Microbiology and Biotechnology, 103</w:t>
      </w:r>
      <w:r w:rsidRPr="000B0034">
        <w:rPr>
          <w:rFonts w:ascii="Times New Roman" w:eastAsia="Times New Roman" w:hAnsi="Times New Roman" w:cs="Times New Roman"/>
          <w:sz w:val="24"/>
          <w:szCs w:val="24"/>
          <w:lang w:val="en-US"/>
        </w:rPr>
        <w:t xml:space="preserve">(8), 3521–3535. </w:t>
      </w:r>
      <w:hyperlink r:id="rId7" w:history="1">
        <w:r w:rsidRPr="000B0034">
          <w:rPr>
            <w:rFonts w:ascii="Times New Roman" w:eastAsia="Times New Roman" w:hAnsi="Times New Roman" w:cs="Times New Roman"/>
            <w:color w:val="0000FF"/>
            <w:sz w:val="24"/>
            <w:szCs w:val="24"/>
            <w:u w:val="single"/>
            <w:lang w:val="en-US"/>
          </w:rPr>
          <w:t>https://doi.org/10.1007/s00253-019-09618-0</w:t>
        </w:r>
      </w:hyperlink>
    </w:p>
    <w:p w14:paraId="4C74B7C5"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Angelini, P. (2024). Plant-derived antimicrobials and their crucial role in combating antimicrobial resistance. </w:t>
      </w:r>
      <w:r w:rsidRPr="000B0034">
        <w:rPr>
          <w:rFonts w:ascii="Times New Roman" w:eastAsia="Times New Roman" w:hAnsi="Times New Roman" w:cs="Times New Roman"/>
          <w:i/>
          <w:iCs/>
          <w:sz w:val="24"/>
          <w:szCs w:val="24"/>
          <w:lang w:val="en-US"/>
        </w:rPr>
        <w:t>Antibiotics, 13</w:t>
      </w:r>
      <w:r w:rsidRPr="000B0034">
        <w:rPr>
          <w:rFonts w:ascii="Times New Roman" w:eastAsia="Times New Roman" w:hAnsi="Times New Roman" w:cs="Times New Roman"/>
          <w:sz w:val="24"/>
          <w:szCs w:val="24"/>
          <w:lang w:val="en-US"/>
        </w:rPr>
        <w:t xml:space="preserve">(8), Article 746. </w:t>
      </w:r>
      <w:hyperlink r:id="rId8" w:history="1">
        <w:r w:rsidRPr="000B0034">
          <w:rPr>
            <w:rFonts w:ascii="Times New Roman" w:eastAsia="Times New Roman" w:hAnsi="Times New Roman" w:cs="Times New Roman"/>
            <w:color w:val="0000FF"/>
            <w:sz w:val="24"/>
            <w:szCs w:val="24"/>
            <w:u w:val="single"/>
            <w:lang w:val="en-US"/>
          </w:rPr>
          <w:t>https://doi.org/10.3390/antibiotics13080746</w:t>
        </w:r>
      </w:hyperlink>
    </w:p>
    <w:p w14:paraId="34BAE8B8"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Basri, D. F., &amp; Khairon, R. (2012). Pharmacodynamic interaction of </w:t>
      </w:r>
      <w:r w:rsidRPr="000B0034">
        <w:rPr>
          <w:rFonts w:ascii="Times New Roman" w:eastAsia="Times New Roman" w:hAnsi="Times New Roman" w:cs="Times New Roman"/>
          <w:i/>
          <w:iCs/>
          <w:sz w:val="24"/>
          <w:szCs w:val="24"/>
          <w:lang w:val="en-US"/>
        </w:rPr>
        <w:t>Quercus infectoria</w:t>
      </w:r>
      <w:r w:rsidRPr="000B0034">
        <w:rPr>
          <w:rFonts w:ascii="Times New Roman" w:eastAsia="Times New Roman" w:hAnsi="Times New Roman" w:cs="Times New Roman"/>
          <w:sz w:val="24"/>
          <w:szCs w:val="24"/>
          <w:lang w:val="en-US"/>
        </w:rPr>
        <w:t xml:space="preserve"> galls extract in combination with vancomycin against MRSA using microdilution checkerboard and time-kill assay. </w:t>
      </w:r>
      <w:r w:rsidRPr="000B0034">
        <w:rPr>
          <w:rFonts w:ascii="Times New Roman" w:eastAsia="Times New Roman" w:hAnsi="Times New Roman" w:cs="Times New Roman"/>
          <w:i/>
          <w:iCs/>
          <w:sz w:val="24"/>
          <w:szCs w:val="24"/>
          <w:lang w:val="en-US"/>
        </w:rPr>
        <w:t>Evidence-Based Complementary and Alternative Medicine, 2012</w:t>
      </w:r>
      <w:r w:rsidRPr="000B0034">
        <w:rPr>
          <w:rFonts w:ascii="Times New Roman" w:eastAsia="Times New Roman" w:hAnsi="Times New Roman" w:cs="Times New Roman"/>
          <w:sz w:val="24"/>
          <w:szCs w:val="24"/>
          <w:lang w:val="en-US"/>
        </w:rPr>
        <w:t xml:space="preserve">, Article 493156. </w:t>
      </w:r>
      <w:hyperlink r:id="rId9" w:history="1">
        <w:r w:rsidRPr="000B0034">
          <w:rPr>
            <w:rFonts w:ascii="Times New Roman" w:eastAsia="Times New Roman" w:hAnsi="Times New Roman" w:cs="Times New Roman"/>
            <w:color w:val="0000FF"/>
            <w:sz w:val="24"/>
            <w:szCs w:val="24"/>
            <w:u w:val="single"/>
            <w:lang w:val="en-US"/>
          </w:rPr>
          <w:t>https://doi.org/10.1155/2012/493156</w:t>
        </w:r>
      </w:hyperlink>
    </w:p>
    <w:p w14:paraId="017EA0C2"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lastRenderedPageBreak/>
        <w:t></w:t>
      </w:r>
      <w:r w:rsidRPr="000B0034">
        <w:rPr>
          <w:rFonts w:ascii="Times New Roman" w:eastAsia="Times New Roman" w:hAnsi="Times New Roman" w:cs="Times New Roman"/>
          <w:sz w:val="24"/>
          <w:szCs w:val="24"/>
          <w:lang w:val="en-US"/>
        </w:rPr>
        <w:t xml:space="preserve">  Berkow, E. L., Lockhart, S. R., &amp; Ostrosky-Zeichner, L. (2020). Antifungal susceptibility testing: Current approaches. </w:t>
      </w:r>
      <w:r w:rsidRPr="000B0034">
        <w:rPr>
          <w:rFonts w:ascii="Times New Roman" w:eastAsia="Times New Roman" w:hAnsi="Times New Roman" w:cs="Times New Roman"/>
          <w:i/>
          <w:iCs/>
          <w:sz w:val="24"/>
          <w:szCs w:val="24"/>
          <w:lang w:val="en-US"/>
        </w:rPr>
        <w:t>Clinical Microbiology Reviews, 33</w:t>
      </w:r>
      <w:r w:rsidRPr="000B0034">
        <w:rPr>
          <w:rFonts w:ascii="Times New Roman" w:eastAsia="Times New Roman" w:hAnsi="Times New Roman" w:cs="Times New Roman"/>
          <w:sz w:val="24"/>
          <w:szCs w:val="24"/>
          <w:lang w:val="en-US"/>
        </w:rPr>
        <w:t xml:space="preserve">(3), Article e00069-19. </w:t>
      </w:r>
      <w:hyperlink r:id="rId10" w:history="1">
        <w:r w:rsidRPr="000B0034">
          <w:rPr>
            <w:rFonts w:ascii="Times New Roman" w:eastAsia="Times New Roman" w:hAnsi="Times New Roman" w:cs="Times New Roman"/>
            <w:color w:val="0000FF"/>
            <w:sz w:val="24"/>
            <w:szCs w:val="24"/>
            <w:u w:val="single"/>
            <w:lang w:val="en-US"/>
          </w:rPr>
          <w:t>https://doi.org/10.1128/CMR.00069-19</w:t>
        </w:r>
      </w:hyperlink>
    </w:p>
    <w:p w14:paraId="71E9D1A5"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Cushnie, T. P. T., Cushnie, B., Echeverría, J., Fowsantear, W., Thammawat, S., Dodgson, J. L. A., Law, S., &amp; Clow, S. M. (2020). Bioprospecting for antibacterial drugs: A multidisciplinary perspective on natural product source material, bioassay selection and avoidable pitfalls. </w:t>
      </w:r>
      <w:r w:rsidRPr="000B0034">
        <w:rPr>
          <w:rFonts w:ascii="Times New Roman" w:eastAsia="Times New Roman" w:hAnsi="Times New Roman" w:cs="Times New Roman"/>
          <w:i/>
          <w:iCs/>
          <w:sz w:val="24"/>
          <w:szCs w:val="24"/>
          <w:lang w:val="en-US"/>
        </w:rPr>
        <w:t>Pharmaceutical Research, 37</w:t>
      </w:r>
      <w:r w:rsidRPr="000B0034">
        <w:rPr>
          <w:rFonts w:ascii="Times New Roman" w:eastAsia="Times New Roman" w:hAnsi="Times New Roman" w:cs="Times New Roman"/>
          <w:sz w:val="24"/>
          <w:szCs w:val="24"/>
          <w:lang w:val="en-US"/>
        </w:rPr>
        <w:t xml:space="preserve">, Article 125. </w:t>
      </w:r>
      <w:hyperlink r:id="rId11" w:history="1">
        <w:r w:rsidRPr="000B0034">
          <w:rPr>
            <w:rFonts w:ascii="Times New Roman" w:eastAsia="Times New Roman" w:hAnsi="Times New Roman" w:cs="Times New Roman"/>
            <w:color w:val="0000FF"/>
            <w:sz w:val="24"/>
            <w:szCs w:val="24"/>
            <w:u w:val="single"/>
            <w:lang w:val="en-US"/>
          </w:rPr>
          <w:t>https://doi.org/10.1007/s11095-020-02849-1</w:t>
        </w:r>
      </w:hyperlink>
    </w:p>
    <w:p w14:paraId="321C965D"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D’Aquila, P., Sena, G., Crudo, M., Passarino, G., &amp; Bellizzi, D. (2023). Effect of essential oils of Apiaceae, Lamiaceae, Lauraceae, Myrtaceae, and Rutaceae family plants on growth, biofilm formation, and quorum sensing in </w:t>
      </w:r>
      <w:r w:rsidRPr="000B0034">
        <w:rPr>
          <w:rFonts w:ascii="Times New Roman" w:eastAsia="Times New Roman" w:hAnsi="Times New Roman" w:cs="Times New Roman"/>
          <w:i/>
          <w:iCs/>
          <w:sz w:val="24"/>
          <w:szCs w:val="24"/>
          <w:lang w:val="en-US"/>
        </w:rPr>
        <w:t>Chromobacterium violaceum</w:t>
      </w:r>
      <w:r w:rsidRPr="000B0034">
        <w:rPr>
          <w:rFonts w:ascii="Times New Roman" w:eastAsia="Times New Roman" w:hAnsi="Times New Roman" w:cs="Times New Roman"/>
          <w:sz w:val="24"/>
          <w:szCs w:val="24"/>
          <w:lang w:val="en-US"/>
        </w:rPr>
        <w:t xml:space="preserve">, </w:t>
      </w:r>
      <w:r w:rsidRPr="000B0034">
        <w:rPr>
          <w:rFonts w:ascii="Times New Roman" w:eastAsia="Times New Roman" w:hAnsi="Times New Roman" w:cs="Times New Roman"/>
          <w:i/>
          <w:iCs/>
          <w:sz w:val="24"/>
          <w:szCs w:val="24"/>
          <w:lang w:val="en-US"/>
        </w:rPr>
        <w:t>Pseudomonas aeruginosa</w:t>
      </w:r>
      <w:r w:rsidRPr="000B0034">
        <w:rPr>
          <w:rFonts w:ascii="Times New Roman" w:eastAsia="Times New Roman" w:hAnsi="Times New Roman" w:cs="Times New Roman"/>
          <w:sz w:val="24"/>
          <w:szCs w:val="24"/>
          <w:lang w:val="en-US"/>
        </w:rPr>
        <w:t xml:space="preserve">, and </w:t>
      </w:r>
      <w:r w:rsidRPr="000B0034">
        <w:rPr>
          <w:rFonts w:ascii="Times New Roman" w:eastAsia="Times New Roman" w:hAnsi="Times New Roman" w:cs="Times New Roman"/>
          <w:i/>
          <w:iCs/>
          <w:sz w:val="24"/>
          <w:szCs w:val="24"/>
          <w:lang w:val="en-US"/>
        </w:rPr>
        <w:t>Enterococcus faecalis</w:t>
      </w:r>
      <w:r w:rsidRPr="000B0034">
        <w:rPr>
          <w:rFonts w:ascii="Times New Roman" w:eastAsia="Times New Roman" w:hAnsi="Times New Roman" w:cs="Times New Roman"/>
          <w:sz w:val="24"/>
          <w:szCs w:val="24"/>
          <w:lang w:val="en-US"/>
        </w:rPr>
        <w:t xml:space="preserve">. </w:t>
      </w:r>
      <w:r w:rsidRPr="000B0034">
        <w:rPr>
          <w:rFonts w:ascii="Times New Roman" w:eastAsia="Times New Roman" w:hAnsi="Times New Roman" w:cs="Times New Roman"/>
          <w:i/>
          <w:iCs/>
          <w:sz w:val="24"/>
          <w:szCs w:val="24"/>
          <w:lang w:val="en-US"/>
        </w:rPr>
        <w:t>Microorganisms, 11</w:t>
      </w:r>
      <w:r w:rsidRPr="000B0034">
        <w:rPr>
          <w:rFonts w:ascii="Times New Roman" w:eastAsia="Times New Roman" w:hAnsi="Times New Roman" w:cs="Times New Roman"/>
          <w:sz w:val="24"/>
          <w:szCs w:val="24"/>
          <w:lang w:val="en-US"/>
        </w:rPr>
        <w:t xml:space="preserve">(5), Article 1150. </w:t>
      </w:r>
      <w:hyperlink r:id="rId12" w:history="1">
        <w:r w:rsidRPr="000B0034">
          <w:rPr>
            <w:rFonts w:ascii="Times New Roman" w:eastAsia="Times New Roman" w:hAnsi="Times New Roman" w:cs="Times New Roman"/>
            <w:color w:val="0000FF"/>
            <w:sz w:val="24"/>
            <w:szCs w:val="24"/>
            <w:u w:val="single"/>
            <w:lang w:val="en-US"/>
          </w:rPr>
          <w:t>https://doi.org/10.3390/microorganisms11051150</w:t>
        </w:r>
      </w:hyperlink>
    </w:p>
    <w:p w14:paraId="0DC130B3"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Ferri, M., Rodríguez, Ó., &amp; Tassoni, A. (2023). Editorial: New green extraction methods for the sustainable recovery of functional plant secondary metabolites. </w:t>
      </w:r>
      <w:r w:rsidRPr="000B0034">
        <w:rPr>
          <w:rFonts w:ascii="Times New Roman" w:eastAsia="Times New Roman" w:hAnsi="Times New Roman" w:cs="Times New Roman"/>
          <w:i/>
          <w:iCs/>
          <w:sz w:val="24"/>
          <w:szCs w:val="24"/>
          <w:lang w:val="en-US"/>
        </w:rPr>
        <w:t>Frontiers in Plant Science, 14</w:t>
      </w:r>
      <w:r w:rsidRPr="000B0034">
        <w:rPr>
          <w:rFonts w:ascii="Times New Roman" w:eastAsia="Times New Roman" w:hAnsi="Times New Roman" w:cs="Times New Roman"/>
          <w:sz w:val="24"/>
          <w:szCs w:val="24"/>
          <w:lang w:val="en-US"/>
        </w:rPr>
        <w:t xml:space="preserve">, Article 1186180. </w:t>
      </w:r>
      <w:hyperlink r:id="rId13" w:history="1">
        <w:r w:rsidRPr="000B0034">
          <w:rPr>
            <w:rFonts w:ascii="Times New Roman" w:eastAsia="Times New Roman" w:hAnsi="Times New Roman" w:cs="Times New Roman"/>
            <w:color w:val="0000FF"/>
            <w:sz w:val="24"/>
            <w:szCs w:val="24"/>
            <w:u w:val="single"/>
            <w:lang w:val="en-US"/>
          </w:rPr>
          <w:t>https://doi.org/10.3389/fpls.2023.1186180</w:t>
        </w:r>
      </w:hyperlink>
    </w:p>
    <w:p w14:paraId="4775FE5F"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Filatov, V. A., Ilin, E. A., Kulyak, O. Y., &amp; Kalenikova, E. I. (2023). Development and validation of a gas chromatography–mass spectrometry method for the analysis of the novel plant-based substance with antimicrobial activity. </w:t>
      </w:r>
      <w:r w:rsidRPr="000B0034">
        <w:rPr>
          <w:rFonts w:ascii="Times New Roman" w:eastAsia="Times New Roman" w:hAnsi="Times New Roman" w:cs="Times New Roman"/>
          <w:i/>
          <w:iCs/>
          <w:sz w:val="24"/>
          <w:szCs w:val="24"/>
          <w:lang w:val="en-US"/>
        </w:rPr>
        <w:t>Antibiotics, 12</w:t>
      </w:r>
      <w:r w:rsidRPr="000B0034">
        <w:rPr>
          <w:rFonts w:ascii="Times New Roman" w:eastAsia="Times New Roman" w:hAnsi="Times New Roman" w:cs="Times New Roman"/>
          <w:sz w:val="24"/>
          <w:szCs w:val="24"/>
          <w:lang w:val="en-US"/>
        </w:rPr>
        <w:t xml:space="preserve">(10), Article 1558. </w:t>
      </w:r>
      <w:hyperlink r:id="rId14" w:history="1">
        <w:r w:rsidRPr="000B0034">
          <w:rPr>
            <w:rFonts w:ascii="Times New Roman" w:eastAsia="Times New Roman" w:hAnsi="Times New Roman" w:cs="Times New Roman"/>
            <w:color w:val="0000FF"/>
            <w:sz w:val="24"/>
            <w:szCs w:val="24"/>
            <w:u w:val="single"/>
            <w:lang w:val="en-US"/>
          </w:rPr>
          <w:t>https://doi.org/10.3390/antibiotics12101558</w:t>
        </w:r>
      </w:hyperlink>
    </w:p>
    <w:p w14:paraId="14AC56F5"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García-Roldán, A., Piriou, L., &amp; Jauregi, P. (2023). Natural deep eutectic solvents as a green extraction of polyphenols from spent coffee ground with enhanced bioactivities. </w:t>
      </w:r>
      <w:r w:rsidRPr="000B0034">
        <w:rPr>
          <w:rFonts w:ascii="Times New Roman" w:eastAsia="Times New Roman" w:hAnsi="Times New Roman" w:cs="Times New Roman"/>
          <w:i/>
          <w:iCs/>
          <w:sz w:val="24"/>
          <w:szCs w:val="24"/>
          <w:lang w:val="en-US"/>
        </w:rPr>
        <w:t>Frontiers in Plant Science, 13</w:t>
      </w:r>
      <w:r w:rsidRPr="000B0034">
        <w:rPr>
          <w:rFonts w:ascii="Times New Roman" w:eastAsia="Times New Roman" w:hAnsi="Times New Roman" w:cs="Times New Roman"/>
          <w:sz w:val="24"/>
          <w:szCs w:val="24"/>
          <w:lang w:val="en-US"/>
        </w:rPr>
        <w:t xml:space="preserve">, Article 1072592. </w:t>
      </w:r>
      <w:hyperlink r:id="rId15" w:history="1">
        <w:r w:rsidRPr="000B0034">
          <w:rPr>
            <w:rFonts w:ascii="Times New Roman" w:eastAsia="Times New Roman" w:hAnsi="Times New Roman" w:cs="Times New Roman"/>
            <w:color w:val="0000FF"/>
            <w:sz w:val="24"/>
            <w:szCs w:val="24"/>
            <w:u w:val="single"/>
            <w:lang w:val="en-US"/>
          </w:rPr>
          <w:t>https://doi.org/10.3389/fpls.2022.1072592</w:t>
        </w:r>
      </w:hyperlink>
    </w:p>
    <w:p w14:paraId="3290C3AE"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Ghavam, M., Bacchetta, G., Castangia, I., &amp; Manca, M. L. (2022). Evaluation of the composition and antimicrobial activities of essential oils from four species of Lamiaceae Martinov native to Iran. </w:t>
      </w:r>
      <w:r w:rsidRPr="000B0034">
        <w:rPr>
          <w:rFonts w:ascii="Times New Roman" w:eastAsia="Times New Roman" w:hAnsi="Times New Roman" w:cs="Times New Roman"/>
          <w:i/>
          <w:iCs/>
          <w:sz w:val="24"/>
          <w:szCs w:val="24"/>
          <w:lang w:val="en-US"/>
        </w:rPr>
        <w:t>Scientific Reports, 12</w:t>
      </w:r>
      <w:r w:rsidRPr="000B0034">
        <w:rPr>
          <w:rFonts w:ascii="Times New Roman" w:eastAsia="Times New Roman" w:hAnsi="Times New Roman" w:cs="Times New Roman"/>
          <w:sz w:val="24"/>
          <w:szCs w:val="24"/>
          <w:lang w:val="en-US"/>
        </w:rPr>
        <w:t xml:space="preserve">(1), Article 17044. </w:t>
      </w:r>
      <w:hyperlink r:id="rId16" w:history="1">
        <w:r w:rsidRPr="000B0034">
          <w:rPr>
            <w:rFonts w:ascii="Times New Roman" w:eastAsia="Times New Roman" w:hAnsi="Times New Roman" w:cs="Times New Roman"/>
            <w:color w:val="0000FF"/>
            <w:sz w:val="24"/>
            <w:szCs w:val="24"/>
            <w:u w:val="single"/>
            <w:lang w:val="en-US"/>
          </w:rPr>
          <w:t>https://doi.org/10.1038/s41598-022-21509-5</w:t>
        </w:r>
      </w:hyperlink>
    </w:p>
    <w:p w14:paraId="76AFB968"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Ghuman, S., Ncube, B., Finnie, J. F., McGaw, L. J., Coopoosamy, R. M., &amp; Van Staden, J. (2016). Antimicrobial activity, phenolic content, and cytotoxicity of medicinal plant extracts used for treating dermatological diseases and wound healing in KwaZulu-Natal, South Africa. </w:t>
      </w:r>
      <w:r w:rsidRPr="000B0034">
        <w:rPr>
          <w:rFonts w:ascii="Times New Roman" w:eastAsia="Times New Roman" w:hAnsi="Times New Roman" w:cs="Times New Roman"/>
          <w:i/>
          <w:iCs/>
          <w:sz w:val="24"/>
          <w:szCs w:val="24"/>
          <w:lang w:val="en-US"/>
        </w:rPr>
        <w:t>Frontiers in Pharmacology, 7</w:t>
      </w:r>
      <w:r w:rsidRPr="000B0034">
        <w:rPr>
          <w:rFonts w:ascii="Times New Roman" w:eastAsia="Times New Roman" w:hAnsi="Times New Roman" w:cs="Times New Roman"/>
          <w:sz w:val="24"/>
          <w:szCs w:val="24"/>
          <w:lang w:val="en-US"/>
        </w:rPr>
        <w:t xml:space="preserve">, Article 320. </w:t>
      </w:r>
      <w:hyperlink r:id="rId17" w:history="1">
        <w:r w:rsidRPr="000B0034">
          <w:rPr>
            <w:rFonts w:ascii="Times New Roman" w:eastAsia="Times New Roman" w:hAnsi="Times New Roman" w:cs="Times New Roman"/>
            <w:color w:val="0000FF"/>
            <w:sz w:val="24"/>
            <w:szCs w:val="24"/>
            <w:u w:val="single"/>
            <w:lang w:val="en-US"/>
          </w:rPr>
          <w:t>https://doi.org/10.3389/fphar.2016.00320</w:t>
        </w:r>
      </w:hyperlink>
    </w:p>
    <w:p w14:paraId="4E68CAC2"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Gonzalez-Pastor, R., Carrera-Pacheco, S. E., Zúñiga-Miranda, J., Rodríguez-Pólit, C., Mayorga-Ramos, A., Guamán, L. P., &amp; Barba-Ostria, C. (2023). Current landscape of methods to evaluate antimicrobial activity of natural extracts. </w:t>
      </w:r>
      <w:r w:rsidRPr="000B0034">
        <w:rPr>
          <w:rFonts w:ascii="Times New Roman" w:eastAsia="Times New Roman" w:hAnsi="Times New Roman" w:cs="Times New Roman"/>
          <w:i/>
          <w:iCs/>
          <w:sz w:val="24"/>
          <w:szCs w:val="24"/>
          <w:lang w:val="en-US"/>
        </w:rPr>
        <w:t>Molecules, 28</w:t>
      </w:r>
      <w:r w:rsidRPr="000B0034">
        <w:rPr>
          <w:rFonts w:ascii="Times New Roman" w:eastAsia="Times New Roman" w:hAnsi="Times New Roman" w:cs="Times New Roman"/>
          <w:sz w:val="24"/>
          <w:szCs w:val="24"/>
          <w:lang w:val="en-US"/>
        </w:rPr>
        <w:t xml:space="preserve">(3), Article 1068. </w:t>
      </w:r>
      <w:hyperlink r:id="rId18" w:history="1">
        <w:r w:rsidRPr="000B0034">
          <w:rPr>
            <w:rFonts w:ascii="Times New Roman" w:eastAsia="Times New Roman" w:hAnsi="Times New Roman" w:cs="Times New Roman"/>
            <w:color w:val="0000FF"/>
            <w:sz w:val="24"/>
            <w:szCs w:val="24"/>
            <w:u w:val="single"/>
            <w:lang w:val="en-US"/>
          </w:rPr>
          <w:t>https://doi.org/10.3390/molecules28031068</w:t>
        </w:r>
      </w:hyperlink>
    </w:p>
    <w:p w14:paraId="2537579C"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Jubair, N., Rajagopal, M., Chinnappan, S., Abdullah, N. B., &amp; Fatima, A. (2021). Review on the antibacterial mechanism of plant-derived compounds against multidrug-resistant bacteria (MDR). </w:t>
      </w:r>
      <w:r w:rsidRPr="000B0034">
        <w:rPr>
          <w:rFonts w:ascii="Times New Roman" w:eastAsia="Times New Roman" w:hAnsi="Times New Roman" w:cs="Times New Roman"/>
          <w:i/>
          <w:iCs/>
          <w:sz w:val="24"/>
          <w:szCs w:val="24"/>
          <w:lang w:val="en-US"/>
        </w:rPr>
        <w:t>Evidence-Based Complementary and Alternative Medicine, 2021</w:t>
      </w:r>
      <w:r w:rsidRPr="000B0034">
        <w:rPr>
          <w:rFonts w:ascii="Times New Roman" w:eastAsia="Times New Roman" w:hAnsi="Times New Roman" w:cs="Times New Roman"/>
          <w:sz w:val="24"/>
          <w:szCs w:val="24"/>
          <w:lang w:val="en-US"/>
        </w:rPr>
        <w:t xml:space="preserve">, Article 3663315. </w:t>
      </w:r>
      <w:hyperlink r:id="rId19" w:history="1">
        <w:r w:rsidRPr="000B0034">
          <w:rPr>
            <w:rFonts w:ascii="Times New Roman" w:eastAsia="Times New Roman" w:hAnsi="Times New Roman" w:cs="Times New Roman"/>
            <w:color w:val="0000FF"/>
            <w:sz w:val="24"/>
            <w:szCs w:val="24"/>
            <w:u w:val="single"/>
            <w:lang w:val="en-US"/>
          </w:rPr>
          <w:t>https://doi.org/10.1155/2021/3663315</w:t>
        </w:r>
      </w:hyperlink>
    </w:p>
    <w:p w14:paraId="5728BB0F"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Kebede, T., Gadisa, E., &amp; Tufa, A. (2021). Antimicrobial activities evaluation and phytochemical screening of some selected medicinal plants: A possible alternative in the treatment of multidrug-resistant microbes. </w:t>
      </w:r>
      <w:r w:rsidRPr="000B0034">
        <w:rPr>
          <w:rFonts w:ascii="Times New Roman" w:eastAsia="Times New Roman" w:hAnsi="Times New Roman" w:cs="Times New Roman"/>
          <w:i/>
          <w:iCs/>
          <w:sz w:val="24"/>
          <w:szCs w:val="24"/>
          <w:lang w:val="en-US"/>
        </w:rPr>
        <w:t>PLOS ONE, 16</w:t>
      </w:r>
      <w:r w:rsidRPr="000B0034">
        <w:rPr>
          <w:rFonts w:ascii="Times New Roman" w:eastAsia="Times New Roman" w:hAnsi="Times New Roman" w:cs="Times New Roman"/>
          <w:sz w:val="24"/>
          <w:szCs w:val="24"/>
          <w:lang w:val="en-US"/>
        </w:rPr>
        <w:t xml:space="preserve">(3), Article e0249253. </w:t>
      </w:r>
      <w:hyperlink r:id="rId20" w:history="1">
        <w:r w:rsidRPr="000B0034">
          <w:rPr>
            <w:rFonts w:ascii="Times New Roman" w:eastAsia="Times New Roman" w:hAnsi="Times New Roman" w:cs="Times New Roman"/>
            <w:color w:val="0000FF"/>
            <w:sz w:val="24"/>
            <w:szCs w:val="24"/>
            <w:u w:val="single"/>
            <w:lang w:val="en-US"/>
          </w:rPr>
          <w:t>https://doi.org/10.1371/journal.pone.0249253</w:t>
        </w:r>
      </w:hyperlink>
    </w:p>
    <w:p w14:paraId="509D21EA"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Khameneh, B., Iranshahy, M., Soheili, V., &amp; Fazly Bazzaz, B. S. (2019). Review on plant antimicrobials: A mechanistic viewpoint. </w:t>
      </w:r>
      <w:r w:rsidRPr="000B0034">
        <w:rPr>
          <w:rFonts w:ascii="Times New Roman" w:eastAsia="Times New Roman" w:hAnsi="Times New Roman" w:cs="Times New Roman"/>
          <w:i/>
          <w:iCs/>
          <w:sz w:val="24"/>
          <w:szCs w:val="24"/>
          <w:lang w:val="en-US"/>
        </w:rPr>
        <w:t>Antimicrobial Resistance &amp; Infection Control, 8</w:t>
      </w:r>
      <w:r w:rsidRPr="000B0034">
        <w:rPr>
          <w:rFonts w:ascii="Times New Roman" w:eastAsia="Times New Roman" w:hAnsi="Times New Roman" w:cs="Times New Roman"/>
          <w:sz w:val="24"/>
          <w:szCs w:val="24"/>
          <w:lang w:val="en-US"/>
        </w:rPr>
        <w:t xml:space="preserve">, Article 118. </w:t>
      </w:r>
      <w:hyperlink r:id="rId21" w:history="1">
        <w:r w:rsidRPr="000B0034">
          <w:rPr>
            <w:rFonts w:ascii="Times New Roman" w:eastAsia="Times New Roman" w:hAnsi="Times New Roman" w:cs="Times New Roman"/>
            <w:color w:val="0000FF"/>
            <w:sz w:val="24"/>
            <w:szCs w:val="24"/>
            <w:u w:val="single"/>
            <w:lang w:val="en-US"/>
          </w:rPr>
          <w:t>https://doi.org/10.1186/s13756-019-0559-6</w:t>
        </w:r>
      </w:hyperlink>
    </w:p>
    <w:p w14:paraId="372AE453"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Klančnik, A., Piskernik, S., Jeršek, B., &amp; Možina, S. S. (2010). Evaluation of diffusion and dilution methods to determine the antibacterial activity of plant extracts. </w:t>
      </w:r>
      <w:r w:rsidRPr="000B0034">
        <w:rPr>
          <w:rFonts w:ascii="Times New Roman" w:eastAsia="Times New Roman" w:hAnsi="Times New Roman" w:cs="Times New Roman"/>
          <w:i/>
          <w:iCs/>
          <w:sz w:val="24"/>
          <w:szCs w:val="24"/>
          <w:lang w:val="en-US"/>
        </w:rPr>
        <w:t>Journal of Microbiological Methods, 81</w:t>
      </w:r>
      <w:r w:rsidRPr="000B0034">
        <w:rPr>
          <w:rFonts w:ascii="Times New Roman" w:eastAsia="Times New Roman" w:hAnsi="Times New Roman" w:cs="Times New Roman"/>
          <w:sz w:val="24"/>
          <w:szCs w:val="24"/>
          <w:lang w:val="en-US"/>
        </w:rPr>
        <w:t xml:space="preserve">(2), 121–126. </w:t>
      </w:r>
      <w:hyperlink r:id="rId22" w:history="1">
        <w:r w:rsidRPr="000B0034">
          <w:rPr>
            <w:rFonts w:ascii="Times New Roman" w:eastAsia="Times New Roman" w:hAnsi="Times New Roman" w:cs="Times New Roman"/>
            <w:color w:val="0000FF"/>
            <w:sz w:val="24"/>
            <w:szCs w:val="24"/>
            <w:u w:val="single"/>
            <w:lang w:val="en-US"/>
          </w:rPr>
          <w:t>https://doi.org/10.1016/j.mimet.2010.02.004</w:t>
        </w:r>
      </w:hyperlink>
    </w:p>
    <w:p w14:paraId="03862796"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lastRenderedPageBreak/>
        <w:t></w:t>
      </w:r>
      <w:r w:rsidRPr="000B0034">
        <w:rPr>
          <w:rFonts w:ascii="Times New Roman" w:eastAsia="Times New Roman" w:hAnsi="Times New Roman" w:cs="Times New Roman"/>
          <w:sz w:val="24"/>
          <w:szCs w:val="24"/>
          <w:lang w:val="en-US"/>
        </w:rPr>
        <w:t xml:space="preserve">  Loaiza-Oliva, M., Arias-Durango, L., &amp; Martínez-Pabón, M. C. (2023). The cytotoxic and inhibitory effects of plant derivatives on </w:t>
      </w:r>
      <w:r w:rsidRPr="000B0034">
        <w:rPr>
          <w:rFonts w:ascii="Times New Roman" w:eastAsia="Times New Roman" w:hAnsi="Times New Roman" w:cs="Times New Roman"/>
          <w:i/>
          <w:iCs/>
          <w:sz w:val="24"/>
          <w:szCs w:val="24"/>
          <w:lang w:val="en-US"/>
        </w:rPr>
        <w:t>Candida albicans</w:t>
      </w:r>
      <w:r w:rsidRPr="000B0034">
        <w:rPr>
          <w:rFonts w:ascii="Times New Roman" w:eastAsia="Times New Roman" w:hAnsi="Times New Roman" w:cs="Times New Roman"/>
          <w:sz w:val="24"/>
          <w:szCs w:val="24"/>
          <w:lang w:val="en-US"/>
        </w:rPr>
        <w:t xml:space="preserve"> biofilms: A scoping review. </w:t>
      </w:r>
      <w:r w:rsidRPr="000B0034">
        <w:rPr>
          <w:rFonts w:ascii="Times New Roman" w:eastAsia="Times New Roman" w:hAnsi="Times New Roman" w:cs="Times New Roman"/>
          <w:i/>
          <w:iCs/>
          <w:sz w:val="24"/>
          <w:szCs w:val="24"/>
          <w:lang w:val="en-US"/>
        </w:rPr>
        <w:t>Molecules, 28</w:t>
      </w:r>
      <w:r w:rsidRPr="000B0034">
        <w:rPr>
          <w:rFonts w:ascii="Times New Roman" w:eastAsia="Times New Roman" w:hAnsi="Times New Roman" w:cs="Times New Roman"/>
          <w:sz w:val="24"/>
          <w:szCs w:val="24"/>
          <w:lang w:val="en-US"/>
        </w:rPr>
        <w:t xml:space="preserve">(1), Article 130. </w:t>
      </w:r>
      <w:hyperlink r:id="rId23" w:history="1">
        <w:r w:rsidRPr="000B0034">
          <w:rPr>
            <w:rFonts w:ascii="Times New Roman" w:eastAsia="Times New Roman" w:hAnsi="Times New Roman" w:cs="Times New Roman"/>
            <w:color w:val="0000FF"/>
            <w:sz w:val="24"/>
            <w:szCs w:val="24"/>
            <w:u w:val="single"/>
            <w:lang w:val="en-US"/>
          </w:rPr>
          <w:t>https://doi.org/10.3390/molecules28010130</w:t>
        </w:r>
      </w:hyperlink>
    </w:p>
    <w:p w14:paraId="4CA95A64"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Maisuria, V. B., Lopez-de Los Santos, Y., Tufenkji, N., &amp; Déziel, E. (2016). Cranberry-derived proanthocyanidins impair virulence and inhibit quorum sensing of </w:t>
      </w:r>
      <w:r w:rsidRPr="000B0034">
        <w:rPr>
          <w:rFonts w:ascii="Times New Roman" w:eastAsia="Times New Roman" w:hAnsi="Times New Roman" w:cs="Times New Roman"/>
          <w:i/>
          <w:iCs/>
          <w:sz w:val="24"/>
          <w:szCs w:val="24"/>
          <w:lang w:val="en-US"/>
        </w:rPr>
        <w:t>Pseudomonas aeruginosa</w:t>
      </w:r>
      <w:r w:rsidRPr="000B0034">
        <w:rPr>
          <w:rFonts w:ascii="Times New Roman" w:eastAsia="Times New Roman" w:hAnsi="Times New Roman" w:cs="Times New Roman"/>
          <w:sz w:val="24"/>
          <w:szCs w:val="24"/>
          <w:lang w:val="en-US"/>
        </w:rPr>
        <w:t xml:space="preserve">. </w:t>
      </w:r>
      <w:r w:rsidRPr="000B0034">
        <w:rPr>
          <w:rFonts w:ascii="Times New Roman" w:eastAsia="Times New Roman" w:hAnsi="Times New Roman" w:cs="Times New Roman"/>
          <w:i/>
          <w:iCs/>
          <w:sz w:val="24"/>
          <w:szCs w:val="24"/>
          <w:lang w:val="en-US"/>
        </w:rPr>
        <w:t>Scientific Reports, 6</w:t>
      </w:r>
      <w:r w:rsidRPr="000B0034">
        <w:rPr>
          <w:rFonts w:ascii="Times New Roman" w:eastAsia="Times New Roman" w:hAnsi="Times New Roman" w:cs="Times New Roman"/>
          <w:sz w:val="24"/>
          <w:szCs w:val="24"/>
          <w:lang w:val="en-US"/>
        </w:rPr>
        <w:t xml:space="preserve">, Article 30169. </w:t>
      </w:r>
      <w:hyperlink r:id="rId24" w:history="1">
        <w:r w:rsidRPr="000B0034">
          <w:rPr>
            <w:rFonts w:ascii="Times New Roman" w:eastAsia="Times New Roman" w:hAnsi="Times New Roman" w:cs="Times New Roman"/>
            <w:color w:val="0000FF"/>
            <w:sz w:val="24"/>
            <w:szCs w:val="24"/>
            <w:u w:val="single"/>
            <w:lang w:val="en-US"/>
          </w:rPr>
          <w:t>https://doi.org/10.1038/srep30169</w:t>
        </w:r>
      </w:hyperlink>
    </w:p>
    <w:p w14:paraId="17FD9150"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Martínez-Fructuoso, L., Arends, S. J. R., Freire, V. F., Evans, J. R., DeVries, S., Peyser, B. D., Akee, R. K., Thornburg, C. C., Kumar, R., Ensel, S., Morgan, G. M., McConachie, G. D., Veeder, N., Duncan, L. R., Grkovic, T., &amp; O’Keefe, B. R. (2023). Screen for new antimicrobial natural products from the NCI Program for Natural Product Discovery prefractionated extract library. </w:t>
      </w:r>
      <w:r w:rsidRPr="000B0034">
        <w:rPr>
          <w:rFonts w:ascii="Times New Roman" w:eastAsia="Times New Roman" w:hAnsi="Times New Roman" w:cs="Times New Roman"/>
          <w:i/>
          <w:iCs/>
          <w:sz w:val="24"/>
          <w:szCs w:val="24"/>
          <w:lang w:val="en-US"/>
        </w:rPr>
        <w:t>ACS Infectious Diseases, 9</w:t>
      </w:r>
      <w:r w:rsidRPr="000B0034">
        <w:rPr>
          <w:rFonts w:ascii="Times New Roman" w:eastAsia="Times New Roman" w:hAnsi="Times New Roman" w:cs="Times New Roman"/>
          <w:sz w:val="24"/>
          <w:szCs w:val="24"/>
          <w:lang w:val="en-US"/>
        </w:rPr>
        <w:t xml:space="preserve">(6), 1245–1256. </w:t>
      </w:r>
      <w:hyperlink r:id="rId25" w:history="1">
        <w:r w:rsidRPr="000B0034">
          <w:rPr>
            <w:rFonts w:ascii="Times New Roman" w:eastAsia="Times New Roman" w:hAnsi="Times New Roman" w:cs="Times New Roman"/>
            <w:color w:val="0000FF"/>
            <w:sz w:val="24"/>
            <w:szCs w:val="24"/>
            <w:u w:val="single"/>
            <w:lang w:val="en-US"/>
          </w:rPr>
          <w:t>https://doi.org/10.1021/acsinfecdis.3c00067</w:t>
        </w:r>
      </w:hyperlink>
    </w:p>
    <w:p w14:paraId="75BC5B83"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Obistioiu, D., Cocan, I., Tîrziu, E., Herman, V., Negrea, M., Cucerzan, A., Neacsu, A. G., Cozma, A. L., Nichita, I., Hulea, A., Radulov, I., &amp; Alexa, E. (2021). Phytochemical profile and microbiological activity of some plants belonging to the Fabaceae family. </w:t>
      </w:r>
      <w:r w:rsidRPr="000B0034">
        <w:rPr>
          <w:rFonts w:ascii="Times New Roman" w:eastAsia="Times New Roman" w:hAnsi="Times New Roman" w:cs="Times New Roman"/>
          <w:i/>
          <w:iCs/>
          <w:sz w:val="24"/>
          <w:szCs w:val="24"/>
          <w:lang w:val="en-US"/>
        </w:rPr>
        <w:t>Antibiotics, 10</w:t>
      </w:r>
      <w:r w:rsidRPr="000B0034">
        <w:rPr>
          <w:rFonts w:ascii="Times New Roman" w:eastAsia="Times New Roman" w:hAnsi="Times New Roman" w:cs="Times New Roman"/>
          <w:sz w:val="24"/>
          <w:szCs w:val="24"/>
          <w:lang w:val="en-US"/>
        </w:rPr>
        <w:t xml:space="preserve">(6), Article 662. </w:t>
      </w:r>
      <w:hyperlink r:id="rId26" w:history="1">
        <w:r w:rsidRPr="000B0034">
          <w:rPr>
            <w:rFonts w:ascii="Times New Roman" w:eastAsia="Times New Roman" w:hAnsi="Times New Roman" w:cs="Times New Roman"/>
            <w:color w:val="0000FF"/>
            <w:sz w:val="24"/>
            <w:szCs w:val="24"/>
            <w:u w:val="single"/>
            <w:lang w:val="en-US"/>
          </w:rPr>
          <w:t>https://doi.org/10.3390/antibiotics10060662</w:t>
        </w:r>
      </w:hyperlink>
    </w:p>
    <w:p w14:paraId="560FAC4C"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Potente, G., Bonvicini, F., Gentilomi, G. A., &amp; Antognoni, F. (2020). Anti-</w:t>
      </w:r>
      <w:r w:rsidRPr="000B0034">
        <w:rPr>
          <w:rFonts w:ascii="Times New Roman" w:eastAsia="Times New Roman" w:hAnsi="Times New Roman" w:cs="Times New Roman"/>
          <w:i/>
          <w:iCs/>
          <w:sz w:val="24"/>
          <w:szCs w:val="24"/>
          <w:lang w:val="en-US"/>
        </w:rPr>
        <w:t>Candida</w:t>
      </w:r>
      <w:r w:rsidRPr="000B0034">
        <w:rPr>
          <w:rFonts w:ascii="Times New Roman" w:eastAsia="Times New Roman" w:hAnsi="Times New Roman" w:cs="Times New Roman"/>
          <w:sz w:val="24"/>
          <w:szCs w:val="24"/>
          <w:lang w:val="en-US"/>
        </w:rPr>
        <w:t xml:space="preserve"> activity of essential oils from Lamiaceae plants from the Mediterranean area and the Middle East. </w:t>
      </w:r>
      <w:r w:rsidRPr="000B0034">
        <w:rPr>
          <w:rFonts w:ascii="Times New Roman" w:eastAsia="Times New Roman" w:hAnsi="Times New Roman" w:cs="Times New Roman"/>
          <w:i/>
          <w:iCs/>
          <w:sz w:val="24"/>
          <w:szCs w:val="24"/>
          <w:lang w:val="en-US"/>
        </w:rPr>
        <w:t>Antibiotics, 9</w:t>
      </w:r>
      <w:r w:rsidRPr="000B0034">
        <w:rPr>
          <w:rFonts w:ascii="Times New Roman" w:eastAsia="Times New Roman" w:hAnsi="Times New Roman" w:cs="Times New Roman"/>
          <w:sz w:val="24"/>
          <w:szCs w:val="24"/>
          <w:lang w:val="en-US"/>
        </w:rPr>
        <w:t xml:space="preserve">(7), Article 395. </w:t>
      </w:r>
      <w:hyperlink r:id="rId27" w:history="1">
        <w:r w:rsidRPr="000B0034">
          <w:rPr>
            <w:rFonts w:ascii="Times New Roman" w:eastAsia="Times New Roman" w:hAnsi="Times New Roman" w:cs="Times New Roman"/>
            <w:color w:val="0000FF"/>
            <w:sz w:val="24"/>
            <w:szCs w:val="24"/>
            <w:u w:val="single"/>
            <w:lang w:val="en-US"/>
          </w:rPr>
          <w:t>https://doi.org/10.3390/antibiotics9070395</w:t>
        </w:r>
      </w:hyperlink>
    </w:p>
    <w:p w14:paraId="3251B541"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Rahalison, L., Hamburger, M., Hostettmann, K., Monod, M., &amp; Frenk, E. (1991). A bioautographic agar overlay method for the detection of antifungal compounds from higher plants. </w:t>
      </w:r>
      <w:r w:rsidRPr="000B0034">
        <w:rPr>
          <w:rFonts w:ascii="Times New Roman" w:eastAsia="Times New Roman" w:hAnsi="Times New Roman" w:cs="Times New Roman"/>
          <w:i/>
          <w:iCs/>
          <w:sz w:val="24"/>
          <w:szCs w:val="24"/>
          <w:lang w:val="en-US"/>
        </w:rPr>
        <w:t>Phytochemical Analysis, 2</w:t>
      </w:r>
      <w:r w:rsidRPr="000B0034">
        <w:rPr>
          <w:rFonts w:ascii="Times New Roman" w:eastAsia="Times New Roman" w:hAnsi="Times New Roman" w:cs="Times New Roman"/>
          <w:sz w:val="24"/>
          <w:szCs w:val="24"/>
          <w:lang w:val="en-US"/>
        </w:rPr>
        <w:t xml:space="preserve">(5), 199–203. </w:t>
      </w:r>
      <w:hyperlink r:id="rId28" w:history="1">
        <w:r w:rsidRPr="000B0034">
          <w:rPr>
            <w:rFonts w:ascii="Times New Roman" w:eastAsia="Times New Roman" w:hAnsi="Times New Roman" w:cs="Times New Roman"/>
            <w:color w:val="0000FF"/>
            <w:sz w:val="24"/>
            <w:szCs w:val="24"/>
            <w:u w:val="single"/>
            <w:lang w:val="en-US"/>
          </w:rPr>
          <w:t>https://doi.org/10.1002/pca.2800020503</w:t>
        </w:r>
      </w:hyperlink>
    </w:p>
    <w:p w14:paraId="03A349B2"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Sukhera, J. (2022). Narrative reviews: Flexible, rigorous, and practical. </w:t>
      </w:r>
      <w:r w:rsidRPr="000B0034">
        <w:rPr>
          <w:rFonts w:ascii="Times New Roman" w:eastAsia="Times New Roman" w:hAnsi="Times New Roman" w:cs="Times New Roman"/>
          <w:i/>
          <w:iCs/>
          <w:sz w:val="24"/>
          <w:szCs w:val="24"/>
          <w:lang w:val="en-US"/>
        </w:rPr>
        <w:t>Journal of Graduate Medical Education, 14</w:t>
      </w:r>
      <w:r w:rsidRPr="000B0034">
        <w:rPr>
          <w:rFonts w:ascii="Times New Roman" w:eastAsia="Times New Roman" w:hAnsi="Times New Roman" w:cs="Times New Roman"/>
          <w:sz w:val="24"/>
          <w:szCs w:val="24"/>
          <w:lang w:val="en-US"/>
        </w:rPr>
        <w:t xml:space="preserve">(4), 414–417. </w:t>
      </w:r>
      <w:hyperlink r:id="rId29" w:history="1">
        <w:r w:rsidRPr="000B0034">
          <w:rPr>
            <w:rFonts w:ascii="Times New Roman" w:eastAsia="Times New Roman" w:hAnsi="Times New Roman" w:cs="Times New Roman"/>
            <w:color w:val="0000FF"/>
            <w:sz w:val="24"/>
            <w:szCs w:val="24"/>
            <w:u w:val="single"/>
            <w:lang w:val="en-US"/>
          </w:rPr>
          <w:t>https://doi.org/10.4300/JGME-D-22-00480.1</w:t>
        </w:r>
      </w:hyperlink>
    </w:p>
    <w:p w14:paraId="2A4EE54B"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Tsamo, D. L. F., Tamokou, J.-D.-D., Kengne, I. C., Ngnokam, C. D. J., Djamalladine, M. D., Voutquenne-Nazabadioko, L., &amp; Ngnokam, D. (2021). Antimicrobial and antioxidant secondary metabolites from </w:t>
      </w:r>
      <w:r w:rsidRPr="000B0034">
        <w:rPr>
          <w:rFonts w:ascii="Times New Roman" w:eastAsia="Times New Roman" w:hAnsi="Times New Roman" w:cs="Times New Roman"/>
          <w:i/>
          <w:iCs/>
          <w:sz w:val="24"/>
          <w:szCs w:val="24"/>
          <w:lang w:val="en-US"/>
        </w:rPr>
        <w:t>Trifolium baccarinii</w:t>
      </w:r>
      <w:r w:rsidRPr="000B0034">
        <w:rPr>
          <w:rFonts w:ascii="Times New Roman" w:eastAsia="Times New Roman" w:hAnsi="Times New Roman" w:cs="Times New Roman"/>
          <w:sz w:val="24"/>
          <w:szCs w:val="24"/>
          <w:lang w:val="en-US"/>
        </w:rPr>
        <w:t xml:space="preserve"> Chiov. (Fabaceae) and their mechanisms of antibacterial action. </w:t>
      </w:r>
      <w:r w:rsidRPr="000B0034">
        <w:rPr>
          <w:rFonts w:ascii="Times New Roman" w:eastAsia="Times New Roman" w:hAnsi="Times New Roman" w:cs="Times New Roman"/>
          <w:i/>
          <w:iCs/>
          <w:sz w:val="24"/>
          <w:szCs w:val="24"/>
          <w:lang w:val="en-US"/>
        </w:rPr>
        <w:t>BioMed Research International, 2021</w:t>
      </w:r>
      <w:r w:rsidRPr="000B0034">
        <w:rPr>
          <w:rFonts w:ascii="Times New Roman" w:eastAsia="Times New Roman" w:hAnsi="Times New Roman" w:cs="Times New Roman"/>
          <w:sz w:val="24"/>
          <w:szCs w:val="24"/>
          <w:lang w:val="en-US"/>
        </w:rPr>
        <w:t xml:space="preserve">, Article 3099428. </w:t>
      </w:r>
      <w:hyperlink r:id="rId30" w:history="1">
        <w:r w:rsidRPr="000B0034">
          <w:rPr>
            <w:rFonts w:ascii="Times New Roman" w:eastAsia="Times New Roman" w:hAnsi="Times New Roman" w:cs="Times New Roman"/>
            <w:color w:val="0000FF"/>
            <w:sz w:val="24"/>
            <w:szCs w:val="24"/>
            <w:u w:val="single"/>
            <w:lang w:val="en-US"/>
          </w:rPr>
          <w:t>https://doi.org/10.1155/2021/3099428</w:t>
        </w:r>
      </w:hyperlink>
    </w:p>
    <w:p w14:paraId="2FBF277E"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Wiegand, I., Hilpert, K., &amp; Hancock, R. E. W. (2008). Agar and broth dilution methods to determine the minimal inhibitory concentration (MIC) of antimicrobial substances. </w:t>
      </w:r>
      <w:r w:rsidRPr="000B0034">
        <w:rPr>
          <w:rFonts w:ascii="Times New Roman" w:eastAsia="Times New Roman" w:hAnsi="Times New Roman" w:cs="Times New Roman"/>
          <w:i/>
          <w:iCs/>
          <w:sz w:val="24"/>
          <w:szCs w:val="24"/>
          <w:lang w:val="en-US"/>
        </w:rPr>
        <w:t>Nature Protocols, 3</w:t>
      </w:r>
      <w:r w:rsidRPr="000B0034">
        <w:rPr>
          <w:rFonts w:ascii="Times New Roman" w:eastAsia="Times New Roman" w:hAnsi="Times New Roman" w:cs="Times New Roman"/>
          <w:sz w:val="24"/>
          <w:szCs w:val="24"/>
          <w:lang w:val="en-US"/>
        </w:rPr>
        <w:t xml:space="preserve">(2), 163–175. </w:t>
      </w:r>
      <w:hyperlink r:id="rId31" w:history="1">
        <w:r w:rsidRPr="000B0034">
          <w:rPr>
            <w:rFonts w:ascii="Times New Roman" w:eastAsia="Times New Roman" w:hAnsi="Times New Roman" w:cs="Times New Roman"/>
            <w:color w:val="0000FF"/>
            <w:sz w:val="24"/>
            <w:szCs w:val="24"/>
            <w:u w:val="single"/>
            <w:lang w:val="en-US"/>
          </w:rPr>
          <w:t>https://doi.org/10.1038/nprot.2007.521</w:t>
        </w:r>
      </w:hyperlink>
    </w:p>
    <w:p w14:paraId="535ADDEC"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World Health Organization. (2025). </w:t>
      </w:r>
      <w:r w:rsidRPr="000B0034">
        <w:rPr>
          <w:rFonts w:ascii="Times New Roman" w:eastAsia="Times New Roman" w:hAnsi="Times New Roman" w:cs="Times New Roman"/>
          <w:i/>
          <w:iCs/>
          <w:sz w:val="24"/>
          <w:szCs w:val="24"/>
          <w:lang w:val="en-US"/>
        </w:rPr>
        <w:t>Global antibiotic resistance surveillance report 2025</w:t>
      </w:r>
      <w:r w:rsidRPr="000B0034">
        <w:rPr>
          <w:rFonts w:ascii="Times New Roman" w:eastAsia="Times New Roman" w:hAnsi="Times New Roman" w:cs="Times New Roman"/>
          <w:sz w:val="24"/>
          <w:szCs w:val="24"/>
          <w:lang w:val="en-US"/>
        </w:rPr>
        <w:t xml:space="preserve">. </w:t>
      </w:r>
      <w:hyperlink r:id="rId32" w:history="1">
        <w:r w:rsidRPr="000B0034">
          <w:rPr>
            <w:rFonts w:ascii="Times New Roman" w:eastAsia="Times New Roman" w:hAnsi="Times New Roman" w:cs="Times New Roman"/>
            <w:color w:val="0000FF"/>
            <w:sz w:val="24"/>
            <w:szCs w:val="24"/>
            <w:u w:val="single"/>
            <w:lang w:val="en-US"/>
          </w:rPr>
          <w:t>https://www.who.int/publications/i/item/9789240116337</w:t>
        </w:r>
      </w:hyperlink>
    </w:p>
    <w:p w14:paraId="600075B5" w14:textId="77777777" w:rsidR="000B0034" w:rsidRPr="000B0034" w:rsidRDefault="000B0034" w:rsidP="000B0034">
      <w:pPr>
        <w:spacing w:after="0" w:line="240" w:lineRule="auto"/>
        <w:rPr>
          <w:rFonts w:ascii="Times New Roman" w:eastAsia="Times New Roman" w:hAnsi="Times New Roman" w:cs="Times New Roman"/>
          <w:sz w:val="24"/>
          <w:szCs w:val="24"/>
          <w:lang w:val="en-US"/>
        </w:rPr>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Zaky, A. A., Akram, M. U., Rybak, K., Witrowa-Rajchert, D., &amp; Nowacka, M. (2024). Bioactive compounds from plants and by-products: Novel extraction methods, applications, and limitations. </w:t>
      </w:r>
      <w:r w:rsidRPr="000B0034">
        <w:rPr>
          <w:rFonts w:ascii="Times New Roman" w:eastAsia="Times New Roman" w:hAnsi="Times New Roman" w:cs="Times New Roman"/>
          <w:i/>
          <w:iCs/>
          <w:sz w:val="24"/>
          <w:szCs w:val="24"/>
          <w:lang w:val="en-US"/>
        </w:rPr>
        <w:t>AIMS Molecular Science, 11</w:t>
      </w:r>
      <w:r w:rsidRPr="000B0034">
        <w:rPr>
          <w:rFonts w:ascii="Times New Roman" w:eastAsia="Times New Roman" w:hAnsi="Times New Roman" w:cs="Times New Roman"/>
          <w:sz w:val="24"/>
          <w:szCs w:val="24"/>
          <w:lang w:val="en-US"/>
        </w:rPr>
        <w:t xml:space="preserve">(2), 150–188. </w:t>
      </w:r>
      <w:hyperlink r:id="rId33" w:history="1">
        <w:r w:rsidRPr="000B0034">
          <w:rPr>
            <w:rFonts w:ascii="Times New Roman" w:eastAsia="Times New Roman" w:hAnsi="Times New Roman" w:cs="Times New Roman"/>
            <w:color w:val="0000FF"/>
            <w:sz w:val="24"/>
            <w:szCs w:val="24"/>
            <w:u w:val="single"/>
            <w:lang w:val="en-US"/>
          </w:rPr>
          <w:t>https://doi.org/10.3934/molsci.2024010</w:t>
        </w:r>
      </w:hyperlink>
    </w:p>
    <w:p w14:paraId="262C5E8E" w14:textId="0CB08BD4" w:rsidR="004841B3" w:rsidRDefault="000B0034" w:rsidP="000B0034">
      <w:pPr>
        <w:jc w:val="both"/>
      </w:pPr>
      <w:r w:rsidRPr="000B0034">
        <w:rPr>
          <w:rFonts w:ascii="Times New Roman" w:eastAsia="Times New Roman" w:hAnsi="Symbol" w:cs="Times New Roman"/>
          <w:sz w:val="24"/>
          <w:szCs w:val="24"/>
          <w:lang w:val="en-US"/>
        </w:rPr>
        <w:t></w:t>
      </w:r>
      <w:r w:rsidRPr="000B0034">
        <w:rPr>
          <w:rFonts w:ascii="Times New Roman" w:eastAsia="Times New Roman" w:hAnsi="Times New Roman" w:cs="Times New Roman"/>
          <w:sz w:val="24"/>
          <w:szCs w:val="24"/>
          <w:lang w:val="en-US"/>
        </w:rPr>
        <w:t xml:space="preserve">  Zubko, M. K. (2024). Towards sustainable antimicrobials from plants: Some ways to abridge current methodological approaches. </w:t>
      </w:r>
      <w:r w:rsidRPr="000B0034">
        <w:rPr>
          <w:rFonts w:ascii="Times New Roman" w:eastAsia="Times New Roman" w:hAnsi="Times New Roman" w:cs="Times New Roman"/>
          <w:i/>
          <w:iCs/>
          <w:sz w:val="24"/>
          <w:szCs w:val="24"/>
          <w:lang w:val="en-US"/>
        </w:rPr>
        <w:t>Sustainable Materials and Technologies, 39</w:t>
      </w:r>
      <w:r w:rsidRPr="000B0034">
        <w:rPr>
          <w:rFonts w:ascii="Times New Roman" w:eastAsia="Times New Roman" w:hAnsi="Times New Roman" w:cs="Times New Roman"/>
          <w:sz w:val="24"/>
          <w:szCs w:val="24"/>
          <w:lang w:val="en-US"/>
        </w:rPr>
        <w:t xml:space="preserve">, Article e00801. </w:t>
      </w:r>
      <w:hyperlink r:id="rId34" w:history="1">
        <w:r w:rsidRPr="000B0034">
          <w:rPr>
            <w:rFonts w:ascii="Times New Roman" w:eastAsia="Times New Roman" w:hAnsi="Times New Roman" w:cs="Times New Roman"/>
            <w:color w:val="0000FF"/>
            <w:sz w:val="24"/>
            <w:szCs w:val="24"/>
            <w:u w:val="single"/>
            <w:lang w:val="en-US"/>
          </w:rPr>
          <w:t>https://doi.org/10.1016/j.susmat.2023.e00801</w:t>
        </w:r>
      </w:hyperlink>
    </w:p>
    <w:sectPr w:rsidR="004841B3" w:rsidSect="004841B3">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84F6" w14:textId="77777777" w:rsidR="00463CA5" w:rsidRDefault="00463CA5" w:rsidP="00A0215E">
      <w:pPr>
        <w:spacing w:after="0" w:line="240" w:lineRule="auto"/>
      </w:pPr>
      <w:r>
        <w:separator/>
      </w:r>
    </w:p>
  </w:endnote>
  <w:endnote w:type="continuationSeparator" w:id="0">
    <w:p w14:paraId="5C348AE8" w14:textId="77777777" w:rsidR="00463CA5" w:rsidRDefault="00463CA5" w:rsidP="00A0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4DE4" w14:textId="77777777" w:rsidR="00A0215E" w:rsidRDefault="00A02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F00F" w14:textId="77777777" w:rsidR="00A0215E" w:rsidRDefault="00A021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18C" w14:textId="77777777" w:rsidR="00A0215E" w:rsidRDefault="00A0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E54F6" w14:textId="77777777" w:rsidR="00463CA5" w:rsidRDefault="00463CA5" w:rsidP="00A0215E">
      <w:pPr>
        <w:spacing w:after="0" w:line="240" w:lineRule="auto"/>
      </w:pPr>
      <w:r>
        <w:separator/>
      </w:r>
    </w:p>
  </w:footnote>
  <w:footnote w:type="continuationSeparator" w:id="0">
    <w:p w14:paraId="69528D32" w14:textId="77777777" w:rsidR="00463CA5" w:rsidRDefault="00463CA5" w:rsidP="00A0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15E1" w14:textId="77777777" w:rsidR="00A0215E" w:rsidRDefault="00000000">
    <w:pPr>
      <w:pStyle w:val="Header"/>
    </w:pPr>
    <w:r>
      <w:rPr>
        <w:noProof/>
      </w:rPr>
      <w:pict w14:anchorId="702B53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26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6ED0" w14:textId="77777777" w:rsidR="00A0215E" w:rsidRDefault="00000000">
    <w:pPr>
      <w:pStyle w:val="Header"/>
    </w:pPr>
    <w:r>
      <w:rPr>
        <w:noProof/>
      </w:rPr>
      <w:pict w14:anchorId="4076A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26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C8C5" w14:textId="77777777" w:rsidR="00A0215E" w:rsidRDefault="00000000">
    <w:pPr>
      <w:pStyle w:val="Header"/>
    </w:pPr>
    <w:r>
      <w:rPr>
        <w:noProof/>
      </w:rPr>
      <w:pict w14:anchorId="64F72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26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93CE2"/>
    <w:multiLevelType w:val="hybridMultilevel"/>
    <w:tmpl w:val="EB941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42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6B42"/>
    <w:rsid w:val="000B0034"/>
    <w:rsid w:val="001309A6"/>
    <w:rsid w:val="00284CBE"/>
    <w:rsid w:val="00336B42"/>
    <w:rsid w:val="0034368D"/>
    <w:rsid w:val="00345F3B"/>
    <w:rsid w:val="00353AAD"/>
    <w:rsid w:val="00410222"/>
    <w:rsid w:val="00426CF9"/>
    <w:rsid w:val="00463CA5"/>
    <w:rsid w:val="004841B3"/>
    <w:rsid w:val="005A6205"/>
    <w:rsid w:val="006449CE"/>
    <w:rsid w:val="00703C5C"/>
    <w:rsid w:val="00824882"/>
    <w:rsid w:val="008509DA"/>
    <w:rsid w:val="00A0215E"/>
    <w:rsid w:val="00A57FF8"/>
    <w:rsid w:val="00AA32DE"/>
    <w:rsid w:val="00B15BB7"/>
    <w:rsid w:val="00B842A7"/>
    <w:rsid w:val="00DA3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804A2"/>
  <w15:docId w15:val="{A8A58E6D-66B1-492F-9DE4-C2846392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336B4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36B4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36B4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36B4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36B42"/>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36B42"/>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336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36B42"/>
    <w:rPr>
      <w:b/>
      <w:bCs/>
    </w:rPr>
  </w:style>
  <w:style w:type="character" w:styleId="Emphasis">
    <w:name w:val="Emphasis"/>
    <w:basedOn w:val="DefaultParagraphFont"/>
    <w:uiPriority w:val="20"/>
    <w:qFormat/>
    <w:rsid w:val="00336B42"/>
    <w:rPr>
      <w:i/>
      <w:iCs/>
    </w:rPr>
  </w:style>
  <w:style w:type="character" w:styleId="Hyperlink">
    <w:name w:val="Hyperlink"/>
    <w:basedOn w:val="DefaultParagraphFont"/>
    <w:uiPriority w:val="99"/>
    <w:semiHidden/>
    <w:unhideWhenUsed/>
    <w:rsid w:val="00336B42"/>
    <w:rPr>
      <w:color w:val="0000FF"/>
      <w:u w:val="single"/>
    </w:rPr>
  </w:style>
  <w:style w:type="table" w:styleId="TableGrid">
    <w:name w:val="Table Grid"/>
    <w:basedOn w:val="TableNormal"/>
    <w:uiPriority w:val="59"/>
    <w:rsid w:val="00336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15E"/>
  </w:style>
  <w:style w:type="paragraph" w:styleId="Footer">
    <w:name w:val="footer"/>
    <w:basedOn w:val="Normal"/>
    <w:link w:val="FooterChar"/>
    <w:uiPriority w:val="99"/>
    <w:unhideWhenUsed/>
    <w:rsid w:val="00A02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15E"/>
  </w:style>
  <w:style w:type="paragraph" w:styleId="ListParagraph">
    <w:name w:val="List Paragraph"/>
    <w:basedOn w:val="Normal"/>
    <w:uiPriority w:val="34"/>
    <w:qFormat/>
    <w:rsid w:val="00703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877530">
      <w:bodyDiv w:val="1"/>
      <w:marLeft w:val="0"/>
      <w:marRight w:val="0"/>
      <w:marTop w:val="0"/>
      <w:marBottom w:val="0"/>
      <w:divBdr>
        <w:top w:val="none" w:sz="0" w:space="0" w:color="auto"/>
        <w:left w:val="none" w:sz="0" w:space="0" w:color="auto"/>
        <w:bottom w:val="none" w:sz="0" w:space="0" w:color="auto"/>
        <w:right w:val="none" w:sz="0" w:space="0" w:color="auto"/>
      </w:divBdr>
      <w:divsChild>
        <w:div w:id="139352718">
          <w:marLeft w:val="0"/>
          <w:marRight w:val="0"/>
          <w:marTop w:val="0"/>
          <w:marBottom w:val="0"/>
          <w:divBdr>
            <w:top w:val="none" w:sz="0" w:space="0" w:color="auto"/>
            <w:left w:val="none" w:sz="0" w:space="0" w:color="auto"/>
            <w:bottom w:val="none" w:sz="0" w:space="0" w:color="auto"/>
            <w:right w:val="none" w:sz="0" w:space="0" w:color="auto"/>
          </w:divBdr>
        </w:div>
        <w:div w:id="651178241">
          <w:marLeft w:val="0"/>
          <w:marRight w:val="0"/>
          <w:marTop w:val="0"/>
          <w:marBottom w:val="0"/>
          <w:divBdr>
            <w:top w:val="none" w:sz="0" w:space="0" w:color="auto"/>
            <w:left w:val="none" w:sz="0" w:space="0" w:color="auto"/>
            <w:bottom w:val="none" w:sz="0" w:space="0" w:color="auto"/>
            <w:right w:val="none" w:sz="0" w:space="0" w:color="auto"/>
          </w:divBdr>
        </w:div>
        <w:div w:id="2005933674">
          <w:marLeft w:val="0"/>
          <w:marRight w:val="0"/>
          <w:marTop w:val="0"/>
          <w:marBottom w:val="0"/>
          <w:divBdr>
            <w:top w:val="none" w:sz="0" w:space="0" w:color="auto"/>
            <w:left w:val="none" w:sz="0" w:space="0" w:color="auto"/>
            <w:bottom w:val="none" w:sz="0" w:space="0" w:color="auto"/>
            <w:right w:val="none" w:sz="0" w:space="0" w:color="auto"/>
          </w:divBdr>
        </w:div>
        <w:div w:id="1810975571">
          <w:marLeft w:val="0"/>
          <w:marRight w:val="0"/>
          <w:marTop w:val="0"/>
          <w:marBottom w:val="0"/>
          <w:divBdr>
            <w:top w:val="none" w:sz="0" w:space="0" w:color="auto"/>
            <w:left w:val="none" w:sz="0" w:space="0" w:color="auto"/>
            <w:bottom w:val="none" w:sz="0" w:space="0" w:color="auto"/>
            <w:right w:val="none" w:sz="0" w:space="0" w:color="auto"/>
          </w:divBdr>
        </w:div>
        <w:div w:id="1116100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pls.2023.1186180" TargetMode="External"/><Relationship Id="rId18" Type="http://schemas.openxmlformats.org/officeDocument/2006/relationships/hyperlink" Target="https://doi.org/10.3390/molecules28031068" TargetMode="External"/><Relationship Id="rId26" Type="http://schemas.openxmlformats.org/officeDocument/2006/relationships/hyperlink" Target="https://doi.org/10.3390/antibiotics10060662" TargetMode="External"/><Relationship Id="rId39" Type="http://schemas.openxmlformats.org/officeDocument/2006/relationships/header" Target="header3.xml"/><Relationship Id="rId21" Type="http://schemas.openxmlformats.org/officeDocument/2006/relationships/hyperlink" Target="https://doi.org/10.1186/s13756-019-0559-6" TargetMode="External"/><Relationship Id="rId34" Type="http://schemas.openxmlformats.org/officeDocument/2006/relationships/hyperlink" Target="https://doi.org/10.1016/j.susmat.2023.e00801" TargetMode="External"/><Relationship Id="rId42" Type="http://schemas.openxmlformats.org/officeDocument/2006/relationships/theme" Target="theme/theme1.xml"/><Relationship Id="rId7" Type="http://schemas.openxmlformats.org/officeDocument/2006/relationships/hyperlink" Target="https://doi.org/10.1007/s00253-019-09618-0" TargetMode="External"/><Relationship Id="rId2" Type="http://schemas.openxmlformats.org/officeDocument/2006/relationships/styles" Target="styles.xml"/><Relationship Id="rId16" Type="http://schemas.openxmlformats.org/officeDocument/2006/relationships/hyperlink" Target="https://doi.org/10.1038/s41598-022-21509-5" TargetMode="External"/><Relationship Id="rId20" Type="http://schemas.openxmlformats.org/officeDocument/2006/relationships/hyperlink" Target="https://doi.org/10.1371/journal.pone.0249253" TargetMode="External"/><Relationship Id="rId29" Type="http://schemas.openxmlformats.org/officeDocument/2006/relationships/hyperlink" Target="https://doi.org/10.4300/JGME-D-22-00480.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1095-020-02849-1" TargetMode="External"/><Relationship Id="rId24" Type="http://schemas.openxmlformats.org/officeDocument/2006/relationships/hyperlink" Target="https://doi.org/10.1038/srep30169" TargetMode="External"/><Relationship Id="rId32" Type="http://schemas.openxmlformats.org/officeDocument/2006/relationships/hyperlink" Target="https://www.who.int/publications/i/item/9789240116337"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3389/fpls.2022.1072592" TargetMode="External"/><Relationship Id="rId23" Type="http://schemas.openxmlformats.org/officeDocument/2006/relationships/hyperlink" Target="https://doi.org/10.3390/molecules28010130" TargetMode="External"/><Relationship Id="rId28" Type="http://schemas.openxmlformats.org/officeDocument/2006/relationships/hyperlink" Target="https://doi.org/10.1002/pca.2800020503" TargetMode="External"/><Relationship Id="rId36" Type="http://schemas.openxmlformats.org/officeDocument/2006/relationships/header" Target="header2.xml"/><Relationship Id="rId10" Type="http://schemas.openxmlformats.org/officeDocument/2006/relationships/hyperlink" Target="https://doi.org/10.1128/CMR.00069-19" TargetMode="External"/><Relationship Id="rId19" Type="http://schemas.openxmlformats.org/officeDocument/2006/relationships/hyperlink" Target="https://doi.org/10.1155/2021/3663315" TargetMode="External"/><Relationship Id="rId31" Type="http://schemas.openxmlformats.org/officeDocument/2006/relationships/hyperlink" Target="https://doi.org/10.1038/nprot.2007.521" TargetMode="External"/><Relationship Id="rId4" Type="http://schemas.openxmlformats.org/officeDocument/2006/relationships/webSettings" Target="webSettings.xml"/><Relationship Id="rId9" Type="http://schemas.openxmlformats.org/officeDocument/2006/relationships/hyperlink" Target="https://doi.org/10.1155/2012/493156" TargetMode="External"/><Relationship Id="rId14" Type="http://schemas.openxmlformats.org/officeDocument/2006/relationships/hyperlink" Target="https://doi.org/10.3390/antibiotics12101558" TargetMode="External"/><Relationship Id="rId22" Type="http://schemas.openxmlformats.org/officeDocument/2006/relationships/hyperlink" Target="https://doi.org/10.1016/j.mimet.2010.02.004" TargetMode="External"/><Relationship Id="rId27" Type="http://schemas.openxmlformats.org/officeDocument/2006/relationships/hyperlink" Target="https://doi.org/10.3390/antibiotics9070395" TargetMode="External"/><Relationship Id="rId30" Type="http://schemas.openxmlformats.org/officeDocument/2006/relationships/hyperlink" Target="https://doi.org/10.1155/2021/3099428" TargetMode="External"/><Relationship Id="rId35" Type="http://schemas.openxmlformats.org/officeDocument/2006/relationships/header" Target="header1.xml"/><Relationship Id="rId8" Type="http://schemas.openxmlformats.org/officeDocument/2006/relationships/hyperlink" Target="https://doi.org/10.3390/antibiotics13080746" TargetMode="External"/><Relationship Id="rId3" Type="http://schemas.openxmlformats.org/officeDocument/2006/relationships/settings" Target="settings.xml"/><Relationship Id="rId12" Type="http://schemas.openxmlformats.org/officeDocument/2006/relationships/hyperlink" Target="https://doi.org/10.3390/microorganisms11051150" TargetMode="External"/><Relationship Id="rId17" Type="http://schemas.openxmlformats.org/officeDocument/2006/relationships/hyperlink" Target="https://doi.org/10.3389/fphar.2016.00320" TargetMode="External"/><Relationship Id="rId25" Type="http://schemas.openxmlformats.org/officeDocument/2006/relationships/hyperlink" Target="https://doi.org/10.1021/acsinfecdis.3c00067" TargetMode="External"/><Relationship Id="rId33" Type="http://schemas.openxmlformats.org/officeDocument/2006/relationships/hyperlink" Target="https://doi.org/10.3934/molsci.2024010"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8829</Words>
  <Characters>50326</Characters>
  <Application>Microsoft Office Word</Application>
  <DocSecurity>0</DocSecurity>
  <Lines>419</Lines>
  <Paragraphs>118</Paragraphs>
  <ScaleCrop>false</ScaleCrop>
  <Company>HP</Company>
  <LinksUpToDate>false</LinksUpToDate>
  <CharactersWithSpaces>59037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9</cp:revision>
  <dcterms:created xsi:type="dcterms:W3CDTF">2026-07-11T13:12:00Z</dcterms:created>
  <dcterms:modified xsi:type="dcterms:W3CDTF">2026-07-16T04:01:00Z</dcterms:modified>
</cp:coreProperties>
</file>