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5FD8E" w14:textId="3EF26C7E" w:rsidR="00684965" w:rsidRPr="004D59CC" w:rsidRDefault="006F6350" w:rsidP="00684965">
      <w:pPr>
        <w:pStyle w:val="Els-Title"/>
      </w:pPr>
      <w:r w:rsidRPr="003B224E">
        <w:rPr>
          <w:highlight w:val="yellow"/>
        </w:rPr>
        <w:t>Decline, Otherness, and Symbolic Space in Chekhov’s The Cherry Orchard and Coetzee’s Waiting for the Barbarians</w:t>
      </w:r>
    </w:p>
    <w:p w14:paraId="0E5D131F" w14:textId="77777777" w:rsidR="0094075E" w:rsidRPr="004D59CC" w:rsidRDefault="0094075E" w:rsidP="0094075E">
      <w:pPr>
        <w:rPr>
          <w:lang w:eastAsia="zh-CN"/>
        </w:rPr>
      </w:pPr>
    </w:p>
    <w:p w14:paraId="23B33A58" w14:textId="77777777" w:rsidR="00F456FF" w:rsidRPr="004D59CC" w:rsidRDefault="00F456FF" w:rsidP="00684965"/>
    <w:p w14:paraId="2DD210A5" w14:textId="77777777" w:rsidR="00D174A3" w:rsidRPr="004D59CC"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4D59CC">
        <w:rPr>
          <w:rFonts w:ascii="Times New Roman" w:eastAsia="Times New Roman" w:hAnsi="Times New Roman" w:cs="Times New Roman"/>
          <w:b/>
          <w:bCs/>
          <w:kern w:val="0"/>
          <w:lang w:eastAsia="en-GB"/>
          <w14:ligatures w14:val="none"/>
        </w:rPr>
        <w:t>Abstract</w:t>
      </w:r>
    </w:p>
    <w:p w14:paraId="4843030F" w14:textId="102C4692" w:rsidR="0052593A" w:rsidRDefault="003B224E" w:rsidP="0052593A">
      <w:pPr>
        <w:pStyle w:val="NormalWeb"/>
        <w:spacing w:after="0" w:afterAutospacing="0" w:line="276" w:lineRule="auto"/>
        <w:jc w:val="both"/>
      </w:pPr>
      <w:r w:rsidRPr="003B224E">
        <w:rPr>
          <w:highlight w:val="yellow"/>
        </w:rPr>
        <w:t>This study comparatively examines how social decline, otherness, and identity are represented in Anton Chekhov’s The Cherry Orchard and J. M. Coetzee’s Waiting for the Barbarians. Although both works have been widely discussed in relation to historical change, power, and moral conflict, less attention has been given to the ways in which weakening structures of authority reshape identity through symbolic space. Using qualitative comparative literary analysis, the study applies close reading informed by new historicist and postcolonial perspectives. The analysis focuses on institutional decline, identity formation, symbolic space, and the relationship between individual agency and structural complicity. In The Cherry Orchard, the sale and destruction of the orchard signify the erosion of aristocratic privilege, inherited memory, and cultural authority, while Lopakhin’s rise reveals the tensions between economic mobility and social belonging. In Waiting for the Barbarians, the Empire sustains its authority by constructing culturally diverse frontier communities as a threatening Other, and the Magistrate’s moral conflict exposes the instability of imperial power. The orchard and the desert function as contrasting symbolic spaces: the orchard preserves memory while revealing the historical burden of privilege, whereas the desert exposes territorial uncertainty, restricted imperial knowledge, and coercive classification. The comparison shows that decline is represented not as a single universal process but as historically distinct forms of social and moral instability. By bringing the two works together, the study demonstrates how changing relations of property, territory, memory, and power unsettle personal identity, cultural belonging, and ethical responsibility across different literary and historical contexts.</w:t>
      </w:r>
    </w:p>
    <w:p w14:paraId="1D89364D" w14:textId="77777777" w:rsidR="0052593A" w:rsidRDefault="0052593A" w:rsidP="003E3052">
      <w:pPr>
        <w:pStyle w:val="Els-body-text"/>
        <w:ind w:firstLine="0"/>
      </w:pPr>
    </w:p>
    <w:p w14:paraId="5792EE68" w14:textId="77777777" w:rsidR="0052593A" w:rsidRDefault="0052593A" w:rsidP="003E3052">
      <w:pPr>
        <w:pStyle w:val="Els-body-text"/>
        <w:ind w:firstLine="0"/>
      </w:pPr>
    </w:p>
    <w:p w14:paraId="09C993B2" w14:textId="017B9BD5" w:rsidR="003E3052" w:rsidRPr="004D59CC" w:rsidRDefault="00684965" w:rsidP="003E3052">
      <w:pPr>
        <w:pStyle w:val="Els-body-text"/>
        <w:ind w:firstLine="0"/>
        <w:rPr>
          <w:rStyle w:val="Strong"/>
          <w:rFonts w:eastAsiaTheme="majorEastAsia"/>
          <w:b w:val="0"/>
          <w:bCs w:val="0"/>
          <w:sz w:val="24"/>
          <w:szCs w:val="24"/>
        </w:rPr>
      </w:pPr>
      <w:r w:rsidRPr="004D59CC">
        <w:rPr>
          <w:b/>
          <w:bCs/>
          <w:sz w:val="24"/>
          <w:szCs w:val="32"/>
          <w:lang w:val="en-GB"/>
        </w:rPr>
        <w:t>Keywords:</w:t>
      </w:r>
      <w:r w:rsidRPr="004D59CC">
        <w:rPr>
          <w:rFonts w:eastAsiaTheme="majorEastAsia"/>
          <w:b/>
          <w:bCs/>
          <w:sz w:val="24"/>
          <w:szCs w:val="24"/>
        </w:rPr>
        <w:t xml:space="preserve"> </w:t>
      </w:r>
      <w:r w:rsidR="006F6350" w:rsidRPr="006F6350">
        <w:rPr>
          <w:rStyle w:val="Strong"/>
          <w:rFonts w:eastAsiaTheme="majorEastAsia"/>
          <w:b w:val="0"/>
          <w:bCs w:val="0"/>
          <w:sz w:val="24"/>
          <w:szCs w:val="24"/>
        </w:rPr>
        <w:t>Comparative literature; aristocratic decline; imperial othering; identity; symbolic space; Chekhov; Coetzee</w:t>
      </w:r>
    </w:p>
    <w:p w14:paraId="1533D06F" w14:textId="77777777" w:rsidR="003E3052" w:rsidRPr="004D59CC" w:rsidRDefault="003E3052" w:rsidP="003E3052">
      <w:pPr>
        <w:pStyle w:val="Els-body-text"/>
        <w:ind w:firstLine="0"/>
        <w:rPr>
          <w:rStyle w:val="Strong"/>
          <w:rFonts w:eastAsiaTheme="majorEastAsia"/>
          <w:b w:val="0"/>
          <w:bCs w:val="0"/>
          <w:sz w:val="24"/>
          <w:szCs w:val="24"/>
        </w:rPr>
      </w:pPr>
    </w:p>
    <w:p w14:paraId="7FCFF1B6" w14:textId="77777777" w:rsidR="003E3052" w:rsidRPr="004D59CC" w:rsidRDefault="003E3052" w:rsidP="003E3052">
      <w:pPr>
        <w:pStyle w:val="Els-body-text"/>
        <w:ind w:firstLine="0"/>
        <w:rPr>
          <w:rFonts w:eastAsiaTheme="majorEastAsia"/>
          <w:b/>
          <w:bCs/>
          <w:sz w:val="40"/>
          <w:szCs w:val="40"/>
        </w:rPr>
      </w:pPr>
      <w:r w:rsidRPr="004D59CC">
        <w:rPr>
          <w:b/>
          <w:bCs/>
          <w:sz w:val="24"/>
          <w:szCs w:val="28"/>
        </w:rPr>
        <w:t>Introduction</w:t>
      </w:r>
    </w:p>
    <w:p w14:paraId="6778C694" w14:textId="7D2054F8" w:rsidR="00831315" w:rsidRPr="004D59CC" w:rsidRDefault="00C47462" w:rsidP="00831315">
      <w:pPr>
        <w:pStyle w:val="NormalWeb"/>
        <w:spacing w:after="0" w:afterAutospacing="0" w:line="276" w:lineRule="auto"/>
        <w:jc w:val="both"/>
      </w:pPr>
      <w:r w:rsidRPr="004D59CC">
        <w:t xml:space="preserve">In comparative literature, themes of decline and identity are central to understanding how societies negotiate transformation and how individuals respond to shifting structures of power. The fall of aristocracies and empires has long been dramatised in literary traditions, not only as a historical event but also as a symbolic process that reshapes cultural memory and human identity. </w:t>
      </w:r>
      <w:r w:rsidR="006F6350" w:rsidRPr="006F6350">
        <w:rPr>
          <w:highlight w:val="yellow"/>
        </w:rPr>
        <w:t xml:space="preserve">Anton Chekhov’s The Cherry Orchard, first performed and published in Russian in 1904 and cited in this study through a later English translation, dramatises the decline of the landed aristocracy through the fate of the Ranevsky family. Written during a period of profound social and economic </w:t>
      </w:r>
      <w:r w:rsidR="006F6350" w:rsidRPr="006F6350">
        <w:rPr>
          <w:highlight w:val="yellow"/>
        </w:rPr>
        <w:lastRenderedPageBreak/>
        <w:t>transformation in late imperial Russia, the play places private loss within the broader reorganisation of class relations following the emancipation of the serfs.</w:t>
      </w:r>
      <w:r w:rsidRPr="004D59CC">
        <w:t xml:space="preserve"> The orchard is more than land; it represents memory, tradition, and ecological harmony. Its destruction reveals how nature and culture were commodified in modern Russia (Khan et al., 2024). At the same time, Chekhov depicts the rise of new social forces. Lopakhin, ambitious and practical, embodies capitalism and modernity. Chekhov’s use of commedia dell’arte traditions, with comic masks and roles, illustrates how characters such as Ranevskaya defend themselves against the pain of change (Chen, 2026). The play thus reflects the fall of aristocracy and the rise of capitalism, showing how literature mirrors historical shifts in power (el Baba &amp; Hamadi, 2024). By contrast, J. M. Coetzee’s Waiting for the Barbarians (1980), written in apartheid-era South Africa, interrogates the instability of empire and the construction of identity under oppressive systems. The Empire invents the figure of the “barbarian” to justify violence and domination. Coetzee reveals how imperial power exploits both women and nature, linking ecological destruction with gendered oppression (Poorghorban, 2026). Through the Magistrate’s moral struggle and the desert as a symbolic space of emptiness, the novel explores identity, otherness, and the collapse of authority. </w:t>
      </w:r>
      <w:r w:rsidRPr="006F6350">
        <w:rPr>
          <w:highlight w:val="yellow"/>
        </w:rPr>
        <w:t xml:space="preserve">Taken together, Chekhov and Coetzee represent distinct literary traditions - Russian realism and postcolonial allegory - yet they converge in their exploration of decline as both a historical and existential process. </w:t>
      </w:r>
      <w:r w:rsidR="006F6350" w:rsidRPr="006F6350">
        <w:rPr>
          <w:highlight w:val="yellow"/>
        </w:rPr>
        <w:t>The comparison does not assume that the decline of the Russian aristocracy and the crisis of an unnamed colonial Empire are historically equivalent. Rather, it examines how two formally and historically different works—a stage comedy shaped by social transition and an allegorical novel centred on imperial violence—represent the destabilisation of identities that have been formed within unequal systems of power. Their differences in genre, language, narrative form, national setting, and political context are therefore analytically important, because they reveal how drama and fiction employ distinct literary techniques to connect institutional decline with memory, complicity, displacement, and moral uncertainty. Reading the works together makes it possible to identify structural parallels without erasing the specific historical conditions from which each text emerges.</w:t>
      </w:r>
      <w:r w:rsidR="006F6350">
        <w:t xml:space="preserve"> </w:t>
      </w:r>
      <w:r w:rsidRPr="004D59CC">
        <w:t xml:space="preserve">Chekhov dramatises emotional conflict within a family losing its cultural roots, while Coetzee portrays moral conflict in a colonial officer confronting the limits of empire. Both texts reveal how individuals suffer displacement, identity crises, and uncertainty when dominant systems begin to break down. </w:t>
      </w:r>
      <w:r w:rsidR="006F6350" w:rsidRPr="006F6350">
        <w:rPr>
          <w:highlight w:val="yellow"/>
        </w:rPr>
        <w:t>The aim of this paper is to demonstrate how decline and identity are manifested in these works, highlighting patterns of social transition and vulnerability across different historical contexts while demonstrating how historically distinct systems of class and imperial power generate comparable, though not identical, experiences of displacement, moral uncertainty, and contested belonging</w:t>
      </w:r>
      <w:r w:rsidRPr="006F6350">
        <w:rPr>
          <w:highlight w:val="yellow"/>
        </w:rPr>
        <w:t>.</w:t>
      </w:r>
    </w:p>
    <w:p w14:paraId="27C8A5ED" w14:textId="343D6CC5" w:rsidR="006F6350" w:rsidRPr="006F6350" w:rsidRDefault="006F6350" w:rsidP="006F6350">
      <w:pPr>
        <w:pStyle w:val="NormalWeb"/>
        <w:spacing w:after="0" w:line="276" w:lineRule="auto"/>
        <w:jc w:val="both"/>
        <w:rPr>
          <w:highlight w:val="yellow"/>
        </w:rPr>
      </w:pPr>
      <w:r w:rsidRPr="006F6350">
        <w:rPr>
          <w:highlight w:val="yellow"/>
        </w:rPr>
        <w:t xml:space="preserve">Existing scholarship on The Cherry Orchard has established the importance of aristocratic decline, class transformation, cultural memory, comic ambiguity, and the symbolic meanings attached to the orchard. Studies of Waiting for the Barbarians, by contrast, have concentrated primarily on imperial discourse, the construction of the Other, torture, testimony, ecological violence, and the Magistrate’s ethical complicity. Although these critical traditions offer substantial insights into the individual works, they have generally treated social decline, identity, and spatial symbolism within </w:t>
      </w:r>
      <w:r w:rsidRPr="006F6350">
        <w:rPr>
          <w:highlight w:val="yellow"/>
        </w:rPr>
        <w:lastRenderedPageBreak/>
        <w:t>their respective historical and theoretical contexts. Less attention has been given to how the orchard and the desert organise contrasting relationships among power, memory, territory, and moral responsibility when dominant systems begin to lose legitimacy.</w:t>
      </w:r>
    </w:p>
    <w:p w14:paraId="2016BF74" w14:textId="4C354FA6" w:rsidR="006F6350" w:rsidRPr="006F6350" w:rsidRDefault="006F6350" w:rsidP="006F6350">
      <w:pPr>
        <w:pStyle w:val="NormalWeb"/>
        <w:spacing w:after="0" w:line="276" w:lineRule="auto"/>
        <w:jc w:val="both"/>
        <w:rPr>
          <w:highlight w:val="yellow"/>
        </w:rPr>
      </w:pPr>
      <w:r w:rsidRPr="006F6350">
        <w:rPr>
          <w:highlight w:val="yellow"/>
        </w:rPr>
        <w:t>In the present study, “decline” refers not simply to the disappearance of a ruling class or political authority, but to the weakening of the economic, cultural, and moral foundations through which that authority is sustained. “Identity” denotes both the characters’ understanding of themselves and the social categories imposed upon them by class and imperial power, while “otherness” refers specifically to the discursive construction of marginalised individuals or communities as socially inferior, culturally alien, or politically threatening. “Symbolic space” describes a literary setting whose material characteristics acquire historical, psychological, and political significance within the narrative or dramatic structure. Accordingly, the orchard is examined as a space shaped by inheritance, labour, nostalgia, and economic transformation, whereas the desert is read as a frontier space shaped by territorial uncertainty, surveillance, violence, and imperial fear.</w:t>
      </w:r>
    </w:p>
    <w:p w14:paraId="1F671886" w14:textId="6A655330" w:rsidR="008A4FC3" w:rsidRDefault="006F6350" w:rsidP="006F6350">
      <w:pPr>
        <w:pStyle w:val="NormalWeb"/>
        <w:spacing w:after="0" w:afterAutospacing="0" w:line="276" w:lineRule="auto"/>
        <w:jc w:val="both"/>
      </w:pPr>
      <w:r w:rsidRPr="006F6350">
        <w:rPr>
          <w:highlight w:val="yellow"/>
        </w:rPr>
        <w:t>Drawing on new historicist attention to the relationship between literary representation and historical power, together with postcolonial analysis of othering and imperial discourse, this study investigates how the two texts connect institutional instability with the re-formation of personal and collective identity. The comparison does not propose a universal model of decline; instead, it identifies carefully delimited correspondences between post-emancipation Russian class transformation and Coetzee’s allegorical representation of colonial authority. In doing so, the article demonstrates how historically distinct literary works use space, character, and formal ambiguity to expose the emotional and ethical consequences of weakening systems of domination.</w:t>
      </w:r>
    </w:p>
    <w:p w14:paraId="33DE7E79" w14:textId="77777777" w:rsidR="006F6350" w:rsidRPr="004D59CC" w:rsidRDefault="006F6350" w:rsidP="006F6350">
      <w:pPr>
        <w:pStyle w:val="NormalWeb"/>
        <w:spacing w:after="0" w:afterAutospacing="0" w:line="276" w:lineRule="auto"/>
        <w:jc w:val="both"/>
      </w:pPr>
    </w:p>
    <w:p w14:paraId="512490B7" w14:textId="77777777" w:rsidR="00684965" w:rsidRPr="004D59CC" w:rsidRDefault="00684965" w:rsidP="00684965">
      <w:pPr>
        <w:pStyle w:val="Els-body-text"/>
        <w:ind w:firstLine="0"/>
        <w:rPr>
          <w:b/>
          <w:bCs/>
          <w:sz w:val="24"/>
          <w:szCs w:val="32"/>
          <w:lang w:val="en-GB"/>
        </w:rPr>
      </w:pPr>
    </w:p>
    <w:p w14:paraId="02D093A0" w14:textId="77777777" w:rsidR="003E3052" w:rsidRPr="004D59CC" w:rsidRDefault="003E3052" w:rsidP="00684965">
      <w:pPr>
        <w:pStyle w:val="Els-body-text"/>
        <w:ind w:firstLine="0"/>
        <w:rPr>
          <w:b/>
          <w:bCs/>
          <w:sz w:val="24"/>
          <w:szCs w:val="32"/>
          <w:lang w:val="en-GB"/>
        </w:rPr>
      </w:pPr>
      <w:r w:rsidRPr="004D59CC">
        <w:rPr>
          <w:b/>
          <w:bCs/>
          <w:sz w:val="24"/>
          <w:szCs w:val="32"/>
          <w:lang w:val="en-GB"/>
        </w:rPr>
        <w:t>Objective</w:t>
      </w:r>
      <w:r w:rsidR="00447361" w:rsidRPr="004D59CC">
        <w:rPr>
          <w:b/>
          <w:bCs/>
          <w:sz w:val="24"/>
          <w:szCs w:val="32"/>
          <w:lang w:val="en-GB"/>
        </w:rPr>
        <w:t>s</w:t>
      </w:r>
    </w:p>
    <w:p w14:paraId="44753285" w14:textId="77777777" w:rsidR="005A5101" w:rsidRPr="005A5101" w:rsidRDefault="005A5101" w:rsidP="005A5101">
      <w:pPr>
        <w:rPr>
          <w:rFonts w:ascii="Times New Roman" w:eastAsia="Times New Roman" w:hAnsi="Times New Roman" w:cs="Times New Roman"/>
          <w:kern w:val="0"/>
          <w:highlight w:val="yellow"/>
          <w:lang w:bidi="bn-BD"/>
          <w14:ligatures w14:val="none"/>
        </w:rPr>
      </w:pPr>
      <w:r w:rsidRPr="005A5101">
        <w:rPr>
          <w:rFonts w:ascii="Times New Roman" w:eastAsia="Times New Roman" w:hAnsi="Times New Roman" w:cs="Times New Roman"/>
          <w:kern w:val="0"/>
          <w:highlight w:val="yellow"/>
          <w:lang w:bidi="bn-BD"/>
          <w14:ligatures w14:val="none"/>
        </w:rPr>
        <w:t>To examine how The Cherry Orchard and Waiting for the Barbarians represent the weakening of aristocratic and imperial authority through character, narrative or dramatic form, and symbolic space.</w:t>
      </w:r>
    </w:p>
    <w:p w14:paraId="5F1FE8F0" w14:textId="77777777" w:rsidR="005A5101" w:rsidRPr="005A5101" w:rsidRDefault="005A5101" w:rsidP="005A5101">
      <w:pPr>
        <w:rPr>
          <w:rFonts w:ascii="Times New Roman" w:eastAsia="Times New Roman" w:hAnsi="Times New Roman" w:cs="Times New Roman"/>
          <w:kern w:val="0"/>
          <w:highlight w:val="yellow"/>
          <w:lang w:bidi="bn-BD"/>
          <w14:ligatures w14:val="none"/>
        </w:rPr>
      </w:pPr>
      <w:r w:rsidRPr="005A5101">
        <w:rPr>
          <w:rFonts w:ascii="Times New Roman" w:eastAsia="Times New Roman" w:hAnsi="Times New Roman" w:cs="Times New Roman"/>
          <w:kern w:val="0"/>
          <w:highlight w:val="yellow"/>
          <w:lang w:bidi="bn-BD"/>
          <w14:ligatures w14:val="none"/>
        </w:rPr>
        <w:t>To analyse how changing relations of class, property, territory, and othering destabilise the identities of Ranevskaya, Lopakhin, and the Magistrate.</w:t>
      </w:r>
    </w:p>
    <w:p w14:paraId="0849AD72" w14:textId="77777777" w:rsidR="005A5101" w:rsidRDefault="005A5101" w:rsidP="005A5101">
      <w:pPr>
        <w:rPr>
          <w:rFonts w:ascii="Times New Roman" w:eastAsia="Times New Roman" w:hAnsi="Times New Roman" w:cs="Times New Roman"/>
          <w:kern w:val="0"/>
          <w:lang w:bidi="bn-BD"/>
          <w14:ligatures w14:val="none"/>
        </w:rPr>
      </w:pPr>
      <w:r w:rsidRPr="005A5101">
        <w:rPr>
          <w:rFonts w:ascii="Times New Roman" w:eastAsia="Times New Roman" w:hAnsi="Times New Roman" w:cs="Times New Roman"/>
          <w:kern w:val="0"/>
          <w:highlight w:val="yellow"/>
          <w:lang w:bidi="bn-BD"/>
          <w14:ligatures w14:val="none"/>
        </w:rPr>
        <w:t>To compare the functions of the orchard and the imperial frontier while preserving the historical, political, and generic differences between the two works.</w:t>
      </w:r>
    </w:p>
    <w:p w14:paraId="231DC52F" w14:textId="13B455BB" w:rsidR="00684965" w:rsidRPr="004D59CC" w:rsidRDefault="003E3052" w:rsidP="005A5101">
      <w:pPr>
        <w:rPr>
          <w:rFonts w:ascii="Times New Roman" w:hAnsi="Times New Roman" w:cs="Times New Roman"/>
          <w:b/>
          <w:bCs/>
        </w:rPr>
      </w:pPr>
      <w:r w:rsidRPr="004D59CC">
        <w:rPr>
          <w:rFonts w:ascii="Times New Roman" w:hAnsi="Times New Roman" w:cs="Times New Roman"/>
          <w:b/>
          <w:bCs/>
        </w:rPr>
        <w:t>Methodology</w:t>
      </w:r>
    </w:p>
    <w:p w14:paraId="4822698D" w14:textId="205DAF78" w:rsidR="001E037A" w:rsidRPr="004D59CC" w:rsidRDefault="005A5101" w:rsidP="001E037A">
      <w:pPr>
        <w:pStyle w:val="NormalWeb"/>
        <w:shd w:val="clear" w:color="auto" w:fill="FFFFFF"/>
        <w:spacing w:line="276" w:lineRule="auto"/>
        <w:jc w:val="both"/>
        <w:rPr>
          <w:color w:val="222222"/>
        </w:rPr>
      </w:pPr>
      <w:r w:rsidRPr="005A5101">
        <w:rPr>
          <w:highlight w:val="yellow"/>
        </w:rPr>
        <w:t xml:space="preserve">This study employs qualitative comparative literary analysis through close reading of selected passages from The Cherry Orchard and Waiting for the Barbarians. The texts were selected because they represent historically and formally distinct structures of declining authority: landed aristocracy in late imperial Russia and an allegorical colonial Empire. The analysis is informed by </w:t>
      </w:r>
      <w:r w:rsidRPr="005A5101">
        <w:rPr>
          <w:highlight w:val="yellow"/>
        </w:rPr>
        <w:lastRenderedPageBreak/>
        <w:t>new historicist attention to the relationship between literary representation and historical power and by postcolonial approaches to othering, territorial control, and imperial discourse. Passages were examined according to four comparative categories: the representation of institutional decline, the formation and disruption of identity, the political meanings of symbolic space, and the relationship between individual agency and structural complicity. Differences between Chekhov’s dramatic form and Coetzee’s restricted first-person narration were treated as analytically significant rather than as directly equivalent modes of representation. Secondary scholarship was selected for its direct relevance to the two primary texts and these interpretive categories.</w:t>
      </w:r>
    </w:p>
    <w:p w14:paraId="6B383005" w14:textId="77777777" w:rsidR="00684965" w:rsidRPr="004D59CC" w:rsidRDefault="003E3052" w:rsidP="00684965">
      <w:pPr>
        <w:rPr>
          <w:rFonts w:ascii="Times New Roman" w:hAnsi="Times New Roman" w:cs="Times New Roman"/>
          <w:b/>
          <w:bCs/>
        </w:rPr>
      </w:pPr>
      <w:r w:rsidRPr="004D59CC">
        <w:rPr>
          <w:rFonts w:ascii="Times New Roman" w:hAnsi="Times New Roman" w:cs="Times New Roman"/>
          <w:b/>
          <w:bCs/>
        </w:rPr>
        <w:t>Literature Review</w:t>
      </w:r>
    </w:p>
    <w:p w14:paraId="65971BF0" w14:textId="3728BA08" w:rsidR="00DF7003" w:rsidRPr="004D59CC" w:rsidRDefault="003B224E" w:rsidP="00DF7003">
      <w:pPr>
        <w:pStyle w:val="NormalWeb"/>
        <w:spacing w:line="276" w:lineRule="auto"/>
        <w:jc w:val="both"/>
      </w:pPr>
      <w:r w:rsidRPr="003B224E">
        <w:t>Critical readings of The Cherry Orchard commonly situate the play within the transformation of landed society in late imperial Russia, where inherited privilege, changing economic relations, and cultural memory converge</w:t>
      </w:r>
      <w:r w:rsidR="00DF7003" w:rsidRPr="004D59CC">
        <w:t>. The orchard was more than land; it symbolised memory, tradition, and culture. Saaduddin et al. (2025) explained that the orchard represented prestige and nostalgia, and its cutting marked the end of feudal pride and aristocratic values. Chekhov also showed the rise of new social forces. Lopakhin, ambitious and practical, stood for capitalism and modernity. Al-Husseini and Hmadi (2024) noted that Ranevskaya felt torn between the past and the future, reflecting the aristocracy’s inability to adapt to social change. The play also used silence and pauses to create a sense of displacement. Ahmad et al. (2025) argued that these pauses revealed uncertainty and loss of identity, showing how silence itself became a dramatic device for expressing cultural disorientation.</w:t>
      </w:r>
      <w:r w:rsidR="006F6350">
        <w:t xml:space="preserve"> </w:t>
      </w:r>
      <w:r w:rsidR="006F6350" w:rsidRPr="006F6350">
        <w:rPr>
          <w:highlight w:val="yellow"/>
        </w:rPr>
        <w:t>Recent spatial criticism complicates an exclusively symbolic interpretation of the orchard by treating it as a dramatic environment whose transformation registers wider historical and socioeconomic change. Negro (2021), for example, combines close textual and spatial analysis to show that Chekhov’s garden imagery connects human relationships, physical surroundings, and changing forms of social organisation. From this perspective, the orchard does not merely preserve aristocratic memory; it also becomes a contested space in which inherited attachment confronts new conceptions of property, productivity, and social use.</w:t>
      </w:r>
    </w:p>
    <w:p w14:paraId="7117A438" w14:textId="521451DC" w:rsidR="00DF7003" w:rsidRPr="004D59CC" w:rsidRDefault="00DF7003" w:rsidP="00DF7003">
      <w:pPr>
        <w:pStyle w:val="NormalWeb"/>
        <w:spacing w:line="276" w:lineRule="auto"/>
        <w:jc w:val="both"/>
      </w:pPr>
      <w:r w:rsidRPr="004D59CC">
        <w:t xml:space="preserve">Köseoğlu (2017) further emphasises how Chekhov’s play dramatises class conflict and discrimination, situating The Cherry Orchard within broader debates on social hierarchy and cultural displacement. This perspective highlights how the aristocracy’s decline was not only personal but also systemic, reflecting broader tensions between tradition and modernity. Abidi (2013) complements this view by showing the multiplicity of meanings embedded in the orchard symbol, arguing that Chekhov deliberately layered interpretations to reflect both personal memory and collective cultural transformation. Apral (2023) also interprets The Cherry Orchard as a “sad comedy”, stressing how Chekhov blends humour with tragedy to portray the inevitability of social change and the emotional struggles of characters caught between the past and the future. </w:t>
      </w:r>
      <w:r w:rsidR="006F6350" w:rsidRPr="006F6350">
        <w:rPr>
          <w:highlight w:val="yellow"/>
        </w:rPr>
        <w:t xml:space="preserve">Formal criticism provides a related but distinct explanation of how the play represents this inability to adapt. Chen (2026) interprets Chekhov’s use of masks, caricature, and role-playing through the traditions of commedia dell’arte, suggesting that comic performance serves as a form of </w:t>
      </w:r>
      <w:r w:rsidR="006F6350" w:rsidRPr="006F6350">
        <w:rPr>
          <w:highlight w:val="yellow"/>
        </w:rPr>
        <w:lastRenderedPageBreak/>
        <w:t>psychological protection against an increasingly unavoidable reality. Read alongside historical and symbolic approaches, this interpretation indicates that aristocratic decline is communicated not only through the loss of property and social authority but also through the characters’ unstable performances of identity.</w:t>
      </w:r>
      <w:r w:rsidR="006F6350">
        <w:t xml:space="preserve"> </w:t>
      </w:r>
      <w:r w:rsidRPr="004D59CC">
        <w:t>These readings demonstrate that Chekhov’s play is not a simple narrative of decline but a complex meditation on memory, identity, and the painful transition from feudalism to capitalism.</w:t>
      </w:r>
    </w:p>
    <w:p w14:paraId="3303F6F9" w14:textId="4EFAF31B" w:rsidR="00DF7003" w:rsidRPr="004D59CC" w:rsidRDefault="003B224E" w:rsidP="00DF7003">
      <w:pPr>
        <w:pStyle w:val="NormalWeb"/>
        <w:spacing w:line="276" w:lineRule="auto"/>
        <w:jc w:val="both"/>
      </w:pPr>
      <w:r w:rsidRPr="003B224E">
        <w:t>Critical scholarship on Waiting for the Barbarians has examined how imperial authority exposes its own instability through coercive classification, territorial anxiety, torture, and the construction of the threatening Other</w:t>
      </w:r>
      <w:r w:rsidR="00DF7003" w:rsidRPr="004D59CC">
        <w:t xml:space="preserve">. The Empire invented the idea of “barbarians” to justify violence. Dagamseh (2022) argued that this violence reflected not only apartheid but also neoliberal systems, showing that the cruelty of empire continues in modern forms of domination. </w:t>
      </w:r>
      <w:r w:rsidR="006F6350" w:rsidRPr="006F6350">
        <w:rPr>
          <w:highlight w:val="yellow"/>
        </w:rPr>
        <w:t>This historically expansive interpretation may be contrasted with Biti’s (2023) greater emphasis on the novel’s unspecified frontier and the unstable relationship between the imperial centre and its borderlands. Rather than attaching the narrative to a single historical system, Biti shows how the imperial administration attempts to consolidate authority by transforming a culturally mixed frontier into a site of danger. The difference between these approaches is significant: one stresses the continuing historical forms of colonial domination, whereas the other examines the spatial and rhetorical mechanisms through which an Empire produces the threat that it claims to resist.</w:t>
      </w:r>
      <w:r w:rsidR="006F6350">
        <w:t xml:space="preserve"> </w:t>
      </w:r>
      <w:r w:rsidR="00BA12D0" w:rsidRPr="00BA12D0">
        <w:t>The Magistrate experiences a sustained moral conflict, recognising imperial cruelty and undertaking limited acts of resistance while remaining implicated in the authority he questions</w:t>
      </w:r>
      <w:r w:rsidR="00DF7003" w:rsidRPr="004D59CC">
        <w:t>. Attridge (2004) explained that his dilemma forces readers to confront complicity, showing how individuals suffer under oppressive systems. Al-Saidi (2014) adds that Coetzee’s novel exemplifies postcolonial tensions between self and other, revealing how identity is constructed through imperial discourse and how the Magistrate’s moral unease dramatises the fragility of authority. Craps (2007) further develops this perspective by analysing the ethics of testimony in Coetzee’s novel, arguing that the narrative forces readers to confront the responsibility of bearing witness to violence and injustice, even when direct resistance seems impossible. This ethical dimension makes Coetzee’s work not only a critique of empire but also a call to moral responsibility.</w:t>
      </w:r>
      <w:r w:rsidR="006F6350">
        <w:t xml:space="preserve"> </w:t>
      </w:r>
      <w:r w:rsidR="006F6350" w:rsidRPr="006F6350">
        <w:rPr>
          <w:highlight w:val="yellow"/>
        </w:rPr>
        <w:t>More recent criticism nevertheless questions whether the Magistrate can be regarded as an uncomplicated ethical alternative to the Empire. Neimneh (2022) presents him as a humanist witness whose movement from consent towards dissent remains compromised by his institutional position and his continuing implication in imperial power. Crowe (2022), approaching the novel from a feminist perspective, draws attention to the gendered limitations of his treatment and interpretation of the barbarian woman. Taken together, these readings shift the debate away from a simple opposition between innocence and guilt and towards the more difficult relationship between limited resistance, moral self-examination, and continuing participation in imperial and patriarchal structures.</w:t>
      </w:r>
    </w:p>
    <w:p w14:paraId="3A268766" w14:textId="3C9DF0F7" w:rsidR="00DF7003" w:rsidRPr="004D59CC" w:rsidRDefault="00DF7003" w:rsidP="00DF7003">
      <w:pPr>
        <w:pStyle w:val="NormalWeb"/>
        <w:spacing w:line="276" w:lineRule="auto"/>
        <w:jc w:val="both"/>
      </w:pPr>
      <w:r w:rsidRPr="004D59CC">
        <w:t xml:space="preserve">Symbolism of space was central in both texts. In Chekhov, the orchard acted like a silent character, representing memory and loss. In Coetzee, the desert symbolised emptiness, collapse, and fear. Poorghorban (2026) used ecofeminism to show how women and nature were both exploited under </w:t>
      </w:r>
      <w:r w:rsidRPr="004D59CC">
        <w:lastRenderedPageBreak/>
        <w:t xml:space="preserve">empire, with the desert symbolising broken bodies and burning landscapes. Identity crisis was another shared theme. Ranevskaya struggled emotionally, unable to let go of the past. </w:t>
      </w:r>
      <w:r w:rsidR="003B224E" w:rsidRPr="003B224E">
        <w:t>The Magistrate experiences a sustained moral conflict, recognising imperial injustice and undertaking limited acts of resistance while remaining implicated in the system he questions</w:t>
      </w:r>
      <w:r w:rsidRPr="004D59CC">
        <w:t>. Both characters revealed dilemmas in times of change. Lan et al. (2026) added that land, women, and animals were treated as “triple others” under colonial power, deepening displacement and oppression.</w:t>
      </w:r>
      <w:r w:rsidR="006F6350">
        <w:t xml:space="preserve"> </w:t>
      </w:r>
      <w:r w:rsidR="006F6350" w:rsidRPr="006F6350">
        <w:rPr>
          <w:highlight w:val="yellow"/>
        </w:rPr>
        <w:t>Jagła (2023) offers a related but methodologically distinct interpretation by examining trauma as a force that transforms the Magistrate’s humanist relationship with the Other. This transformation, however, should not be understood as complete moral liberation from imperial ideology. Rather, it demonstrates that identity in the novel is renegotiated through bodily vulnerability, traumatic witnessing, and forms of resistance that remain partial and ethically uncertain.</w:t>
      </w:r>
    </w:p>
    <w:p w14:paraId="73251ED5" w14:textId="560B58D8" w:rsidR="00DF7003" w:rsidRDefault="00DF7003" w:rsidP="00DF7003">
      <w:pPr>
        <w:pStyle w:val="NormalWeb"/>
        <w:spacing w:line="276" w:lineRule="auto"/>
        <w:jc w:val="both"/>
      </w:pPr>
      <w:r w:rsidRPr="004D59CC">
        <w:t xml:space="preserve">While earlier scholarship has examined Chekhov’s aristocratic decline and Coetzee’s critique of empire separately, this study brings them together in a comparative framework. It focuses on how symbols of space - the orchard and the desert - connect memory, loss, and identity across different historical contexts. </w:t>
      </w:r>
      <w:r w:rsidR="006F6350" w:rsidRPr="006F6350">
        <w:rPr>
          <w:highlight w:val="yellow"/>
        </w:rPr>
        <w:t>By highlighting these shared dynamics, the study examines how historically different systems of authority generate comparable, though not identical, crises of identity, memory, and moral responsibility</w:t>
      </w:r>
      <w:r w:rsidRPr="004D59CC">
        <w:t xml:space="preserve">. </w:t>
      </w:r>
    </w:p>
    <w:p w14:paraId="480694C0" w14:textId="5082E084" w:rsidR="006F6350" w:rsidRPr="004D59CC" w:rsidRDefault="006F6350" w:rsidP="00DF7003">
      <w:pPr>
        <w:pStyle w:val="NormalWeb"/>
        <w:spacing w:line="276" w:lineRule="auto"/>
        <w:jc w:val="both"/>
      </w:pPr>
      <w:r w:rsidRPr="006F6350">
        <w:rPr>
          <w:highlight w:val="yellow"/>
        </w:rPr>
        <w:t>Taken together, the existing studies reveal a productive tension among historical, spatial, formal, feminist, trauma-based, and ethical approaches. Nevertheless, these critical traditions rarely place Chekhov’s materially inherited orchard beside Coetzee’s politically constructed frontier in order to examine how property, territory, memory, othering, and complicity interact during the weakening of dominant systems. The present study addresses this gap by comparing the literary functions of the two spaces while preserving the historical and formal differences between post-emancipation Russian society and Coetzee’s deliberately indeterminate Empire. Its contribution therefore lies not in proposing a universal pattern of decline, but in demonstrating how distinct literary forms connect unstable structures of authority with changing forms of personal and collective identity.</w:t>
      </w:r>
    </w:p>
    <w:p w14:paraId="721CB5DB" w14:textId="77777777" w:rsidR="003E3052" w:rsidRPr="004D59CC" w:rsidRDefault="003E3052" w:rsidP="00684965">
      <w:pPr>
        <w:rPr>
          <w:rFonts w:ascii="Times New Roman" w:hAnsi="Times New Roman" w:cs="Times New Roman"/>
          <w:b/>
          <w:bCs/>
        </w:rPr>
      </w:pPr>
      <w:r w:rsidRPr="004D59CC">
        <w:rPr>
          <w:rFonts w:ascii="Times New Roman" w:hAnsi="Times New Roman" w:cs="Times New Roman"/>
          <w:b/>
          <w:bCs/>
        </w:rPr>
        <w:t>Analysis</w:t>
      </w:r>
    </w:p>
    <w:p w14:paraId="527982BA" w14:textId="0AD580C6" w:rsidR="003E3052" w:rsidRPr="004D59CC"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4D59CC">
        <w:rPr>
          <w:rFonts w:ascii="Times New Roman" w:eastAsia="Times New Roman" w:hAnsi="Times New Roman" w:cs="Times New Roman"/>
          <w:b/>
          <w:bCs/>
          <w:i/>
          <w:iCs/>
          <w:lang w:bidi="bn-BD"/>
        </w:rPr>
        <w:t xml:space="preserve">I. </w:t>
      </w:r>
      <w:r w:rsidR="00BA12D0" w:rsidRPr="00BA12D0">
        <w:rPr>
          <w:rFonts w:ascii="Times New Roman" w:eastAsia="Times New Roman" w:hAnsi="Times New Roman" w:cs="Times New Roman"/>
          <w:b/>
          <w:bCs/>
          <w:i/>
          <w:iCs/>
          <w:lang w:bidi="bn-BD"/>
        </w:rPr>
        <w:t>Aristocratic Decline and Imperial Oppression</w:t>
      </w:r>
    </w:p>
    <w:p w14:paraId="0595F233" w14:textId="1EC22A72" w:rsidR="006F6350" w:rsidRDefault="00791051" w:rsidP="006F6350">
      <w:pPr>
        <w:spacing w:before="100" w:beforeAutospacing="1" w:after="100" w:afterAutospacing="1" w:line="276" w:lineRule="auto"/>
        <w:jc w:val="both"/>
      </w:pPr>
      <w:r w:rsidRPr="004D59CC">
        <w:t xml:space="preserve">In </w:t>
      </w:r>
      <w:r w:rsidRPr="004D59CC">
        <w:rPr>
          <w:i/>
        </w:rPr>
        <w:t>The Cherry Orchard</w:t>
      </w:r>
      <w:r w:rsidRPr="004D59CC">
        <w:t xml:space="preserve">, the decline of the Ranevsky family is shown as part of the larger collapse of the Russian aristocracy. The orchard is presented not merely as property but as a cultural symbol of memory, tradition, and prestige. </w:t>
      </w:r>
      <w:r w:rsidR="006F6350" w:rsidRPr="006F6350">
        <w:t>Lyubov Andreyevna Ranevskaya</w:t>
      </w:r>
      <w:r w:rsidR="006F6350" w:rsidRPr="006F6350">
        <w:rPr>
          <w:highlight w:val="yellow"/>
        </w:rPr>
        <w:t xml:space="preserve">’s protest—“If there’s anything … remarkable in the whole province, it’s this cherry orchard of ours” (Chekhov, 1916, Act I)—shows that her sense of self is inseparable from the estate’s inherited familial and cultural meanings. Her attachment, however, should not be reduced to aristocratic nostalgia alone. The orchard also carries memories of childhood, bereavement, family continuity, and an unequal </w:t>
      </w:r>
      <w:r w:rsidR="006F6350" w:rsidRPr="006F6350">
        <w:rPr>
          <w:highlight w:val="yellow"/>
        </w:rPr>
        <w:lastRenderedPageBreak/>
        <w:t>social order whose beauty cannot be separated entirely from the labour concealed beneath it. Her resistance to Lopakhin’s proposal therefore arises from the convergence of emotional trauma, cultural attachment, class privilege, and economic incapacity. Nevertheless, this attachment becomes a liability because it prevents her from treating the estate as a material problem requiring decisive action. The destruction of the orchard consequently signifies both the end of inherited social authority and the family’s inability to reconcile its emotional investment in the past with the economic demands of the present.</w:t>
      </w:r>
    </w:p>
    <w:p w14:paraId="7DF9E736" w14:textId="5C2E7173" w:rsidR="00791051" w:rsidRPr="004D59CC" w:rsidRDefault="008804E8" w:rsidP="006F635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 xml:space="preserve">The rise of Lopakhin is shown as a counterpoint to this decline. </w:t>
      </w:r>
      <w:r w:rsidR="006F6350" w:rsidRPr="006F6350">
        <w:rPr>
          <w:highlight w:val="yellow"/>
        </w:rPr>
        <w:t>Lopakhin’s admission that he is “still a peasant down to the marrow of my bones” (Chekhov, 1916, Act I) captures the tension between economic mobility and inherited identity. His commercial intelligence and eventual purchase of the estate mark a decisive reversal of the social hierarchy that had subordinated his father and grandfather. Yet his emotional loyalty to Ranevskaya, his continuing insecurity about his origins, and his inability to complete his proposed marriage to Varya prevent him from functioning as a simple emblem of capitalism or modernity. Lopakhin thus embodies social transformation in an ambivalent form: he acquires material authority while remaining psychologically and emotionally shaped by the world he has displaced.</w:t>
      </w:r>
      <w:r w:rsidR="0075190D">
        <w:t xml:space="preserve"> </w:t>
      </w:r>
      <w:r w:rsidRPr="004D59CC">
        <w:t>Scholars reinforce this reading: Ahmad et al. (2025) argue that silences dramatise aristocratic helplessness, Aryal (2025) interprets Lopakhin’s rise as the voice of peasants overturning aristocratic dominance, and Whyman (20</w:t>
      </w:r>
      <w:r w:rsidR="00834F4C">
        <w:t>1</w:t>
      </w:r>
      <w:r w:rsidRPr="004D59CC">
        <w:t xml:space="preserve">0) adds that modernisation rendered aristocrats redundant. </w:t>
      </w:r>
      <w:r w:rsidR="005A5101" w:rsidRPr="005A5101">
        <w:rPr>
          <w:highlight w:val="yellow"/>
        </w:rPr>
        <w:t>Thus, the play presents passivity as an important contributor to the family’s vulnerability, although its crisis also arises from debt, changing economic conditions, inherited social habits, and emotional attachment</w:t>
      </w:r>
      <w:r w:rsidRPr="005A5101">
        <w:rPr>
          <w:highlight w:val="yellow"/>
        </w:rPr>
        <w:t>.</w:t>
      </w:r>
      <w:r w:rsidRPr="004D59CC">
        <w:t xml:space="preserve"> </w:t>
      </w:r>
      <w:r w:rsidR="006F6350" w:rsidRPr="006F6350">
        <w:rPr>
          <w:highlight w:val="yellow"/>
        </w:rPr>
        <w:t>This conflict acquires additional historical significance when considered in relation to the emancipation of the serfs in 1861, which transformed labour relations, property arrangements, and the management of landed estates. The difficulties experienced by the Ranevsky family should therefore not be explained merely as the loss of inexpensive labour or as the direct consequence of personal passivity. Their crisis develops through the interaction of indebtedness, ineffective estate management, altered economic conditions, inherited class habits, emotional attachment, and their unwillingness to adopt Lopakhin’s proposal. Chekhov consequently presents inaction as one component of a broader legal, economic, cultural, and psychological transformation rather than as the sole cause of aristocratic decline (Whyman, 2010).</w:t>
      </w:r>
    </w:p>
    <w:p w14:paraId="7728049D" w14:textId="77777777" w:rsidR="008804E8" w:rsidRPr="004D59CC" w:rsidRDefault="00791051" w:rsidP="008804E8">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rPr>
          <w:rFonts w:ascii="Times New Roman" w:eastAsia="Times New Roman" w:hAnsi="Times New Roman" w:cs="Times New Roman"/>
          <w:kern w:val="0"/>
          <w:lang w:bidi="bn-BD"/>
          <w14:ligatures w14:val="none"/>
        </w:rPr>
        <w:t xml:space="preserve">In </w:t>
      </w:r>
      <w:r w:rsidRPr="004D59CC">
        <w:rPr>
          <w:rFonts w:ascii="Times New Roman" w:eastAsia="Times New Roman" w:hAnsi="Times New Roman" w:cs="Times New Roman"/>
          <w:i/>
          <w:iCs/>
          <w:kern w:val="0"/>
          <w:lang w:bidi="bn-BD"/>
          <w14:ligatures w14:val="none"/>
        </w:rPr>
        <w:t>Waiting for the Barbarians</w:t>
      </w:r>
      <w:r w:rsidRPr="004D59CC">
        <w:rPr>
          <w:rFonts w:ascii="Times New Roman" w:eastAsia="Times New Roman" w:hAnsi="Times New Roman" w:cs="Times New Roman"/>
          <w:kern w:val="0"/>
          <w:lang w:bidi="bn-BD"/>
          <w14:ligatures w14:val="none"/>
        </w:rPr>
        <w:t xml:space="preserve">, the weakness of empire is shown through its reliance on fear and violence. The Magistrate observes, </w:t>
      </w:r>
    </w:p>
    <w:p w14:paraId="554600EE" w14:textId="77777777" w:rsidR="008804E8" w:rsidRPr="004D59CC" w:rsidRDefault="008804E8" w:rsidP="008804E8">
      <w:pPr>
        <w:spacing w:before="100" w:beforeAutospacing="1" w:after="100" w:afterAutospacing="1" w:line="276" w:lineRule="auto"/>
        <w:jc w:val="both"/>
        <w:rPr>
          <w:rFonts w:ascii="Times New Roman" w:hAnsi="Times New Roman" w:cs="Times New Roman"/>
          <w:szCs w:val="16"/>
        </w:rPr>
      </w:pPr>
      <w:r w:rsidRPr="004D59CC">
        <w:t>“Once in every generation, without fail, there is an episode of hysteria about the barbarians” (Coetzee, 1980, p. 9).</w:t>
      </w:r>
    </w:p>
    <w:p w14:paraId="1DCB3E10" w14:textId="0322111B" w:rsidR="006F6350" w:rsidRDefault="006F6350" w:rsidP="008804E8">
      <w:pPr>
        <w:spacing w:before="100" w:beforeAutospacing="1" w:after="100" w:afterAutospacing="1" w:line="276" w:lineRule="auto"/>
        <w:jc w:val="both"/>
      </w:pPr>
      <w:r w:rsidRPr="006F6350">
        <w:rPr>
          <w:highlight w:val="yellow"/>
        </w:rPr>
        <w:lastRenderedPageBreak/>
        <w:t>The Magistrate’s observation does not deny the existence of indigenous communities or the possibility of conflict along the frontier. Rather, it exposes the process through which culturally and socially distinct groups are collapsed into a single threatening category. Imperial discourse suppresses differences among nomadic peoples, fishing communities, and other local inhabitants and identifies them collectively as “barbarians” whose alleged hostility can be used to justify surveillance, interrogation, detention, and military intervention. The constructed element is therefore not the existence of the people themselves but the politically convenient identity imposed upon them as a unified enemy (Biti, 2023; Dagamseh, 2022). Colonel Joll’s assertion that “prisoners are prisoners” intensifies this homogenising logic by making individual identity, circumstance, and innocence irrelevant to the exercise of imperial power.</w:t>
      </w:r>
      <w:r w:rsidR="008804E8" w:rsidRPr="004D59CC">
        <w:t xml:space="preserve"> </w:t>
      </w:r>
    </w:p>
    <w:p w14:paraId="0508053F" w14:textId="6F5A085F" w:rsidR="00791051" w:rsidRPr="004D59CC" w:rsidRDefault="008804E8" w:rsidP="008804E8">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 xml:space="preserve">Biti (2023) argues that borderlands are turned into zones of oppression, while Dagamseh (2022) highlights the novel’s critique of colonialism and neoliberalism, showing how oppression continues under new forms of power. The desert, </w:t>
      </w:r>
      <w:r w:rsidR="005A5101" w:rsidRPr="005A5101">
        <w:t>perceived by imperial officials as barren and empty,</w:t>
      </w:r>
      <w:r w:rsidRPr="004D59CC">
        <w:t xml:space="preserve"> symbolises the futility of expansion and the hollowness of imperial authority. </w:t>
      </w:r>
      <w:r w:rsidR="00BA12D0" w:rsidRPr="00BA12D0">
        <w:t>Unlike the orchard, which is materially fertile but burdened by inherited memory, the desert is perceived by imperial officials as empty and threatening, thereby exposing the limitations of imperial knowledge</w:t>
      </w:r>
      <w:r w:rsidRPr="004D59CC">
        <w:t xml:space="preserve">. Both landscapes dramatise the fragility of power systems. </w:t>
      </w:r>
      <w:r w:rsidR="006F6350" w:rsidRPr="006F6350">
        <w:rPr>
          <w:highlight w:val="yellow"/>
        </w:rPr>
        <w:t>Because Coetzee leaves the Empire unnamed and its geographical and historical setting deliberately indeterminate, the frontier should not be equated directly with the Roman Empire or with any single colonial regime. This indeterminacy enables the novel to examine recurring imperial practices—including threat construction, territorial surveillance, arbitrary detention, and coercive violence—without reducing its allegory to a one-to-one historical correspondence. The desert consequently represents not the documented fall of a particular civilisation but the epistemological and ethical limitations of an authority that possesses military force while lacking reliable knowledge of the land and its inhabitants. Its apparent emptiness reflects the Empire’s restricted vision: the frontier is interpreted as vacant or hostile because imperial officials fail to recognise the forms of life, knowledge, and social organisation already present there (Biti, 2023).</w:t>
      </w:r>
    </w:p>
    <w:p w14:paraId="1FBDF67D" w14:textId="7357C28D" w:rsidR="00791051" w:rsidRPr="004D59CC" w:rsidRDefault="006F6350" w:rsidP="008804E8">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6F6350">
        <w:rPr>
          <w:highlight w:val="yellow"/>
        </w:rPr>
        <w:t xml:space="preserve">Viewed together, the works show that dominant systems become vulnerable when their claims to authority can no longer be reconciled with changing material conditions or sustained under ethical scrutiny. In Chekhov’s play, the Ranevsky family’s dependence on inherited memory prevents an effective response to debt and social transformation; in Coetzee’s novel, the Empire converts frontier communities into a threatening collective Other in order to legitimise coercion. Neither work, however, presents decline as a completed or mechanically inevitable process. The sale of the orchard transfers property and social authority without defining the moral character of the emerging order, while the retreat of the imperial forces leaves the Empire’s wider future unresolved. The orchard and the desert therefore reveal structural fragility rather than </w:t>
      </w:r>
      <w:r w:rsidRPr="006F6350">
        <w:rPr>
          <w:highlight w:val="yellow"/>
        </w:rPr>
        <w:lastRenderedPageBreak/>
        <w:t>guaranteeing total collapse: one exposes the limitations of aristocratic nostalgia, while the other exposes the instability of authority sustained through fear, violence, and inadequate knowledge. The comparison consequently suggests that inherited privilege and coercive othering weaken the legitimacy of dominant systems while preserving the substantial historical and formal differences between the two texts.</w:t>
      </w:r>
    </w:p>
    <w:p w14:paraId="55A5E084" w14:textId="77777777" w:rsidR="003E3052" w:rsidRPr="004D59CC"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4D59CC">
        <w:rPr>
          <w:rFonts w:ascii="Times New Roman" w:eastAsia="Times New Roman" w:hAnsi="Times New Roman" w:cs="Times New Roman"/>
          <w:b/>
          <w:bCs/>
          <w:i/>
          <w:iCs/>
          <w:lang w:bidi="bn-BD"/>
        </w:rPr>
        <w:t>II. Identity and Otherness</w:t>
      </w:r>
    </w:p>
    <w:p w14:paraId="57A31041" w14:textId="1B254CB8" w:rsidR="00D95707" w:rsidRPr="004D59CC" w:rsidRDefault="005A5101"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5A5101">
        <w:rPr>
          <w:highlight w:val="yellow"/>
        </w:rPr>
        <w:t>The Cherry Orchard shows how identities grounded in inherited property, social privilege, and familial memory become unstable as established class relations change</w:t>
      </w:r>
      <w:r w:rsidR="00B621D9" w:rsidRPr="005A5101">
        <w:rPr>
          <w:highlight w:val="yellow"/>
        </w:rPr>
        <w:t>.</w:t>
      </w:r>
      <w:r w:rsidR="00B621D9" w:rsidRPr="004D59CC">
        <w:t xml:space="preserve"> Trofimov, the “eternal student”, uses symbolic language to convey this loss. His claim:</w:t>
      </w:r>
    </w:p>
    <w:p w14:paraId="25B36176" w14:textId="1CBAA133" w:rsidR="00B363F0" w:rsidRPr="004D59CC" w:rsidRDefault="00B363F0" w:rsidP="00B363F0">
      <w:pPr>
        <w:spacing w:before="100" w:beforeAutospacing="1" w:after="100" w:afterAutospacing="1" w:line="276" w:lineRule="auto"/>
        <w:jc w:val="both"/>
        <w:rPr>
          <w:rFonts w:ascii="Times New Roman" w:hAnsi="Times New Roman" w:cs="Times New Roman"/>
          <w:szCs w:val="16"/>
        </w:rPr>
      </w:pPr>
      <w:r w:rsidRPr="004D59CC">
        <w:t>“All Russia is our orchard” (Chekhov, 1916, Act II).</w:t>
      </w:r>
    </w:p>
    <w:p w14:paraId="6843D0B8" w14:textId="68268C4F" w:rsidR="00B621D9" w:rsidRPr="004D59CC" w:rsidRDefault="00D95707"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 xml:space="preserve">This line demonstrates that the orchard was not merely land but a metaphor for national identity. The aristocracy believed the orchard belonged to them, yet Trofimov’s words suggest that Russia was larger than one family. </w:t>
      </w:r>
      <w:r w:rsidR="005A5101" w:rsidRPr="005A5101">
        <w:rPr>
          <w:highlight w:val="yellow"/>
        </w:rPr>
        <w:t>Trofimov expands the orchard’s significance beyond the Ranevsky family’s private attachment by connecting its beauty with the history of serf ownership and labour concealed within the estate</w:t>
      </w:r>
      <w:r w:rsidRPr="005A5101">
        <w:rPr>
          <w:highlight w:val="yellow"/>
        </w:rPr>
        <w:t>.</w:t>
      </w:r>
      <w:r w:rsidRPr="004D59CC">
        <w:t xml:space="preserve"> </w:t>
      </w:r>
      <w:r w:rsidR="00224F86" w:rsidRPr="00224F86">
        <w:t>Trofimov asks Anya to recognise the human presence embedded in every part of the orchard and to hear the voices associated with its history of serf ownership (Chekhov, 1916, Act II).</w:t>
      </w:r>
      <w:r w:rsidR="00224F86">
        <w:t xml:space="preserve"> </w:t>
      </w:r>
      <w:r w:rsidRPr="004D59CC">
        <w:t>This reveals that the orchard carried memories of labour and suffering. While aristocrats saw beauty, Trofimov reminded them of the hidden toil of peasants. Identity was shifting: the old class could not adjust to new realities.</w:t>
      </w:r>
    </w:p>
    <w:p w14:paraId="0CAB02C1" w14:textId="7DD1B741" w:rsidR="00B621D9" w:rsidRPr="004D59CC" w:rsidRDefault="00B621D9"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 xml:space="preserve">The text demonstrates that Lopakhin embodies new forces. His ambition for cottages and profit shows a practical identity shaped by struggle. </w:t>
      </w:r>
      <w:r w:rsidR="005A5101" w:rsidRPr="005A5101">
        <w:rPr>
          <w:highlight w:val="yellow"/>
        </w:rPr>
        <w:t>Although economically successful, Lopakhin continues to identify himself through his family’s subordinate past, revealing a socially divided identity in which material advancement does not erase inherited memory</w:t>
      </w:r>
      <w:r w:rsidRPr="004D59CC">
        <w:t>. This duality highlights how aristocratic nostalgia collapses under the rise of new social classes. Saaduddin et al. (2025) explain that the orchard symbolises cultural identity, while Ahmad et al. (2025) and Aryal (2025) emphasise silence and social transition as markers of aristocratic decline.</w:t>
      </w:r>
    </w:p>
    <w:p w14:paraId="17956CC6" w14:textId="3A97A0B3" w:rsidR="00D95707" w:rsidRPr="004D59CC" w:rsidRDefault="005A5101"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5A5101">
        <w:rPr>
          <w:highlight w:val="yellow"/>
        </w:rPr>
        <w:t>The novel reveals how imperial discourse imposes a homogenising political identity upon culturally distinct frontier communities</w:t>
      </w:r>
      <w:r w:rsidR="00B621D9" w:rsidRPr="004D59CC">
        <w:t>. The Magistrate’s realisation:</w:t>
      </w:r>
    </w:p>
    <w:p w14:paraId="5A7AA66B" w14:textId="77777777" w:rsidR="00D95707" w:rsidRPr="004D59CC" w:rsidRDefault="00B363F0" w:rsidP="00B363F0">
      <w:pPr>
        <w:spacing w:before="100" w:beforeAutospacing="1" w:after="100" w:afterAutospacing="1" w:line="276" w:lineRule="auto"/>
        <w:jc w:val="both"/>
        <w:rPr>
          <w:rFonts w:ascii="Times New Roman" w:hAnsi="Times New Roman" w:cs="Times New Roman"/>
          <w:szCs w:val="16"/>
        </w:rPr>
      </w:pPr>
      <w:r w:rsidRPr="004D59CC">
        <w:t>“The distance between myself and her torturers, I realize, is negligible” (Coetzee, 1980, p. 31).</w:t>
      </w:r>
    </w:p>
    <w:p w14:paraId="2E4F4372" w14:textId="77777777" w:rsidR="00D95707" w:rsidRPr="004D59CC" w:rsidRDefault="00F53B1C"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This shows his moral crisis. Identity is not fixed; his loyalty to empire is shaken when he recognises his complicity in cruelty. His further observation:</w:t>
      </w:r>
    </w:p>
    <w:p w14:paraId="31DB2775" w14:textId="77777777" w:rsidR="00B363F0" w:rsidRPr="004D59CC" w:rsidRDefault="00B363F0" w:rsidP="00B363F0">
      <w:pPr>
        <w:spacing w:before="100" w:beforeAutospacing="1" w:after="100" w:afterAutospacing="1" w:line="276" w:lineRule="auto"/>
        <w:jc w:val="both"/>
        <w:rPr>
          <w:rFonts w:ascii="Times New Roman" w:hAnsi="Times New Roman" w:cs="Times New Roman"/>
          <w:szCs w:val="16"/>
        </w:rPr>
      </w:pPr>
      <w:r w:rsidRPr="004D59CC">
        <w:lastRenderedPageBreak/>
        <w:t>“No one can accept that the imperial army has been annihilated by men with bows and arrows and rusty old guns who live in tents and cannot read or write” (Coetzee, 1980, p. 87).</w:t>
      </w:r>
    </w:p>
    <w:p w14:paraId="3F859270" w14:textId="2E60DCFE" w:rsidR="00B621D9" w:rsidRPr="004D59CC" w:rsidRDefault="00B363F0" w:rsidP="00B363F0">
      <w:pPr>
        <w:spacing w:before="100" w:beforeAutospacing="1" w:after="100" w:afterAutospacing="1" w:line="276" w:lineRule="auto"/>
        <w:jc w:val="both"/>
        <w:rPr>
          <w:rFonts w:ascii="Times New Roman" w:hAnsi="Times New Roman" w:cs="Times New Roman"/>
          <w:szCs w:val="16"/>
        </w:rPr>
      </w:pPr>
      <w:r w:rsidRPr="004D59CC">
        <w:t xml:space="preserve">This reflects how empire created the “barbarian” identity to preserve pride and justify violence. </w:t>
      </w:r>
      <w:r w:rsidR="005A5101" w:rsidRPr="005A5101">
        <w:rPr>
          <w:highlight w:val="yellow"/>
        </w:rPr>
        <w:t>The category of the ‘barbarian’ does not describe a naturally unified group; it is an imperial classification that converts diverse communities into a collective political threat</w:t>
      </w:r>
      <w:r w:rsidR="005A5101" w:rsidRPr="005A5101">
        <w:t>.</w:t>
      </w:r>
      <w:r w:rsidRPr="004D59CC">
        <w:t xml:space="preserve"> It allowed torture, war, and domination. Attridge (2004) argues that the novel forces readers to confront the ethics of identity and otherness. Dagamseh (2022) explains that oppression continues under colonial and neoliberal systems, while Lan et al. (2026) highlight how empire linked gender, ecology, and colonial oppression, forcing false identities on marginalised groups. Biti (2023) adds that borderlands became zones of oppression. </w:t>
      </w:r>
      <w:r w:rsidR="003B224E" w:rsidRPr="003B224E">
        <w:t>The desert, perceived by imperial officials as barren and empty, exposes the restricted vision and epistemological limitations of imperial authority</w:t>
      </w:r>
      <w:r w:rsidRPr="004D59CC">
        <w:t>, contrasting with the orchard’s fertile but burdened heritage.</w:t>
      </w:r>
    </w:p>
    <w:p w14:paraId="024FB1DA" w14:textId="7155B91A" w:rsidR="00B621D9" w:rsidRPr="004D59CC" w:rsidRDefault="005A5101" w:rsidP="00B363F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5A5101">
        <w:rPr>
          <w:highlight w:val="yellow"/>
        </w:rPr>
        <w:t>Taken together, the two works show that identity is shaped by unequal relations of property, historical memory, and political classification. In Chekhov’s play, the orchard carries both the Ranevsky family’s emotional history and the suppressed memory of serf labour, while Lopakhin’s acquisition of the estate reveals that economic mobility does not automatically produce psychological belonging. In Coetzee’s novel, the Empire attempts to stabilise its own authority by representing diverse frontier populations as a unified and threatening Other. The Magistrate’s recognition of this process unsettles his identity as an imperial official but does not release him completely from the structures he questions. The comparison therefore identifies different forms of unstable identity: attachment to declining privilege, division between inherited status and economic advancement, and moral self-questioning within an oppressive institution.</w:t>
      </w:r>
    </w:p>
    <w:p w14:paraId="46669F88" w14:textId="7B3ECAE5" w:rsidR="003E3052" w:rsidRPr="004D59CC" w:rsidRDefault="003E3052" w:rsidP="003E3052">
      <w:pPr>
        <w:spacing w:before="100" w:beforeAutospacing="1" w:after="100" w:afterAutospacing="1" w:line="276" w:lineRule="auto"/>
        <w:jc w:val="both"/>
        <w:outlineLvl w:val="2"/>
        <w:rPr>
          <w:rFonts w:ascii="Times New Roman" w:eastAsia="Times New Roman" w:hAnsi="Times New Roman" w:cs="Times New Roman"/>
          <w:b/>
          <w:bCs/>
          <w:i/>
          <w:iCs/>
          <w:lang w:bidi="bn-BD"/>
        </w:rPr>
      </w:pPr>
      <w:r w:rsidRPr="004D59CC">
        <w:rPr>
          <w:rFonts w:ascii="Times New Roman" w:eastAsia="Times New Roman" w:hAnsi="Times New Roman" w:cs="Times New Roman"/>
          <w:b/>
          <w:bCs/>
          <w:i/>
          <w:iCs/>
          <w:lang w:bidi="bn-BD"/>
        </w:rPr>
        <w:t xml:space="preserve">III. </w:t>
      </w:r>
      <w:r w:rsidR="006F6350" w:rsidRPr="006F6350">
        <w:rPr>
          <w:rFonts w:ascii="Times New Roman" w:eastAsia="Times New Roman" w:hAnsi="Times New Roman" w:cs="Times New Roman"/>
          <w:b/>
          <w:bCs/>
          <w:i/>
          <w:iCs/>
          <w:lang w:bidi="bn-BD"/>
        </w:rPr>
        <w:t>Social Transformation and Imperial Crisis</w:t>
      </w:r>
    </w:p>
    <w:p w14:paraId="32E28BEC" w14:textId="51025864" w:rsidR="00224F86" w:rsidRDefault="00B621D9" w:rsidP="00166D2F">
      <w:pPr>
        <w:spacing w:before="100" w:beforeAutospacing="1" w:after="100" w:afterAutospacing="1" w:line="276" w:lineRule="auto"/>
        <w:jc w:val="both"/>
      </w:pPr>
      <w:r w:rsidRPr="004D59CC">
        <w:t>The Cherry Orchard shows that Russian society was in transition, with aristocracy declining and new classes rising. This change brought fear, loss, and uncertainty. Ranevskaya expresse</w:t>
      </w:r>
      <w:r w:rsidR="0075190D">
        <w:t>s</w:t>
      </w:r>
      <w:r w:rsidRPr="004D59CC">
        <w:t xml:space="preserve"> her emotional attachment to the orchard when she </w:t>
      </w:r>
      <w:r w:rsidR="00224F86" w:rsidRPr="00224F86">
        <w:t xml:space="preserve">declares, </w:t>
      </w:r>
    </w:p>
    <w:p w14:paraId="1577C572" w14:textId="495DE9E3" w:rsidR="00224F86" w:rsidRDefault="00224F86" w:rsidP="00166D2F">
      <w:pPr>
        <w:spacing w:before="100" w:beforeAutospacing="1" w:after="100" w:afterAutospacing="1" w:line="276" w:lineRule="auto"/>
        <w:jc w:val="both"/>
      </w:pPr>
      <w:r w:rsidRPr="00224F86">
        <w:t>“I couldn’t understand my life without that cherry orchard” (Chekhov, 1916, Act III).</w:t>
      </w:r>
    </w:p>
    <w:p w14:paraId="6838AD68" w14:textId="77265AD6" w:rsidR="003A6A2C" w:rsidRPr="004D59CC" w:rsidRDefault="00B621D9" w:rsidP="00166D2F">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This line demonstrates how her identity was tied to the orchard; losing it meant losing her past and her sense of self. Her further remark:</w:t>
      </w:r>
    </w:p>
    <w:p w14:paraId="61615CC6" w14:textId="200B6632" w:rsidR="00933225" w:rsidRPr="004D59CC" w:rsidRDefault="00933225" w:rsidP="00166D2F">
      <w:pPr>
        <w:spacing w:before="100" w:beforeAutospacing="1" w:after="100" w:afterAutospacing="1" w:line="276" w:lineRule="auto"/>
        <w:jc w:val="both"/>
        <w:rPr>
          <w:rFonts w:ascii="Times New Roman" w:hAnsi="Times New Roman" w:cs="Times New Roman"/>
          <w:szCs w:val="16"/>
        </w:rPr>
      </w:pPr>
      <w:r w:rsidRPr="004D59CC">
        <w:t>“</w:t>
      </w:r>
      <w:r w:rsidR="00224F86" w:rsidRPr="00224F86">
        <w:t>Villas and villa residents—it’s so vulgar, excuse me” (Chekhov, 1916, Act II).</w:t>
      </w:r>
    </w:p>
    <w:p w14:paraId="55458C82" w14:textId="551D08B7" w:rsidR="006F6350" w:rsidRDefault="00F53B1C" w:rsidP="00166D2F">
      <w:pPr>
        <w:spacing w:before="100" w:beforeAutospacing="1" w:after="100" w:afterAutospacing="1" w:line="276" w:lineRule="auto"/>
        <w:jc w:val="both"/>
      </w:pPr>
      <w:r w:rsidRPr="004D59CC">
        <w:t xml:space="preserve">This reveals her inability to accept social change. She saw new uses of land as vulgar, unable to imagine peasants and merchants reshaping the estate. Her rejection reflects the aristocracy’s fear </w:t>
      </w:r>
      <w:r w:rsidRPr="004D59CC">
        <w:lastRenderedPageBreak/>
        <w:t xml:space="preserve">of losing cultural authority. The orchard symbolises memory, but society was moving towards modernity. Lopakhin embodies capitalism and modernity. He saw cottages and profit where aristocrats saw vulgarity. His perspective represents opportunity, while theirs represents nostalgia. </w:t>
      </w:r>
      <w:r w:rsidR="006F6350" w:rsidRPr="006F6350">
        <w:rPr>
          <w:highlight w:val="yellow"/>
        </w:rPr>
        <w:t>Nevertheless, Chekhov does not present the replacement of aristocratic ownership by commercial enterprise as an uncomplicated movement from an obsolete past towards a superior modern order. Lopakhin’s economic success coexists with emotional insecurity, unresolved attachment to the Ranevsky family, and an identity still shaped by his family’s history of servitude. The transition represented by the sale of the orchard is therefore materially decisive but socially and morally ambiguous, because the decline of one class does not automatically establish a more coherent or equitable form of belonging.</w:t>
      </w:r>
    </w:p>
    <w:p w14:paraId="6F310AA4" w14:textId="6E7A8013" w:rsidR="00B621D9" w:rsidRPr="004D59CC" w:rsidRDefault="00F53B1C" w:rsidP="00166D2F">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 xml:space="preserve">This clash dramatises social transition. Pauses and silences emphasise the aristocrats’ helplessness: they talked but did not act, clinging to memory while ignoring reality. </w:t>
      </w:r>
      <w:r w:rsidR="006F6350" w:rsidRPr="006F6350">
        <w:rPr>
          <w:highlight w:val="yellow"/>
        </w:rPr>
        <w:t>Whyman (2010) situates the play within broader processes of modernisation and social change, while also emphasising that Chekhov resists reducing this transformation to a simple conflict between an outdated aristocracy and a progressive commercial class. The characters experience historical change at different speeds: the estate passes rapidly into new ownership, but inherited memories, social habits, and emotional loyalties continue to shape their responses. The play thus represents transition as a condition of temporal dislocation in which economic change has already occurred, while personal identity remains attached to a disappearing social world.</w:t>
      </w:r>
    </w:p>
    <w:p w14:paraId="4772394D" w14:textId="77777777" w:rsidR="00D95707" w:rsidRPr="004D59CC" w:rsidRDefault="00B621D9" w:rsidP="00166D2F">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rPr>
          <w:rFonts w:ascii="Times New Roman" w:eastAsia="Times New Roman" w:hAnsi="Times New Roman" w:cs="Times New Roman"/>
          <w:kern w:val="0"/>
          <w:lang w:bidi="bn-BD"/>
          <w14:ligatures w14:val="none"/>
        </w:rPr>
        <w:t xml:space="preserve">The novel </w:t>
      </w:r>
      <w:r w:rsidRPr="004D59CC">
        <w:rPr>
          <w:rFonts w:ascii="Times New Roman" w:eastAsia="Times New Roman" w:hAnsi="Times New Roman" w:cs="Times New Roman"/>
          <w:i/>
          <w:iCs/>
          <w:kern w:val="0"/>
          <w:lang w:bidi="bn-BD"/>
          <w14:ligatures w14:val="none"/>
        </w:rPr>
        <w:t>Waiting for the Barbarians</w:t>
      </w:r>
      <w:r w:rsidRPr="004D59CC">
        <w:rPr>
          <w:rFonts w:ascii="Times New Roman" w:eastAsia="Times New Roman" w:hAnsi="Times New Roman" w:cs="Times New Roman"/>
          <w:kern w:val="0"/>
          <w:lang w:bidi="bn-BD"/>
          <w14:ligatures w14:val="none"/>
        </w:rPr>
        <w:t xml:space="preserve"> reveals how the colonial empire tried to preserve its power through fear and violence. The Magistrate admitted his reluctance: </w:t>
      </w:r>
    </w:p>
    <w:p w14:paraId="040D2567" w14:textId="77777777" w:rsidR="00933225" w:rsidRPr="004D59CC" w:rsidRDefault="00933225" w:rsidP="00166D2F">
      <w:pPr>
        <w:spacing w:before="100" w:beforeAutospacing="1" w:after="100" w:afterAutospacing="1" w:line="276" w:lineRule="auto"/>
        <w:jc w:val="both"/>
        <w:rPr>
          <w:rFonts w:ascii="Times New Roman" w:hAnsi="Times New Roman" w:cs="Times New Roman"/>
          <w:szCs w:val="16"/>
        </w:rPr>
      </w:pPr>
      <w:r w:rsidRPr="004D59CC">
        <w:rPr>
          <w:rFonts w:ascii="Times New Roman" w:hAnsi="Times New Roman" w:cs="Times New Roman"/>
          <w:szCs w:val="16"/>
        </w:rPr>
        <w:t xml:space="preserve">“I never wished to be drawn into this…I did not mean to get embroiled in this. </w:t>
      </w:r>
    </w:p>
    <w:p w14:paraId="07609F83" w14:textId="77777777" w:rsidR="00933225" w:rsidRPr="004D59CC" w:rsidRDefault="00933225" w:rsidP="00166D2F">
      <w:pPr>
        <w:spacing w:before="100" w:beforeAutospacing="1" w:after="100" w:afterAutospacing="1" w:line="276" w:lineRule="auto"/>
        <w:jc w:val="both"/>
        <w:rPr>
          <w:rFonts w:ascii="Times New Roman" w:hAnsi="Times New Roman" w:cs="Times New Roman"/>
          <w:szCs w:val="16"/>
        </w:rPr>
      </w:pPr>
      <w:r w:rsidRPr="004D59CC">
        <w:t>I am a country magistrate, a responsible official in the service of the Empire, serving out my days on the lazy frontier, waiting to retire” (Coetzee, 1980, p. 25).</w:t>
      </w:r>
    </w:p>
    <w:p w14:paraId="20D415D2" w14:textId="77777777" w:rsidR="003A6A2C" w:rsidRPr="004D59CC" w:rsidRDefault="00B621D9" w:rsidP="00166D2F">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t>These lines show his identity crisis. He wanted a quiet life, but empire forced him into moral conflict. His role became unstable. His further statement:</w:t>
      </w:r>
    </w:p>
    <w:p w14:paraId="0355D9BB" w14:textId="77777777" w:rsidR="00933225" w:rsidRPr="004D59CC" w:rsidRDefault="00933225" w:rsidP="00166D2F">
      <w:pPr>
        <w:spacing w:before="100" w:beforeAutospacing="1" w:after="100" w:afterAutospacing="1" w:line="276" w:lineRule="auto"/>
        <w:jc w:val="both"/>
        <w:rPr>
          <w:rFonts w:ascii="Times New Roman" w:hAnsi="Times New Roman" w:cs="Times New Roman"/>
          <w:szCs w:val="16"/>
        </w:rPr>
      </w:pPr>
      <w:r w:rsidRPr="004D59CC">
        <w:t>“Nothing is worse than what we can imagine” (Coetzee, 1980, p. 47).</w:t>
      </w:r>
    </w:p>
    <w:p w14:paraId="728F3A5D" w14:textId="766ADED8" w:rsidR="006F6350" w:rsidRDefault="00F53B1C" w:rsidP="00A1057D">
      <w:pPr>
        <w:spacing w:before="100" w:beforeAutospacing="1" w:after="100" w:afterAutospacing="1" w:line="276" w:lineRule="auto"/>
        <w:jc w:val="both"/>
      </w:pPr>
      <w:r w:rsidRPr="004D59CC">
        <w:t xml:space="preserve">This shows how fear was used as a weapon. </w:t>
      </w:r>
      <w:r w:rsidR="005A5101" w:rsidRPr="005A5101">
        <w:t>The Empire converts uncertain and culturally diverse frontier populations into an exaggerated collective threat.</w:t>
      </w:r>
      <w:r w:rsidRPr="004D59CC">
        <w:t xml:space="preserve"> This fear maintained colonial authority. </w:t>
      </w:r>
      <w:r w:rsidR="006F6350" w:rsidRPr="006F6350">
        <w:rPr>
          <w:highlight w:val="yellow"/>
        </w:rPr>
        <w:t xml:space="preserve">The novel does not, however, portray a clearly defined transition from colonial rule to a post-imperial political order. Instead, it presents a crisis of imperial knowledge and legitimacy in which military intervention intensifies precisely because the administration cannot establish the nature </w:t>
      </w:r>
      <w:r w:rsidR="006F6350" w:rsidRPr="006F6350">
        <w:rPr>
          <w:highlight w:val="yellow"/>
        </w:rPr>
        <w:lastRenderedPageBreak/>
        <w:t>or scale of the alleged frontier threat. The movement of troops, prisoners, and officials creates the appearance of decisive action, yet the narrative repeatedly exposes the uncertainty underlying these operations. Imperial time is consequently organised around anticipation—waiting for invasion, rebellion, punishment, or return—rather than around a demonstrable historical progression towards liberation or institutional collapse.</w:t>
      </w:r>
      <w:r w:rsidR="006F6350">
        <w:t xml:space="preserve"> </w:t>
      </w:r>
      <w:r w:rsidRPr="004D59CC">
        <w:t xml:space="preserve">Moses (1993) argues that torture and fear preserved authority but exposed fragility. Grafe (2018) adds that individuals lost identity under imperial oppression, showing depersonalisation. </w:t>
      </w:r>
      <w:r w:rsidR="003B224E" w:rsidRPr="003B224E">
        <w:t>The desert’s apparent barrenness reflects the Empire’s failure to understand the territory and communities it attempts to govern, thereby exposing the futility of coercive expansion.</w:t>
      </w:r>
      <w:r w:rsidRPr="004D59CC">
        <w:t xml:space="preserve"> Just as the orchard symbolises memory, the desert symbolises fear. Both landscapes dramatise decline. </w:t>
      </w:r>
    </w:p>
    <w:p w14:paraId="0177E555" w14:textId="3F90B8B7" w:rsidR="006F6350" w:rsidRPr="006F6350" w:rsidRDefault="006F6350" w:rsidP="006F6350">
      <w:pPr>
        <w:spacing w:before="100" w:beforeAutospacing="1" w:after="100" w:afterAutospacing="1" w:line="276" w:lineRule="auto"/>
        <w:jc w:val="both"/>
        <w:rPr>
          <w:highlight w:val="yellow"/>
        </w:rPr>
      </w:pPr>
      <w:r w:rsidRPr="006F6350">
        <w:rPr>
          <w:highlight w:val="yellow"/>
        </w:rPr>
        <w:t>The two works therefore represent historical change through contrasting temporal structures. In The Cherry Orchard, the auction produces a visible and legally definitive transfer of property, yet the characters remain emotionally attached to social identities formed before that transfer. Chekhov presents change as an uneven process in which economic transformation precedes psychological adjustment. In Waiting for the Barbarians, by contrast, no comparable institutional succession occurs. The frontier settlement is suspended between rumours of attack, military departure, anticipated return, and uncertainty about the Empire’s future. Coetzee consequently represents imperial crisis through waiting, repetition, and incomplete knowledge rather than through a clearly identifiable transition to a new political system.</w:t>
      </w:r>
    </w:p>
    <w:p w14:paraId="0F8E9681" w14:textId="2E0B21C5" w:rsidR="00B363F0" w:rsidRPr="004D59CC" w:rsidRDefault="006F6350" w:rsidP="006F6350">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6F6350">
        <w:rPr>
          <w:highlight w:val="yellow"/>
        </w:rPr>
        <w:t>This distinction also clarifies the different functions of the orchard and the desert. The orchard is a materially contested property whose sale marks an irreversible change in ownership, even though its cultural and emotional meanings persist. The desert, however, remains resistant to imperial mapping and interpretation; its apparent emptiness reflects the administration’s inability to understand the territory and communities it seeks to control. The comparison therefore does not establish a linear movement from aristocracy to capitalism and from empire to collapse. Instead, it shows that institutional change may be experienced either as a completed material event whose consequences remain emotionally unresolved or as an extended political crisis in which authority continues to operate despite the weakening of its legitimacy.</w:t>
      </w:r>
    </w:p>
    <w:p w14:paraId="6C3095D9" w14:textId="77777777" w:rsidR="003E3052" w:rsidRPr="004D59CC" w:rsidRDefault="003E3052" w:rsidP="00B363F0">
      <w:pPr>
        <w:spacing w:before="100" w:beforeAutospacing="1" w:after="100" w:afterAutospacing="1" w:line="240" w:lineRule="auto"/>
        <w:rPr>
          <w:rFonts w:ascii="Times New Roman" w:eastAsia="Times New Roman" w:hAnsi="Times New Roman" w:cs="Times New Roman"/>
          <w:kern w:val="0"/>
          <w:lang w:bidi="bn-BD"/>
          <w14:ligatures w14:val="none"/>
        </w:rPr>
      </w:pPr>
      <w:r w:rsidRPr="004D59CC">
        <w:rPr>
          <w:rFonts w:ascii="Times New Roman" w:eastAsia="Times New Roman" w:hAnsi="Times New Roman" w:cs="Times New Roman"/>
          <w:b/>
          <w:bCs/>
          <w:i/>
          <w:iCs/>
          <w:lang w:bidi="bn-BD"/>
        </w:rPr>
        <w:t>IV. Ambiguity in Characters</w:t>
      </w:r>
    </w:p>
    <w:p w14:paraId="497E95A3" w14:textId="77777777" w:rsidR="00224F86" w:rsidRDefault="00B621D9" w:rsidP="00224F86">
      <w:pPr>
        <w:spacing w:before="100" w:beforeAutospacing="1" w:after="100" w:afterAutospacing="1" w:line="276" w:lineRule="auto"/>
        <w:jc w:val="both"/>
      </w:pPr>
      <w:r w:rsidRPr="004D59CC">
        <w:t xml:space="preserve">The Cherry Orchard shows that the Ranevsky family embodies emotional uncertainty, caught between reality and recollection. </w:t>
      </w:r>
      <w:r w:rsidR="00224F86">
        <w:t>Ranevskaya admits that she continually expects something to happen, as though the house might collapse over them (Chekhov, 1916, Act II).</w:t>
      </w:r>
      <w:r w:rsidR="00224F86">
        <w:t xml:space="preserve"> </w:t>
      </w:r>
      <w:r w:rsidR="00224F86" w:rsidRPr="00224F86">
        <w:t>This anticipation conveys her anxiety and inability to respond confidently to the family’s worsening circumstances.</w:t>
      </w:r>
      <w:r w:rsidR="003A6A2C" w:rsidRPr="004D59CC">
        <w:t xml:space="preserve"> </w:t>
      </w:r>
    </w:p>
    <w:p w14:paraId="4635E92C" w14:textId="54D243E2" w:rsidR="00224F86" w:rsidRDefault="00224F86" w:rsidP="00224F86">
      <w:pPr>
        <w:spacing w:before="100" w:beforeAutospacing="1" w:after="100" w:afterAutospacing="1" w:line="276" w:lineRule="auto"/>
        <w:jc w:val="both"/>
      </w:pPr>
      <w:r w:rsidRPr="00224F86">
        <w:lastRenderedPageBreak/>
        <w:t>Ranevskaya criticises Lopakhin for leading a grey life and for speaking unnecessarily (Chekhov, 1916, Act II).</w:t>
      </w:r>
      <w:r>
        <w:t xml:space="preserve"> </w:t>
      </w:r>
      <w:r w:rsidRPr="00224F86">
        <w:t>Her criticism reveals her dissatisfaction with the present, even though she remains emotionally dependent on an increasingly unsustainable past.</w:t>
      </w:r>
    </w:p>
    <w:p w14:paraId="1D0EA163" w14:textId="1D3F1ADF" w:rsidR="00B621D9" w:rsidRPr="004D59CC" w:rsidRDefault="006F6350" w:rsidP="00224F86">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6F6350">
        <w:rPr>
          <w:highlight w:val="yellow"/>
        </w:rPr>
        <w:t>Ranevskaya’s ambiguity, however, should not be interpreted simply as indecision. She is affectionate and generous, yet financially irresponsible; deeply attached to the estate, yet incapable of protecting it; conscious of suffering, yet dependent on a social order sustained by inherited privilege. Her grief over the death of her son and her attachment to childhood memories make her resistance to change psychologically understandable, but they do not remove her responsibility for ignoring the estate’s material crisis. Chekhov thus constructs her as both vulnerable and socially privileged, allowing sympathy for her personal loss to coexist with criticism of her failure to act.</w:t>
      </w:r>
      <w:r>
        <w:t xml:space="preserve"> </w:t>
      </w:r>
      <w:r w:rsidR="00F53B1C" w:rsidRPr="004D59CC">
        <w:t xml:space="preserve">Remaley (1973) argues that comic incongruity arises when serious situations meet trivial responses, exposing the ludicrous side of human behaviour. Foxcroft (2011) adds that Ranevskaya embodies socio-economic transformation, caught between nostalgia and inevitable change. The other characters also embody contradictions. Trofimov speaks of progress yet remains an “eternal student”, dreaming of change but avoiding responsibility. Lopakhin is practical and successful yet insecure, still tied to peasant roots despite his wealth. Gayev delivers speeches about billiards while ignoring real problems. Each character carries contradictions, dramatising human weakness and indecision. </w:t>
      </w:r>
      <w:r w:rsidRPr="006F6350">
        <w:rPr>
          <w:highlight w:val="yellow"/>
        </w:rPr>
        <w:t>These contradictions do not operate in the same manner for every character. Lopakhin’s ambiguity arises from the distance between his material success and his continuing psychological identification with his family’s subordinate past. Although he acquires the estate and exercises economic power, his emotional attachment to Ranevskaya and his inability to resolve his relationship with Varya reveal that social mobility has not produced a stable sense of belonging. Trofimov’s ambiguity is different: his criticism of aristocratic privilege gives him moral and intellectual authority, yet his prolonged status as an “eternal student” exposes the gap between his idealistic language and practical action. Ambiguity in the play therefore reflects not only personal weakness but also the difficulty of forming coherent identities during a period in which social positions are changing more rapidly than emotional loyalties and cultural habits.</w:t>
      </w:r>
      <w:r>
        <w:t xml:space="preserve"> </w:t>
      </w:r>
      <w:r w:rsidR="00F53B1C" w:rsidRPr="004D59CC">
        <w:t xml:space="preserve">This ambiguity reflects Russian society itself: aristocrats hesitated, clung to memory, and delayed action. </w:t>
      </w:r>
      <w:r w:rsidR="005A5101" w:rsidRPr="005A5101">
        <w:rPr>
          <w:highlight w:val="yellow"/>
        </w:rPr>
        <w:t>Their indecision contributes to the family’s inability to respond effectively to economic and social transformation</w:t>
      </w:r>
      <w:r w:rsidR="00F53B1C" w:rsidRPr="004D59CC">
        <w:t>. Emotional ambiguity thus becomes a metaphor for social paralysis.</w:t>
      </w:r>
    </w:p>
    <w:p w14:paraId="55520E15" w14:textId="77777777" w:rsidR="00D95707" w:rsidRPr="004D59CC" w:rsidRDefault="00B621D9" w:rsidP="00933225">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rPr>
          <w:rFonts w:ascii="Times New Roman" w:eastAsia="Times New Roman" w:hAnsi="Times New Roman" w:cs="Times New Roman"/>
          <w:kern w:val="0"/>
          <w:lang w:bidi="bn-BD"/>
          <w14:ligatures w14:val="none"/>
        </w:rPr>
        <w:t xml:space="preserve">The novel </w:t>
      </w:r>
      <w:r w:rsidRPr="004D59CC">
        <w:rPr>
          <w:rFonts w:ascii="Times New Roman" w:eastAsia="Times New Roman" w:hAnsi="Times New Roman" w:cs="Times New Roman"/>
          <w:i/>
          <w:iCs/>
          <w:kern w:val="0"/>
          <w:lang w:bidi="bn-BD"/>
          <w14:ligatures w14:val="none"/>
        </w:rPr>
        <w:t>Waiting for the Barbarians</w:t>
      </w:r>
      <w:r w:rsidRPr="004D59CC">
        <w:rPr>
          <w:rFonts w:ascii="Times New Roman" w:eastAsia="Times New Roman" w:hAnsi="Times New Roman" w:cs="Times New Roman"/>
          <w:kern w:val="0"/>
          <w:lang w:bidi="bn-BD"/>
          <w14:ligatures w14:val="none"/>
        </w:rPr>
        <w:t xml:space="preserve"> reveals moral ambiguity in the Magistrate. He is torn between duty to empire and compassion for the oppressed. His reflection</w:t>
      </w:r>
      <w:r w:rsidR="00F53B1C" w:rsidRPr="004D59CC">
        <w:rPr>
          <w:rFonts w:ascii="Times New Roman" w:eastAsia="Times New Roman" w:hAnsi="Times New Roman" w:cs="Times New Roman"/>
          <w:kern w:val="0"/>
          <w:lang w:bidi="bn-BD"/>
          <w14:ligatures w14:val="none"/>
        </w:rPr>
        <w:t>:</w:t>
      </w:r>
    </w:p>
    <w:p w14:paraId="47F32188" w14:textId="77777777" w:rsidR="00933225" w:rsidRPr="004D59CC" w:rsidRDefault="00933225" w:rsidP="00933225">
      <w:pPr>
        <w:spacing w:before="100" w:beforeAutospacing="1" w:after="100" w:afterAutospacing="1" w:line="276" w:lineRule="auto"/>
        <w:jc w:val="both"/>
        <w:rPr>
          <w:rFonts w:ascii="Times New Roman" w:hAnsi="Times New Roman" w:cs="Times New Roman"/>
          <w:szCs w:val="16"/>
        </w:rPr>
      </w:pPr>
      <w:r w:rsidRPr="004D59CC">
        <w:t>“Looking at him I wonder how he felt the very first time: did he…shudder even a little to know that at that instant he was trespassing into the forbidden?” (Coetzee, 1980, p. 93).</w:t>
      </w:r>
    </w:p>
    <w:p w14:paraId="555A3971" w14:textId="77777777" w:rsidR="00D95707" w:rsidRPr="004D59CC" w:rsidRDefault="00F53B1C" w:rsidP="00933225">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4D59CC">
        <w:lastRenderedPageBreak/>
        <w:t>This shows moral questioning and complicity. His confession:</w:t>
      </w:r>
    </w:p>
    <w:p w14:paraId="015A987E" w14:textId="77777777" w:rsidR="00933225" w:rsidRPr="004D59CC" w:rsidRDefault="00933225" w:rsidP="00933225">
      <w:pPr>
        <w:spacing w:before="100" w:beforeAutospacing="1" w:after="100" w:afterAutospacing="1" w:line="276" w:lineRule="auto"/>
        <w:jc w:val="both"/>
        <w:rPr>
          <w:rFonts w:ascii="Times New Roman" w:hAnsi="Times New Roman" w:cs="Times New Roman"/>
          <w:szCs w:val="16"/>
        </w:rPr>
      </w:pPr>
      <w:r w:rsidRPr="004D59CC">
        <w:t>“I daily become more like a beast or simply machine” (Coetzee, 1980, p. 117).</w:t>
      </w:r>
    </w:p>
    <w:p w14:paraId="6B0F892A" w14:textId="0872C078" w:rsidR="006F6350" w:rsidRPr="006F6350" w:rsidRDefault="00F53B1C" w:rsidP="006F6350">
      <w:pPr>
        <w:spacing w:before="100" w:beforeAutospacing="1" w:after="100" w:afterAutospacing="1" w:line="276" w:lineRule="auto"/>
        <w:jc w:val="both"/>
        <w:rPr>
          <w:highlight w:val="yellow"/>
        </w:rPr>
      </w:pPr>
      <w:r w:rsidRPr="004D59CC">
        <w:t xml:space="preserve">This demonstrates despair and dehumanisation under imperial violence. Mayou (2024) explains that the Magistrate embodies a double bind, torn between loyalty and moral rectitude. Grafe (2018) argues that first-person narration highlights conscience, making him a “man of justice” yet trapping him in imperial law. The Magistrate wants justice but serves empire, cares for prisoners but enforces law, and doubts torture yet remains complicit. This moral conflict makes him complex, neither hero nor villain, but a human being caught in contradiction. </w:t>
      </w:r>
      <w:r w:rsidR="006F6350" w:rsidRPr="006F6350">
        <w:rPr>
          <w:highlight w:val="yellow"/>
        </w:rPr>
        <w:t>The Magistrate’s ambiguity should not be equated with complete political passivity. He undertakes limited acts of resistance by questioning Colonel Joll’s methods, caring for the injured barbarian girl, returning her to her people, and publicly challenging the violence committed in the Empire’s name. Nevertheless, these actions remain morally compromised and politically ineffective. His authority, language, and self-understanding continue to derive from the imperial system he condemns, and his relationship with the girl is shaped by his inability to understand her experience independently of his own desire for moral clarification. He consequently resists particular manifestations of imperial violence without fully escaping the administrative, gendered, and interpretive structures through which imperial power operates.</w:t>
      </w:r>
    </w:p>
    <w:p w14:paraId="0B98D798" w14:textId="6AD5E61A" w:rsidR="00B621D9" w:rsidRPr="004D59CC" w:rsidRDefault="006F6350" w:rsidP="00933225">
      <w:pPr>
        <w:spacing w:before="100" w:beforeAutospacing="1" w:after="100" w:afterAutospacing="1" w:line="276" w:lineRule="auto"/>
        <w:jc w:val="both"/>
        <w:rPr>
          <w:rFonts w:ascii="Times New Roman" w:eastAsia="Times New Roman" w:hAnsi="Times New Roman" w:cs="Times New Roman"/>
          <w:kern w:val="0"/>
          <w:lang w:bidi="bn-BD"/>
          <w14:ligatures w14:val="none"/>
        </w:rPr>
      </w:pPr>
      <w:r w:rsidRPr="006F6350">
        <w:rPr>
          <w:highlight w:val="yellow"/>
        </w:rPr>
        <w:t>This distinction separates productive moral ambiguity from mere indecision. Moral ambiguity emerges when a character recognises injustice and attempts to respond, while remaining implicated in the system that produces it; psychological indecision, by contrast, describes an inability to choose or act despite awareness of a problem. Ranevskaya’s attachment to the orchard largely immobilises her, whereas the Magistrate acts but cannot convert private dissent into effective political opposition. Lopakhin occupies a third position: he acts decisively in economic terms, yet his social victory does not resolve the emotional insecurity produced by his family history. Ambiguity therefore performs different functions in the two works, revealing paralysis, compromised resistance, and unstable social mobility rather than a single form of human weakness.</w:t>
      </w:r>
      <w:r>
        <w:t xml:space="preserve"> </w:t>
      </w:r>
    </w:p>
    <w:p w14:paraId="139A0CB4" w14:textId="09237BBD" w:rsidR="006F6350" w:rsidRPr="006F6350" w:rsidRDefault="006F6350" w:rsidP="006F6350">
      <w:pPr>
        <w:spacing w:before="100" w:beforeAutospacing="1" w:after="100" w:afterAutospacing="1" w:line="240" w:lineRule="auto"/>
        <w:rPr>
          <w:highlight w:val="yellow"/>
        </w:rPr>
      </w:pPr>
      <w:r w:rsidRPr="006F6350">
        <w:rPr>
          <w:highlight w:val="yellow"/>
        </w:rPr>
        <w:t xml:space="preserve">Collectively, these characters demonstrate that ambiguity is not a secondary feature of social decline but one of the principal means through which the two works represent unstable identity. Chekhov locates ambiguity within a changing class structure: Ranevskaya remains emotionally bound to a privileged world she cannot preserve, Lopakhin gains economic authority without overcoming the psychological marks of subordination, and Trofimov articulates social renewal without translating his ideals into sustained action. Coetzee, by contrast, places ambiguity within the ethics of imperial complicity. The Magistrate recognises the cruelty of the Empire and undertakes limited acts of opposition, yet he continues to speak </w:t>
      </w:r>
      <w:r w:rsidRPr="006F6350">
        <w:rPr>
          <w:highlight w:val="yellow"/>
        </w:rPr>
        <w:lastRenderedPageBreak/>
        <w:t>from within the administrative and patriarchal structures that shape his understanding of the frontier and the barbarian girl.</w:t>
      </w:r>
    </w:p>
    <w:p w14:paraId="417D90A9" w14:textId="77777777" w:rsidR="006F6350" w:rsidRDefault="006F6350" w:rsidP="006F6350">
      <w:pPr>
        <w:spacing w:before="100" w:beforeAutospacing="1" w:after="100" w:afterAutospacing="1" w:line="240" w:lineRule="auto"/>
      </w:pPr>
      <w:r w:rsidRPr="006F6350">
        <w:rPr>
          <w:highlight w:val="yellow"/>
        </w:rPr>
        <w:t>The comparison therefore reveals three distinct forms of ambiguity: psychological paralysis, socially divided identity, and morally compromised resistance. These forms should not be treated as equivalent, because they produce different relationships between knowledge and action. Ranevskaya understands the danger facing the estate but remains unable to respond effectively; Lopakhin acts decisively but cannot reconcile economic advancement with inherited memory; and the Magistrate resists imperial cruelty while remaining implicated in the authority he opposes. By presenting characters whose identities cannot be reduced to fixed moral or social categories, both works show that the weakening of dominant systems occurs not only through external historical change but also through unresolved conflicts within memory, conscience, privilege, and belonging.</w:t>
      </w:r>
    </w:p>
    <w:p w14:paraId="150B148A" w14:textId="72AF131F" w:rsidR="00D174A3" w:rsidRPr="004D59CC" w:rsidRDefault="00D174A3" w:rsidP="006F6350">
      <w:pPr>
        <w:spacing w:before="100" w:beforeAutospacing="1" w:after="100" w:afterAutospacing="1" w:line="240" w:lineRule="auto"/>
        <w:rPr>
          <w:rFonts w:ascii="Times New Roman" w:eastAsia="Times New Roman" w:hAnsi="Times New Roman" w:cs="Times New Roman"/>
          <w:kern w:val="0"/>
          <w:lang w:eastAsia="en-GB"/>
          <w14:ligatures w14:val="none"/>
        </w:rPr>
      </w:pPr>
      <w:r w:rsidRPr="004D59CC">
        <w:rPr>
          <w:rFonts w:ascii="Times New Roman" w:eastAsia="Times New Roman" w:hAnsi="Times New Roman" w:cs="Times New Roman"/>
          <w:b/>
          <w:bCs/>
          <w:kern w:val="0"/>
          <w:lang w:eastAsia="en-GB"/>
          <w14:ligatures w14:val="none"/>
        </w:rPr>
        <w:t>Conclusion</w:t>
      </w:r>
    </w:p>
    <w:p w14:paraId="7E849BD2" w14:textId="77777777" w:rsidR="006F6350" w:rsidRDefault="00DC5E15" w:rsidP="00933225">
      <w:pPr>
        <w:pStyle w:val="NormalWeb"/>
        <w:spacing w:line="276" w:lineRule="auto"/>
        <w:jc w:val="both"/>
      </w:pPr>
      <w:r w:rsidRPr="004D59CC">
        <w:t xml:space="preserve">The comparative reading of The Cherry Orchard and Waiting for the Barbarians demonstrates that decline is presented in both texts as a layered social, political, and psychological process. </w:t>
      </w:r>
      <w:r w:rsidR="006F6350" w:rsidRPr="006F6350">
        <w:rPr>
          <w:highlight w:val="yellow"/>
        </w:rPr>
        <w:t>The principal contribution of this comparison lies in showing that decline is mediated through spatial forms that connect structures of authority with memory, moral responsibility, and self-understanding. By placing the orchard beside the imperial frontier, the study demonstrates that the weakening of dominant systems becomes legible not only through changes in ownership or political control, but also through the meanings characters attach to land, territory, labour, and belonging.</w:t>
      </w:r>
      <w:r w:rsidR="006F6350">
        <w:t xml:space="preserve"> </w:t>
      </w:r>
      <w:r w:rsidRPr="004D59CC">
        <w:t>In the play, the fall of the Russian aristocracy is dramatised through the loss of the cherry orchard, which embodies memory, inheritance, and cultural belonging. The Ranevsky family’s attachment to the orchard reveals the emotional difficulty of accepting historical change, while Lopakhin’s rise reflects the emergence of new social values grounded in practicality, ownership, and economic transformation. The novel, in contrast, exposes the moral weakness of empire. The construction of the “barbarian” identity depends on fear and violence, while the Magistrate’s internal conflict reveals the ethical instability of imperial authority. Symbolic spaces shape the meaning of loss in both works: the orchard represents fading tradition, while the desert suggests emptiness, fear, and uncertainty</w:t>
      </w:r>
      <w:r w:rsidRPr="006F6350">
        <w:rPr>
          <w:highlight w:val="yellow"/>
        </w:rPr>
        <w:t xml:space="preserve">. </w:t>
      </w:r>
      <w:r w:rsidR="006F6350" w:rsidRPr="006F6350">
        <w:rPr>
          <w:highlight w:val="yellow"/>
        </w:rPr>
        <w:t>Considered comparatively, however, these spaces do more than illustrate two separate forms of loss. The orchard is a materially inherited and economically contested property whose cultural meaning survives even after its legal ownership changes, whereas the desert remains resistant to imperial mapping and exposes the administration’s inability to understand the people and territory it seeks to control. Reading the two spaces together therefore reveals a distinction between authority weakened by changing property relations and authority destabilised by incomplete knowledge, coercive classification, and territorial fear.</w:t>
      </w:r>
      <w:r w:rsidR="006F6350">
        <w:t xml:space="preserve"> </w:t>
      </w:r>
      <w:r w:rsidRPr="004D59CC">
        <w:t xml:space="preserve">Viewed as a whole, these texts illustrate how decline reshapes identity under pressure. Rather than suggesting a single universal pattern, the study argues that decline manifests differently across contexts through aristocratic nostalgia in Russia and imperial fear on colonial frontiers. </w:t>
      </w:r>
      <w:r w:rsidR="006F6350" w:rsidRPr="006F6350">
        <w:rPr>
          <w:highlight w:val="yellow"/>
        </w:rPr>
        <w:t xml:space="preserve">These differences are reinforced by genre. Chekhov’s drama represents decline through </w:t>
      </w:r>
      <w:r w:rsidR="006F6350" w:rsidRPr="006F6350">
        <w:rPr>
          <w:highlight w:val="yellow"/>
        </w:rPr>
        <w:lastRenderedPageBreak/>
        <w:t>pauses, failed conversations, comic incongruity, offstage action, and the visible transfer of the estate, allowing social change to emerge through collective interaction and theatrical performance. Coetzee’s first-person novel, by contrast, confines readers largely to the Magistrate’s uncertain perceptions, using bodily suffering, fragmented knowledge, and temporal suspension to represent imperial crisis as an ethical and epistemological disturbance. Genre thus shapes not only how decline is narrated, but also how readers encounter the limits of the characters’ knowledge and agency.</w:t>
      </w:r>
      <w:r w:rsidR="006F6350">
        <w:t xml:space="preserve"> </w:t>
      </w:r>
      <w:r w:rsidRPr="004D59CC">
        <w:t xml:space="preserve">Yet in both cases, weakening systems produce displacement, moral conflict, and a search for meaning within changing historical conditions. </w:t>
      </w:r>
    </w:p>
    <w:p w14:paraId="651FB5FB" w14:textId="2B9E99F2" w:rsidR="00DC5E15" w:rsidRPr="004D59CC" w:rsidRDefault="006F6350" w:rsidP="00933225">
      <w:pPr>
        <w:pStyle w:val="NormalWeb"/>
        <w:spacing w:line="276" w:lineRule="auto"/>
        <w:jc w:val="both"/>
      </w:pPr>
      <w:r w:rsidRPr="006F6350">
        <w:rPr>
          <w:highlight w:val="yellow"/>
        </w:rPr>
        <w:t>The comparison nevertheless has clear limits: the transformation of a landed Russian family cannot be treated as historically equivalent to the violence of an imperial frontier, and the sale of the orchard is more materially conclusive than the unresolved political crisis at the end of Coetzee’s novel. Within these limits, the study shows that identity changes through identifiable mechanisms: Ranevskaya’s self-understanding is destabilised by the loss of inherited property, Lopakhin’s economic advancement remains divided by the memory of familial subordination, and the Magistrate’s moral identity is unsettled by his recognition of complicity in imperial violence. The analysis therefore contributes to Chekhov and Coetzee scholarship by demonstrating how spatial change, historical memory, and compromised agency connect institutional decline with personal crises of belonging and responsibility.</w:t>
      </w:r>
    </w:p>
    <w:p w14:paraId="0C954297" w14:textId="77777777" w:rsidR="00D174A3" w:rsidRPr="004D59CC" w:rsidRDefault="00D174A3" w:rsidP="00D174A3">
      <w:pPr>
        <w:spacing w:before="100" w:beforeAutospacing="1" w:after="100" w:afterAutospacing="1" w:line="240" w:lineRule="auto"/>
        <w:rPr>
          <w:rFonts w:ascii="Times New Roman" w:eastAsia="Times New Roman" w:hAnsi="Times New Roman" w:cs="Times New Roman"/>
          <w:kern w:val="0"/>
          <w:lang w:eastAsia="en-GB"/>
          <w14:ligatures w14:val="none"/>
        </w:rPr>
      </w:pPr>
      <w:r w:rsidRPr="004D59CC">
        <w:rPr>
          <w:rFonts w:ascii="Times New Roman" w:eastAsia="Times New Roman" w:hAnsi="Times New Roman" w:cs="Times New Roman"/>
          <w:b/>
          <w:bCs/>
          <w:kern w:val="0"/>
          <w:lang w:eastAsia="en-GB"/>
          <w14:ligatures w14:val="none"/>
        </w:rPr>
        <w:t>Limitations</w:t>
      </w:r>
    </w:p>
    <w:p w14:paraId="431148DC" w14:textId="0C7F0914" w:rsidR="00816B72" w:rsidRDefault="00816B72" w:rsidP="00816B72">
      <w:pPr>
        <w:pStyle w:val="pdq2pgselectionanchorcontainer"/>
      </w:pPr>
      <w:r>
        <w:t>This study is limited to two primary texts and focuses specifically on decline, identity, symbolic space, and power. The interpretation depends on the particular English editions and translations consulted, since differences in wording, punctuation, stage directions, and pagination may influence the close reading of individual passages. The comparison also brings together a stage play and a first-person novel, which employ different formal resources: Chekhov represents social change through dialogue, pauses, theatrical action, and collective interaction, whereas Coetzee presents imperial crisis largely through the Magistrate’s restricted and potentially unreliable perspective.</w:t>
      </w:r>
    </w:p>
    <w:p w14:paraId="677DC2D1" w14:textId="485C0029" w:rsidR="00816B72" w:rsidRDefault="00816B72" w:rsidP="00816B72">
      <w:pPr>
        <w:pStyle w:val="pdq2pgselectionanchorcontainer"/>
      </w:pPr>
      <w:r>
        <w:t>The study does not provide a complete historical account of Russian aristocracy or colonial empire, nor does it examine Chekhov’s wider drama or Coetzee’s broader fiction. Moreover, the transformation of landed society in late imperial Russia cannot be treated as directly equivalent to Coetzee’s deliberately unspecified Empire. The identification of the orchard and desert as symbolic spaces also involves interpretive judgement; although the readings are grounded in textual details and relevant scholarship, alternative interpretations of memory, landscape, identity, and authority remain possible.</w:t>
      </w:r>
    </w:p>
    <w:p w14:paraId="5572B125" w14:textId="625DED0D" w:rsidR="00D12DD1" w:rsidRDefault="00816B72" w:rsidP="00816B72">
      <w:pPr>
        <w:pStyle w:val="pdq2pgselectionanchorcontainer"/>
      </w:pPr>
      <w:r>
        <w:t xml:space="preserve">The secondary literature consulted is selective rather than the product of a systematic review, and the conclusions should therefore be understood as interpretive arguments rather than an exhaustive account of scholarship on the two authors. Emphasising shared themes of decline and identity may also risk obscuring important differences between aristocratic dispossession, commercial transformation, colonial othering, and imperial violence. The study consequently </w:t>
      </w:r>
      <w:r>
        <w:lastRenderedPageBreak/>
        <w:t>identifies limited structural correspondences without proposing a universal or historically uniform model of decline. Future research may extend the comparison through additional translations, theatrical adaptations, reception studies, performance analysis, or other literary works concerned with unstable systems of authority.</w:t>
      </w:r>
    </w:p>
    <w:p w14:paraId="2631A1AD" w14:textId="77777777" w:rsidR="00D12DD1" w:rsidRDefault="00D12DD1" w:rsidP="00D174A3">
      <w:pPr>
        <w:spacing w:after="0" w:line="240" w:lineRule="auto"/>
        <w:rPr>
          <w:rFonts w:ascii="Times New Roman" w:hAnsi="Times New Roman" w:cs="Times New Roman"/>
          <w:b/>
        </w:rPr>
      </w:pPr>
    </w:p>
    <w:p w14:paraId="089C4A2C" w14:textId="6638A57D" w:rsidR="00D174A3" w:rsidRPr="004D59CC" w:rsidRDefault="00D174A3" w:rsidP="00D174A3">
      <w:pPr>
        <w:spacing w:after="0" w:line="240" w:lineRule="auto"/>
        <w:rPr>
          <w:rFonts w:ascii="Times New Roman" w:hAnsi="Times New Roman" w:cs="Times New Roman"/>
          <w:b/>
        </w:rPr>
      </w:pPr>
      <w:r w:rsidRPr="004D59CC">
        <w:rPr>
          <w:rFonts w:ascii="Times New Roman" w:hAnsi="Times New Roman" w:cs="Times New Roman"/>
          <w:b/>
        </w:rPr>
        <w:t>Declaration of AI Use</w:t>
      </w:r>
    </w:p>
    <w:p w14:paraId="6ED6304E" w14:textId="77777777" w:rsidR="00D174A3" w:rsidRPr="004D59CC" w:rsidRDefault="00D174A3" w:rsidP="00D174A3">
      <w:pPr>
        <w:spacing w:after="0" w:line="240" w:lineRule="auto"/>
        <w:rPr>
          <w:rFonts w:ascii="Times New Roman" w:hAnsi="Times New Roman" w:cs="Times New Roman"/>
        </w:rPr>
      </w:pPr>
    </w:p>
    <w:p w14:paraId="2A0814A0" w14:textId="34E9B6A5" w:rsidR="00D174A3" w:rsidRPr="004D59CC" w:rsidRDefault="00224F86" w:rsidP="00166D2F">
      <w:pPr>
        <w:spacing w:after="0" w:line="276" w:lineRule="auto"/>
        <w:jc w:val="both"/>
        <w:rPr>
          <w:rFonts w:ascii="Times New Roman" w:hAnsi="Times New Roman" w:cs="Times New Roman"/>
        </w:rPr>
      </w:pPr>
      <w:r w:rsidRPr="00224F86">
        <w:rPr>
          <w:rFonts w:ascii="Times New Roman" w:hAnsi="Times New Roman" w:cs="Times New Roman"/>
        </w:rPr>
        <w:t>This manuscript was prepared by the authors, who remain responsible for the study design, textual analysis, interpretation, content development, and final scholarly conclusions. The authors acknowledge the use of Grammarly and ChatGPT for grammar checking, language refinement, and reference formatting. These tools were not listed as authors and did not replace the authors’ intellectual contributions or scholarly judgement. All AI-assisted outputs, including references, quotations, and interpretive suggestions, were manually reviewed and verified by the authors. The authors accept full responsibility for the accuracy, integrity, and final content of the manuscript.</w:t>
      </w:r>
    </w:p>
    <w:p w14:paraId="130C145F" w14:textId="77777777" w:rsidR="00D174A3" w:rsidRPr="004D59CC" w:rsidRDefault="00D174A3" w:rsidP="00D174A3"/>
    <w:p w14:paraId="5176369C" w14:textId="77777777" w:rsidR="003E3052" w:rsidRDefault="00D174A3" w:rsidP="00684965">
      <w:pPr>
        <w:rPr>
          <w:rFonts w:ascii="Times New Roman" w:hAnsi="Times New Roman" w:cs="Times New Roman"/>
          <w:b/>
          <w:bCs/>
        </w:rPr>
      </w:pPr>
      <w:r w:rsidRPr="004D59CC">
        <w:rPr>
          <w:rFonts w:ascii="Times New Roman" w:hAnsi="Times New Roman" w:cs="Times New Roman"/>
          <w:b/>
          <w:bCs/>
        </w:rPr>
        <w:t xml:space="preserve">References </w:t>
      </w:r>
    </w:p>
    <w:p w14:paraId="648ABF1E"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Abidi, S. A. R. (2013). Multiplicity of meanings in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Lapis Lazuli: An International Literary Journal, 3</w:t>
      </w:r>
      <w:r w:rsidRPr="00EE4654">
        <w:rPr>
          <w:rFonts w:ascii="Times New Roman" w:eastAsia="Times New Roman" w:hAnsi="Times New Roman" w:cs="Times New Roman"/>
          <w:kern w:val="0"/>
          <w14:ligatures w14:val="none"/>
        </w:rPr>
        <w:t xml:space="preserve">(1), 1–11. </w:t>
      </w:r>
      <w:hyperlink r:id="rId7" w:tgtFrame="_new" w:history="1">
        <w:r w:rsidRPr="00EE4654">
          <w:rPr>
            <w:rFonts w:ascii="Times New Roman" w:eastAsia="Times New Roman" w:hAnsi="Times New Roman" w:cs="Times New Roman"/>
            <w:color w:val="0000FF"/>
            <w:kern w:val="0"/>
            <w:u w:val="single"/>
            <w14:ligatures w14:val="none"/>
          </w:rPr>
          <w:t>https://pintersociety.com/wp-content/uploads/2013/07/Sayd-Ahnad-Abidi-7.pdf</w:t>
        </w:r>
      </w:hyperlink>
      <w:r w:rsidRPr="00EE4654">
        <w:rPr>
          <w:rFonts w:ascii="Times New Roman" w:eastAsia="Times New Roman" w:hAnsi="Times New Roman" w:cs="Times New Roman"/>
          <w:kern w:val="0"/>
          <w14:ligatures w14:val="none"/>
        </w:rPr>
        <w:t xml:space="preserve"> </w:t>
      </w:r>
    </w:p>
    <w:p w14:paraId="39D2BE70"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Ahmad, A., Bukhari, S. A. A. S., &amp; Maitlo, S. K. (2025). Echoes of the past, silence of the future: A study of Chekhov’s final tragi-comedy through a linguistic and literary lens. </w:t>
      </w:r>
      <w:r w:rsidRPr="00EE4654">
        <w:rPr>
          <w:rFonts w:ascii="Times New Roman" w:eastAsia="Times New Roman" w:hAnsi="Times New Roman" w:cs="Times New Roman"/>
          <w:i/>
          <w:iCs/>
          <w:kern w:val="0"/>
          <w14:ligatures w14:val="none"/>
        </w:rPr>
        <w:t>Liberal Journal of Language &amp; Literature Review, 3</w:t>
      </w:r>
      <w:r w:rsidRPr="00EE4654">
        <w:rPr>
          <w:rFonts w:ascii="Times New Roman" w:eastAsia="Times New Roman" w:hAnsi="Times New Roman" w:cs="Times New Roman"/>
          <w:kern w:val="0"/>
          <w14:ligatures w14:val="none"/>
        </w:rPr>
        <w:t xml:space="preserve">(4). </w:t>
      </w:r>
      <w:hyperlink r:id="rId8" w:tgtFrame="_new" w:history="1">
        <w:r w:rsidRPr="00EE4654">
          <w:rPr>
            <w:rFonts w:ascii="Times New Roman" w:eastAsia="Times New Roman" w:hAnsi="Times New Roman" w:cs="Times New Roman"/>
            <w:color w:val="0000FF"/>
            <w:kern w:val="0"/>
            <w:u w:val="single"/>
            <w14:ligatures w14:val="none"/>
          </w:rPr>
          <w:t>https://doi.org/10.5281/zenodo.19661714</w:t>
        </w:r>
      </w:hyperlink>
      <w:r w:rsidRPr="00EE4654">
        <w:rPr>
          <w:rFonts w:ascii="Times New Roman" w:eastAsia="Times New Roman" w:hAnsi="Times New Roman" w:cs="Times New Roman"/>
          <w:kern w:val="0"/>
          <w14:ligatures w14:val="none"/>
        </w:rPr>
        <w:t xml:space="preserve"> </w:t>
      </w:r>
    </w:p>
    <w:p w14:paraId="64E08EAD"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Al-Husseini, R., &amp; Hmadi, L. (2024). Identity crisis in Strindberg’s </w:t>
      </w:r>
      <w:r w:rsidRPr="00EE4654">
        <w:rPr>
          <w:rFonts w:ascii="Times New Roman" w:eastAsia="Times New Roman" w:hAnsi="Times New Roman" w:cs="Times New Roman"/>
          <w:i/>
          <w:iCs/>
          <w:kern w:val="0"/>
          <w14:ligatures w14:val="none"/>
        </w:rPr>
        <w:t>Miss Julie</w:t>
      </w:r>
      <w:r w:rsidRPr="00EE4654">
        <w:rPr>
          <w:rFonts w:ascii="Times New Roman" w:eastAsia="Times New Roman" w:hAnsi="Times New Roman" w:cs="Times New Roman"/>
          <w:kern w:val="0"/>
          <w14:ligatures w14:val="none"/>
        </w:rPr>
        <w:t xml:space="preserve"> and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A psychoanalytical study. </w:t>
      </w:r>
      <w:r w:rsidRPr="00EE4654">
        <w:rPr>
          <w:rFonts w:ascii="Times New Roman" w:eastAsia="Times New Roman" w:hAnsi="Times New Roman" w:cs="Times New Roman"/>
          <w:i/>
          <w:iCs/>
          <w:kern w:val="0"/>
          <w14:ligatures w14:val="none"/>
        </w:rPr>
        <w:t>European Scientific Journal, ESJ, 20</w:t>
      </w:r>
      <w:r w:rsidRPr="00EE4654">
        <w:rPr>
          <w:rFonts w:ascii="Times New Roman" w:eastAsia="Times New Roman" w:hAnsi="Times New Roman" w:cs="Times New Roman"/>
          <w:kern w:val="0"/>
          <w14:ligatures w14:val="none"/>
        </w:rPr>
        <w:t xml:space="preserve">(26), 33–47. </w:t>
      </w:r>
      <w:hyperlink r:id="rId9" w:tgtFrame="_new" w:history="1">
        <w:r w:rsidRPr="00EE4654">
          <w:rPr>
            <w:rFonts w:ascii="Times New Roman" w:eastAsia="Times New Roman" w:hAnsi="Times New Roman" w:cs="Times New Roman"/>
            <w:color w:val="0000FF"/>
            <w:kern w:val="0"/>
            <w:u w:val="single"/>
            <w14:ligatures w14:val="none"/>
          </w:rPr>
          <w:t>https://doi.org/10.19044/esj.2024.v20n26p33</w:t>
        </w:r>
      </w:hyperlink>
      <w:r w:rsidRPr="00EE4654">
        <w:rPr>
          <w:rFonts w:ascii="Times New Roman" w:eastAsia="Times New Roman" w:hAnsi="Times New Roman" w:cs="Times New Roman"/>
          <w:kern w:val="0"/>
          <w14:ligatures w14:val="none"/>
        </w:rPr>
        <w:t xml:space="preserve"> </w:t>
      </w:r>
    </w:p>
    <w:p w14:paraId="15CE6156"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Al-Saidi, A. A. H. (2014). Post-colonialism literature: The concept of self and the other in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An analytical approach. </w:t>
      </w:r>
      <w:r w:rsidRPr="00EE4654">
        <w:rPr>
          <w:rFonts w:ascii="Times New Roman" w:eastAsia="Times New Roman" w:hAnsi="Times New Roman" w:cs="Times New Roman"/>
          <w:i/>
          <w:iCs/>
          <w:kern w:val="0"/>
          <w14:ligatures w14:val="none"/>
        </w:rPr>
        <w:t>Journal of Language Teaching and Research, 5</w:t>
      </w:r>
      <w:r w:rsidRPr="00EE4654">
        <w:rPr>
          <w:rFonts w:ascii="Times New Roman" w:eastAsia="Times New Roman" w:hAnsi="Times New Roman" w:cs="Times New Roman"/>
          <w:kern w:val="0"/>
          <w14:ligatures w14:val="none"/>
        </w:rPr>
        <w:t xml:space="preserve">(1), 95–105. </w:t>
      </w:r>
      <w:hyperlink r:id="rId10" w:tgtFrame="_new" w:history="1">
        <w:r w:rsidRPr="00EE4654">
          <w:rPr>
            <w:rFonts w:ascii="Times New Roman" w:eastAsia="Times New Roman" w:hAnsi="Times New Roman" w:cs="Times New Roman"/>
            <w:color w:val="0000FF"/>
            <w:kern w:val="0"/>
            <w:u w:val="single"/>
            <w14:ligatures w14:val="none"/>
          </w:rPr>
          <w:t>https://doi.org/10.4304/jltr.5.1.95-105</w:t>
        </w:r>
      </w:hyperlink>
      <w:r w:rsidRPr="00EE4654">
        <w:rPr>
          <w:rFonts w:ascii="Times New Roman" w:eastAsia="Times New Roman" w:hAnsi="Times New Roman" w:cs="Times New Roman"/>
          <w:kern w:val="0"/>
          <w14:ligatures w14:val="none"/>
        </w:rPr>
        <w:t xml:space="preserve"> </w:t>
      </w:r>
    </w:p>
    <w:p w14:paraId="2978D598"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Apral, A. (2023). Anton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as a sad comedy. </w:t>
      </w:r>
      <w:r w:rsidRPr="00EE4654">
        <w:rPr>
          <w:rFonts w:ascii="Times New Roman" w:eastAsia="Times New Roman" w:hAnsi="Times New Roman" w:cs="Times New Roman"/>
          <w:i/>
          <w:iCs/>
          <w:kern w:val="0"/>
          <w14:ligatures w14:val="none"/>
        </w:rPr>
        <w:t>Raichur University Journal, 1</w:t>
      </w:r>
      <w:r w:rsidRPr="00EE4654">
        <w:rPr>
          <w:rFonts w:ascii="Times New Roman" w:eastAsia="Times New Roman" w:hAnsi="Times New Roman" w:cs="Times New Roman"/>
          <w:kern w:val="0"/>
          <w14:ligatures w14:val="none"/>
        </w:rPr>
        <w:t xml:space="preserve">(1), 1–3. </w:t>
      </w:r>
      <w:hyperlink r:id="rId11" w:tgtFrame="_new" w:history="1">
        <w:r w:rsidRPr="00EE4654">
          <w:rPr>
            <w:rFonts w:ascii="Times New Roman" w:eastAsia="Times New Roman" w:hAnsi="Times New Roman" w:cs="Times New Roman"/>
            <w:color w:val="0000FF"/>
            <w:kern w:val="0"/>
            <w:u w:val="single"/>
            <w14:ligatures w14:val="none"/>
          </w:rPr>
          <w:t>https://www.raichuruniversity.ac.in/wp-content/uploads/2023/10/anton-chekhovs-the-cherry-orchard-as-sad-comedy.pdf</w:t>
        </w:r>
      </w:hyperlink>
      <w:r w:rsidRPr="00EE4654">
        <w:rPr>
          <w:rFonts w:ascii="Times New Roman" w:eastAsia="Times New Roman" w:hAnsi="Times New Roman" w:cs="Times New Roman"/>
          <w:kern w:val="0"/>
          <w14:ligatures w14:val="none"/>
        </w:rPr>
        <w:t xml:space="preserve"> </w:t>
      </w:r>
    </w:p>
    <w:p w14:paraId="1BA6E849" w14:textId="3C944A91"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Attridge, D. (2004). </w:t>
      </w:r>
      <w:r w:rsidRPr="00EE4654">
        <w:rPr>
          <w:rFonts w:ascii="Times New Roman" w:eastAsia="Times New Roman" w:hAnsi="Times New Roman" w:cs="Times New Roman"/>
          <w:i/>
          <w:iCs/>
          <w:kern w:val="0"/>
          <w14:ligatures w14:val="none"/>
        </w:rPr>
        <w:t>J. M. Coetzee and the ethics of reading: Literature in the event</w:t>
      </w:r>
      <w:r w:rsidRPr="00EE4654">
        <w:rPr>
          <w:rFonts w:ascii="Times New Roman" w:eastAsia="Times New Roman" w:hAnsi="Times New Roman" w:cs="Times New Roman"/>
          <w:kern w:val="0"/>
          <w14:ligatures w14:val="none"/>
        </w:rPr>
        <w:t xml:space="preserve">. University of Chicago Press. https://doi.org/10.7208/chicago/9780226818771.001.0001  </w:t>
      </w:r>
    </w:p>
    <w:p w14:paraId="6D29F79B"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Aryal, K. (2025). Fall of hypocritical aristocrats in Anton Chekov’s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SNPRC Journal, 6</w:t>
      </w:r>
      <w:r w:rsidRPr="00EE4654">
        <w:rPr>
          <w:rFonts w:ascii="Times New Roman" w:eastAsia="Times New Roman" w:hAnsi="Times New Roman" w:cs="Times New Roman"/>
          <w:kern w:val="0"/>
          <w14:ligatures w14:val="none"/>
        </w:rPr>
        <w:t xml:space="preserve">(1), 135–146. </w:t>
      </w:r>
      <w:hyperlink r:id="rId12" w:tgtFrame="_new" w:history="1">
        <w:r w:rsidRPr="00EE4654">
          <w:rPr>
            <w:rFonts w:ascii="Times New Roman" w:eastAsia="Times New Roman" w:hAnsi="Times New Roman" w:cs="Times New Roman"/>
            <w:color w:val="0000FF"/>
            <w:kern w:val="0"/>
            <w:u w:val="single"/>
            <w14:ligatures w14:val="none"/>
          </w:rPr>
          <w:t>https://doi.org/10.3126/snprcj.v6i1.91803</w:t>
        </w:r>
      </w:hyperlink>
      <w:r w:rsidRPr="00EE4654">
        <w:rPr>
          <w:rFonts w:ascii="Times New Roman" w:eastAsia="Times New Roman" w:hAnsi="Times New Roman" w:cs="Times New Roman"/>
          <w:kern w:val="0"/>
          <w14:ligatures w14:val="none"/>
        </w:rPr>
        <w:t xml:space="preserve"> </w:t>
      </w:r>
    </w:p>
    <w:p w14:paraId="7E0CF342"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Biti, V. (2023). (Anti)barbarous empires: J. M. Coetzee’s iconoclasm in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European Review, 31</w:t>
      </w:r>
      <w:r w:rsidRPr="00EE4654">
        <w:rPr>
          <w:rFonts w:ascii="Times New Roman" w:eastAsia="Times New Roman" w:hAnsi="Times New Roman" w:cs="Times New Roman"/>
          <w:kern w:val="0"/>
          <w14:ligatures w14:val="none"/>
        </w:rPr>
        <w:t xml:space="preserve">(1), 9–16. </w:t>
      </w:r>
      <w:hyperlink r:id="rId13" w:tgtFrame="_new" w:history="1">
        <w:r w:rsidRPr="00EE4654">
          <w:rPr>
            <w:rFonts w:ascii="Times New Roman" w:eastAsia="Times New Roman" w:hAnsi="Times New Roman" w:cs="Times New Roman"/>
            <w:color w:val="0000FF"/>
            <w:kern w:val="0"/>
            <w:u w:val="single"/>
            <w14:ligatures w14:val="none"/>
          </w:rPr>
          <w:t>https://doi.org/10.1017/S1062798722000539</w:t>
        </w:r>
      </w:hyperlink>
      <w:r w:rsidRPr="00EE4654">
        <w:rPr>
          <w:rFonts w:ascii="Times New Roman" w:eastAsia="Times New Roman" w:hAnsi="Times New Roman" w:cs="Times New Roman"/>
          <w:kern w:val="0"/>
          <w14:ligatures w14:val="none"/>
        </w:rPr>
        <w:t xml:space="preserve"> </w:t>
      </w:r>
    </w:p>
    <w:p w14:paraId="51DD3837"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Chekhov, A. P. (1916).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(J. West, Trans.). Project Gutenberg. </w:t>
      </w:r>
      <w:hyperlink r:id="rId14" w:anchor="link2H_4_0013" w:tgtFrame="_new" w:history="1">
        <w:r w:rsidRPr="00EE4654">
          <w:rPr>
            <w:rFonts w:ascii="Times New Roman" w:eastAsia="Times New Roman" w:hAnsi="Times New Roman" w:cs="Times New Roman"/>
            <w:color w:val="0000FF"/>
            <w:kern w:val="0"/>
            <w:u w:val="single"/>
            <w14:ligatures w14:val="none"/>
          </w:rPr>
          <w:t>https://www.gutenberg.org/files/7986/7986-h/7986-h.htm#link2H_4_0013</w:t>
        </w:r>
      </w:hyperlink>
      <w:r w:rsidRPr="00EE4654">
        <w:rPr>
          <w:rFonts w:ascii="Times New Roman" w:eastAsia="Times New Roman" w:hAnsi="Times New Roman" w:cs="Times New Roman"/>
          <w:kern w:val="0"/>
          <w14:ligatures w14:val="none"/>
        </w:rPr>
        <w:t xml:space="preserve"> </w:t>
      </w:r>
    </w:p>
    <w:p w14:paraId="2EC27EF5"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Chen, K. (2026). The transformation of the traditions of </w:t>
      </w:r>
      <w:r w:rsidRPr="00EE4654">
        <w:rPr>
          <w:rFonts w:ascii="Times New Roman" w:eastAsia="Times New Roman" w:hAnsi="Times New Roman" w:cs="Times New Roman"/>
          <w:i/>
          <w:iCs/>
          <w:kern w:val="0"/>
          <w14:ligatures w14:val="none"/>
        </w:rPr>
        <w:t>commedia dell’arte</w:t>
      </w:r>
      <w:r w:rsidRPr="00EE4654">
        <w:rPr>
          <w:rFonts w:ascii="Times New Roman" w:eastAsia="Times New Roman" w:hAnsi="Times New Roman" w:cs="Times New Roman"/>
          <w:kern w:val="0"/>
          <w14:ligatures w14:val="none"/>
        </w:rPr>
        <w:t xml:space="preserve"> in the system of characters of A. P. Chekhov’s play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Litera, 1</w:t>
      </w:r>
      <w:r w:rsidRPr="00EE4654">
        <w:rPr>
          <w:rFonts w:ascii="Times New Roman" w:eastAsia="Times New Roman" w:hAnsi="Times New Roman" w:cs="Times New Roman"/>
          <w:kern w:val="0"/>
          <w14:ligatures w14:val="none"/>
        </w:rPr>
        <w:t xml:space="preserve">, 77–90. </w:t>
      </w:r>
      <w:hyperlink r:id="rId15" w:tgtFrame="_new" w:history="1">
        <w:r w:rsidRPr="00EE4654">
          <w:rPr>
            <w:rFonts w:ascii="Times New Roman" w:eastAsia="Times New Roman" w:hAnsi="Times New Roman" w:cs="Times New Roman"/>
            <w:color w:val="0000FF"/>
            <w:kern w:val="0"/>
            <w:u w:val="single"/>
            <w14:ligatures w14:val="none"/>
          </w:rPr>
          <w:t>https://doi.org/10.25136/2409-8698.2026.1.77836</w:t>
        </w:r>
      </w:hyperlink>
      <w:r w:rsidRPr="00EE4654">
        <w:rPr>
          <w:rFonts w:ascii="Times New Roman" w:eastAsia="Times New Roman" w:hAnsi="Times New Roman" w:cs="Times New Roman"/>
          <w:kern w:val="0"/>
          <w14:ligatures w14:val="none"/>
        </w:rPr>
        <w:t xml:space="preserve"> </w:t>
      </w:r>
    </w:p>
    <w:p w14:paraId="768D42D6" w14:textId="5B37418A"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lastRenderedPageBreak/>
        <w:t></w:t>
      </w:r>
      <w:r w:rsidRPr="00EE4654">
        <w:rPr>
          <w:rFonts w:ascii="Times New Roman" w:eastAsia="Times New Roman" w:hAnsi="Times New Roman" w:cs="Times New Roman"/>
          <w:kern w:val="0"/>
          <w14:ligatures w14:val="none"/>
        </w:rPr>
        <w:t xml:space="preserve">  Coetzee, J. M. (1980).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Secker &amp; Warburg. </w:t>
      </w:r>
      <w:hyperlink r:id="rId16" w:tgtFrame="_new" w:history="1"/>
      <w:r w:rsidRPr="00EE4654">
        <w:rPr>
          <w:rFonts w:ascii="Times New Roman" w:eastAsia="Times New Roman" w:hAnsi="Times New Roman" w:cs="Times New Roman"/>
          <w:kern w:val="0"/>
          <w14:ligatures w14:val="none"/>
        </w:rPr>
        <w:t xml:space="preserve"> </w:t>
      </w:r>
    </w:p>
    <w:p w14:paraId="2449F0AC"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Craps, S. (2007). J. M. Coetzee’s “Waiting for the Barbarians” and the ethics of testimony. </w:t>
      </w:r>
      <w:r w:rsidRPr="00EE4654">
        <w:rPr>
          <w:rFonts w:ascii="Times New Roman" w:eastAsia="Times New Roman" w:hAnsi="Times New Roman" w:cs="Times New Roman"/>
          <w:i/>
          <w:iCs/>
          <w:kern w:val="0"/>
          <w14:ligatures w14:val="none"/>
        </w:rPr>
        <w:t>English Studies, 88</w:t>
      </w:r>
      <w:r w:rsidRPr="00EE4654">
        <w:rPr>
          <w:rFonts w:ascii="Times New Roman" w:eastAsia="Times New Roman" w:hAnsi="Times New Roman" w:cs="Times New Roman"/>
          <w:kern w:val="0"/>
          <w14:ligatures w14:val="none"/>
        </w:rPr>
        <w:t xml:space="preserve">(1), 59–66. </w:t>
      </w:r>
      <w:hyperlink r:id="rId17" w:tgtFrame="_new" w:history="1">
        <w:r w:rsidRPr="00EE4654">
          <w:rPr>
            <w:rFonts w:ascii="Times New Roman" w:eastAsia="Times New Roman" w:hAnsi="Times New Roman" w:cs="Times New Roman"/>
            <w:color w:val="0000FF"/>
            <w:kern w:val="0"/>
            <w:u w:val="single"/>
            <w14:ligatures w14:val="none"/>
          </w:rPr>
          <w:t>https://doi.org/10.1080/00138380601042758</w:t>
        </w:r>
      </w:hyperlink>
      <w:r w:rsidRPr="00EE4654">
        <w:rPr>
          <w:rFonts w:ascii="Times New Roman" w:eastAsia="Times New Roman" w:hAnsi="Times New Roman" w:cs="Times New Roman"/>
          <w:kern w:val="0"/>
          <w14:ligatures w14:val="none"/>
        </w:rPr>
        <w:t xml:space="preserve"> </w:t>
      </w:r>
    </w:p>
    <w:p w14:paraId="563BE78D"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Dagamseh, A. M. (2022). J. M.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revisited: From apartheid to neoliberalism. </w:t>
      </w:r>
      <w:r w:rsidRPr="00EE4654">
        <w:rPr>
          <w:rFonts w:ascii="Times New Roman" w:eastAsia="Times New Roman" w:hAnsi="Times New Roman" w:cs="Times New Roman"/>
          <w:i/>
          <w:iCs/>
          <w:kern w:val="0"/>
          <w14:ligatures w14:val="none"/>
        </w:rPr>
        <w:t>SAGE Open, 12</w:t>
      </w:r>
      <w:r w:rsidRPr="00EE4654">
        <w:rPr>
          <w:rFonts w:ascii="Times New Roman" w:eastAsia="Times New Roman" w:hAnsi="Times New Roman" w:cs="Times New Roman"/>
          <w:kern w:val="0"/>
          <w14:ligatures w14:val="none"/>
        </w:rPr>
        <w:t xml:space="preserve">(4), 1–13. </w:t>
      </w:r>
      <w:hyperlink r:id="rId18" w:tgtFrame="_new" w:history="1">
        <w:r w:rsidRPr="00EE4654">
          <w:rPr>
            <w:rFonts w:ascii="Times New Roman" w:eastAsia="Times New Roman" w:hAnsi="Times New Roman" w:cs="Times New Roman"/>
            <w:color w:val="0000FF"/>
            <w:kern w:val="0"/>
            <w:u w:val="single"/>
            <w14:ligatures w14:val="none"/>
          </w:rPr>
          <w:t>https://doi.org/10.1177/21582440221129848</w:t>
        </w:r>
      </w:hyperlink>
      <w:r w:rsidRPr="00EE4654">
        <w:rPr>
          <w:rFonts w:ascii="Times New Roman" w:eastAsia="Times New Roman" w:hAnsi="Times New Roman" w:cs="Times New Roman"/>
          <w:kern w:val="0"/>
          <w14:ligatures w14:val="none"/>
        </w:rPr>
        <w:t xml:space="preserve"> </w:t>
      </w:r>
    </w:p>
    <w:p w14:paraId="532EE769"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El Baba, S., &amp; Hamadi, L. (2024). Class, power, and social change: A new historicist approach to August Strindberg’s </w:t>
      </w:r>
      <w:r w:rsidRPr="00EE4654">
        <w:rPr>
          <w:rFonts w:ascii="Times New Roman" w:eastAsia="Times New Roman" w:hAnsi="Times New Roman" w:cs="Times New Roman"/>
          <w:i/>
          <w:iCs/>
          <w:kern w:val="0"/>
          <w14:ligatures w14:val="none"/>
        </w:rPr>
        <w:t>Miss Julie</w:t>
      </w:r>
      <w:r w:rsidRPr="00EE4654">
        <w:rPr>
          <w:rFonts w:ascii="Times New Roman" w:eastAsia="Times New Roman" w:hAnsi="Times New Roman" w:cs="Times New Roman"/>
          <w:kern w:val="0"/>
          <w14:ligatures w14:val="none"/>
        </w:rPr>
        <w:t xml:space="preserve"> and Anton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European Scientific Journal, ESJ, 20</w:t>
      </w:r>
      <w:r w:rsidRPr="00EE4654">
        <w:rPr>
          <w:rFonts w:ascii="Times New Roman" w:eastAsia="Times New Roman" w:hAnsi="Times New Roman" w:cs="Times New Roman"/>
          <w:kern w:val="0"/>
          <w14:ligatures w14:val="none"/>
        </w:rPr>
        <w:t xml:space="preserve">(29), 12–25. </w:t>
      </w:r>
      <w:hyperlink r:id="rId19" w:tgtFrame="_new" w:history="1">
        <w:r w:rsidRPr="00EE4654">
          <w:rPr>
            <w:rFonts w:ascii="Times New Roman" w:eastAsia="Times New Roman" w:hAnsi="Times New Roman" w:cs="Times New Roman"/>
            <w:color w:val="0000FF"/>
            <w:kern w:val="0"/>
            <w:u w:val="single"/>
            <w14:ligatures w14:val="none"/>
          </w:rPr>
          <w:t>https://doi.org/10.19044/esj.2024.v20n29p12</w:t>
        </w:r>
      </w:hyperlink>
      <w:r w:rsidRPr="00EE4654">
        <w:rPr>
          <w:rFonts w:ascii="Times New Roman" w:eastAsia="Times New Roman" w:hAnsi="Times New Roman" w:cs="Times New Roman"/>
          <w:kern w:val="0"/>
          <w14:ligatures w14:val="none"/>
        </w:rPr>
        <w:t xml:space="preserve"> </w:t>
      </w:r>
    </w:p>
    <w:p w14:paraId="49708328"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Foxcroft, N. H. (2011). Panchronic comedy: Past to future trajectory of Anton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Sun Yat-sen Journal of Humanities, 30</w:t>
      </w:r>
      <w:r w:rsidRPr="00EE4654">
        <w:rPr>
          <w:rFonts w:ascii="Times New Roman" w:eastAsia="Times New Roman" w:hAnsi="Times New Roman" w:cs="Times New Roman"/>
          <w:kern w:val="0"/>
          <w14:ligatures w14:val="none"/>
        </w:rPr>
        <w:t xml:space="preserve">, 139–153. </w:t>
      </w:r>
      <w:hyperlink r:id="rId20" w:tgtFrame="_new" w:history="1">
        <w:r w:rsidRPr="00EE4654">
          <w:rPr>
            <w:rFonts w:ascii="Times New Roman" w:eastAsia="Times New Roman" w:hAnsi="Times New Roman" w:cs="Times New Roman"/>
            <w:color w:val="0000FF"/>
            <w:kern w:val="0"/>
            <w:u w:val="single"/>
            <w14:ligatures w14:val="none"/>
          </w:rPr>
          <w:t>https://research.brighton.ac.uk/en/publications/panchronic-comedy-past-to-future-trajectory-of-anton-chekhovs-the/</w:t>
        </w:r>
      </w:hyperlink>
      <w:r w:rsidRPr="00EE4654">
        <w:rPr>
          <w:rFonts w:ascii="Times New Roman" w:eastAsia="Times New Roman" w:hAnsi="Times New Roman" w:cs="Times New Roman"/>
          <w:kern w:val="0"/>
          <w14:ligatures w14:val="none"/>
        </w:rPr>
        <w:t xml:space="preserve"> </w:t>
      </w:r>
    </w:p>
    <w:p w14:paraId="7C647177"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Grafe, A. (2018). Type, personalisation and depersonalisation in J. M.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Commonwealth Essays and Studies, 40</w:t>
      </w:r>
      <w:r w:rsidRPr="00EE4654">
        <w:rPr>
          <w:rFonts w:ascii="Times New Roman" w:eastAsia="Times New Roman" w:hAnsi="Times New Roman" w:cs="Times New Roman"/>
          <w:kern w:val="0"/>
          <w14:ligatures w14:val="none"/>
        </w:rPr>
        <w:t xml:space="preserve">(2), 23–32. </w:t>
      </w:r>
      <w:hyperlink r:id="rId21" w:tgtFrame="_new" w:history="1">
        <w:r w:rsidRPr="00EE4654">
          <w:rPr>
            <w:rFonts w:ascii="Times New Roman" w:eastAsia="Times New Roman" w:hAnsi="Times New Roman" w:cs="Times New Roman"/>
            <w:color w:val="0000FF"/>
            <w:kern w:val="0"/>
            <w:u w:val="single"/>
            <w14:ligatures w14:val="none"/>
          </w:rPr>
          <w:t>https://doi.org/10.4000/ces.283</w:t>
        </w:r>
      </w:hyperlink>
      <w:r w:rsidRPr="00EE4654">
        <w:rPr>
          <w:rFonts w:ascii="Times New Roman" w:eastAsia="Times New Roman" w:hAnsi="Times New Roman" w:cs="Times New Roman"/>
          <w:kern w:val="0"/>
          <w14:ligatures w14:val="none"/>
        </w:rPr>
        <w:t xml:space="preserve"> </w:t>
      </w:r>
    </w:p>
    <w:p w14:paraId="297DB68E"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Khan, I., Faheem, M. A., &amp; Ahmed, S. (2024). Erosion of ecological harmony: Pastoral ideals and the commodification of nature in Anton Chekhov’s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Harf-o-Sukhan, 8</w:t>
      </w:r>
      <w:r w:rsidRPr="00EE4654">
        <w:rPr>
          <w:rFonts w:ascii="Times New Roman" w:eastAsia="Times New Roman" w:hAnsi="Times New Roman" w:cs="Times New Roman"/>
          <w:kern w:val="0"/>
          <w14:ligatures w14:val="none"/>
        </w:rPr>
        <w:t xml:space="preserve">(3), 411–422. https://www.harf-o-sukhan.com/index.php/Harf-o-sukhan/article/view/1662 </w:t>
      </w:r>
    </w:p>
    <w:p w14:paraId="56D125E0"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Köseoğlu, B. (2017). Discussions of social class, discrimination and class conflict in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and </w:t>
      </w:r>
      <w:r w:rsidRPr="00EE4654">
        <w:rPr>
          <w:rFonts w:ascii="Times New Roman" w:eastAsia="Times New Roman" w:hAnsi="Times New Roman" w:cs="Times New Roman"/>
          <w:i/>
          <w:iCs/>
          <w:kern w:val="0"/>
          <w14:ligatures w14:val="none"/>
        </w:rPr>
        <w:t>Look Back in Anger</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Pamukkale University Journal of Social Sciences Institute, 28</w:t>
      </w:r>
      <w:r w:rsidRPr="00EE4654">
        <w:rPr>
          <w:rFonts w:ascii="Times New Roman" w:eastAsia="Times New Roman" w:hAnsi="Times New Roman" w:cs="Times New Roman"/>
          <w:kern w:val="0"/>
          <w14:ligatures w14:val="none"/>
        </w:rPr>
        <w:t xml:space="preserve">, 61–72. </w:t>
      </w:r>
      <w:hyperlink r:id="rId22" w:tgtFrame="_new" w:history="1">
        <w:r w:rsidRPr="00EE4654">
          <w:rPr>
            <w:rFonts w:ascii="Times New Roman" w:eastAsia="Times New Roman" w:hAnsi="Times New Roman" w:cs="Times New Roman"/>
            <w:color w:val="0000FF"/>
            <w:kern w:val="0"/>
            <w:u w:val="single"/>
            <w14:ligatures w14:val="none"/>
          </w:rPr>
          <w:t>https://doi.org/10.5505/pausbed.2017.49389</w:t>
        </w:r>
      </w:hyperlink>
      <w:r w:rsidRPr="00EE4654">
        <w:rPr>
          <w:rFonts w:ascii="Times New Roman" w:eastAsia="Times New Roman" w:hAnsi="Times New Roman" w:cs="Times New Roman"/>
          <w:kern w:val="0"/>
          <w14:ligatures w14:val="none"/>
        </w:rPr>
        <w:t xml:space="preserve"> </w:t>
      </w:r>
    </w:p>
    <w:p w14:paraId="30A6D65F"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Lan, Z., Abduliah, A. Q. C., &amp; Sim, M. S. (2026). The convergence of gender, ecological, and colonial oppressions: A postcolonial ecofeminist examination of J. M.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International Journal of Management and Human Science, 10</w:t>
      </w:r>
      <w:r w:rsidRPr="00EE4654">
        <w:rPr>
          <w:rFonts w:ascii="Times New Roman" w:eastAsia="Times New Roman" w:hAnsi="Times New Roman" w:cs="Times New Roman"/>
          <w:kern w:val="0"/>
          <w14:ligatures w14:val="none"/>
        </w:rPr>
        <w:t xml:space="preserve">(1), 1–10. </w:t>
      </w:r>
      <w:hyperlink r:id="rId23" w:tgtFrame="_new" w:history="1">
        <w:r w:rsidRPr="00EE4654">
          <w:rPr>
            <w:rFonts w:ascii="Times New Roman" w:eastAsia="Times New Roman" w:hAnsi="Times New Roman" w:cs="Times New Roman"/>
            <w:color w:val="0000FF"/>
            <w:kern w:val="0"/>
            <w:u w:val="single"/>
            <w14:ligatures w14:val="none"/>
          </w:rPr>
          <w:t>https://doi.org/10.31674/ijmhs.2026.v10i01.001</w:t>
        </w:r>
      </w:hyperlink>
      <w:r w:rsidRPr="00EE4654">
        <w:rPr>
          <w:rFonts w:ascii="Times New Roman" w:eastAsia="Times New Roman" w:hAnsi="Times New Roman" w:cs="Times New Roman"/>
          <w:kern w:val="0"/>
          <w14:ligatures w14:val="none"/>
        </w:rPr>
        <w:t xml:space="preserve"> </w:t>
      </w:r>
    </w:p>
    <w:p w14:paraId="0000CB97"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Mayou, A. (2024). The problems of morality and justice in J. M.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Studies in Literature and Language, 29</w:t>
      </w:r>
      <w:r w:rsidRPr="00EE4654">
        <w:rPr>
          <w:rFonts w:ascii="Times New Roman" w:eastAsia="Times New Roman" w:hAnsi="Times New Roman" w:cs="Times New Roman"/>
          <w:kern w:val="0"/>
          <w14:ligatures w14:val="none"/>
        </w:rPr>
        <w:t xml:space="preserve">(3), 57–61. </w:t>
      </w:r>
      <w:hyperlink r:id="rId24" w:tgtFrame="_new" w:history="1">
        <w:r w:rsidRPr="00EE4654">
          <w:rPr>
            <w:rFonts w:ascii="Times New Roman" w:eastAsia="Times New Roman" w:hAnsi="Times New Roman" w:cs="Times New Roman"/>
            <w:color w:val="0000FF"/>
            <w:kern w:val="0"/>
            <w:u w:val="single"/>
            <w14:ligatures w14:val="none"/>
          </w:rPr>
          <w:t>https://doi.org/10.3968/13633</w:t>
        </w:r>
      </w:hyperlink>
      <w:r w:rsidRPr="00EE4654">
        <w:rPr>
          <w:rFonts w:ascii="Times New Roman" w:eastAsia="Times New Roman" w:hAnsi="Times New Roman" w:cs="Times New Roman"/>
          <w:kern w:val="0"/>
          <w14:ligatures w14:val="none"/>
        </w:rPr>
        <w:t xml:space="preserve"> </w:t>
      </w:r>
    </w:p>
    <w:p w14:paraId="398F10DC"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Moses, M. V. (1993). The mark of empire: Writing, history, and torture in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The Kenyon Review, 15</w:t>
      </w:r>
      <w:r w:rsidRPr="00EE4654">
        <w:rPr>
          <w:rFonts w:ascii="Times New Roman" w:eastAsia="Times New Roman" w:hAnsi="Times New Roman" w:cs="Times New Roman"/>
          <w:kern w:val="0"/>
          <w14:ligatures w14:val="none"/>
        </w:rPr>
        <w:t xml:space="preserve">(1), 115–127. </w:t>
      </w:r>
      <w:hyperlink r:id="rId25" w:tgtFrame="_new" w:history="1">
        <w:r w:rsidRPr="00EE4654">
          <w:rPr>
            <w:rFonts w:ascii="Times New Roman" w:eastAsia="Times New Roman" w:hAnsi="Times New Roman" w:cs="Times New Roman"/>
            <w:color w:val="0000FF"/>
            <w:kern w:val="0"/>
            <w:u w:val="single"/>
            <w14:ligatures w14:val="none"/>
          </w:rPr>
          <w:t>https://kenyonreview.org/piece/january-1993-the-mark-of-empire-writing-history-and-torture-in-coetzee-s-waiting-for-the-barbarians/</w:t>
        </w:r>
      </w:hyperlink>
      <w:r w:rsidRPr="00EE4654">
        <w:rPr>
          <w:rFonts w:ascii="Times New Roman" w:eastAsia="Times New Roman" w:hAnsi="Times New Roman" w:cs="Times New Roman"/>
          <w:kern w:val="0"/>
          <w14:ligatures w14:val="none"/>
        </w:rPr>
        <w:t xml:space="preserve"> </w:t>
      </w:r>
    </w:p>
    <w:p w14:paraId="14DF5868"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Poorghorban, Y. (2026). Burning landscapes, broken bodies: Ecofeminism and colonial violence in John Maxwell Coetzee’s </w:t>
      </w:r>
      <w:r w:rsidRPr="00EE4654">
        <w:rPr>
          <w:rFonts w:ascii="Times New Roman" w:eastAsia="Times New Roman" w:hAnsi="Times New Roman" w:cs="Times New Roman"/>
          <w:i/>
          <w:iCs/>
          <w:kern w:val="0"/>
          <w14:ligatures w14:val="none"/>
        </w:rPr>
        <w:t>Waiting for the Barbarians</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African Identities</w:t>
      </w:r>
      <w:r w:rsidRPr="00EE4654">
        <w:rPr>
          <w:rFonts w:ascii="Times New Roman" w:eastAsia="Times New Roman" w:hAnsi="Times New Roman" w:cs="Times New Roman"/>
          <w:kern w:val="0"/>
          <w14:ligatures w14:val="none"/>
        </w:rPr>
        <w:t xml:space="preserve">, 1–14. </w:t>
      </w:r>
      <w:hyperlink r:id="rId26" w:tgtFrame="_new" w:history="1">
        <w:r w:rsidRPr="00EE4654">
          <w:rPr>
            <w:rFonts w:ascii="Times New Roman" w:eastAsia="Times New Roman" w:hAnsi="Times New Roman" w:cs="Times New Roman"/>
            <w:color w:val="0000FF"/>
            <w:kern w:val="0"/>
            <w:u w:val="single"/>
            <w14:ligatures w14:val="none"/>
          </w:rPr>
          <w:t>https://doi.org/10.1080/14725843.2026.2625284</w:t>
        </w:r>
      </w:hyperlink>
      <w:r w:rsidRPr="00EE4654">
        <w:rPr>
          <w:rFonts w:ascii="Times New Roman" w:eastAsia="Times New Roman" w:hAnsi="Times New Roman" w:cs="Times New Roman"/>
          <w:kern w:val="0"/>
          <w14:ligatures w14:val="none"/>
        </w:rPr>
        <w:t xml:space="preserve"> </w:t>
      </w:r>
    </w:p>
    <w:p w14:paraId="574F55B6"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Remaley, P. P. (1973). Chekov’s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w:t>
      </w:r>
      <w:r w:rsidRPr="00EE4654">
        <w:rPr>
          <w:rFonts w:ascii="Times New Roman" w:eastAsia="Times New Roman" w:hAnsi="Times New Roman" w:cs="Times New Roman"/>
          <w:i/>
          <w:iCs/>
          <w:kern w:val="0"/>
          <w14:ligatures w14:val="none"/>
        </w:rPr>
        <w:t>South Atlantic Bulletin, 38</w:t>
      </w:r>
      <w:r w:rsidRPr="00EE4654">
        <w:rPr>
          <w:rFonts w:ascii="Times New Roman" w:eastAsia="Times New Roman" w:hAnsi="Times New Roman" w:cs="Times New Roman"/>
          <w:kern w:val="0"/>
          <w14:ligatures w14:val="none"/>
        </w:rPr>
        <w:t xml:space="preserve">(4), 16–20. </w:t>
      </w:r>
      <w:hyperlink r:id="rId27" w:tgtFrame="_new" w:history="1">
        <w:r w:rsidRPr="00EE4654">
          <w:rPr>
            <w:rFonts w:ascii="Times New Roman" w:eastAsia="Times New Roman" w:hAnsi="Times New Roman" w:cs="Times New Roman"/>
            <w:color w:val="0000FF"/>
            <w:kern w:val="0"/>
            <w:u w:val="single"/>
            <w14:ligatures w14:val="none"/>
          </w:rPr>
          <w:t>https://doi.org/10.2307/3197077</w:t>
        </w:r>
      </w:hyperlink>
      <w:r w:rsidRPr="00EE4654">
        <w:rPr>
          <w:rFonts w:ascii="Times New Roman" w:eastAsia="Times New Roman" w:hAnsi="Times New Roman" w:cs="Times New Roman"/>
          <w:kern w:val="0"/>
          <w14:ligatures w14:val="none"/>
        </w:rPr>
        <w:t xml:space="preserve"> </w:t>
      </w:r>
    </w:p>
    <w:p w14:paraId="79916FD8" w14:textId="77777777" w:rsidR="00EE4654" w:rsidRPr="00EE4654" w:rsidRDefault="00EE4654" w:rsidP="00EE4654">
      <w:pPr>
        <w:spacing w:after="0" w:line="240" w:lineRule="auto"/>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Saaduddin, Novalinda, S., Sedana, I. N., &amp; Arimbawa, I. G. M. (2025). Symbolic meaning of the cherry orchard in Chekhov’s drama: An analysis through Linggayoni Tatwa Widya Lango philosophy. </w:t>
      </w:r>
      <w:r w:rsidRPr="00EE4654">
        <w:rPr>
          <w:rFonts w:ascii="Times New Roman" w:eastAsia="Times New Roman" w:hAnsi="Times New Roman" w:cs="Times New Roman"/>
          <w:i/>
          <w:iCs/>
          <w:kern w:val="0"/>
          <w14:ligatures w14:val="none"/>
        </w:rPr>
        <w:t>European Journal of Arts, Humanities and Social Sciences, 2</w:t>
      </w:r>
      <w:r w:rsidRPr="00EE4654">
        <w:rPr>
          <w:rFonts w:ascii="Times New Roman" w:eastAsia="Times New Roman" w:hAnsi="Times New Roman" w:cs="Times New Roman"/>
          <w:kern w:val="0"/>
          <w14:ligatures w14:val="none"/>
        </w:rPr>
        <w:t xml:space="preserve">(6), 140–149. </w:t>
      </w:r>
      <w:hyperlink r:id="rId28" w:tgtFrame="_new" w:history="1">
        <w:r w:rsidRPr="00EE4654">
          <w:rPr>
            <w:rFonts w:ascii="Times New Roman" w:eastAsia="Times New Roman" w:hAnsi="Times New Roman" w:cs="Times New Roman"/>
            <w:color w:val="0000FF"/>
            <w:kern w:val="0"/>
            <w:u w:val="single"/>
            <w14:ligatures w14:val="none"/>
          </w:rPr>
          <w:t>https://doi.org/10.59324/ejahss.2025.2(6).15</w:t>
        </w:r>
      </w:hyperlink>
      <w:r w:rsidRPr="00EE4654">
        <w:rPr>
          <w:rFonts w:ascii="Times New Roman" w:eastAsia="Times New Roman" w:hAnsi="Times New Roman" w:cs="Times New Roman"/>
          <w:kern w:val="0"/>
          <w14:ligatures w14:val="none"/>
        </w:rPr>
        <w:t xml:space="preserve"> </w:t>
      </w:r>
    </w:p>
    <w:p w14:paraId="42AC0A53" w14:textId="53897E64" w:rsidR="006F6350" w:rsidRDefault="00EE4654" w:rsidP="00EE4654">
      <w:pPr>
        <w:rPr>
          <w:rFonts w:ascii="Times New Roman" w:eastAsia="Times New Roman" w:hAnsi="Times New Roman" w:cs="Times New Roman"/>
          <w:kern w:val="0"/>
          <w14:ligatures w14:val="none"/>
        </w:rPr>
      </w:pPr>
      <w:r w:rsidRPr="00EE4654">
        <w:rPr>
          <w:rFonts w:ascii="Times New Roman" w:eastAsia="Times New Roman" w:hAnsi="Symbol" w:cs="Times New Roman"/>
          <w:kern w:val="0"/>
          <w14:ligatures w14:val="none"/>
        </w:rPr>
        <w:t></w:t>
      </w:r>
      <w:r w:rsidRPr="00EE4654">
        <w:rPr>
          <w:rFonts w:ascii="Times New Roman" w:eastAsia="Times New Roman" w:hAnsi="Times New Roman" w:cs="Times New Roman"/>
          <w:kern w:val="0"/>
          <w14:ligatures w14:val="none"/>
        </w:rPr>
        <w:t xml:space="preserve">  Whyman, R. (2010). Modernization and change: </w:t>
      </w:r>
      <w:r w:rsidRPr="00EE4654">
        <w:rPr>
          <w:rFonts w:ascii="Times New Roman" w:eastAsia="Times New Roman" w:hAnsi="Times New Roman" w:cs="Times New Roman"/>
          <w:i/>
          <w:iCs/>
          <w:kern w:val="0"/>
          <w14:ligatures w14:val="none"/>
        </w:rPr>
        <w:t>The Cherry Orchard</w:t>
      </w:r>
      <w:r w:rsidRPr="00EE4654">
        <w:rPr>
          <w:rFonts w:ascii="Times New Roman" w:eastAsia="Times New Roman" w:hAnsi="Times New Roman" w:cs="Times New Roman"/>
          <w:kern w:val="0"/>
          <w14:ligatures w14:val="none"/>
        </w:rPr>
        <w:t xml:space="preserve">. In R. Whyman, </w:t>
      </w:r>
      <w:r w:rsidRPr="00EE4654">
        <w:rPr>
          <w:rFonts w:ascii="Times New Roman" w:eastAsia="Times New Roman" w:hAnsi="Times New Roman" w:cs="Times New Roman"/>
          <w:i/>
          <w:iCs/>
          <w:kern w:val="0"/>
          <w14:ligatures w14:val="none"/>
        </w:rPr>
        <w:t>Anton Chekhov</w:t>
      </w:r>
      <w:r w:rsidRPr="00EE4654">
        <w:rPr>
          <w:rFonts w:ascii="Times New Roman" w:eastAsia="Times New Roman" w:hAnsi="Times New Roman" w:cs="Times New Roman"/>
          <w:kern w:val="0"/>
          <w14:ligatures w14:val="none"/>
        </w:rPr>
        <w:t xml:space="preserve"> (1st ed., pp. 147–171). Routledge. </w:t>
      </w:r>
      <w:hyperlink r:id="rId29" w:history="1">
        <w:r w:rsidR="006F6350" w:rsidRPr="001407D6">
          <w:rPr>
            <w:rStyle w:val="Hyperlink"/>
            <w:rFonts w:ascii="Times New Roman" w:eastAsia="Times New Roman" w:hAnsi="Times New Roman" w:cs="Times New Roman"/>
            <w:kern w:val="0"/>
            <w:sz w:val="24"/>
            <w14:ligatures w14:val="none"/>
          </w:rPr>
          <w:t>https://doi.org/10.4324/9780203843550-14</w:t>
        </w:r>
      </w:hyperlink>
    </w:p>
    <w:p w14:paraId="1E542539" w14:textId="2344833C" w:rsidR="006F6350" w:rsidRPr="006F6350" w:rsidRDefault="006F6350" w:rsidP="006F6350">
      <w:pPr>
        <w:rPr>
          <w:rFonts w:ascii="Times New Roman" w:eastAsia="Times New Roman" w:hAnsi="Times New Roman" w:cs="Times New Roman"/>
          <w:kern w:val="0"/>
          <w:highlight w:val="yellow"/>
          <w14:ligatures w14:val="none"/>
        </w:rPr>
      </w:pPr>
      <w:r w:rsidRPr="006F6350">
        <w:rPr>
          <w:rFonts w:ascii="Times New Roman" w:eastAsia="Times New Roman" w:hAnsi="Times New Roman" w:cs="Times New Roman"/>
          <w:kern w:val="0"/>
          <w:highlight w:val="yellow"/>
          <w14:ligatures w14:val="none"/>
        </w:rPr>
        <w:lastRenderedPageBreak/>
        <w:t>Crowe, E. (2022). A feminist critique of J. M. Coetzee’s Waiting for the Barbarians: How one piece of 1980s literature continues to perpetuate misogynistic ideology. Literary Imagination, 24(2), 185–190. https://doi.org/10.1093/litimag/imac026</w:t>
      </w:r>
    </w:p>
    <w:p w14:paraId="230853C2" w14:textId="3890BA36" w:rsidR="006F6350" w:rsidRPr="006F6350" w:rsidRDefault="006F6350" w:rsidP="006F6350">
      <w:pPr>
        <w:rPr>
          <w:rFonts w:ascii="Times New Roman" w:eastAsia="Times New Roman" w:hAnsi="Times New Roman" w:cs="Times New Roman"/>
          <w:kern w:val="0"/>
          <w:highlight w:val="yellow"/>
          <w14:ligatures w14:val="none"/>
        </w:rPr>
      </w:pPr>
      <w:r w:rsidRPr="006F6350">
        <w:rPr>
          <w:rFonts w:ascii="Times New Roman" w:eastAsia="Times New Roman" w:hAnsi="Times New Roman" w:cs="Times New Roman"/>
          <w:kern w:val="0"/>
          <w:highlight w:val="yellow"/>
          <w14:ligatures w14:val="none"/>
        </w:rPr>
        <w:t>Jagła, A. (2023). The transformative potential of trauma in Waiting for the Barbarians by J. M. Coetzee. Analyses/Rereadings/Theories: A Journal Devoted to Literature, Film and Theatre, 7(2), 6–16. https://doi.org/10.18778/2353-6098.7.12</w:t>
      </w:r>
    </w:p>
    <w:p w14:paraId="4240A93C" w14:textId="27C480DF" w:rsidR="006F6350" w:rsidRPr="006F6350" w:rsidRDefault="006F6350" w:rsidP="006F6350">
      <w:pPr>
        <w:rPr>
          <w:rFonts w:ascii="Times New Roman" w:eastAsia="Times New Roman" w:hAnsi="Times New Roman" w:cs="Times New Roman"/>
          <w:kern w:val="0"/>
          <w:highlight w:val="yellow"/>
          <w14:ligatures w14:val="none"/>
        </w:rPr>
      </w:pPr>
      <w:r w:rsidRPr="006F6350">
        <w:rPr>
          <w:rFonts w:ascii="Times New Roman" w:eastAsia="Times New Roman" w:hAnsi="Times New Roman" w:cs="Times New Roman"/>
          <w:kern w:val="0"/>
          <w:highlight w:val="yellow"/>
          <w14:ligatures w14:val="none"/>
        </w:rPr>
        <w:t>Negro, F. (2021). A sour cherry orchard: An excursion through Chekhovian green spaces. Studia Rossica Posnaniensia, 46(2), 105–124. https://doi.org/10.14746/strp.2021.46.2.8</w:t>
      </w:r>
    </w:p>
    <w:p w14:paraId="05888D6C" w14:textId="6DAF194E" w:rsidR="006F6350" w:rsidRPr="006F6350" w:rsidRDefault="006F6350" w:rsidP="006F6350">
      <w:pPr>
        <w:rPr>
          <w:rFonts w:ascii="Times New Roman" w:eastAsia="Times New Roman" w:hAnsi="Times New Roman" w:cs="Times New Roman"/>
          <w:kern w:val="0"/>
          <w:highlight w:val="yellow"/>
          <w14:ligatures w14:val="none"/>
        </w:rPr>
      </w:pPr>
      <w:r w:rsidRPr="006F6350">
        <w:rPr>
          <w:rFonts w:ascii="Times New Roman" w:eastAsia="Times New Roman" w:hAnsi="Times New Roman" w:cs="Times New Roman"/>
          <w:kern w:val="0"/>
          <w:highlight w:val="yellow"/>
          <w14:ligatures w14:val="none"/>
        </w:rPr>
        <w:t>Neimneh, S. (2022). The humanist discourse in J. M. Coetzee’s Waiting for the Barbarians. Crossroads: A Journal of English Studies, 39, 79–95. https://doi.org/10.15290/CR.2022.39.4.05</w:t>
      </w:r>
    </w:p>
    <w:sectPr w:rsidR="006F6350" w:rsidRPr="006F6350">
      <w:headerReference w:type="even" r:id="rId30"/>
      <w:headerReference w:type="default" r:id="rId31"/>
      <w:footerReference w:type="even" r:id="rId32"/>
      <w:footerReference w:type="default" r:id="rId33"/>
      <w:headerReference w:type="first" r:id="rId34"/>
      <w:footerReference w:type="first" r:id="rId3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DC6A6" w14:textId="77777777" w:rsidR="0056261E" w:rsidRDefault="0056261E" w:rsidP="0029595B">
      <w:pPr>
        <w:spacing w:after="0" w:line="240" w:lineRule="auto"/>
      </w:pPr>
      <w:r>
        <w:separator/>
      </w:r>
    </w:p>
  </w:endnote>
  <w:endnote w:type="continuationSeparator" w:id="0">
    <w:p w14:paraId="5393737C" w14:textId="77777777" w:rsidR="0056261E" w:rsidRDefault="0056261E" w:rsidP="002959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E618F" w14:textId="77777777" w:rsidR="0029595B" w:rsidRDefault="00295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1145D" w14:textId="77777777" w:rsidR="0029595B" w:rsidRDefault="002959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6AC0" w14:textId="77777777" w:rsidR="0029595B" w:rsidRDefault="00295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410CB" w14:textId="77777777" w:rsidR="0056261E" w:rsidRDefault="0056261E" w:rsidP="0029595B">
      <w:pPr>
        <w:spacing w:after="0" w:line="240" w:lineRule="auto"/>
      </w:pPr>
      <w:r>
        <w:separator/>
      </w:r>
    </w:p>
  </w:footnote>
  <w:footnote w:type="continuationSeparator" w:id="0">
    <w:p w14:paraId="10089F4A" w14:textId="77777777" w:rsidR="0056261E" w:rsidRDefault="0056261E" w:rsidP="002959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7388" w14:textId="77777777" w:rsidR="0029595B" w:rsidRDefault="00000000">
    <w:pPr>
      <w:pStyle w:val="Header"/>
    </w:pPr>
    <w:r>
      <w:rPr>
        <w:noProof/>
      </w:rPr>
      <w:pict w14:anchorId="5B725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6"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3B80D" w14:textId="77777777" w:rsidR="0029595B" w:rsidRDefault="00000000">
    <w:pPr>
      <w:pStyle w:val="Header"/>
    </w:pPr>
    <w:r>
      <w:rPr>
        <w:noProof/>
      </w:rPr>
      <w:pict w14:anchorId="7BA892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7"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A14F2" w14:textId="77777777" w:rsidR="0029595B" w:rsidRDefault="00000000">
    <w:pPr>
      <w:pStyle w:val="Header"/>
    </w:pPr>
    <w:r>
      <w:rPr>
        <w:noProof/>
      </w:rPr>
      <w:pict w14:anchorId="5E4DFB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3431875"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A7C"/>
    <w:multiLevelType w:val="multilevel"/>
    <w:tmpl w:val="C5140900"/>
    <w:lvl w:ilvl="0">
      <w:start w:val="1"/>
      <w:numFmt w:val="decimal"/>
      <w:lvlText w:val="%1."/>
      <w:lvlJc w:val="left"/>
      <w:pPr>
        <w:tabs>
          <w:tab w:val="num" w:pos="360"/>
        </w:tabs>
        <w:ind w:left="360" w:hanging="360"/>
      </w:pPr>
      <w:rPr>
        <w:rFonts w:ascii="Times New Roman" w:eastAsia="Times New Roman"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92EE5"/>
    <w:multiLevelType w:val="multilevel"/>
    <w:tmpl w:val="6ADE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137E1"/>
    <w:multiLevelType w:val="multilevel"/>
    <w:tmpl w:val="F668B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4" w15:restartNumberingAfterBreak="0">
    <w:nsid w:val="73B81E84"/>
    <w:multiLevelType w:val="hybridMultilevel"/>
    <w:tmpl w:val="D77435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13580657">
    <w:abstractNumId w:val="3"/>
  </w:num>
  <w:num w:numId="2" w16cid:durableId="612127525">
    <w:abstractNumId w:val="0"/>
  </w:num>
  <w:num w:numId="3" w16cid:durableId="1737707999">
    <w:abstractNumId w:val="2"/>
  </w:num>
  <w:num w:numId="4" w16cid:durableId="266937235">
    <w:abstractNumId w:val="1"/>
  </w:num>
  <w:num w:numId="5" w16cid:durableId="634333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cxMzC1NDY3NjUxtjRX0lEKTi0uzszPAykwrQUABd6A9ywAAAA="/>
  </w:docVars>
  <w:rsids>
    <w:rsidRoot w:val="00684965"/>
    <w:rsid w:val="00022EB6"/>
    <w:rsid w:val="00035DF0"/>
    <w:rsid w:val="00041E06"/>
    <w:rsid w:val="00066F7A"/>
    <w:rsid w:val="00086B59"/>
    <w:rsid w:val="000F23B6"/>
    <w:rsid w:val="0014465A"/>
    <w:rsid w:val="00160ED4"/>
    <w:rsid w:val="00166D2F"/>
    <w:rsid w:val="001813DB"/>
    <w:rsid w:val="001C6B50"/>
    <w:rsid w:val="001E037A"/>
    <w:rsid w:val="00207D88"/>
    <w:rsid w:val="002168CE"/>
    <w:rsid w:val="00224F86"/>
    <w:rsid w:val="002376F5"/>
    <w:rsid w:val="0029595B"/>
    <w:rsid w:val="002C622E"/>
    <w:rsid w:val="0033731D"/>
    <w:rsid w:val="00363904"/>
    <w:rsid w:val="003A6A2C"/>
    <w:rsid w:val="003B224E"/>
    <w:rsid w:val="003E3052"/>
    <w:rsid w:val="004152CB"/>
    <w:rsid w:val="00447361"/>
    <w:rsid w:val="0047513E"/>
    <w:rsid w:val="00475C49"/>
    <w:rsid w:val="00487A9E"/>
    <w:rsid w:val="004C0A56"/>
    <w:rsid w:val="004C22CF"/>
    <w:rsid w:val="004D59CC"/>
    <w:rsid w:val="004E362D"/>
    <w:rsid w:val="00520348"/>
    <w:rsid w:val="0052593A"/>
    <w:rsid w:val="0056261E"/>
    <w:rsid w:val="005A5101"/>
    <w:rsid w:val="005A6F58"/>
    <w:rsid w:val="005C431A"/>
    <w:rsid w:val="00665CDB"/>
    <w:rsid w:val="00667ED3"/>
    <w:rsid w:val="00684965"/>
    <w:rsid w:val="006A0C64"/>
    <w:rsid w:val="006F6350"/>
    <w:rsid w:val="0075190D"/>
    <w:rsid w:val="00774A00"/>
    <w:rsid w:val="00791051"/>
    <w:rsid w:val="00816B72"/>
    <w:rsid w:val="00831315"/>
    <w:rsid w:val="00831718"/>
    <w:rsid w:val="00834F4C"/>
    <w:rsid w:val="00872C4D"/>
    <w:rsid w:val="008804E8"/>
    <w:rsid w:val="008A4FC3"/>
    <w:rsid w:val="008C524F"/>
    <w:rsid w:val="008D1B0D"/>
    <w:rsid w:val="00933225"/>
    <w:rsid w:val="0094075E"/>
    <w:rsid w:val="0095477F"/>
    <w:rsid w:val="0097331D"/>
    <w:rsid w:val="00A1057D"/>
    <w:rsid w:val="00A166A7"/>
    <w:rsid w:val="00A30F30"/>
    <w:rsid w:val="00A51934"/>
    <w:rsid w:val="00A72D4F"/>
    <w:rsid w:val="00AA3E9E"/>
    <w:rsid w:val="00AC340A"/>
    <w:rsid w:val="00AC64E2"/>
    <w:rsid w:val="00B363F0"/>
    <w:rsid w:val="00B47B7B"/>
    <w:rsid w:val="00B525BA"/>
    <w:rsid w:val="00B621D9"/>
    <w:rsid w:val="00BA12D0"/>
    <w:rsid w:val="00C029AB"/>
    <w:rsid w:val="00C0353B"/>
    <w:rsid w:val="00C31546"/>
    <w:rsid w:val="00C47462"/>
    <w:rsid w:val="00C745E5"/>
    <w:rsid w:val="00CA40CF"/>
    <w:rsid w:val="00CA60D8"/>
    <w:rsid w:val="00D12DD1"/>
    <w:rsid w:val="00D174A3"/>
    <w:rsid w:val="00D660EF"/>
    <w:rsid w:val="00D95707"/>
    <w:rsid w:val="00D95DFB"/>
    <w:rsid w:val="00DB7813"/>
    <w:rsid w:val="00DC5E15"/>
    <w:rsid w:val="00DF7003"/>
    <w:rsid w:val="00E12A20"/>
    <w:rsid w:val="00E32D63"/>
    <w:rsid w:val="00E453F5"/>
    <w:rsid w:val="00E73B36"/>
    <w:rsid w:val="00EC6038"/>
    <w:rsid w:val="00EE4654"/>
    <w:rsid w:val="00EE695C"/>
    <w:rsid w:val="00F456FF"/>
    <w:rsid w:val="00F53B1C"/>
    <w:rsid w:val="00F61F73"/>
    <w:rsid w:val="00F64E68"/>
    <w:rsid w:val="00FE626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09914"/>
  <w15:chartTrackingRefBased/>
  <w15:docId w15:val="{F26D0B40-33B7-4F05-8EEE-4A5242B5F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9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849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849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849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849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84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9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849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849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849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849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84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965"/>
    <w:rPr>
      <w:rFonts w:eastAsiaTheme="majorEastAsia" w:cstheme="majorBidi"/>
      <w:color w:val="272727" w:themeColor="text1" w:themeTint="D8"/>
    </w:rPr>
  </w:style>
  <w:style w:type="paragraph" w:styleId="Title">
    <w:name w:val="Title"/>
    <w:basedOn w:val="Normal"/>
    <w:next w:val="Normal"/>
    <w:link w:val="TitleChar"/>
    <w:uiPriority w:val="10"/>
    <w:qFormat/>
    <w:rsid w:val="00684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965"/>
    <w:pPr>
      <w:spacing w:before="160"/>
      <w:jc w:val="center"/>
    </w:pPr>
    <w:rPr>
      <w:i/>
      <w:iCs/>
      <w:color w:val="404040" w:themeColor="text1" w:themeTint="BF"/>
    </w:rPr>
  </w:style>
  <w:style w:type="character" w:customStyle="1" w:styleId="QuoteChar">
    <w:name w:val="Quote Char"/>
    <w:basedOn w:val="DefaultParagraphFont"/>
    <w:link w:val="Quote"/>
    <w:uiPriority w:val="29"/>
    <w:rsid w:val="00684965"/>
    <w:rPr>
      <w:i/>
      <w:iCs/>
      <w:color w:val="404040" w:themeColor="text1" w:themeTint="BF"/>
    </w:rPr>
  </w:style>
  <w:style w:type="paragraph" w:styleId="ListParagraph">
    <w:name w:val="List Paragraph"/>
    <w:basedOn w:val="Normal"/>
    <w:uiPriority w:val="34"/>
    <w:qFormat/>
    <w:rsid w:val="00684965"/>
    <w:pPr>
      <w:ind w:left="720"/>
      <w:contextualSpacing/>
    </w:pPr>
  </w:style>
  <w:style w:type="character" w:styleId="IntenseEmphasis">
    <w:name w:val="Intense Emphasis"/>
    <w:basedOn w:val="DefaultParagraphFont"/>
    <w:uiPriority w:val="21"/>
    <w:qFormat/>
    <w:rsid w:val="00684965"/>
    <w:rPr>
      <w:i/>
      <w:iCs/>
      <w:color w:val="2F5496" w:themeColor="accent1" w:themeShade="BF"/>
    </w:rPr>
  </w:style>
  <w:style w:type="paragraph" w:styleId="IntenseQuote">
    <w:name w:val="Intense Quote"/>
    <w:basedOn w:val="Normal"/>
    <w:next w:val="Normal"/>
    <w:link w:val="IntenseQuoteChar"/>
    <w:uiPriority w:val="30"/>
    <w:qFormat/>
    <w:rsid w:val="006849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4965"/>
    <w:rPr>
      <w:i/>
      <w:iCs/>
      <w:color w:val="2F5496" w:themeColor="accent1" w:themeShade="BF"/>
    </w:rPr>
  </w:style>
  <w:style w:type="character" w:styleId="IntenseReference">
    <w:name w:val="Intense Reference"/>
    <w:basedOn w:val="DefaultParagraphFont"/>
    <w:uiPriority w:val="32"/>
    <w:qFormat/>
    <w:rsid w:val="00684965"/>
    <w:rPr>
      <w:b/>
      <w:bCs/>
      <w:smallCaps/>
      <w:color w:val="2F5496" w:themeColor="accent1" w:themeShade="BF"/>
      <w:spacing w:val="5"/>
    </w:rPr>
  </w:style>
  <w:style w:type="paragraph" w:customStyle="1" w:styleId="Els-Title">
    <w:name w:val="Els-Title"/>
    <w:next w:val="Normal"/>
    <w:autoRedefine/>
    <w:rsid w:val="00684965"/>
    <w:pPr>
      <w:suppressAutoHyphens/>
      <w:spacing w:after="340" w:line="440" w:lineRule="exact"/>
      <w:jc w:val="center"/>
    </w:pPr>
    <w:rPr>
      <w:rFonts w:ascii="Times New Roman" w:eastAsia="SimSun" w:hAnsi="Times New Roman" w:cs="Times New Roman"/>
      <w:b/>
      <w:kern w:val="0"/>
      <w:sz w:val="32"/>
      <w:szCs w:val="20"/>
      <w14:ligatures w14:val="none"/>
    </w:rPr>
  </w:style>
  <w:style w:type="paragraph" w:customStyle="1" w:styleId="Els-Author">
    <w:name w:val="Els-Author"/>
    <w:next w:val="Normal"/>
    <w:autoRedefine/>
    <w:rsid w:val="00684965"/>
    <w:pPr>
      <w:keepNext/>
      <w:tabs>
        <w:tab w:val="center" w:pos="5189"/>
        <w:tab w:val="left" w:pos="9525"/>
      </w:tabs>
      <w:suppressAutoHyphens/>
      <w:spacing w:after="180" w:line="300" w:lineRule="exact"/>
      <w:jc w:val="both"/>
    </w:pPr>
    <w:rPr>
      <w:rFonts w:ascii="Times New Roman" w:eastAsia="SimSun" w:hAnsi="Times New Roman" w:cs="Times New Roman"/>
      <w:b/>
      <w:i/>
      <w:noProof/>
      <w:kern w:val="0"/>
      <w14:ligatures w14:val="none"/>
    </w:rPr>
  </w:style>
  <w:style w:type="character" w:styleId="Emphasis">
    <w:name w:val="Emphasis"/>
    <w:basedOn w:val="DefaultParagraphFont"/>
    <w:uiPriority w:val="20"/>
    <w:qFormat/>
    <w:rsid w:val="00684965"/>
    <w:rPr>
      <w:i/>
      <w:iCs/>
    </w:rPr>
  </w:style>
  <w:style w:type="paragraph" w:styleId="NormalWeb">
    <w:name w:val="Normal (Web)"/>
    <w:basedOn w:val="Normal"/>
    <w:uiPriority w:val="99"/>
    <w:unhideWhenUsed/>
    <w:rsid w:val="00684965"/>
    <w:pPr>
      <w:spacing w:before="100" w:beforeAutospacing="1" w:after="100" w:afterAutospacing="1" w:line="240" w:lineRule="auto"/>
    </w:pPr>
    <w:rPr>
      <w:rFonts w:ascii="Times New Roman" w:eastAsia="Times New Roman" w:hAnsi="Times New Roman" w:cs="Times New Roman"/>
      <w:kern w:val="0"/>
      <w:lang w:bidi="bn-BD"/>
      <w14:ligatures w14:val="none"/>
    </w:rPr>
  </w:style>
  <w:style w:type="paragraph" w:customStyle="1" w:styleId="Els-body-text">
    <w:name w:val="Els-body-text"/>
    <w:rsid w:val="00684965"/>
    <w:pPr>
      <w:spacing w:after="0" w:line="230" w:lineRule="exact"/>
      <w:ind w:firstLine="238"/>
      <w:jc w:val="both"/>
    </w:pPr>
    <w:rPr>
      <w:rFonts w:ascii="Times New Roman" w:eastAsia="SimSun" w:hAnsi="Times New Roman" w:cs="Times New Roman"/>
      <w:kern w:val="0"/>
      <w:sz w:val="16"/>
      <w:szCs w:val="20"/>
      <w14:ligatures w14:val="none"/>
    </w:rPr>
  </w:style>
  <w:style w:type="character" w:styleId="Strong">
    <w:name w:val="Strong"/>
    <w:basedOn w:val="DefaultParagraphFont"/>
    <w:uiPriority w:val="22"/>
    <w:qFormat/>
    <w:rsid w:val="00684965"/>
    <w:rPr>
      <w:b/>
      <w:bCs/>
    </w:rPr>
  </w:style>
  <w:style w:type="paragraph" w:customStyle="1" w:styleId="Els-1storder-head">
    <w:name w:val="Els-1storder-head"/>
    <w:next w:val="Els-body-text"/>
    <w:rsid w:val="003E3052"/>
    <w:pPr>
      <w:keepNext/>
      <w:numPr>
        <w:numId w:val="1"/>
      </w:numPr>
      <w:pBdr>
        <w:top w:val="single" w:sz="18" w:space="1" w:color="auto"/>
      </w:pBdr>
      <w:suppressAutoHyphens/>
      <w:spacing w:before="230" w:after="230" w:line="230" w:lineRule="exact"/>
    </w:pPr>
    <w:rPr>
      <w:rFonts w:ascii="Times New Roman" w:eastAsia="SimSun" w:hAnsi="Times New Roman" w:cs="Times New Roman"/>
      <w:b/>
      <w:kern w:val="0"/>
      <w:sz w:val="19"/>
      <w:szCs w:val="20"/>
      <w14:ligatures w14:val="none"/>
    </w:rPr>
  </w:style>
  <w:style w:type="paragraph" w:customStyle="1" w:styleId="Els-2ndorder-head">
    <w:name w:val="Els-2ndorder-head"/>
    <w:next w:val="Els-body-text"/>
    <w:rsid w:val="003E3052"/>
    <w:pPr>
      <w:keepNext/>
      <w:numPr>
        <w:ilvl w:val="1"/>
        <w:numId w:val="1"/>
      </w:numPr>
      <w:suppressAutoHyphens/>
      <w:spacing w:before="230" w:after="230" w:line="230" w:lineRule="exact"/>
    </w:pPr>
    <w:rPr>
      <w:rFonts w:ascii="Times New Roman" w:eastAsia="SimSun" w:hAnsi="Times New Roman" w:cs="Times New Roman"/>
      <w:b/>
      <w:i/>
      <w:kern w:val="0"/>
      <w:sz w:val="17"/>
      <w:szCs w:val="20"/>
      <w14:ligatures w14:val="none"/>
    </w:rPr>
  </w:style>
  <w:style w:type="paragraph" w:customStyle="1" w:styleId="Els-3rdorder-head">
    <w:name w:val="Els-3rdorder-head"/>
    <w:next w:val="Els-body-text"/>
    <w:rsid w:val="003E3052"/>
    <w:pPr>
      <w:keepNext/>
      <w:numPr>
        <w:ilvl w:val="2"/>
        <w:numId w:val="1"/>
      </w:numPr>
      <w:suppressAutoHyphens/>
      <w:spacing w:before="240" w:after="0" w:line="240" w:lineRule="exact"/>
    </w:pPr>
    <w:rPr>
      <w:rFonts w:ascii="Times New Roman" w:eastAsia="SimSun" w:hAnsi="Times New Roman" w:cs="Times New Roman"/>
      <w:i/>
      <w:kern w:val="0"/>
      <w:sz w:val="20"/>
      <w:szCs w:val="20"/>
      <w14:ligatures w14:val="none"/>
    </w:rPr>
  </w:style>
  <w:style w:type="paragraph" w:customStyle="1" w:styleId="Els-4thorder-head">
    <w:name w:val="Els-4thorder-head"/>
    <w:next w:val="Els-body-text"/>
    <w:rsid w:val="003E3052"/>
    <w:pPr>
      <w:keepNext/>
      <w:numPr>
        <w:ilvl w:val="3"/>
        <w:numId w:val="1"/>
      </w:numPr>
      <w:suppressAutoHyphens/>
      <w:spacing w:before="240" w:after="0" w:line="240" w:lineRule="exact"/>
    </w:pPr>
    <w:rPr>
      <w:rFonts w:ascii="Times New Roman" w:eastAsia="SimSun" w:hAnsi="Times New Roman" w:cs="Times New Roman"/>
      <w:i/>
      <w:kern w:val="0"/>
      <w:sz w:val="20"/>
      <w:szCs w:val="20"/>
      <w14:ligatures w14:val="none"/>
    </w:rPr>
  </w:style>
  <w:style w:type="character" w:styleId="Hyperlink">
    <w:name w:val="Hyperlink"/>
    <w:semiHidden/>
    <w:rsid w:val="003E3052"/>
    <w:rPr>
      <w:color w:val="auto"/>
      <w:sz w:val="16"/>
      <w:u w:val="none"/>
    </w:rPr>
  </w:style>
  <w:style w:type="character" w:customStyle="1" w:styleId="url">
    <w:name w:val="url"/>
    <w:basedOn w:val="DefaultParagraphFont"/>
    <w:rsid w:val="003E3052"/>
  </w:style>
  <w:style w:type="table" w:styleId="TableGrid">
    <w:name w:val="Table Grid"/>
    <w:basedOn w:val="TableNormal"/>
    <w:uiPriority w:val="39"/>
    <w:rsid w:val="0094075E"/>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59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595B"/>
  </w:style>
  <w:style w:type="paragraph" w:styleId="Footer">
    <w:name w:val="footer"/>
    <w:basedOn w:val="Normal"/>
    <w:link w:val="FooterChar"/>
    <w:uiPriority w:val="99"/>
    <w:unhideWhenUsed/>
    <w:rsid w:val="002959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595B"/>
  </w:style>
  <w:style w:type="character" w:styleId="UnresolvedMention">
    <w:name w:val="Unresolved Mention"/>
    <w:basedOn w:val="DefaultParagraphFont"/>
    <w:uiPriority w:val="99"/>
    <w:semiHidden/>
    <w:unhideWhenUsed/>
    <w:rsid w:val="00FE626D"/>
    <w:rPr>
      <w:color w:val="605E5C"/>
      <w:shd w:val="clear" w:color="auto" w:fill="E1DFDD"/>
    </w:rPr>
  </w:style>
  <w:style w:type="paragraph" w:customStyle="1" w:styleId="pdq2pgselectionanchorcontainer">
    <w:name w:val="pdq2pg_selectionanchorcontainer"/>
    <w:basedOn w:val="Normal"/>
    <w:rsid w:val="00D12DD1"/>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7/S1062798722000539" TargetMode="External"/><Relationship Id="rId18" Type="http://schemas.openxmlformats.org/officeDocument/2006/relationships/hyperlink" Target="https://doi.org/10.1177/21582440221129848" TargetMode="External"/><Relationship Id="rId26" Type="http://schemas.openxmlformats.org/officeDocument/2006/relationships/hyperlink" Target="https://doi.org/10.1080/14725843.2026.2625284" TargetMode="External"/><Relationship Id="rId21" Type="http://schemas.openxmlformats.org/officeDocument/2006/relationships/hyperlink" Target="https://doi.org/10.4000/ces.283" TargetMode="External"/><Relationship Id="rId34" Type="http://schemas.openxmlformats.org/officeDocument/2006/relationships/header" Target="header3.xml"/><Relationship Id="rId7" Type="http://schemas.openxmlformats.org/officeDocument/2006/relationships/hyperlink" Target="https://pintersociety.com/wp-content/uploads/2013/07/Sayd-Ahnad-Abidi-7.pdf?utm_source=chatgpt.com" TargetMode="External"/><Relationship Id="rId12" Type="http://schemas.openxmlformats.org/officeDocument/2006/relationships/hyperlink" Target="https://doi.org/10.3126/snprcj.v6i1.91803" TargetMode="External"/><Relationship Id="rId17" Type="http://schemas.openxmlformats.org/officeDocument/2006/relationships/hyperlink" Target="https://doi.org/10.1080/00138380601042758" TargetMode="External"/><Relationship Id="rId25" Type="http://schemas.openxmlformats.org/officeDocument/2006/relationships/hyperlink" Target="https://kenyonreview.org/piece/january-1993-the-mark-of-empire-writing-history-and-torture-in-coetzee-s-waiting-for-the-barbarians/?utm_source=chatgpt.com"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penguinrandomhouse.com/books/321010/waiting-for-the-barbarians-by-j-m-coetzee/?utm_source=chatgpt.com" TargetMode="External"/><Relationship Id="rId20" Type="http://schemas.openxmlformats.org/officeDocument/2006/relationships/hyperlink" Target="https://research.brighton.ac.uk/en/publications/panchronic-comedy-past-to-future-trajectory-of-anton-chekhovs-the/" TargetMode="External"/><Relationship Id="rId29" Type="http://schemas.openxmlformats.org/officeDocument/2006/relationships/hyperlink" Target="https://doi.org/10.4324/9780203843550-1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ichuruniversity.ac.in/wp-content/uploads/2023/10/anton-chekhovs-the-cherry-orchard-as-sad-comedy.pdf?utm_source=chatgpt.com" TargetMode="External"/><Relationship Id="rId24" Type="http://schemas.openxmlformats.org/officeDocument/2006/relationships/hyperlink" Target="https://doi.org/10.3968/13633"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25136/2409-8698.2026.1.77836" TargetMode="External"/><Relationship Id="rId23" Type="http://schemas.openxmlformats.org/officeDocument/2006/relationships/hyperlink" Target="https://doi.org/10.31674/ijmhs.2026.v10i01.001" TargetMode="External"/><Relationship Id="rId28" Type="http://schemas.openxmlformats.org/officeDocument/2006/relationships/hyperlink" Target="https://doi.org/10.59324/ejahss.2025.2(6).15" TargetMode="External"/><Relationship Id="rId36" Type="http://schemas.openxmlformats.org/officeDocument/2006/relationships/fontTable" Target="fontTable.xml"/><Relationship Id="rId10" Type="http://schemas.openxmlformats.org/officeDocument/2006/relationships/hyperlink" Target="https://doi.org/10.4304/jltr.5.1.95-105" TargetMode="External"/><Relationship Id="rId19" Type="http://schemas.openxmlformats.org/officeDocument/2006/relationships/hyperlink" Target="https://doi.org/10.19044/esj.2024.v20n29p12"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19044/esj.2024.v20n26p33" TargetMode="External"/><Relationship Id="rId14" Type="http://schemas.openxmlformats.org/officeDocument/2006/relationships/hyperlink" Target="https://www.gutenberg.org/files/7986/7986-h/7986-h.htm" TargetMode="External"/><Relationship Id="rId22" Type="http://schemas.openxmlformats.org/officeDocument/2006/relationships/hyperlink" Target="https://doi.org/10.5505/pausbed.2017.49389" TargetMode="External"/><Relationship Id="rId27" Type="http://schemas.openxmlformats.org/officeDocument/2006/relationships/hyperlink" Target="https://doi.org/10.2307/3197077"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s://doi.org/10.5281/zenodo.19661714"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19</Pages>
  <Words>8947</Words>
  <Characters>51003</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Toufiqur Rahman</dc:creator>
  <cp:keywords/>
  <dc:description/>
  <cp:lastModifiedBy>Editor Manisha</cp:lastModifiedBy>
  <cp:revision>22</cp:revision>
  <dcterms:created xsi:type="dcterms:W3CDTF">2026-07-01T08:28:00Z</dcterms:created>
  <dcterms:modified xsi:type="dcterms:W3CDTF">2026-07-15T04:38:00Z</dcterms:modified>
</cp:coreProperties>
</file>