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D0152" w14:textId="77777777" w:rsidR="00C463AE" w:rsidRPr="00C463AE" w:rsidRDefault="00C463AE" w:rsidP="00C463AE">
      <w:pPr>
        <w:spacing w:before="100" w:beforeAutospacing="1" w:after="100" w:afterAutospacing="1" w:line="240" w:lineRule="auto"/>
        <w:outlineLvl w:val="1"/>
        <w:rPr>
          <w:rFonts w:ascii="Times New Roman" w:eastAsia="Times New Roman" w:hAnsi="Times New Roman" w:cs="Times New Roman"/>
          <w:b/>
          <w:bCs/>
          <w:i/>
          <w:iCs/>
          <w:sz w:val="36"/>
          <w:szCs w:val="36"/>
          <w:u w:val="single"/>
          <w:lang w:val="en-US" w:eastAsia="en-GB"/>
        </w:rPr>
      </w:pPr>
      <w:r w:rsidRPr="00C463AE">
        <w:rPr>
          <w:rFonts w:ascii="Times New Roman" w:eastAsia="Times New Roman" w:hAnsi="Times New Roman" w:cs="Times New Roman"/>
          <w:b/>
          <w:bCs/>
          <w:i/>
          <w:iCs/>
          <w:sz w:val="36"/>
          <w:szCs w:val="36"/>
          <w:u w:val="single"/>
          <w:lang w:val="en-US" w:eastAsia="en-GB"/>
        </w:rPr>
        <w:t>Review Article</w:t>
      </w:r>
    </w:p>
    <w:p w14:paraId="5022526A" w14:textId="77777777" w:rsidR="00426A47" w:rsidRPr="00875933" w:rsidRDefault="00426A47" w:rsidP="00426A47">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875933">
        <w:rPr>
          <w:rFonts w:ascii="Times New Roman" w:eastAsia="Times New Roman" w:hAnsi="Times New Roman" w:cs="Times New Roman"/>
          <w:b/>
          <w:bCs/>
          <w:sz w:val="36"/>
          <w:szCs w:val="36"/>
          <w:lang w:eastAsia="en-GB"/>
        </w:rPr>
        <w:t xml:space="preserve">Phytochemical Profile and Therapeutic Potential of </w:t>
      </w:r>
      <w:r w:rsidRPr="00875933">
        <w:rPr>
          <w:rFonts w:ascii="Times New Roman" w:eastAsia="Times New Roman" w:hAnsi="Times New Roman" w:cs="Times New Roman"/>
          <w:b/>
          <w:bCs/>
          <w:i/>
          <w:iCs/>
          <w:sz w:val="36"/>
          <w:szCs w:val="36"/>
          <w:lang w:eastAsia="en-GB"/>
        </w:rPr>
        <w:t>Acalypha indica</w:t>
      </w:r>
      <w:r w:rsidRPr="00875933">
        <w:rPr>
          <w:rFonts w:ascii="Times New Roman" w:eastAsia="Times New Roman" w:hAnsi="Times New Roman" w:cs="Times New Roman"/>
          <w:b/>
          <w:bCs/>
          <w:sz w:val="36"/>
          <w:szCs w:val="36"/>
          <w:lang w:eastAsia="en-GB"/>
        </w:rPr>
        <w:t>: A Critical Review</w:t>
      </w:r>
    </w:p>
    <w:p w14:paraId="4FC0823A" w14:textId="77777777" w:rsidR="00426A47" w:rsidRPr="00875933" w:rsidRDefault="00426A47" w:rsidP="00426A47">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875933">
        <w:rPr>
          <w:rFonts w:ascii="Times New Roman" w:eastAsia="Times New Roman" w:hAnsi="Times New Roman" w:cs="Times New Roman"/>
          <w:b/>
          <w:bCs/>
          <w:sz w:val="27"/>
          <w:szCs w:val="27"/>
          <w:lang w:eastAsia="en-GB"/>
        </w:rPr>
        <w:t>Abstract</w:t>
      </w:r>
    </w:p>
    <w:p w14:paraId="2750BD1E" w14:textId="77777777" w:rsidR="00426A47" w:rsidRPr="00875933" w:rsidRDefault="00426A47" w:rsidP="00426A47">
      <w:pPr>
        <w:spacing w:before="100" w:beforeAutospacing="1" w:after="100" w:afterAutospacing="1" w:line="240" w:lineRule="auto"/>
        <w:rPr>
          <w:rFonts w:ascii="Times New Roman" w:eastAsia="Times New Roman" w:hAnsi="Times New Roman" w:cs="Times New Roman"/>
          <w:sz w:val="24"/>
          <w:szCs w:val="24"/>
          <w:lang w:eastAsia="en-GB"/>
        </w:rPr>
      </w:pPr>
      <w:r w:rsidRPr="00875933">
        <w:rPr>
          <w:rFonts w:ascii="Times New Roman" w:eastAsia="Times New Roman" w:hAnsi="Times New Roman" w:cs="Times New Roman"/>
          <w:i/>
          <w:iCs/>
          <w:sz w:val="24"/>
          <w:szCs w:val="24"/>
          <w:lang w:eastAsia="en-GB"/>
        </w:rPr>
        <w:t>Acalypha indica</w:t>
      </w:r>
      <w:r w:rsidRPr="00875933">
        <w:rPr>
          <w:rFonts w:ascii="Times New Roman" w:eastAsia="Times New Roman" w:hAnsi="Times New Roman" w:cs="Times New Roman"/>
          <w:sz w:val="24"/>
          <w:szCs w:val="24"/>
          <w:lang w:eastAsia="en-GB"/>
        </w:rPr>
        <w:t xml:space="preserve"> L. (</w:t>
      </w:r>
      <w:proofErr w:type="spellStart"/>
      <w:r w:rsidRPr="00875933">
        <w:rPr>
          <w:rFonts w:ascii="Times New Roman" w:eastAsia="Times New Roman" w:hAnsi="Times New Roman" w:cs="Times New Roman"/>
          <w:sz w:val="24"/>
          <w:szCs w:val="24"/>
          <w:lang w:eastAsia="en-GB"/>
        </w:rPr>
        <w:t>Euphorbiaceae</w:t>
      </w:r>
      <w:proofErr w:type="spellEnd"/>
      <w:r w:rsidRPr="00875933">
        <w:rPr>
          <w:rFonts w:ascii="Times New Roman" w:eastAsia="Times New Roman" w:hAnsi="Times New Roman" w:cs="Times New Roman"/>
          <w:sz w:val="24"/>
          <w:szCs w:val="24"/>
          <w:lang w:eastAsia="en-GB"/>
        </w:rPr>
        <w:t xml:space="preserve">), commonly known as Indian copperleaf or Indian nettle, is a pantropical herbaceous weed with a long-standing presence in Ayurvedic, Siddha and African ethnomedical systems. Despite its taxonomic obscurity and its frequent dismissal as nothing more than a roadside weed, the species has attracted sustained scientific attention because of an unusually diverse phytochemical repertoire that includes cyanogenic </w:t>
      </w:r>
      <w:proofErr w:type="spellStart"/>
      <w:r w:rsidRPr="00875933">
        <w:rPr>
          <w:rFonts w:ascii="Times New Roman" w:eastAsia="Times New Roman" w:hAnsi="Times New Roman" w:cs="Times New Roman"/>
          <w:sz w:val="24"/>
          <w:szCs w:val="24"/>
          <w:lang w:eastAsia="en-GB"/>
        </w:rPr>
        <w:t>pyridone</w:t>
      </w:r>
      <w:proofErr w:type="spellEnd"/>
      <w:r w:rsidRPr="00875933">
        <w:rPr>
          <w:rFonts w:ascii="Times New Roman" w:eastAsia="Times New Roman" w:hAnsi="Times New Roman" w:cs="Times New Roman"/>
          <w:sz w:val="24"/>
          <w:szCs w:val="24"/>
          <w:lang w:eastAsia="en-GB"/>
        </w:rPr>
        <w:t xml:space="preserve"> glucosides, </w:t>
      </w:r>
      <w:proofErr w:type="spellStart"/>
      <w:r w:rsidRPr="00875933">
        <w:rPr>
          <w:rFonts w:ascii="Times New Roman" w:eastAsia="Times New Roman" w:hAnsi="Times New Roman" w:cs="Times New Roman"/>
          <w:sz w:val="24"/>
          <w:szCs w:val="24"/>
          <w:lang w:eastAsia="en-GB"/>
        </w:rPr>
        <w:t>flavonol</w:t>
      </w:r>
      <w:proofErr w:type="spellEnd"/>
      <w:r w:rsidRPr="00875933">
        <w:rPr>
          <w:rFonts w:ascii="Times New Roman" w:eastAsia="Times New Roman" w:hAnsi="Times New Roman" w:cs="Times New Roman"/>
          <w:sz w:val="24"/>
          <w:szCs w:val="24"/>
          <w:lang w:eastAsia="en-GB"/>
        </w:rPr>
        <w:t xml:space="preserve"> glycosides, tannins, a </w:t>
      </w:r>
      <w:proofErr w:type="spellStart"/>
      <w:r w:rsidRPr="00875933">
        <w:rPr>
          <w:rFonts w:ascii="Times New Roman" w:eastAsia="Times New Roman" w:hAnsi="Times New Roman" w:cs="Times New Roman"/>
          <w:sz w:val="24"/>
          <w:szCs w:val="24"/>
          <w:lang w:eastAsia="en-GB"/>
        </w:rPr>
        <w:t>pyranoquinolinone</w:t>
      </w:r>
      <w:proofErr w:type="spellEnd"/>
      <w:r w:rsidRPr="00875933">
        <w:rPr>
          <w:rFonts w:ascii="Times New Roman" w:eastAsia="Times New Roman" w:hAnsi="Times New Roman" w:cs="Times New Roman"/>
          <w:sz w:val="24"/>
          <w:szCs w:val="24"/>
          <w:lang w:eastAsia="en-GB"/>
        </w:rPr>
        <w:t xml:space="preserve"> alkaloid, sterols and a range of volatile constituents. This critical review synthesises the phytochemical and pharmacological literature on </w:t>
      </w:r>
      <w:r w:rsidRPr="00875933">
        <w:rPr>
          <w:rFonts w:ascii="Times New Roman" w:eastAsia="Times New Roman" w:hAnsi="Times New Roman" w:cs="Times New Roman"/>
          <w:i/>
          <w:iCs/>
          <w:sz w:val="24"/>
          <w:szCs w:val="24"/>
          <w:lang w:eastAsia="en-GB"/>
        </w:rPr>
        <w:t>A. indica</w:t>
      </w:r>
      <w:r w:rsidRPr="00875933">
        <w:rPr>
          <w:rFonts w:ascii="Times New Roman" w:eastAsia="Times New Roman" w:hAnsi="Times New Roman" w:cs="Times New Roman"/>
          <w:sz w:val="24"/>
          <w:szCs w:val="24"/>
          <w:lang w:eastAsia="en-GB"/>
        </w:rPr>
        <w:t xml:space="preserve"> published over roughly the past two decades, setting recent computational and nanotechnological studies against the longer arc of ethnopharmacological validation that the plant has undergone. The principal bioactive classes are catalogued, and the evidence underlying its antioxidant, antimicrobial, anti-inflammatory, antidiabetic, anticancer, wound-healing, </w:t>
      </w:r>
      <w:proofErr w:type="spellStart"/>
      <w:r w:rsidRPr="00875933">
        <w:rPr>
          <w:rFonts w:ascii="Times New Roman" w:eastAsia="Times New Roman" w:hAnsi="Times New Roman" w:cs="Times New Roman"/>
          <w:sz w:val="24"/>
          <w:szCs w:val="24"/>
          <w:lang w:eastAsia="en-GB"/>
        </w:rPr>
        <w:t>antiasthmatic</w:t>
      </w:r>
      <w:proofErr w:type="spellEnd"/>
      <w:r w:rsidRPr="00875933">
        <w:rPr>
          <w:rFonts w:ascii="Times New Roman" w:eastAsia="Times New Roman" w:hAnsi="Times New Roman" w:cs="Times New Roman"/>
          <w:sz w:val="24"/>
          <w:szCs w:val="24"/>
          <w:lang w:eastAsia="en-GB"/>
        </w:rPr>
        <w:t xml:space="preserve">, neuroprotective and antiparasitic properties is weighed with explicit attention to methodological rigour, extract standardisation and the gap that still separates </w:t>
      </w:r>
      <w:r w:rsidRPr="007775D0">
        <w:rPr>
          <w:rFonts w:ascii="Times New Roman" w:eastAsia="Times New Roman" w:hAnsi="Times New Roman" w:cs="Times New Roman"/>
          <w:i/>
          <w:iCs/>
          <w:color w:val="FF0000"/>
          <w:sz w:val="24"/>
          <w:szCs w:val="24"/>
          <w:lang w:eastAsia="en-GB"/>
        </w:rPr>
        <w:t>in vitro</w:t>
      </w:r>
      <w:r w:rsidRPr="00875933">
        <w:rPr>
          <w:rFonts w:ascii="Times New Roman" w:eastAsia="Times New Roman" w:hAnsi="Times New Roman" w:cs="Times New Roman"/>
          <w:sz w:val="24"/>
          <w:szCs w:val="24"/>
          <w:lang w:eastAsia="en-GB"/>
        </w:rPr>
        <w:t xml:space="preserve"> promise from </w:t>
      </w:r>
      <w:r w:rsidRPr="007775D0">
        <w:rPr>
          <w:rFonts w:ascii="Times New Roman" w:eastAsia="Times New Roman" w:hAnsi="Times New Roman" w:cs="Times New Roman"/>
          <w:i/>
          <w:iCs/>
          <w:color w:val="FF0000"/>
          <w:sz w:val="24"/>
          <w:szCs w:val="24"/>
          <w:lang w:eastAsia="en-GB"/>
        </w:rPr>
        <w:t>in vivo</w:t>
      </w:r>
      <w:r w:rsidRPr="00875933">
        <w:rPr>
          <w:rFonts w:ascii="Times New Roman" w:eastAsia="Times New Roman" w:hAnsi="Times New Roman" w:cs="Times New Roman"/>
          <w:sz w:val="24"/>
          <w:szCs w:val="24"/>
          <w:lang w:eastAsia="en-GB"/>
        </w:rPr>
        <w:t xml:space="preserve">, let alone clinical, confirmation. The toxicological literature, including clinical reports of glucose-6-phosphate dehydrogenase-related haemolysis and </w:t>
      </w:r>
      <w:proofErr w:type="spellStart"/>
      <w:r w:rsidRPr="00875933">
        <w:rPr>
          <w:rFonts w:ascii="Times New Roman" w:eastAsia="Times New Roman" w:hAnsi="Times New Roman" w:cs="Times New Roman"/>
          <w:sz w:val="24"/>
          <w:szCs w:val="24"/>
          <w:lang w:eastAsia="en-GB"/>
        </w:rPr>
        <w:t>methaemoglobinaemia</w:t>
      </w:r>
      <w:proofErr w:type="spellEnd"/>
      <w:r w:rsidRPr="00875933">
        <w:rPr>
          <w:rFonts w:ascii="Times New Roman" w:eastAsia="Times New Roman" w:hAnsi="Times New Roman" w:cs="Times New Roman"/>
          <w:sz w:val="24"/>
          <w:szCs w:val="24"/>
          <w:lang w:eastAsia="en-GB"/>
        </w:rPr>
        <w:t xml:space="preserve"> following ingestion, is examined to put the plant's dual identity — remedy and hazard at once — into proper context. Emerging applications in green nanoparticle synthesis and </w:t>
      </w:r>
      <w:r w:rsidRPr="007775D0">
        <w:rPr>
          <w:rFonts w:ascii="Times New Roman" w:eastAsia="Times New Roman" w:hAnsi="Times New Roman" w:cs="Times New Roman"/>
          <w:i/>
          <w:iCs/>
          <w:color w:val="FF0000"/>
          <w:sz w:val="24"/>
          <w:szCs w:val="24"/>
          <w:lang w:eastAsia="en-GB"/>
        </w:rPr>
        <w:t>in silico</w:t>
      </w:r>
      <w:r w:rsidRPr="00875933">
        <w:rPr>
          <w:rFonts w:ascii="Times New Roman" w:eastAsia="Times New Roman" w:hAnsi="Times New Roman" w:cs="Times New Roman"/>
          <w:sz w:val="24"/>
          <w:szCs w:val="24"/>
          <w:lang w:eastAsia="en-GB"/>
        </w:rPr>
        <w:t xml:space="preserve"> drug discovery, including docking studies implicating compounds such as </w:t>
      </w:r>
      <w:proofErr w:type="spellStart"/>
      <w:r w:rsidRPr="00875933">
        <w:rPr>
          <w:rFonts w:ascii="Times New Roman" w:eastAsia="Times New Roman" w:hAnsi="Times New Roman" w:cs="Times New Roman"/>
          <w:sz w:val="24"/>
          <w:szCs w:val="24"/>
          <w:lang w:eastAsia="en-GB"/>
        </w:rPr>
        <w:t>corilagin</w:t>
      </w:r>
      <w:proofErr w:type="spellEnd"/>
      <w:r w:rsidRPr="00875933">
        <w:rPr>
          <w:rFonts w:ascii="Times New Roman" w:eastAsia="Times New Roman" w:hAnsi="Times New Roman" w:cs="Times New Roman"/>
          <w:sz w:val="24"/>
          <w:szCs w:val="24"/>
          <w:lang w:eastAsia="en-GB"/>
        </w:rPr>
        <w:t xml:space="preserve">, are discussed as promising but still preliminary lines of work. The review concludes that </w:t>
      </w:r>
      <w:r w:rsidRPr="00875933">
        <w:rPr>
          <w:rFonts w:ascii="Times New Roman" w:eastAsia="Times New Roman" w:hAnsi="Times New Roman" w:cs="Times New Roman"/>
          <w:i/>
          <w:iCs/>
          <w:sz w:val="24"/>
          <w:szCs w:val="24"/>
          <w:lang w:eastAsia="en-GB"/>
        </w:rPr>
        <w:t>A. indica</w:t>
      </w:r>
      <w:r w:rsidRPr="00875933">
        <w:rPr>
          <w:rFonts w:ascii="Times New Roman" w:eastAsia="Times New Roman" w:hAnsi="Times New Roman" w:cs="Times New Roman"/>
          <w:sz w:val="24"/>
          <w:szCs w:val="24"/>
          <w:lang w:eastAsia="en-GB"/>
        </w:rPr>
        <w:t xml:space="preserve"> possesses a biologically plausible and reproducibly demonstrated multi-target pharmacological profile, but that the field remains held back by inconsistent extract characterisation, an almost complete absence of controlled human trials, and insufficient attention, in much of the pharmacological literature, to the cyanogenic risk inherent in raw plant material. Priorities for future work — standardisation, pharmacokinetic characterisation and properly designed clinical evaluation — are set out in closing.</w:t>
      </w:r>
    </w:p>
    <w:p w14:paraId="5F73FDC4" w14:textId="77777777" w:rsidR="00426A47" w:rsidRPr="00875933" w:rsidRDefault="00426A47" w:rsidP="00426A47">
      <w:pPr>
        <w:spacing w:before="100" w:beforeAutospacing="1" w:after="100" w:afterAutospacing="1" w:line="240" w:lineRule="auto"/>
        <w:rPr>
          <w:rFonts w:ascii="Times New Roman" w:eastAsia="Times New Roman" w:hAnsi="Times New Roman" w:cs="Times New Roman"/>
          <w:sz w:val="24"/>
          <w:szCs w:val="24"/>
          <w:lang w:eastAsia="en-GB"/>
        </w:rPr>
      </w:pPr>
      <w:r w:rsidRPr="00875933">
        <w:rPr>
          <w:rFonts w:ascii="Times New Roman" w:eastAsia="Times New Roman" w:hAnsi="Times New Roman" w:cs="Times New Roman"/>
          <w:b/>
          <w:bCs/>
          <w:sz w:val="24"/>
          <w:szCs w:val="24"/>
          <w:lang w:eastAsia="en-GB"/>
        </w:rPr>
        <w:t>Keywords:</w:t>
      </w:r>
      <w:r w:rsidRPr="00875933">
        <w:rPr>
          <w:rFonts w:ascii="Times New Roman" w:eastAsia="Times New Roman" w:hAnsi="Times New Roman" w:cs="Times New Roman"/>
          <w:sz w:val="24"/>
          <w:szCs w:val="24"/>
          <w:lang w:eastAsia="en-GB"/>
        </w:rPr>
        <w:t xml:space="preserve"> </w:t>
      </w:r>
      <w:r w:rsidRPr="00875933">
        <w:rPr>
          <w:rFonts w:ascii="Times New Roman" w:eastAsia="Times New Roman" w:hAnsi="Times New Roman" w:cs="Times New Roman"/>
          <w:i/>
          <w:iCs/>
          <w:sz w:val="24"/>
          <w:szCs w:val="24"/>
          <w:lang w:eastAsia="en-GB"/>
        </w:rPr>
        <w:t>Acalypha indica</w:t>
      </w:r>
      <w:r w:rsidRPr="00875933">
        <w:rPr>
          <w:rFonts w:ascii="Times New Roman" w:eastAsia="Times New Roman" w:hAnsi="Times New Roman" w:cs="Times New Roman"/>
          <w:sz w:val="24"/>
          <w:szCs w:val="24"/>
          <w:lang w:eastAsia="en-GB"/>
        </w:rPr>
        <w:t xml:space="preserve">; </w:t>
      </w:r>
      <w:proofErr w:type="spellStart"/>
      <w:r w:rsidRPr="00875933">
        <w:rPr>
          <w:rFonts w:ascii="Times New Roman" w:eastAsia="Times New Roman" w:hAnsi="Times New Roman" w:cs="Times New Roman"/>
          <w:sz w:val="24"/>
          <w:szCs w:val="24"/>
          <w:lang w:eastAsia="en-GB"/>
        </w:rPr>
        <w:t>Euphorbiaceae</w:t>
      </w:r>
      <w:proofErr w:type="spellEnd"/>
      <w:r w:rsidRPr="00875933">
        <w:rPr>
          <w:rFonts w:ascii="Times New Roman" w:eastAsia="Times New Roman" w:hAnsi="Times New Roman" w:cs="Times New Roman"/>
          <w:sz w:val="24"/>
          <w:szCs w:val="24"/>
          <w:lang w:eastAsia="en-GB"/>
        </w:rPr>
        <w:t xml:space="preserve">; cyanogenic glycoside; </w:t>
      </w:r>
      <w:proofErr w:type="spellStart"/>
      <w:r w:rsidRPr="00875933">
        <w:rPr>
          <w:rFonts w:ascii="Times New Roman" w:eastAsia="Times New Roman" w:hAnsi="Times New Roman" w:cs="Times New Roman"/>
          <w:sz w:val="24"/>
          <w:szCs w:val="24"/>
          <w:lang w:eastAsia="en-GB"/>
        </w:rPr>
        <w:t>acalyphin</w:t>
      </w:r>
      <w:proofErr w:type="spellEnd"/>
      <w:r w:rsidRPr="00875933">
        <w:rPr>
          <w:rFonts w:ascii="Times New Roman" w:eastAsia="Times New Roman" w:hAnsi="Times New Roman" w:cs="Times New Roman"/>
          <w:sz w:val="24"/>
          <w:szCs w:val="24"/>
          <w:lang w:eastAsia="en-GB"/>
        </w:rPr>
        <w:t>; ethnopharmacology; phytochemistry; antioxidant activity; green nanoparticle synthesis</w:t>
      </w:r>
    </w:p>
    <w:p w14:paraId="7FDB282F" w14:textId="77777777" w:rsidR="00426A47" w:rsidRPr="00875933" w:rsidRDefault="00426A47" w:rsidP="00426A47">
      <w:pPr>
        <w:spacing w:after="0" w:line="240" w:lineRule="auto"/>
        <w:rPr>
          <w:rFonts w:ascii="Times New Roman" w:eastAsia="Times New Roman" w:hAnsi="Times New Roman" w:cs="Times New Roman"/>
          <w:sz w:val="24"/>
          <w:szCs w:val="24"/>
          <w:lang w:eastAsia="en-GB"/>
        </w:rPr>
      </w:pPr>
    </w:p>
    <w:p w14:paraId="15A18711" w14:textId="77777777" w:rsidR="00426A47" w:rsidRPr="00875933" w:rsidRDefault="00426A47" w:rsidP="00426A47">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875933">
        <w:rPr>
          <w:rFonts w:ascii="Times New Roman" w:eastAsia="Times New Roman" w:hAnsi="Times New Roman" w:cs="Times New Roman"/>
          <w:b/>
          <w:bCs/>
          <w:sz w:val="27"/>
          <w:szCs w:val="27"/>
          <w:lang w:eastAsia="en-GB"/>
        </w:rPr>
        <w:t>1. Introduction</w:t>
      </w:r>
    </w:p>
    <w:p w14:paraId="70C7518B" w14:textId="51081E25" w:rsidR="00426A47" w:rsidRPr="00875933" w:rsidRDefault="00426A47" w:rsidP="00426A47">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875933">
        <w:rPr>
          <w:rFonts w:ascii="Times New Roman" w:eastAsia="Times New Roman" w:hAnsi="Times New Roman" w:cs="Times New Roman"/>
          <w:b/>
          <w:bCs/>
          <w:sz w:val="24"/>
          <w:szCs w:val="24"/>
          <w:lang w:eastAsia="en-GB"/>
        </w:rPr>
        <w:t xml:space="preserve">1.1 </w:t>
      </w:r>
      <w:r w:rsidRPr="00FA5FE0">
        <w:rPr>
          <w:rFonts w:ascii="Times New Roman" w:eastAsia="Times New Roman" w:hAnsi="Times New Roman" w:cs="Times New Roman"/>
          <w:b/>
          <w:bCs/>
          <w:dstrike/>
          <w:sz w:val="24"/>
          <w:szCs w:val="24"/>
          <w:lang w:eastAsia="en-GB"/>
        </w:rPr>
        <w:t>Botanical identity, taxonomy and morphology</w:t>
      </w:r>
      <w:r w:rsidR="00FA5FE0">
        <w:rPr>
          <w:rFonts w:ascii="Times New Roman" w:eastAsia="Times New Roman" w:hAnsi="Times New Roman" w:cs="Times New Roman"/>
          <w:b/>
          <w:bCs/>
          <w:sz w:val="24"/>
          <w:szCs w:val="24"/>
          <w:lang w:eastAsia="en-GB"/>
        </w:rPr>
        <w:t xml:space="preserve"> </w:t>
      </w:r>
      <w:r w:rsidR="00FA5FE0" w:rsidRPr="00875933">
        <w:rPr>
          <w:rFonts w:ascii="Times New Roman" w:eastAsia="Times New Roman" w:hAnsi="Times New Roman" w:cs="Times New Roman"/>
          <w:b/>
          <w:bCs/>
          <w:sz w:val="24"/>
          <w:szCs w:val="24"/>
          <w:lang w:eastAsia="en-GB"/>
        </w:rPr>
        <w:t xml:space="preserve">Botanical </w:t>
      </w:r>
      <w:r w:rsidR="00FA5FE0" w:rsidRPr="00FA5FE0">
        <w:rPr>
          <w:rFonts w:ascii="Times New Roman" w:eastAsia="Times New Roman" w:hAnsi="Times New Roman" w:cs="Times New Roman"/>
          <w:b/>
          <w:bCs/>
          <w:color w:val="FF0000"/>
          <w:sz w:val="24"/>
          <w:szCs w:val="24"/>
          <w:lang w:eastAsia="en-GB"/>
        </w:rPr>
        <w:t>I</w:t>
      </w:r>
      <w:r w:rsidR="00FA5FE0" w:rsidRPr="00875933">
        <w:rPr>
          <w:rFonts w:ascii="Times New Roman" w:eastAsia="Times New Roman" w:hAnsi="Times New Roman" w:cs="Times New Roman"/>
          <w:b/>
          <w:bCs/>
          <w:sz w:val="24"/>
          <w:szCs w:val="24"/>
          <w:lang w:eastAsia="en-GB"/>
        </w:rPr>
        <w:t xml:space="preserve">dentity, </w:t>
      </w:r>
      <w:r w:rsidR="00FA5FE0" w:rsidRPr="00FA5FE0">
        <w:rPr>
          <w:rFonts w:ascii="Times New Roman" w:eastAsia="Times New Roman" w:hAnsi="Times New Roman" w:cs="Times New Roman"/>
          <w:b/>
          <w:bCs/>
          <w:color w:val="FF0000"/>
          <w:sz w:val="24"/>
          <w:szCs w:val="24"/>
          <w:lang w:eastAsia="en-GB"/>
        </w:rPr>
        <w:t>T</w:t>
      </w:r>
      <w:r w:rsidR="00FA5FE0" w:rsidRPr="00875933">
        <w:rPr>
          <w:rFonts w:ascii="Times New Roman" w:eastAsia="Times New Roman" w:hAnsi="Times New Roman" w:cs="Times New Roman"/>
          <w:b/>
          <w:bCs/>
          <w:sz w:val="24"/>
          <w:szCs w:val="24"/>
          <w:lang w:eastAsia="en-GB"/>
        </w:rPr>
        <w:t xml:space="preserve">axonomy and </w:t>
      </w:r>
      <w:r w:rsidR="00FA5FE0" w:rsidRPr="00FA5FE0">
        <w:rPr>
          <w:rFonts w:ascii="Times New Roman" w:eastAsia="Times New Roman" w:hAnsi="Times New Roman" w:cs="Times New Roman"/>
          <w:b/>
          <w:bCs/>
          <w:color w:val="FF0000"/>
          <w:sz w:val="24"/>
          <w:szCs w:val="24"/>
          <w:lang w:eastAsia="en-GB"/>
        </w:rPr>
        <w:t>M</w:t>
      </w:r>
      <w:r w:rsidR="00FA5FE0" w:rsidRPr="00875933">
        <w:rPr>
          <w:rFonts w:ascii="Times New Roman" w:eastAsia="Times New Roman" w:hAnsi="Times New Roman" w:cs="Times New Roman"/>
          <w:b/>
          <w:bCs/>
          <w:sz w:val="24"/>
          <w:szCs w:val="24"/>
          <w:lang w:eastAsia="en-GB"/>
        </w:rPr>
        <w:t>orphology</w:t>
      </w:r>
    </w:p>
    <w:p w14:paraId="29902E72" w14:textId="7AC4C849" w:rsidR="00426A47" w:rsidRPr="00875933" w:rsidRDefault="00426A47" w:rsidP="00426A47">
      <w:pPr>
        <w:spacing w:before="100" w:beforeAutospacing="1" w:after="100" w:afterAutospacing="1" w:line="240" w:lineRule="auto"/>
        <w:rPr>
          <w:rFonts w:ascii="Times New Roman" w:eastAsia="Times New Roman" w:hAnsi="Times New Roman" w:cs="Times New Roman"/>
          <w:sz w:val="24"/>
          <w:szCs w:val="24"/>
          <w:lang w:eastAsia="en-GB"/>
        </w:rPr>
      </w:pPr>
      <w:r w:rsidRPr="00875933">
        <w:rPr>
          <w:rFonts w:ascii="Times New Roman" w:eastAsia="Times New Roman" w:hAnsi="Times New Roman" w:cs="Times New Roman"/>
          <w:i/>
          <w:iCs/>
          <w:sz w:val="24"/>
          <w:szCs w:val="24"/>
          <w:lang w:eastAsia="en-GB"/>
        </w:rPr>
        <w:t>Acalypha indica</w:t>
      </w:r>
      <w:r w:rsidRPr="00875933">
        <w:rPr>
          <w:rFonts w:ascii="Times New Roman" w:eastAsia="Times New Roman" w:hAnsi="Times New Roman" w:cs="Times New Roman"/>
          <w:sz w:val="24"/>
          <w:szCs w:val="24"/>
          <w:lang w:eastAsia="en-GB"/>
        </w:rPr>
        <w:t xml:space="preserve"> L. is a small, erect, annual or short-lived perennial herb of the family </w:t>
      </w:r>
      <w:proofErr w:type="spellStart"/>
      <w:r w:rsidRPr="00875933">
        <w:rPr>
          <w:rFonts w:ascii="Times New Roman" w:eastAsia="Times New Roman" w:hAnsi="Times New Roman" w:cs="Times New Roman"/>
          <w:sz w:val="24"/>
          <w:szCs w:val="24"/>
          <w:lang w:eastAsia="en-GB"/>
        </w:rPr>
        <w:t>Euphorbiaceae</w:t>
      </w:r>
      <w:proofErr w:type="spellEnd"/>
      <w:r w:rsidRPr="00875933">
        <w:rPr>
          <w:rFonts w:ascii="Times New Roman" w:eastAsia="Times New Roman" w:hAnsi="Times New Roman" w:cs="Times New Roman"/>
          <w:sz w:val="24"/>
          <w:szCs w:val="24"/>
          <w:lang w:eastAsia="en-GB"/>
        </w:rPr>
        <w:t>. Within its own genus it is most readily distinguished by the cup-shaped, toothed bracts that subtend the inconspicuous female flowers strung along an axillary spike (</w:t>
      </w:r>
      <w:proofErr w:type="spellStart"/>
      <w:r w:rsidRPr="00875933">
        <w:rPr>
          <w:rFonts w:ascii="Times New Roman" w:eastAsia="Times New Roman" w:hAnsi="Times New Roman" w:cs="Times New Roman"/>
          <w:sz w:val="24"/>
          <w:szCs w:val="24"/>
          <w:lang w:eastAsia="en-GB"/>
        </w:rPr>
        <w:t>Zahidin</w:t>
      </w:r>
      <w:proofErr w:type="spellEnd"/>
      <w:r w:rsidRPr="00875933">
        <w:rPr>
          <w:rFonts w:ascii="Times New Roman" w:eastAsia="Times New Roman" w:hAnsi="Times New Roman" w:cs="Times New Roman"/>
          <w:sz w:val="24"/>
          <w:szCs w:val="24"/>
          <w:lang w:eastAsia="en-GB"/>
        </w:rPr>
        <w:t xml:space="preserve"> et al., 2017). </w:t>
      </w:r>
      <w:r w:rsidRPr="00875933">
        <w:rPr>
          <w:rFonts w:ascii="Times New Roman" w:eastAsia="Times New Roman" w:hAnsi="Times New Roman" w:cs="Times New Roman"/>
          <w:i/>
          <w:iCs/>
          <w:sz w:val="24"/>
          <w:szCs w:val="24"/>
          <w:lang w:eastAsia="en-GB"/>
        </w:rPr>
        <w:t>Acalypha</w:t>
      </w:r>
      <w:r w:rsidRPr="00875933">
        <w:rPr>
          <w:rFonts w:ascii="Times New Roman" w:eastAsia="Times New Roman" w:hAnsi="Times New Roman" w:cs="Times New Roman"/>
          <w:sz w:val="24"/>
          <w:szCs w:val="24"/>
          <w:lang w:eastAsia="en-GB"/>
        </w:rPr>
        <w:t xml:space="preserve"> itself is, by most accounts, the fourth largest genus within </w:t>
      </w:r>
      <w:proofErr w:type="spellStart"/>
      <w:r w:rsidRPr="00875933">
        <w:rPr>
          <w:rFonts w:ascii="Times New Roman" w:eastAsia="Times New Roman" w:hAnsi="Times New Roman" w:cs="Times New Roman"/>
          <w:sz w:val="24"/>
          <w:szCs w:val="24"/>
          <w:lang w:eastAsia="en-GB"/>
        </w:rPr>
        <w:lastRenderedPageBreak/>
        <w:t>Euphorbiaceae</w:t>
      </w:r>
      <w:proofErr w:type="spellEnd"/>
      <w:r w:rsidRPr="00875933">
        <w:rPr>
          <w:rFonts w:ascii="Times New Roman" w:eastAsia="Times New Roman" w:hAnsi="Times New Roman" w:cs="Times New Roman"/>
          <w:sz w:val="24"/>
          <w:szCs w:val="24"/>
          <w:lang w:eastAsia="en-GB"/>
        </w:rPr>
        <w:t xml:space="preserve">, running to several hundred species spread across tropical and subtropical Asia, Africa and the Americas, of which only a small fraction </w:t>
      </w:r>
      <w:r w:rsidRPr="007A7469">
        <w:rPr>
          <w:rFonts w:ascii="Times New Roman" w:eastAsia="Times New Roman" w:hAnsi="Times New Roman" w:cs="Times New Roman"/>
          <w:dstrike/>
          <w:color w:val="FF0000"/>
          <w:sz w:val="24"/>
          <w:szCs w:val="24"/>
          <w:lang w:eastAsia="en-GB"/>
        </w:rPr>
        <w:t>have</w:t>
      </w:r>
      <w:r w:rsidRPr="00875933">
        <w:rPr>
          <w:rFonts w:ascii="Times New Roman" w:eastAsia="Times New Roman" w:hAnsi="Times New Roman" w:cs="Times New Roman"/>
          <w:sz w:val="24"/>
          <w:szCs w:val="24"/>
          <w:lang w:eastAsia="en-GB"/>
        </w:rPr>
        <w:t xml:space="preserve"> </w:t>
      </w:r>
      <w:proofErr w:type="gramStart"/>
      <w:r w:rsidR="007A7469" w:rsidRPr="007A7469">
        <w:rPr>
          <w:rFonts w:ascii="Times New Roman" w:eastAsia="Times New Roman" w:hAnsi="Times New Roman" w:cs="Times New Roman"/>
          <w:color w:val="7030A0"/>
          <w:sz w:val="24"/>
          <w:szCs w:val="24"/>
          <w:lang w:eastAsia="en-GB"/>
        </w:rPr>
        <w:t>has</w:t>
      </w:r>
      <w:proofErr w:type="gramEnd"/>
      <w:r w:rsidR="007A7469">
        <w:rPr>
          <w:rFonts w:ascii="Times New Roman" w:eastAsia="Times New Roman" w:hAnsi="Times New Roman" w:cs="Times New Roman"/>
          <w:sz w:val="24"/>
          <w:szCs w:val="24"/>
          <w:lang w:eastAsia="en-GB"/>
        </w:rPr>
        <w:t xml:space="preserve"> </w:t>
      </w:r>
      <w:r w:rsidRPr="00875933">
        <w:rPr>
          <w:rFonts w:ascii="Times New Roman" w:eastAsia="Times New Roman" w:hAnsi="Times New Roman" w:cs="Times New Roman"/>
          <w:sz w:val="24"/>
          <w:szCs w:val="24"/>
          <w:lang w:eastAsia="en-GB"/>
        </w:rPr>
        <w:t xml:space="preserve">ever been subjected to systematic phytochemical scrutiny (Seebaluck et al., 2015). </w:t>
      </w:r>
      <w:r w:rsidRPr="00875933">
        <w:rPr>
          <w:rFonts w:ascii="Times New Roman" w:eastAsia="Times New Roman" w:hAnsi="Times New Roman" w:cs="Times New Roman"/>
          <w:i/>
          <w:iCs/>
          <w:sz w:val="24"/>
          <w:szCs w:val="24"/>
          <w:lang w:eastAsia="en-GB"/>
        </w:rPr>
        <w:t>A. indica</w:t>
      </w:r>
      <w:r w:rsidRPr="00875933">
        <w:rPr>
          <w:rFonts w:ascii="Times New Roman" w:eastAsia="Times New Roman" w:hAnsi="Times New Roman" w:cs="Times New Roman"/>
          <w:sz w:val="24"/>
          <w:szCs w:val="24"/>
          <w:lang w:eastAsia="en-GB"/>
        </w:rPr>
        <w:t xml:space="preserve"> is identified in the field by its softly pubescent, ovate-to-rhomboid leaves, slender angular stems, and unisexual flowers carried on a single inflorescence axis. It is precisely this morphological plainness, paired with a weedy habit on disturbed ground and field margins, that has long obscured the plant's medicinal significance relative to more visually arresting ornamental or arborescent relatives within the genus (</w:t>
      </w:r>
      <w:proofErr w:type="spellStart"/>
      <w:r w:rsidRPr="00875933">
        <w:rPr>
          <w:rFonts w:ascii="Times New Roman" w:eastAsia="Times New Roman" w:hAnsi="Times New Roman" w:cs="Times New Roman"/>
          <w:sz w:val="24"/>
          <w:szCs w:val="24"/>
          <w:lang w:eastAsia="en-GB"/>
        </w:rPr>
        <w:t>Zahidin</w:t>
      </w:r>
      <w:proofErr w:type="spellEnd"/>
      <w:r w:rsidRPr="00875933">
        <w:rPr>
          <w:rFonts w:ascii="Times New Roman" w:eastAsia="Times New Roman" w:hAnsi="Times New Roman" w:cs="Times New Roman"/>
          <w:sz w:val="24"/>
          <w:szCs w:val="24"/>
          <w:lang w:eastAsia="en-GB"/>
        </w:rPr>
        <w:t xml:space="preserve"> et al., 2017).</w:t>
      </w:r>
    </w:p>
    <w:p w14:paraId="1B528317" w14:textId="77777777" w:rsidR="00426A47" w:rsidRPr="00875933" w:rsidRDefault="00426A47" w:rsidP="00426A47">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875933">
        <w:rPr>
          <w:rFonts w:ascii="Times New Roman" w:eastAsia="Times New Roman" w:hAnsi="Times New Roman" w:cs="Times New Roman"/>
          <w:b/>
          <w:bCs/>
          <w:sz w:val="24"/>
          <w:szCs w:val="24"/>
          <w:lang w:eastAsia="en-GB"/>
        </w:rPr>
        <w:t>1.2 Ethnomedicinal context and traditional applications</w:t>
      </w:r>
    </w:p>
    <w:p w14:paraId="477BBB42" w14:textId="77777777" w:rsidR="00426A47" w:rsidRPr="00875933" w:rsidRDefault="00426A47" w:rsidP="00426A47">
      <w:pPr>
        <w:spacing w:before="100" w:beforeAutospacing="1" w:after="100" w:afterAutospacing="1" w:line="240" w:lineRule="auto"/>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 xml:space="preserve">Within South and Southeast Asian traditional medicine — and particularly the Siddha and Ayurvedic systems of southern India — </w:t>
      </w:r>
      <w:r w:rsidRPr="00875933">
        <w:rPr>
          <w:rFonts w:ascii="Times New Roman" w:eastAsia="Times New Roman" w:hAnsi="Times New Roman" w:cs="Times New Roman"/>
          <w:i/>
          <w:iCs/>
          <w:sz w:val="24"/>
          <w:szCs w:val="24"/>
          <w:lang w:eastAsia="en-GB"/>
        </w:rPr>
        <w:t>A. indica</w:t>
      </w:r>
      <w:r w:rsidRPr="00875933">
        <w:rPr>
          <w:rFonts w:ascii="Times New Roman" w:eastAsia="Times New Roman" w:hAnsi="Times New Roman" w:cs="Times New Roman"/>
          <w:sz w:val="24"/>
          <w:szCs w:val="24"/>
          <w:lang w:eastAsia="en-GB"/>
        </w:rPr>
        <w:t xml:space="preserve">, known locally as </w:t>
      </w:r>
      <w:proofErr w:type="spellStart"/>
      <w:r w:rsidRPr="00875933">
        <w:rPr>
          <w:rFonts w:ascii="Times New Roman" w:eastAsia="Times New Roman" w:hAnsi="Times New Roman" w:cs="Times New Roman"/>
          <w:sz w:val="24"/>
          <w:szCs w:val="24"/>
          <w:lang w:eastAsia="en-GB"/>
        </w:rPr>
        <w:t>kuppaimeni</w:t>
      </w:r>
      <w:proofErr w:type="spellEnd"/>
      <w:r w:rsidRPr="00875933">
        <w:rPr>
          <w:rFonts w:ascii="Times New Roman" w:eastAsia="Times New Roman" w:hAnsi="Times New Roman" w:cs="Times New Roman"/>
          <w:sz w:val="24"/>
          <w:szCs w:val="24"/>
          <w:lang w:eastAsia="en-GB"/>
        </w:rPr>
        <w:t xml:space="preserve"> or Indian copperleaf, occupies a position of remarkable therapeutic versatility. Recorded uses range from anthelmintic, expectorant, laxative and emetic applications to topical treatment of scabies, eczema, wounds and insect bites, and internal use against asthma, bronchitis and pneumonia (</w:t>
      </w:r>
      <w:proofErr w:type="spellStart"/>
      <w:r w:rsidRPr="00875933">
        <w:rPr>
          <w:rFonts w:ascii="Times New Roman" w:eastAsia="Times New Roman" w:hAnsi="Times New Roman" w:cs="Times New Roman"/>
          <w:sz w:val="24"/>
          <w:szCs w:val="24"/>
          <w:lang w:eastAsia="en-GB"/>
        </w:rPr>
        <w:t>Zahidin</w:t>
      </w:r>
      <w:proofErr w:type="spellEnd"/>
      <w:r w:rsidRPr="00875933">
        <w:rPr>
          <w:rFonts w:ascii="Times New Roman" w:eastAsia="Times New Roman" w:hAnsi="Times New Roman" w:cs="Times New Roman"/>
          <w:sz w:val="24"/>
          <w:szCs w:val="24"/>
          <w:lang w:eastAsia="en-GB"/>
        </w:rPr>
        <w:t xml:space="preserve"> et al., 2017; Seebaluck et al., 2015). Strikingly similar uses recur for related </w:t>
      </w:r>
      <w:r w:rsidRPr="00875933">
        <w:rPr>
          <w:rFonts w:ascii="Times New Roman" w:eastAsia="Times New Roman" w:hAnsi="Times New Roman" w:cs="Times New Roman"/>
          <w:i/>
          <w:iCs/>
          <w:sz w:val="24"/>
          <w:szCs w:val="24"/>
          <w:lang w:eastAsia="en-GB"/>
        </w:rPr>
        <w:t>Acalypha</w:t>
      </w:r>
      <w:r w:rsidRPr="00875933">
        <w:rPr>
          <w:rFonts w:ascii="Times New Roman" w:eastAsia="Times New Roman" w:hAnsi="Times New Roman" w:cs="Times New Roman"/>
          <w:sz w:val="24"/>
          <w:szCs w:val="24"/>
          <w:lang w:eastAsia="en-GB"/>
        </w:rPr>
        <w:t xml:space="preserve"> species across the wider African and Mascarene ethnomedical record, which hints at a degree of convergent ethnobotanical selection across otherwise unconnected traditional systems — plausibly because related species share, at least in part, a similar phytochemical signature (Seebaluck et al., 2015). This pattern sits within the much larger global picture of reliance on botanical remedies that the World Health Organization has spent decades trying to document, regulate and, where the evidence allows, fold into formal health systems (World Health Organization [WHO], 2013).</w:t>
      </w:r>
    </w:p>
    <w:p w14:paraId="70CBABC4" w14:textId="77777777" w:rsidR="00426A47" w:rsidRPr="00875933" w:rsidRDefault="00426A47" w:rsidP="00426A47">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875933">
        <w:rPr>
          <w:rFonts w:ascii="Times New Roman" w:eastAsia="Times New Roman" w:hAnsi="Times New Roman" w:cs="Times New Roman"/>
          <w:b/>
          <w:bCs/>
          <w:sz w:val="24"/>
          <w:szCs w:val="24"/>
          <w:lang w:eastAsia="en-GB"/>
        </w:rPr>
        <w:t>1.3 Distribution, ecology and contemporary relevance</w:t>
      </w:r>
    </w:p>
    <w:p w14:paraId="50896168" w14:textId="77777777" w:rsidR="00426A47" w:rsidRPr="00875933" w:rsidRDefault="00426A47" w:rsidP="00426A47">
      <w:pPr>
        <w:spacing w:before="100" w:beforeAutospacing="1" w:after="100" w:afterAutospacing="1" w:line="240" w:lineRule="auto"/>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The species is now effectively pantropical: it occurs throughout the Indian subcontinent, much of continental and insular Southeast Asia, parts of East and Central Africa, and, having been introduced, as a naturalised weed across tropical regions of the Americas and Oceania (</w:t>
      </w:r>
      <w:proofErr w:type="spellStart"/>
      <w:r w:rsidRPr="00875933">
        <w:rPr>
          <w:rFonts w:ascii="Times New Roman" w:eastAsia="Times New Roman" w:hAnsi="Times New Roman" w:cs="Times New Roman"/>
          <w:sz w:val="24"/>
          <w:szCs w:val="24"/>
          <w:lang w:eastAsia="en-GB"/>
        </w:rPr>
        <w:t>Zahidin</w:t>
      </w:r>
      <w:proofErr w:type="spellEnd"/>
      <w:r w:rsidRPr="00875933">
        <w:rPr>
          <w:rFonts w:ascii="Times New Roman" w:eastAsia="Times New Roman" w:hAnsi="Times New Roman" w:cs="Times New Roman"/>
          <w:sz w:val="24"/>
          <w:szCs w:val="24"/>
          <w:lang w:eastAsia="en-GB"/>
        </w:rPr>
        <w:t xml:space="preserve"> et al., 2017). Its tolerance of poor, disturbed soils and its short life cycle have made it agronomically negligible as a crop weed but ecologically convenient as a cheap, abundant source of biomass for phytochemical work — a combination that goes some way towards explaining why the preliminary screening literature so heavily outweighs studies that push through to mechanistic depth or clinical translation (Seebaluck et al., 2015). The current scientific interest in </w:t>
      </w:r>
      <w:r w:rsidRPr="00875933">
        <w:rPr>
          <w:rFonts w:ascii="Times New Roman" w:eastAsia="Times New Roman" w:hAnsi="Times New Roman" w:cs="Times New Roman"/>
          <w:i/>
          <w:iCs/>
          <w:sz w:val="24"/>
          <w:szCs w:val="24"/>
          <w:lang w:eastAsia="en-GB"/>
        </w:rPr>
        <w:t>A. indica</w:t>
      </w:r>
      <w:r w:rsidRPr="00875933">
        <w:rPr>
          <w:rFonts w:ascii="Times New Roman" w:eastAsia="Times New Roman" w:hAnsi="Times New Roman" w:cs="Times New Roman"/>
          <w:sz w:val="24"/>
          <w:szCs w:val="24"/>
          <w:lang w:eastAsia="en-GB"/>
        </w:rPr>
        <w:t xml:space="preserve"> should therefore be read against a wider revival of enthusiasm for plant-derived therapeutics, driven substantially by concern over antimicrobial resistance, by the side-effect burden associated with many synthetic pharmaceuticals, and by the search for low-cost interventions suited to resource-constrained health settings (WHO, 2013).</w:t>
      </w:r>
    </w:p>
    <w:p w14:paraId="416ABF81" w14:textId="77777777" w:rsidR="00426A47" w:rsidRPr="00875933" w:rsidRDefault="00426A47" w:rsidP="00426A47">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875933">
        <w:rPr>
          <w:rFonts w:ascii="Times New Roman" w:eastAsia="Times New Roman" w:hAnsi="Times New Roman" w:cs="Times New Roman"/>
          <w:b/>
          <w:bCs/>
          <w:sz w:val="24"/>
          <w:szCs w:val="24"/>
          <w:lang w:eastAsia="en-GB"/>
        </w:rPr>
        <w:t>1.4 Scope and objectives of this review</w:t>
      </w:r>
    </w:p>
    <w:p w14:paraId="374180D8" w14:textId="77777777" w:rsidR="00426A47" w:rsidRPr="00875933" w:rsidRDefault="00426A47" w:rsidP="00426A47">
      <w:pPr>
        <w:spacing w:before="100" w:beforeAutospacing="1" w:after="100" w:afterAutospacing="1" w:line="240" w:lineRule="auto"/>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 xml:space="preserve">This article offers a critical, narrative synthesis of the published phytochemical and pharmacological literature on </w:t>
      </w:r>
      <w:r w:rsidRPr="00875933">
        <w:rPr>
          <w:rFonts w:ascii="Times New Roman" w:eastAsia="Times New Roman" w:hAnsi="Times New Roman" w:cs="Times New Roman"/>
          <w:i/>
          <w:iCs/>
          <w:sz w:val="24"/>
          <w:szCs w:val="24"/>
          <w:lang w:eastAsia="en-GB"/>
        </w:rPr>
        <w:t>A. indica</w:t>
      </w:r>
      <w:r w:rsidRPr="00875933">
        <w:rPr>
          <w:rFonts w:ascii="Times New Roman" w:eastAsia="Times New Roman" w:hAnsi="Times New Roman" w:cs="Times New Roman"/>
          <w:sz w:val="24"/>
          <w:szCs w:val="24"/>
          <w:lang w:eastAsia="en-GB"/>
        </w:rPr>
        <w:t xml:space="preserve">, with three aims in mind. First, it brings together current </w:t>
      </w:r>
      <w:r w:rsidRPr="009D6D41">
        <w:rPr>
          <w:rFonts w:ascii="Times New Roman" w:eastAsia="Times New Roman" w:hAnsi="Times New Roman" w:cs="Times New Roman"/>
          <w:sz w:val="24"/>
          <w:szCs w:val="24"/>
          <w:lang w:eastAsia="en-GB"/>
        </w:rPr>
        <w:t>knowledge of the plant's major secondary metabolite classes</w:t>
      </w:r>
      <w:r w:rsidRPr="00875933">
        <w:rPr>
          <w:rFonts w:ascii="Times New Roman" w:eastAsia="Times New Roman" w:hAnsi="Times New Roman" w:cs="Times New Roman"/>
          <w:sz w:val="24"/>
          <w:szCs w:val="24"/>
          <w:lang w:eastAsia="en-GB"/>
        </w:rPr>
        <w:t xml:space="preserve"> — the cyanogenic </w:t>
      </w:r>
      <w:proofErr w:type="spellStart"/>
      <w:r w:rsidRPr="00875933">
        <w:rPr>
          <w:rFonts w:ascii="Times New Roman" w:eastAsia="Times New Roman" w:hAnsi="Times New Roman" w:cs="Times New Roman"/>
          <w:sz w:val="24"/>
          <w:szCs w:val="24"/>
          <w:lang w:eastAsia="en-GB"/>
        </w:rPr>
        <w:t>pyridone</w:t>
      </w:r>
      <w:proofErr w:type="spellEnd"/>
      <w:r w:rsidRPr="00875933">
        <w:rPr>
          <w:rFonts w:ascii="Times New Roman" w:eastAsia="Times New Roman" w:hAnsi="Times New Roman" w:cs="Times New Roman"/>
          <w:sz w:val="24"/>
          <w:szCs w:val="24"/>
          <w:lang w:eastAsia="en-GB"/>
        </w:rPr>
        <w:t xml:space="preserve"> glucosides, </w:t>
      </w:r>
      <w:proofErr w:type="spellStart"/>
      <w:r w:rsidRPr="00875933">
        <w:rPr>
          <w:rFonts w:ascii="Times New Roman" w:eastAsia="Times New Roman" w:hAnsi="Times New Roman" w:cs="Times New Roman"/>
          <w:sz w:val="24"/>
          <w:szCs w:val="24"/>
          <w:lang w:eastAsia="en-GB"/>
        </w:rPr>
        <w:t>flavonol</w:t>
      </w:r>
      <w:proofErr w:type="spellEnd"/>
      <w:r w:rsidRPr="00875933">
        <w:rPr>
          <w:rFonts w:ascii="Times New Roman" w:eastAsia="Times New Roman" w:hAnsi="Times New Roman" w:cs="Times New Roman"/>
          <w:sz w:val="24"/>
          <w:szCs w:val="24"/>
          <w:lang w:eastAsia="en-GB"/>
        </w:rPr>
        <w:t xml:space="preserve"> glycosides, tannins, and the minor alkaloidal and </w:t>
      </w:r>
      <w:proofErr w:type="spellStart"/>
      <w:r w:rsidRPr="00875933">
        <w:rPr>
          <w:rFonts w:ascii="Times New Roman" w:eastAsia="Times New Roman" w:hAnsi="Times New Roman" w:cs="Times New Roman"/>
          <w:sz w:val="24"/>
          <w:szCs w:val="24"/>
          <w:lang w:eastAsia="en-GB"/>
        </w:rPr>
        <w:t>terpenoidal</w:t>
      </w:r>
      <w:proofErr w:type="spellEnd"/>
      <w:r w:rsidRPr="00875933">
        <w:rPr>
          <w:rFonts w:ascii="Times New Roman" w:eastAsia="Times New Roman" w:hAnsi="Times New Roman" w:cs="Times New Roman"/>
          <w:sz w:val="24"/>
          <w:szCs w:val="24"/>
          <w:lang w:eastAsia="en-GB"/>
        </w:rPr>
        <w:t xml:space="preserve"> </w:t>
      </w:r>
      <w:r w:rsidRPr="009D6D41">
        <w:rPr>
          <w:rFonts w:ascii="Times New Roman" w:eastAsia="Times New Roman" w:hAnsi="Times New Roman" w:cs="Times New Roman"/>
          <w:sz w:val="24"/>
          <w:szCs w:val="24"/>
          <w:lang w:eastAsia="en-GB"/>
        </w:rPr>
        <w:t>constituents that together underpin its bioactivity</w:t>
      </w:r>
      <w:r w:rsidRPr="00875933">
        <w:rPr>
          <w:rFonts w:ascii="Times New Roman" w:eastAsia="Times New Roman" w:hAnsi="Times New Roman" w:cs="Times New Roman"/>
          <w:sz w:val="24"/>
          <w:szCs w:val="24"/>
          <w:lang w:eastAsia="en-GB"/>
        </w:rPr>
        <w:t xml:space="preserve">. Second, it critically weighs the evidence </w:t>
      </w:r>
      <w:r w:rsidRPr="009D6D41">
        <w:rPr>
          <w:rFonts w:ascii="Times New Roman" w:eastAsia="Times New Roman" w:hAnsi="Times New Roman" w:cs="Times New Roman"/>
          <w:sz w:val="24"/>
          <w:szCs w:val="24"/>
          <w:lang w:eastAsia="en-GB"/>
        </w:rPr>
        <w:t>for the plant's principal pharmacological properties</w:t>
      </w:r>
      <w:r w:rsidRPr="00875933">
        <w:rPr>
          <w:rFonts w:ascii="Times New Roman" w:eastAsia="Times New Roman" w:hAnsi="Times New Roman" w:cs="Times New Roman"/>
          <w:sz w:val="24"/>
          <w:szCs w:val="24"/>
          <w:lang w:eastAsia="en-GB"/>
        </w:rPr>
        <w:t xml:space="preserve"> — antioxidant, antimicrobial, anti-inflammatory, antidiabetic, anticancer, wound-healing, </w:t>
      </w:r>
      <w:proofErr w:type="spellStart"/>
      <w:r w:rsidRPr="00875933">
        <w:rPr>
          <w:rFonts w:ascii="Times New Roman" w:eastAsia="Times New Roman" w:hAnsi="Times New Roman" w:cs="Times New Roman"/>
          <w:sz w:val="24"/>
          <w:szCs w:val="24"/>
          <w:lang w:eastAsia="en-GB"/>
        </w:rPr>
        <w:t>antiasthmatic</w:t>
      </w:r>
      <w:proofErr w:type="spellEnd"/>
      <w:r w:rsidRPr="00875933">
        <w:rPr>
          <w:rFonts w:ascii="Times New Roman" w:eastAsia="Times New Roman" w:hAnsi="Times New Roman" w:cs="Times New Roman"/>
          <w:sz w:val="24"/>
          <w:szCs w:val="24"/>
          <w:lang w:eastAsia="en-GB"/>
        </w:rPr>
        <w:t xml:space="preserve">, neuroprotective and antiparasitic — paying close attention to study design, extract standardisation, and the degree </w:t>
      </w:r>
      <w:r w:rsidRPr="00875933">
        <w:rPr>
          <w:rFonts w:ascii="Times New Roman" w:eastAsia="Times New Roman" w:hAnsi="Times New Roman" w:cs="Times New Roman"/>
          <w:sz w:val="24"/>
          <w:szCs w:val="24"/>
          <w:lang w:eastAsia="en-GB"/>
        </w:rPr>
        <w:lastRenderedPageBreak/>
        <w:t>to which preclinical findings have, or have not, moved towards mechanistic clarity or clinical testing. Third, it places the plant's emerging nanotechnological and computational applications within this evidentiary landscape, and confronts the toxicological literature documenting the cyanogenic and haemolytic risks of raw plant ingestion. The intention throughout is to give researchers, clinicians and policymakers a balanced, critically appraised picture of where the science currently stands and where the most pressing gaps remain.</w:t>
      </w:r>
    </w:p>
    <w:p w14:paraId="66F8B529" w14:textId="77777777" w:rsidR="00426A47" w:rsidRPr="00875933" w:rsidRDefault="00426A47" w:rsidP="00426A47">
      <w:pPr>
        <w:spacing w:after="0" w:line="240" w:lineRule="auto"/>
        <w:rPr>
          <w:rFonts w:ascii="Times New Roman" w:eastAsia="Times New Roman" w:hAnsi="Times New Roman" w:cs="Times New Roman"/>
          <w:sz w:val="24"/>
          <w:szCs w:val="24"/>
          <w:lang w:eastAsia="en-GB"/>
        </w:rPr>
      </w:pPr>
    </w:p>
    <w:p w14:paraId="6E4AC5CD" w14:textId="77777777" w:rsidR="00426A47" w:rsidRPr="00875933" w:rsidRDefault="00426A47" w:rsidP="00426A47">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875933">
        <w:rPr>
          <w:rFonts w:ascii="Times New Roman" w:eastAsia="Times New Roman" w:hAnsi="Times New Roman" w:cs="Times New Roman"/>
          <w:b/>
          <w:bCs/>
          <w:sz w:val="27"/>
          <w:szCs w:val="27"/>
          <w:lang w:eastAsia="en-GB"/>
        </w:rPr>
        <w:t>2. Methods for Literature Selection</w:t>
      </w:r>
    </w:p>
    <w:p w14:paraId="4593367E" w14:textId="77777777" w:rsidR="00426A47" w:rsidRPr="00875933" w:rsidRDefault="00426A47" w:rsidP="00426A47">
      <w:pPr>
        <w:spacing w:before="100" w:beforeAutospacing="1" w:after="100" w:afterAutospacing="1" w:line="240" w:lineRule="auto"/>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 xml:space="preserve">This review takes a narrative rather than systematic approach, a choice driven by the sheer breadth and heterogeneity of the subject matter, which spans natural product chemistry, </w:t>
      </w:r>
      <w:r w:rsidRPr="007A7469">
        <w:rPr>
          <w:rFonts w:ascii="Times New Roman" w:eastAsia="Times New Roman" w:hAnsi="Times New Roman" w:cs="Times New Roman"/>
          <w:i/>
          <w:iCs/>
          <w:color w:val="FF0000"/>
          <w:sz w:val="24"/>
          <w:szCs w:val="24"/>
          <w:lang w:eastAsia="en-GB"/>
        </w:rPr>
        <w:t>in vitro</w:t>
      </w:r>
      <w:r w:rsidRPr="009938AF">
        <w:rPr>
          <w:rFonts w:ascii="Times New Roman" w:eastAsia="Times New Roman" w:hAnsi="Times New Roman" w:cs="Times New Roman"/>
          <w:color w:val="FF0000"/>
          <w:sz w:val="24"/>
          <w:szCs w:val="24"/>
          <w:lang w:eastAsia="en-GB"/>
        </w:rPr>
        <w:t xml:space="preserve"> </w:t>
      </w:r>
      <w:r w:rsidRPr="00875933">
        <w:rPr>
          <w:rFonts w:ascii="Times New Roman" w:eastAsia="Times New Roman" w:hAnsi="Times New Roman" w:cs="Times New Roman"/>
          <w:sz w:val="24"/>
          <w:szCs w:val="24"/>
          <w:lang w:eastAsia="en-GB"/>
        </w:rPr>
        <w:t xml:space="preserve">pharmacology, </w:t>
      </w:r>
      <w:r w:rsidRPr="007A7469">
        <w:rPr>
          <w:rFonts w:ascii="Times New Roman" w:eastAsia="Times New Roman" w:hAnsi="Times New Roman" w:cs="Times New Roman"/>
          <w:i/>
          <w:iCs/>
          <w:color w:val="FF0000"/>
          <w:sz w:val="24"/>
          <w:szCs w:val="24"/>
          <w:lang w:eastAsia="en-GB"/>
        </w:rPr>
        <w:t>in vivo</w:t>
      </w:r>
      <w:r w:rsidRPr="00875933">
        <w:rPr>
          <w:rFonts w:ascii="Times New Roman" w:eastAsia="Times New Roman" w:hAnsi="Times New Roman" w:cs="Times New Roman"/>
          <w:sz w:val="24"/>
          <w:szCs w:val="24"/>
          <w:lang w:eastAsia="en-GB"/>
        </w:rPr>
        <w:t xml:space="preserve"> animal experimentation, computational drug discovery, nanomaterials science and clinical toxicology. A systematic review, with its characteristic narrowing to a single, prespecified question and outcome set, is poorly suited to a topic where the object is to integrate disparate strands of evidence into a coherent account </w:t>
      </w:r>
      <w:r w:rsidRPr="009938AF">
        <w:rPr>
          <w:rFonts w:ascii="Times New Roman" w:eastAsia="Times New Roman" w:hAnsi="Times New Roman" w:cs="Times New Roman"/>
          <w:b/>
          <w:bCs/>
          <w:sz w:val="24"/>
          <w:szCs w:val="24"/>
          <w:lang w:eastAsia="en-GB"/>
        </w:rPr>
        <w:t>of one organism's chemistry and bioactivity</w:t>
      </w:r>
      <w:r w:rsidRPr="00875933">
        <w:rPr>
          <w:rFonts w:ascii="Times New Roman" w:eastAsia="Times New Roman" w:hAnsi="Times New Roman" w:cs="Times New Roman"/>
          <w:sz w:val="24"/>
          <w:szCs w:val="24"/>
          <w:lang w:eastAsia="en-GB"/>
        </w:rPr>
        <w:t>; a narrative review allows the flexible, interpretive synthesis this requires, while still permitting transparent reporting of how the search and selection were carried out (Sukhera, 2022).</w:t>
      </w:r>
    </w:p>
    <w:p w14:paraId="3B9E64B4" w14:textId="77777777" w:rsidR="00426A47" w:rsidRPr="00875933" w:rsidRDefault="00426A47" w:rsidP="00426A47">
      <w:pPr>
        <w:spacing w:before="100" w:beforeAutospacing="1" w:after="100" w:afterAutospacing="1" w:line="240" w:lineRule="auto"/>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 xml:space="preserve">Literature was retrieved from Web of Science, Scopus, PubMed and Google Scholar as the principal general biomedical and multidisciplinary databases, and supplemented by six field-specific indexing platforms chosen for their coverage of natural product chemistry, ethnopharmacology and tropical agriculture: the Directory of Open Access Journals (DOAJ), AGRICOLA, CAB Abstracts, </w:t>
      </w:r>
      <w:proofErr w:type="spellStart"/>
      <w:r w:rsidRPr="00875933">
        <w:rPr>
          <w:rFonts w:ascii="Times New Roman" w:eastAsia="Times New Roman" w:hAnsi="Times New Roman" w:cs="Times New Roman"/>
          <w:sz w:val="24"/>
          <w:szCs w:val="24"/>
          <w:lang w:eastAsia="en-GB"/>
        </w:rPr>
        <w:t>SciFinder</w:t>
      </w:r>
      <w:proofErr w:type="spellEnd"/>
      <w:r w:rsidRPr="00875933">
        <w:rPr>
          <w:rFonts w:ascii="Times New Roman" w:eastAsia="Times New Roman" w:hAnsi="Times New Roman" w:cs="Times New Roman"/>
          <w:sz w:val="24"/>
          <w:szCs w:val="24"/>
          <w:lang w:eastAsia="en-GB"/>
        </w:rPr>
        <w:t xml:space="preserve">, ScienceDirect, and the regional South Asian database </w:t>
      </w:r>
      <w:proofErr w:type="spellStart"/>
      <w:r w:rsidRPr="00875933">
        <w:rPr>
          <w:rFonts w:ascii="Times New Roman" w:eastAsia="Times New Roman" w:hAnsi="Times New Roman" w:cs="Times New Roman"/>
          <w:sz w:val="24"/>
          <w:szCs w:val="24"/>
          <w:lang w:eastAsia="en-GB"/>
        </w:rPr>
        <w:t>IndMED</w:t>
      </w:r>
      <w:proofErr w:type="spellEnd"/>
      <w:r w:rsidRPr="00875933">
        <w:rPr>
          <w:rFonts w:ascii="Times New Roman" w:eastAsia="Times New Roman" w:hAnsi="Times New Roman" w:cs="Times New Roman"/>
          <w:sz w:val="24"/>
          <w:szCs w:val="24"/>
          <w:lang w:eastAsia="en-GB"/>
        </w:rPr>
        <w:t>. No commercial publisher platforms or individual journal titles were used as search targets themselves; the databases above were instead queried directly using combinations of the terms "</w:t>
      </w:r>
      <w:r w:rsidRPr="00875933">
        <w:rPr>
          <w:rFonts w:ascii="Times New Roman" w:eastAsia="Times New Roman" w:hAnsi="Times New Roman" w:cs="Times New Roman"/>
          <w:i/>
          <w:iCs/>
          <w:sz w:val="24"/>
          <w:szCs w:val="24"/>
          <w:lang w:eastAsia="en-GB"/>
        </w:rPr>
        <w:t>Acalypha indica</w:t>
      </w:r>
      <w:r w:rsidRPr="00875933">
        <w:rPr>
          <w:rFonts w:ascii="Times New Roman" w:eastAsia="Times New Roman" w:hAnsi="Times New Roman" w:cs="Times New Roman"/>
          <w:sz w:val="24"/>
          <w:szCs w:val="24"/>
          <w:lang w:eastAsia="en-GB"/>
        </w:rPr>
        <w:t>", "Indian copperleaf", "</w:t>
      </w:r>
      <w:proofErr w:type="spellStart"/>
      <w:r w:rsidRPr="00875933">
        <w:rPr>
          <w:rFonts w:ascii="Times New Roman" w:eastAsia="Times New Roman" w:hAnsi="Times New Roman" w:cs="Times New Roman"/>
          <w:sz w:val="24"/>
          <w:szCs w:val="24"/>
          <w:lang w:eastAsia="en-GB"/>
        </w:rPr>
        <w:t>kuppaimeni</w:t>
      </w:r>
      <w:proofErr w:type="spellEnd"/>
      <w:r w:rsidRPr="00875933">
        <w:rPr>
          <w:rFonts w:ascii="Times New Roman" w:eastAsia="Times New Roman" w:hAnsi="Times New Roman" w:cs="Times New Roman"/>
          <w:sz w:val="24"/>
          <w:szCs w:val="24"/>
          <w:lang w:eastAsia="en-GB"/>
        </w:rPr>
        <w:t>", "</w:t>
      </w:r>
      <w:proofErr w:type="spellStart"/>
      <w:r w:rsidRPr="00875933">
        <w:rPr>
          <w:rFonts w:ascii="Times New Roman" w:eastAsia="Times New Roman" w:hAnsi="Times New Roman" w:cs="Times New Roman"/>
          <w:sz w:val="24"/>
          <w:szCs w:val="24"/>
          <w:lang w:eastAsia="en-GB"/>
        </w:rPr>
        <w:t>Euphorbiaceae</w:t>
      </w:r>
      <w:proofErr w:type="spellEnd"/>
      <w:r w:rsidRPr="00875933">
        <w:rPr>
          <w:rFonts w:ascii="Times New Roman" w:eastAsia="Times New Roman" w:hAnsi="Times New Roman" w:cs="Times New Roman"/>
          <w:sz w:val="24"/>
          <w:szCs w:val="24"/>
          <w:lang w:eastAsia="en-GB"/>
        </w:rPr>
        <w:t>" and "Indian nettle", each paired in turn with subject qualifiers such as "phytochemistry", "pharmacology", "antioxidant", "antimicrobial", "anti-inflammatory", "antidiabetic", "anticancer", "wound healing", "nanoparticle", "molecular docking", "toxicity" and "ethnopharmacology". Boolean operators (AND, OR) were used to build search strings of the form ("</w:t>
      </w:r>
      <w:r w:rsidRPr="00875933">
        <w:rPr>
          <w:rFonts w:ascii="Times New Roman" w:eastAsia="Times New Roman" w:hAnsi="Times New Roman" w:cs="Times New Roman"/>
          <w:i/>
          <w:iCs/>
          <w:sz w:val="24"/>
          <w:szCs w:val="24"/>
          <w:lang w:eastAsia="en-GB"/>
        </w:rPr>
        <w:t>Acalypha indica</w:t>
      </w:r>
      <w:r w:rsidRPr="00875933">
        <w:rPr>
          <w:rFonts w:ascii="Times New Roman" w:eastAsia="Times New Roman" w:hAnsi="Times New Roman" w:cs="Times New Roman"/>
          <w:sz w:val="24"/>
          <w:szCs w:val="24"/>
          <w:lang w:eastAsia="en-GB"/>
        </w:rPr>
        <w:t>" OR "Indian copperleaf") AND ("phytochemical" OR "pharmacological" OR "bioactivity").</w:t>
      </w:r>
    </w:p>
    <w:p w14:paraId="468A1A91" w14:textId="77777777" w:rsidR="00426A47" w:rsidRPr="00875933" w:rsidRDefault="00426A47" w:rsidP="00426A47">
      <w:pPr>
        <w:spacing w:before="100" w:beforeAutospacing="1" w:after="100" w:afterAutospacing="1" w:line="240" w:lineRule="auto"/>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 xml:space="preserve">The primary search window ran from January 2005 to May 2026, covering the period during which the bulk of modern pharmacological and phytochemical characterisation of the species has taken place. A handful of foundational phytochemical and clinical-toxicological studies predating this window were retained through citation-chaining from more recent reviews because of their lasting relevance — most notably the original structural work on </w:t>
      </w:r>
      <w:proofErr w:type="spellStart"/>
      <w:r w:rsidRPr="00875933">
        <w:rPr>
          <w:rFonts w:ascii="Times New Roman" w:eastAsia="Times New Roman" w:hAnsi="Times New Roman" w:cs="Times New Roman"/>
          <w:sz w:val="24"/>
          <w:szCs w:val="24"/>
          <w:lang w:eastAsia="en-GB"/>
        </w:rPr>
        <w:t>acalyphin</w:t>
      </w:r>
      <w:proofErr w:type="spellEnd"/>
      <w:r w:rsidRPr="00875933">
        <w:rPr>
          <w:rFonts w:ascii="Times New Roman" w:eastAsia="Times New Roman" w:hAnsi="Times New Roman" w:cs="Times New Roman"/>
          <w:sz w:val="24"/>
          <w:szCs w:val="24"/>
          <w:lang w:eastAsia="en-GB"/>
        </w:rPr>
        <w:t xml:space="preserve"> (Nahrstedt et al., 1982) and an early clinical account of </w:t>
      </w:r>
      <w:r w:rsidRPr="00875933">
        <w:rPr>
          <w:rFonts w:ascii="Times New Roman" w:eastAsia="Times New Roman" w:hAnsi="Times New Roman" w:cs="Times New Roman"/>
          <w:i/>
          <w:iCs/>
          <w:sz w:val="24"/>
          <w:szCs w:val="24"/>
          <w:lang w:eastAsia="en-GB"/>
        </w:rPr>
        <w:t>Acalypha</w:t>
      </w:r>
      <w:r w:rsidRPr="00875933">
        <w:rPr>
          <w:rFonts w:ascii="Times New Roman" w:eastAsia="Times New Roman" w:hAnsi="Times New Roman" w:cs="Times New Roman"/>
          <w:sz w:val="24"/>
          <w:szCs w:val="24"/>
          <w:lang w:eastAsia="en-GB"/>
        </w:rPr>
        <w:t xml:space="preserve">-induced haemolysis (Senanayake &amp; </w:t>
      </w:r>
      <w:proofErr w:type="spellStart"/>
      <w:r w:rsidRPr="00875933">
        <w:rPr>
          <w:rFonts w:ascii="Times New Roman" w:eastAsia="Times New Roman" w:hAnsi="Times New Roman" w:cs="Times New Roman"/>
          <w:sz w:val="24"/>
          <w:szCs w:val="24"/>
          <w:lang w:eastAsia="en-GB"/>
        </w:rPr>
        <w:t>Sanmuganathan</w:t>
      </w:r>
      <w:proofErr w:type="spellEnd"/>
      <w:r w:rsidRPr="00875933">
        <w:rPr>
          <w:rFonts w:ascii="Times New Roman" w:eastAsia="Times New Roman" w:hAnsi="Times New Roman" w:cs="Times New Roman"/>
          <w:sz w:val="24"/>
          <w:szCs w:val="24"/>
          <w:lang w:eastAsia="en-GB"/>
        </w:rPr>
        <w:t>, 1996). Retaining a small number of such classic papers alongside a contemporary search window is standard practice for natural products that have been studied, on and off, for several decades.</w:t>
      </w:r>
    </w:p>
    <w:p w14:paraId="3B2A09F6" w14:textId="01B34CCF" w:rsidR="00426A47" w:rsidRPr="00875933" w:rsidRDefault="00426A47" w:rsidP="00426A47">
      <w:pPr>
        <w:spacing w:before="100" w:beforeAutospacing="1" w:after="100" w:afterAutospacing="1" w:line="240" w:lineRule="auto"/>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 xml:space="preserve">Screening proceeded in two stages. Titles and abstracts were first checked for direct relevance to </w:t>
      </w:r>
      <w:r w:rsidRPr="00875933">
        <w:rPr>
          <w:rFonts w:ascii="Times New Roman" w:eastAsia="Times New Roman" w:hAnsi="Times New Roman" w:cs="Times New Roman"/>
          <w:i/>
          <w:iCs/>
          <w:sz w:val="24"/>
          <w:szCs w:val="24"/>
          <w:lang w:eastAsia="en-GB"/>
        </w:rPr>
        <w:t>A. indica</w:t>
      </w:r>
      <w:r w:rsidRPr="00875933">
        <w:rPr>
          <w:rFonts w:ascii="Times New Roman" w:eastAsia="Times New Roman" w:hAnsi="Times New Roman" w:cs="Times New Roman"/>
          <w:sz w:val="24"/>
          <w:szCs w:val="24"/>
          <w:lang w:eastAsia="en-GB"/>
        </w:rPr>
        <w:t xml:space="preserve">, or, where comparative context was needed, to closely related congeneric species; full texts of records that survived this first pass were then assessed against explicit inclusion and exclusion criteria. Included were original peer-reviewed </w:t>
      </w:r>
      <w:r w:rsidRPr="00875933">
        <w:rPr>
          <w:rFonts w:ascii="Times New Roman" w:eastAsia="Times New Roman" w:hAnsi="Times New Roman" w:cs="Times New Roman"/>
          <w:sz w:val="24"/>
          <w:szCs w:val="24"/>
          <w:lang w:eastAsia="en-GB"/>
        </w:rPr>
        <w:lastRenderedPageBreak/>
        <w:t xml:space="preserve">research articles, peer-reviewed case reports, and peer-reviewed narrative or systematic reviews published in </w:t>
      </w:r>
      <w:r w:rsidRPr="009D6D41">
        <w:rPr>
          <w:rFonts w:ascii="Times New Roman" w:eastAsia="Times New Roman" w:hAnsi="Times New Roman" w:cs="Times New Roman"/>
          <w:sz w:val="24"/>
          <w:szCs w:val="24"/>
          <w:lang w:eastAsia="en-GB"/>
        </w:rPr>
        <w:t>English that reported primary phytochemical,</w:t>
      </w:r>
      <w:r w:rsidRPr="00875933">
        <w:rPr>
          <w:rFonts w:ascii="Times New Roman" w:eastAsia="Times New Roman" w:hAnsi="Times New Roman" w:cs="Times New Roman"/>
          <w:sz w:val="24"/>
          <w:szCs w:val="24"/>
          <w:lang w:eastAsia="en-GB"/>
        </w:rPr>
        <w:t xml:space="preserve"> pharmacological, toxicological, computational or clinical data on </w:t>
      </w:r>
      <w:r w:rsidRPr="00646A55">
        <w:rPr>
          <w:rFonts w:ascii="Times New Roman" w:eastAsia="Times New Roman" w:hAnsi="Times New Roman" w:cs="Times New Roman"/>
          <w:b/>
          <w:bCs/>
          <w:i/>
          <w:iCs/>
          <w:sz w:val="24"/>
          <w:szCs w:val="24"/>
          <w:lang w:eastAsia="en-GB"/>
        </w:rPr>
        <w:t>A. indica</w:t>
      </w:r>
      <w:r w:rsidRPr="00646A55">
        <w:rPr>
          <w:rFonts w:ascii="Times New Roman" w:eastAsia="Times New Roman" w:hAnsi="Times New Roman" w:cs="Times New Roman"/>
          <w:b/>
          <w:bCs/>
          <w:sz w:val="24"/>
          <w:szCs w:val="24"/>
          <w:lang w:eastAsia="en-GB"/>
        </w:rPr>
        <w:t xml:space="preserve"> or, </w:t>
      </w:r>
      <w:r w:rsidRPr="007A7469">
        <w:rPr>
          <w:rFonts w:ascii="Times New Roman" w:eastAsia="Times New Roman" w:hAnsi="Times New Roman" w:cs="Times New Roman"/>
          <w:b/>
          <w:bCs/>
          <w:dstrike/>
          <w:sz w:val="24"/>
          <w:szCs w:val="24"/>
          <w:lang w:eastAsia="en-GB"/>
        </w:rPr>
        <w:t>where</w:t>
      </w:r>
      <w:r w:rsidRPr="00646A55">
        <w:rPr>
          <w:rFonts w:ascii="Times New Roman" w:eastAsia="Times New Roman" w:hAnsi="Times New Roman" w:cs="Times New Roman"/>
          <w:b/>
          <w:bCs/>
          <w:sz w:val="24"/>
          <w:szCs w:val="24"/>
          <w:lang w:eastAsia="en-GB"/>
        </w:rPr>
        <w:t xml:space="preserve"> </w:t>
      </w:r>
      <w:r w:rsidR="007A7469" w:rsidRPr="007A7469">
        <w:rPr>
          <w:rFonts w:ascii="Times New Roman" w:eastAsia="Times New Roman" w:hAnsi="Times New Roman" w:cs="Times New Roman"/>
          <w:color w:val="7030A0"/>
          <w:sz w:val="24"/>
          <w:szCs w:val="24"/>
          <w:lang w:eastAsia="en-GB"/>
        </w:rPr>
        <w:t>were</w:t>
      </w:r>
      <w:r w:rsidR="007A7469" w:rsidRPr="007A7469">
        <w:rPr>
          <w:rFonts w:ascii="Times New Roman" w:eastAsia="Times New Roman" w:hAnsi="Times New Roman" w:cs="Times New Roman"/>
          <w:sz w:val="24"/>
          <w:szCs w:val="24"/>
          <w:lang w:eastAsia="en-GB"/>
        </w:rPr>
        <w:t xml:space="preserve"> </w:t>
      </w:r>
      <w:r w:rsidRPr="007A7469">
        <w:rPr>
          <w:rFonts w:ascii="Times New Roman" w:eastAsia="Times New Roman" w:hAnsi="Times New Roman" w:cs="Times New Roman"/>
          <w:sz w:val="24"/>
          <w:szCs w:val="24"/>
          <w:lang w:eastAsia="en-GB"/>
        </w:rPr>
        <w:t>used</w:t>
      </w:r>
      <w:r w:rsidRPr="00875933">
        <w:rPr>
          <w:rFonts w:ascii="Times New Roman" w:eastAsia="Times New Roman" w:hAnsi="Times New Roman" w:cs="Times New Roman"/>
          <w:sz w:val="24"/>
          <w:szCs w:val="24"/>
          <w:lang w:eastAsia="en-GB"/>
        </w:rPr>
        <w:t xml:space="preserve"> for direct genus-level comparison, on closely allied </w:t>
      </w:r>
      <w:r w:rsidRPr="00875933">
        <w:rPr>
          <w:rFonts w:ascii="Times New Roman" w:eastAsia="Times New Roman" w:hAnsi="Times New Roman" w:cs="Times New Roman"/>
          <w:i/>
          <w:iCs/>
          <w:sz w:val="24"/>
          <w:szCs w:val="24"/>
          <w:lang w:eastAsia="en-GB"/>
        </w:rPr>
        <w:t>Acalypha</w:t>
      </w:r>
      <w:r w:rsidRPr="00875933">
        <w:rPr>
          <w:rFonts w:ascii="Times New Roman" w:eastAsia="Times New Roman" w:hAnsi="Times New Roman" w:cs="Times New Roman"/>
          <w:sz w:val="24"/>
          <w:szCs w:val="24"/>
          <w:lang w:eastAsia="en-GB"/>
        </w:rPr>
        <w:t xml:space="preserve"> species. Excluded were books and book chapters, conference abstracts and proceedings, theses, patents, preprints, trade or popular-science publications, and any article subsequently retracted by its publisher — one otherwise relevant genus-level review surfaced during screening and was dropped on precisely this basis once its retraction notice had been confirmed. The search was restricted to English-language material; no non-English record meeting the other criteria was judged sufficiently influential to warrant translation. Duplicates retrieved across multiple databases were identified by comparing digital object identifiers, author lists and publication years, and collapsed to a single citation. Where several studies addressed an essentially identical pharmacological question, preference for detailed discussion went to whichever was judged most methodologically rigorous, most frequently cited in the subsequent literature, or most recent — on the reasoning that influential and current studies give the most representative, and the most policy-relevant, picture of where the field currently stands.</w:t>
      </w:r>
    </w:p>
    <w:p w14:paraId="56CD01AD" w14:textId="77777777" w:rsidR="00426A47" w:rsidRPr="00875933" w:rsidRDefault="00426A47" w:rsidP="00426A47">
      <w:pPr>
        <w:spacing w:after="0" w:line="240" w:lineRule="auto"/>
        <w:rPr>
          <w:rFonts w:ascii="Times New Roman" w:eastAsia="Times New Roman" w:hAnsi="Times New Roman" w:cs="Times New Roman"/>
          <w:sz w:val="24"/>
          <w:szCs w:val="24"/>
          <w:lang w:eastAsia="en-GB"/>
        </w:rPr>
      </w:pPr>
    </w:p>
    <w:p w14:paraId="11C6257D" w14:textId="77777777" w:rsidR="00426A47" w:rsidRPr="00875933" w:rsidRDefault="00426A47" w:rsidP="00426A47">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875933">
        <w:rPr>
          <w:rFonts w:ascii="Times New Roman" w:eastAsia="Times New Roman" w:hAnsi="Times New Roman" w:cs="Times New Roman"/>
          <w:b/>
          <w:bCs/>
          <w:sz w:val="27"/>
          <w:szCs w:val="27"/>
          <w:lang w:eastAsia="en-GB"/>
        </w:rPr>
        <w:t xml:space="preserve">3. Phytochemical Profile of </w:t>
      </w:r>
      <w:r w:rsidRPr="00875933">
        <w:rPr>
          <w:rFonts w:ascii="Times New Roman" w:eastAsia="Times New Roman" w:hAnsi="Times New Roman" w:cs="Times New Roman"/>
          <w:b/>
          <w:bCs/>
          <w:i/>
          <w:iCs/>
          <w:sz w:val="27"/>
          <w:szCs w:val="27"/>
          <w:lang w:eastAsia="en-GB"/>
        </w:rPr>
        <w:t>Acalypha indica</w:t>
      </w:r>
    </w:p>
    <w:p w14:paraId="7998E581" w14:textId="77777777" w:rsidR="00426A47" w:rsidRPr="00875933" w:rsidRDefault="00426A47" w:rsidP="00426A47">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875933">
        <w:rPr>
          <w:rFonts w:ascii="Times New Roman" w:eastAsia="Times New Roman" w:hAnsi="Times New Roman" w:cs="Times New Roman"/>
          <w:b/>
          <w:bCs/>
          <w:sz w:val="24"/>
          <w:szCs w:val="24"/>
          <w:lang w:eastAsia="en-GB"/>
        </w:rPr>
        <w:t xml:space="preserve">3.1 Cyanogenic </w:t>
      </w:r>
      <w:proofErr w:type="spellStart"/>
      <w:r w:rsidRPr="00875933">
        <w:rPr>
          <w:rFonts w:ascii="Times New Roman" w:eastAsia="Times New Roman" w:hAnsi="Times New Roman" w:cs="Times New Roman"/>
          <w:b/>
          <w:bCs/>
          <w:sz w:val="24"/>
          <w:szCs w:val="24"/>
          <w:lang w:eastAsia="en-GB"/>
        </w:rPr>
        <w:t>pyridone</w:t>
      </w:r>
      <w:proofErr w:type="spellEnd"/>
      <w:r w:rsidRPr="00875933">
        <w:rPr>
          <w:rFonts w:ascii="Times New Roman" w:eastAsia="Times New Roman" w:hAnsi="Times New Roman" w:cs="Times New Roman"/>
          <w:b/>
          <w:bCs/>
          <w:sz w:val="24"/>
          <w:szCs w:val="24"/>
          <w:lang w:eastAsia="en-GB"/>
        </w:rPr>
        <w:t xml:space="preserve"> glucosides</w:t>
      </w:r>
    </w:p>
    <w:p w14:paraId="79A96F6F" w14:textId="77777777" w:rsidR="00426A47" w:rsidRPr="00875933" w:rsidRDefault="00426A47" w:rsidP="00426A47">
      <w:pPr>
        <w:spacing w:before="100" w:beforeAutospacing="1" w:after="100" w:afterAutospacing="1" w:line="240" w:lineRule="auto"/>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 xml:space="preserve">The single most chemotaxonomically distinctive class of secondary metabolites in </w:t>
      </w:r>
      <w:r w:rsidRPr="00875933">
        <w:rPr>
          <w:rFonts w:ascii="Times New Roman" w:eastAsia="Times New Roman" w:hAnsi="Times New Roman" w:cs="Times New Roman"/>
          <w:i/>
          <w:iCs/>
          <w:sz w:val="24"/>
          <w:szCs w:val="24"/>
          <w:lang w:eastAsia="en-GB"/>
        </w:rPr>
        <w:t>A. indica</w:t>
      </w:r>
      <w:r w:rsidRPr="00875933">
        <w:rPr>
          <w:rFonts w:ascii="Times New Roman" w:eastAsia="Times New Roman" w:hAnsi="Times New Roman" w:cs="Times New Roman"/>
          <w:sz w:val="24"/>
          <w:szCs w:val="24"/>
          <w:lang w:eastAsia="en-GB"/>
        </w:rPr>
        <w:t xml:space="preserve"> is its complement of cyanogenic </w:t>
      </w:r>
      <w:proofErr w:type="spellStart"/>
      <w:r w:rsidRPr="00875933">
        <w:rPr>
          <w:rFonts w:ascii="Times New Roman" w:eastAsia="Times New Roman" w:hAnsi="Times New Roman" w:cs="Times New Roman"/>
          <w:sz w:val="24"/>
          <w:szCs w:val="24"/>
          <w:lang w:eastAsia="en-GB"/>
        </w:rPr>
        <w:t>pyridone</w:t>
      </w:r>
      <w:proofErr w:type="spellEnd"/>
      <w:r w:rsidRPr="00875933">
        <w:rPr>
          <w:rFonts w:ascii="Times New Roman" w:eastAsia="Times New Roman" w:hAnsi="Times New Roman" w:cs="Times New Roman"/>
          <w:sz w:val="24"/>
          <w:szCs w:val="24"/>
          <w:lang w:eastAsia="en-GB"/>
        </w:rPr>
        <w:t xml:space="preserve"> glucosides, of which </w:t>
      </w:r>
      <w:proofErr w:type="spellStart"/>
      <w:r w:rsidRPr="00875933">
        <w:rPr>
          <w:rFonts w:ascii="Times New Roman" w:eastAsia="Times New Roman" w:hAnsi="Times New Roman" w:cs="Times New Roman"/>
          <w:sz w:val="24"/>
          <w:szCs w:val="24"/>
          <w:lang w:eastAsia="en-GB"/>
        </w:rPr>
        <w:t>acalyphin</w:t>
      </w:r>
      <w:proofErr w:type="spellEnd"/>
      <w:r w:rsidRPr="00875933">
        <w:rPr>
          <w:rFonts w:ascii="Times New Roman" w:eastAsia="Times New Roman" w:hAnsi="Times New Roman" w:cs="Times New Roman"/>
          <w:sz w:val="24"/>
          <w:szCs w:val="24"/>
          <w:lang w:eastAsia="en-GB"/>
        </w:rPr>
        <w:t xml:space="preserve"> — first isolated and structurally characterised from the aerial parts of the plant — is the principal representative (Nahrstedt et al., 1982). </w:t>
      </w:r>
      <w:proofErr w:type="spellStart"/>
      <w:r w:rsidRPr="00875933">
        <w:rPr>
          <w:rFonts w:ascii="Times New Roman" w:eastAsia="Times New Roman" w:hAnsi="Times New Roman" w:cs="Times New Roman"/>
          <w:sz w:val="24"/>
          <w:szCs w:val="24"/>
          <w:lang w:eastAsia="en-GB"/>
        </w:rPr>
        <w:t>Acalyphin</w:t>
      </w:r>
      <w:proofErr w:type="spellEnd"/>
      <w:r w:rsidRPr="00875933">
        <w:rPr>
          <w:rFonts w:ascii="Times New Roman" w:eastAsia="Times New Roman" w:hAnsi="Times New Roman" w:cs="Times New Roman"/>
          <w:sz w:val="24"/>
          <w:szCs w:val="24"/>
          <w:lang w:eastAsia="en-GB"/>
        </w:rPr>
        <w:t xml:space="preserve"> was identified as a </w:t>
      </w:r>
      <w:proofErr w:type="spellStart"/>
      <w:r w:rsidRPr="00875933">
        <w:rPr>
          <w:rFonts w:ascii="Times New Roman" w:eastAsia="Times New Roman" w:hAnsi="Times New Roman" w:cs="Times New Roman"/>
          <w:sz w:val="24"/>
          <w:szCs w:val="24"/>
          <w:lang w:eastAsia="en-GB"/>
        </w:rPr>
        <w:t>cyanopyridone</w:t>
      </w:r>
      <w:proofErr w:type="spellEnd"/>
      <w:r w:rsidRPr="00875933">
        <w:rPr>
          <w:rFonts w:ascii="Times New Roman" w:eastAsia="Times New Roman" w:hAnsi="Times New Roman" w:cs="Times New Roman"/>
          <w:sz w:val="24"/>
          <w:szCs w:val="24"/>
          <w:lang w:eastAsia="en-GB"/>
        </w:rPr>
        <w:t xml:space="preserve">-type glucoside, a biogenetically unusual structural class at the time of its discovery, and a later re-investigation using X-ray crystallography fixed its absolute configuration as the (5R,6S)-isomer while turning up six further related </w:t>
      </w:r>
      <w:proofErr w:type="spellStart"/>
      <w:r w:rsidRPr="00875933">
        <w:rPr>
          <w:rFonts w:ascii="Times New Roman" w:eastAsia="Times New Roman" w:hAnsi="Times New Roman" w:cs="Times New Roman"/>
          <w:sz w:val="24"/>
          <w:szCs w:val="24"/>
          <w:lang w:eastAsia="en-GB"/>
        </w:rPr>
        <w:t>cyanopyridone</w:t>
      </w:r>
      <w:proofErr w:type="spellEnd"/>
      <w:r w:rsidRPr="00875933">
        <w:rPr>
          <w:rFonts w:ascii="Times New Roman" w:eastAsia="Times New Roman" w:hAnsi="Times New Roman" w:cs="Times New Roman"/>
          <w:sz w:val="24"/>
          <w:szCs w:val="24"/>
          <w:lang w:eastAsia="en-GB"/>
        </w:rPr>
        <w:t xml:space="preserve"> derivatives — among them </w:t>
      </w:r>
      <w:proofErr w:type="spellStart"/>
      <w:r w:rsidRPr="00875933">
        <w:rPr>
          <w:rFonts w:ascii="Times New Roman" w:eastAsia="Times New Roman" w:hAnsi="Times New Roman" w:cs="Times New Roman"/>
          <w:sz w:val="24"/>
          <w:szCs w:val="24"/>
          <w:lang w:eastAsia="en-GB"/>
        </w:rPr>
        <w:t>epiacalyphin</w:t>
      </w:r>
      <w:proofErr w:type="spellEnd"/>
      <w:r w:rsidRPr="00875933">
        <w:rPr>
          <w:rFonts w:ascii="Times New Roman" w:eastAsia="Times New Roman" w:hAnsi="Times New Roman" w:cs="Times New Roman"/>
          <w:sz w:val="24"/>
          <w:szCs w:val="24"/>
          <w:lang w:eastAsia="en-GB"/>
        </w:rPr>
        <w:t xml:space="preserve">, </w:t>
      </w:r>
      <w:proofErr w:type="spellStart"/>
      <w:r w:rsidRPr="00875933">
        <w:rPr>
          <w:rFonts w:ascii="Times New Roman" w:eastAsia="Times New Roman" w:hAnsi="Times New Roman" w:cs="Times New Roman"/>
          <w:sz w:val="24"/>
          <w:szCs w:val="24"/>
          <w:lang w:eastAsia="en-GB"/>
        </w:rPr>
        <w:t>noracalyphin</w:t>
      </w:r>
      <w:proofErr w:type="spellEnd"/>
      <w:r w:rsidRPr="00875933">
        <w:rPr>
          <w:rFonts w:ascii="Times New Roman" w:eastAsia="Times New Roman" w:hAnsi="Times New Roman" w:cs="Times New Roman"/>
          <w:sz w:val="24"/>
          <w:szCs w:val="24"/>
          <w:lang w:eastAsia="en-GB"/>
        </w:rPr>
        <w:t xml:space="preserve">, </w:t>
      </w:r>
      <w:proofErr w:type="spellStart"/>
      <w:r w:rsidRPr="00875933">
        <w:rPr>
          <w:rFonts w:ascii="Times New Roman" w:eastAsia="Times New Roman" w:hAnsi="Times New Roman" w:cs="Times New Roman"/>
          <w:sz w:val="24"/>
          <w:szCs w:val="24"/>
          <w:lang w:eastAsia="en-GB"/>
        </w:rPr>
        <w:t>epinoracalyphin</w:t>
      </w:r>
      <w:proofErr w:type="spellEnd"/>
      <w:r w:rsidRPr="00875933">
        <w:rPr>
          <w:rFonts w:ascii="Times New Roman" w:eastAsia="Times New Roman" w:hAnsi="Times New Roman" w:cs="Times New Roman"/>
          <w:sz w:val="24"/>
          <w:szCs w:val="24"/>
          <w:lang w:eastAsia="en-GB"/>
        </w:rPr>
        <w:t xml:space="preserve">, and their corresponding amide and </w:t>
      </w:r>
      <w:r w:rsidRPr="00B217DC">
        <w:rPr>
          <w:rFonts w:ascii="Times New Roman" w:eastAsia="Times New Roman" w:hAnsi="Times New Roman" w:cs="Times New Roman"/>
          <w:b/>
          <w:bCs/>
          <w:sz w:val="24"/>
          <w:szCs w:val="24"/>
          <w:lang w:eastAsia="en-GB"/>
        </w:rPr>
        <w:t>seco-compound variants</w:t>
      </w:r>
      <w:r w:rsidRPr="00875933">
        <w:rPr>
          <w:rFonts w:ascii="Times New Roman" w:eastAsia="Times New Roman" w:hAnsi="Times New Roman" w:cs="Times New Roman"/>
          <w:sz w:val="24"/>
          <w:szCs w:val="24"/>
          <w:lang w:eastAsia="en-GB"/>
        </w:rPr>
        <w:t xml:space="preserve"> — from methanolic extracts of the </w:t>
      </w:r>
      <w:r w:rsidRPr="00CF73F6">
        <w:rPr>
          <w:rFonts w:ascii="Times New Roman" w:eastAsia="Times New Roman" w:hAnsi="Times New Roman" w:cs="Times New Roman"/>
          <w:sz w:val="24"/>
          <w:szCs w:val="24"/>
          <w:lang w:eastAsia="en-GB"/>
        </w:rPr>
        <w:t>inflorescences</w:t>
      </w:r>
      <w:r w:rsidRPr="00875933">
        <w:rPr>
          <w:rFonts w:ascii="Times New Roman" w:eastAsia="Times New Roman" w:hAnsi="Times New Roman" w:cs="Times New Roman"/>
          <w:sz w:val="24"/>
          <w:szCs w:val="24"/>
          <w:lang w:eastAsia="en-GB"/>
        </w:rPr>
        <w:t xml:space="preserve"> and leaves (</w:t>
      </w:r>
      <w:proofErr w:type="spellStart"/>
      <w:r w:rsidRPr="00875933">
        <w:rPr>
          <w:rFonts w:ascii="Times New Roman" w:eastAsia="Times New Roman" w:hAnsi="Times New Roman" w:cs="Times New Roman"/>
          <w:sz w:val="24"/>
          <w:szCs w:val="24"/>
          <w:lang w:eastAsia="en-GB"/>
        </w:rPr>
        <w:t>Hungeling</w:t>
      </w:r>
      <w:proofErr w:type="spellEnd"/>
      <w:r w:rsidRPr="00875933">
        <w:rPr>
          <w:rFonts w:ascii="Times New Roman" w:eastAsia="Times New Roman" w:hAnsi="Times New Roman" w:cs="Times New Roman"/>
          <w:sz w:val="24"/>
          <w:szCs w:val="24"/>
          <w:lang w:eastAsia="en-GB"/>
        </w:rPr>
        <w:t xml:space="preserve"> et al., 2009). These compounds are not spread evenly through the plant. Quantitative analysis points to substantially higher concentrations in the leaves than in the stem or root, with no detectable </w:t>
      </w:r>
      <w:proofErr w:type="spellStart"/>
      <w:r w:rsidRPr="00875933">
        <w:rPr>
          <w:rFonts w:ascii="Times New Roman" w:eastAsia="Times New Roman" w:hAnsi="Times New Roman" w:cs="Times New Roman"/>
          <w:sz w:val="24"/>
          <w:szCs w:val="24"/>
          <w:lang w:eastAsia="en-GB"/>
        </w:rPr>
        <w:t>acalyphin</w:t>
      </w:r>
      <w:proofErr w:type="spellEnd"/>
      <w:r w:rsidRPr="00875933">
        <w:rPr>
          <w:rFonts w:ascii="Times New Roman" w:eastAsia="Times New Roman" w:hAnsi="Times New Roman" w:cs="Times New Roman"/>
          <w:sz w:val="24"/>
          <w:szCs w:val="24"/>
          <w:lang w:eastAsia="en-GB"/>
        </w:rPr>
        <w:t xml:space="preserve"> at all in the seed, a distributional pattern that turns out to matter a good deal for toxicology, as discussed in Section 7 (</w:t>
      </w:r>
      <w:proofErr w:type="spellStart"/>
      <w:r w:rsidRPr="00875933">
        <w:rPr>
          <w:rFonts w:ascii="Times New Roman" w:eastAsia="Times New Roman" w:hAnsi="Times New Roman" w:cs="Times New Roman"/>
          <w:sz w:val="24"/>
          <w:szCs w:val="24"/>
          <w:lang w:eastAsia="en-GB"/>
        </w:rPr>
        <w:t>Hungeling</w:t>
      </w:r>
      <w:proofErr w:type="spellEnd"/>
      <w:r w:rsidRPr="00875933">
        <w:rPr>
          <w:rFonts w:ascii="Times New Roman" w:eastAsia="Times New Roman" w:hAnsi="Times New Roman" w:cs="Times New Roman"/>
          <w:sz w:val="24"/>
          <w:szCs w:val="24"/>
          <w:lang w:eastAsia="en-GB"/>
        </w:rPr>
        <w:t xml:space="preserve"> et al., 2009).</w:t>
      </w:r>
    </w:p>
    <w:p w14:paraId="7424F2FA" w14:textId="77777777" w:rsidR="00426A47" w:rsidRPr="00875933" w:rsidRDefault="00426A47" w:rsidP="00426A47">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875933">
        <w:rPr>
          <w:rFonts w:ascii="Times New Roman" w:eastAsia="Times New Roman" w:hAnsi="Times New Roman" w:cs="Times New Roman"/>
          <w:b/>
          <w:bCs/>
          <w:sz w:val="24"/>
          <w:szCs w:val="24"/>
          <w:lang w:eastAsia="en-GB"/>
        </w:rPr>
        <w:t>3.2 Flavonoids and phenolic constituents</w:t>
      </w:r>
    </w:p>
    <w:p w14:paraId="488A5230" w14:textId="77777777" w:rsidR="00426A47" w:rsidRPr="00875933" w:rsidRDefault="00426A47" w:rsidP="00426A47">
      <w:pPr>
        <w:spacing w:before="100" w:beforeAutospacing="1" w:after="100" w:afterAutospacing="1" w:line="240" w:lineRule="auto"/>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 xml:space="preserve">Beyond its cyanogenic chemistry, </w:t>
      </w:r>
      <w:r w:rsidRPr="00875933">
        <w:rPr>
          <w:rFonts w:ascii="Times New Roman" w:eastAsia="Times New Roman" w:hAnsi="Times New Roman" w:cs="Times New Roman"/>
          <w:i/>
          <w:iCs/>
          <w:sz w:val="24"/>
          <w:szCs w:val="24"/>
          <w:lang w:eastAsia="en-GB"/>
        </w:rPr>
        <w:t>A. indica</w:t>
      </w:r>
      <w:r w:rsidRPr="00875933">
        <w:rPr>
          <w:rFonts w:ascii="Times New Roman" w:eastAsia="Times New Roman" w:hAnsi="Times New Roman" w:cs="Times New Roman"/>
          <w:sz w:val="24"/>
          <w:szCs w:val="24"/>
          <w:lang w:eastAsia="en-GB"/>
        </w:rPr>
        <w:t xml:space="preserve"> is a reasonably rich source of </w:t>
      </w:r>
      <w:proofErr w:type="spellStart"/>
      <w:r w:rsidRPr="00875933">
        <w:rPr>
          <w:rFonts w:ascii="Times New Roman" w:eastAsia="Times New Roman" w:hAnsi="Times New Roman" w:cs="Times New Roman"/>
          <w:sz w:val="24"/>
          <w:szCs w:val="24"/>
          <w:lang w:eastAsia="en-GB"/>
        </w:rPr>
        <w:t>flavonol</w:t>
      </w:r>
      <w:proofErr w:type="spellEnd"/>
      <w:r w:rsidRPr="00875933">
        <w:rPr>
          <w:rFonts w:ascii="Times New Roman" w:eastAsia="Times New Roman" w:hAnsi="Times New Roman" w:cs="Times New Roman"/>
          <w:sz w:val="24"/>
          <w:szCs w:val="24"/>
          <w:lang w:eastAsia="en-GB"/>
        </w:rPr>
        <w:t xml:space="preserve"> glycosides. Four kaempferol-derived glycosides — </w:t>
      </w:r>
      <w:proofErr w:type="spellStart"/>
      <w:r w:rsidRPr="00875933">
        <w:rPr>
          <w:rFonts w:ascii="Times New Roman" w:eastAsia="Times New Roman" w:hAnsi="Times New Roman" w:cs="Times New Roman"/>
          <w:sz w:val="24"/>
          <w:szCs w:val="24"/>
          <w:lang w:eastAsia="en-GB"/>
        </w:rPr>
        <w:t>mauritianin</w:t>
      </w:r>
      <w:proofErr w:type="spellEnd"/>
      <w:r w:rsidRPr="00875933">
        <w:rPr>
          <w:rFonts w:ascii="Times New Roman" w:eastAsia="Times New Roman" w:hAnsi="Times New Roman" w:cs="Times New Roman"/>
          <w:sz w:val="24"/>
          <w:szCs w:val="24"/>
          <w:lang w:eastAsia="en-GB"/>
        </w:rPr>
        <w:t xml:space="preserve">, </w:t>
      </w:r>
      <w:proofErr w:type="spellStart"/>
      <w:r w:rsidRPr="00875933">
        <w:rPr>
          <w:rFonts w:ascii="Times New Roman" w:eastAsia="Times New Roman" w:hAnsi="Times New Roman" w:cs="Times New Roman"/>
          <w:sz w:val="24"/>
          <w:szCs w:val="24"/>
          <w:lang w:eastAsia="en-GB"/>
        </w:rPr>
        <w:t>clitorin</w:t>
      </w:r>
      <w:proofErr w:type="spellEnd"/>
      <w:r w:rsidRPr="00875933">
        <w:rPr>
          <w:rFonts w:ascii="Times New Roman" w:eastAsia="Times New Roman" w:hAnsi="Times New Roman" w:cs="Times New Roman"/>
          <w:sz w:val="24"/>
          <w:szCs w:val="24"/>
          <w:lang w:eastAsia="en-GB"/>
        </w:rPr>
        <w:t xml:space="preserve">, </w:t>
      </w:r>
      <w:proofErr w:type="spellStart"/>
      <w:r w:rsidRPr="00875933">
        <w:rPr>
          <w:rFonts w:ascii="Times New Roman" w:eastAsia="Times New Roman" w:hAnsi="Times New Roman" w:cs="Times New Roman"/>
          <w:sz w:val="24"/>
          <w:szCs w:val="24"/>
          <w:lang w:eastAsia="en-GB"/>
        </w:rPr>
        <w:t>nicotiflorin</w:t>
      </w:r>
      <w:proofErr w:type="spellEnd"/>
      <w:r w:rsidRPr="00875933">
        <w:rPr>
          <w:rFonts w:ascii="Times New Roman" w:eastAsia="Times New Roman" w:hAnsi="Times New Roman" w:cs="Times New Roman"/>
          <w:sz w:val="24"/>
          <w:szCs w:val="24"/>
          <w:lang w:eastAsia="en-GB"/>
        </w:rPr>
        <w:t xml:space="preserve"> and </w:t>
      </w:r>
      <w:proofErr w:type="spellStart"/>
      <w:r w:rsidRPr="00875933">
        <w:rPr>
          <w:rFonts w:ascii="Times New Roman" w:eastAsia="Times New Roman" w:hAnsi="Times New Roman" w:cs="Times New Roman"/>
          <w:sz w:val="24"/>
          <w:szCs w:val="24"/>
          <w:lang w:eastAsia="en-GB"/>
        </w:rPr>
        <w:t>biorobin</w:t>
      </w:r>
      <w:proofErr w:type="spellEnd"/>
      <w:r w:rsidRPr="00875933">
        <w:rPr>
          <w:rFonts w:ascii="Times New Roman" w:eastAsia="Times New Roman" w:hAnsi="Times New Roman" w:cs="Times New Roman"/>
          <w:sz w:val="24"/>
          <w:szCs w:val="24"/>
          <w:lang w:eastAsia="en-GB"/>
        </w:rPr>
        <w:t xml:space="preserve"> — have been isolated and structurally confirmed from the flowers and leaves of the plant, with the same study also correcting some previously published nuclear magnetic resonance assignments for related compounds (Nahrstedt et al., 2006). More recent phytochemical surveys, using high-performance liquid chromatography and mass spectrometric profiling, have extended this catalogue considerably: </w:t>
      </w:r>
      <w:r w:rsidRPr="00CF73F6">
        <w:rPr>
          <w:rFonts w:ascii="Times New Roman" w:eastAsia="Times New Roman" w:hAnsi="Times New Roman" w:cs="Times New Roman"/>
          <w:sz w:val="24"/>
          <w:szCs w:val="24"/>
          <w:lang w:eastAsia="en-GB"/>
        </w:rPr>
        <w:t xml:space="preserve">GC-MS </w:t>
      </w:r>
      <w:r w:rsidRPr="00E810DE">
        <w:rPr>
          <w:rFonts w:ascii="Times New Roman" w:eastAsia="Times New Roman" w:hAnsi="Times New Roman" w:cs="Times New Roman"/>
          <w:sz w:val="24"/>
          <w:szCs w:val="24"/>
          <w:lang w:eastAsia="en-GB"/>
        </w:rPr>
        <w:t>and HR-LC-Q-</w:t>
      </w:r>
      <w:r w:rsidRPr="00CF73F6">
        <w:rPr>
          <w:rFonts w:ascii="Times New Roman" w:eastAsia="Times New Roman" w:hAnsi="Times New Roman" w:cs="Times New Roman"/>
          <w:sz w:val="24"/>
          <w:szCs w:val="24"/>
          <w:lang w:eastAsia="en-GB"/>
        </w:rPr>
        <w:t xml:space="preserve">TOF-MS </w:t>
      </w:r>
      <w:r w:rsidRPr="00875933">
        <w:rPr>
          <w:rFonts w:ascii="Times New Roman" w:eastAsia="Times New Roman" w:hAnsi="Times New Roman" w:cs="Times New Roman"/>
          <w:sz w:val="24"/>
          <w:szCs w:val="24"/>
          <w:lang w:eastAsia="en-GB"/>
        </w:rPr>
        <w:t>analyses of leaf and root methanolic extracts have together turned up well over a hundred distinct phytochemical signals, with phenolic acids, flavonoids and tannins consistently emerging as the dominant chemical classes both by relative abundance and by putative bioactivity (</w:t>
      </w:r>
      <w:proofErr w:type="spellStart"/>
      <w:r w:rsidRPr="00875933">
        <w:rPr>
          <w:rFonts w:ascii="Times New Roman" w:eastAsia="Times New Roman" w:hAnsi="Times New Roman" w:cs="Times New Roman"/>
          <w:sz w:val="24"/>
          <w:szCs w:val="24"/>
          <w:lang w:eastAsia="en-GB"/>
        </w:rPr>
        <w:t>Sahukari</w:t>
      </w:r>
      <w:proofErr w:type="spellEnd"/>
      <w:r w:rsidRPr="00875933">
        <w:rPr>
          <w:rFonts w:ascii="Times New Roman" w:eastAsia="Times New Roman" w:hAnsi="Times New Roman" w:cs="Times New Roman"/>
          <w:sz w:val="24"/>
          <w:szCs w:val="24"/>
          <w:lang w:eastAsia="en-GB"/>
        </w:rPr>
        <w:t xml:space="preserve"> et al., 2021; Ravi et al., 2017). In quantitative terms, root </w:t>
      </w:r>
      <w:r w:rsidRPr="00875933">
        <w:rPr>
          <w:rFonts w:ascii="Times New Roman" w:eastAsia="Times New Roman" w:hAnsi="Times New Roman" w:cs="Times New Roman"/>
          <w:sz w:val="24"/>
          <w:szCs w:val="24"/>
          <w:lang w:eastAsia="en-GB"/>
        </w:rPr>
        <w:lastRenderedPageBreak/>
        <w:t xml:space="preserve">methanolic extracts have been reported to contain roughly 71 mg </w:t>
      </w:r>
      <w:r w:rsidRPr="00B217DC">
        <w:rPr>
          <w:rFonts w:ascii="Times New Roman" w:eastAsia="Times New Roman" w:hAnsi="Times New Roman" w:cs="Times New Roman"/>
          <w:b/>
          <w:bCs/>
          <w:sz w:val="24"/>
          <w:szCs w:val="24"/>
          <w:lang w:eastAsia="en-GB"/>
        </w:rPr>
        <w:t>gallic acid</w:t>
      </w:r>
      <w:r w:rsidRPr="00875933">
        <w:rPr>
          <w:rFonts w:ascii="Times New Roman" w:eastAsia="Times New Roman" w:hAnsi="Times New Roman" w:cs="Times New Roman"/>
          <w:sz w:val="24"/>
          <w:szCs w:val="24"/>
          <w:lang w:eastAsia="en-GB"/>
        </w:rPr>
        <w:t xml:space="preserve"> equivalents per gram as total phenolic content and around 16 mg rutin equivalents per gram as total flavonoid content — figures broadly in line with other phenolic-rich medicinal </w:t>
      </w:r>
      <w:proofErr w:type="spellStart"/>
      <w:r w:rsidRPr="00875933">
        <w:rPr>
          <w:rFonts w:ascii="Times New Roman" w:eastAsia="Times New Roman" w:hAnsi="Times New Roman" w:cs="Times New Roman"/>
          <w:sz w:val="24"/>
          <w:szCs w:val="24"/>
          <w:lang w:eastAsia="en-GB"/>
        </w:rPr>
        <w:t>Euphorbiaceae</w:t>
      </w:r>
      <w:proofErr w:type="spellEnd"/>
      <w:r w:rsidRPr="00875933">
        <w:rPr>
          <w:rFonts w:ascii="Times New Roman" w:eastAsia="Times New Roman" w:hAnsi="Times New Roman" w:cs="Times New Roman"/>
          <w:sz w:val="24"/>
          <w:szCs w:val="24"/>
          <w:lang w:eastAsia="en-GB"/>
        </w:rPr>
        <w:t xml:space="preserve"> species (</w:t>
      </w:r>
      <w:proofErr w:type="spellStart"/>
      <w:r w:rsidRPr="00875933">
        <w:rPr>
          <w:rFonts w:ascii="Times New Roman" w:eastAsia="Times New Roman" w:hAnsi="Times New Roman" w:cs="Times New Roman"/>
          <w:sz w:val="24"/>
          <w:szCs w:val="24"/>
          <w:lang w:eastAsia="en-GB"/>
        </w:rPr>
        <w:t>Sahukari</w:t>
      </w:r>
      <w:proofErr w:type="spellEnd"/>
      <w:r w:rsidRPr="00875933">
        <w:rPr>
          <w:rFonts w:ascii="Times New Roman" w:eastAsia="Times New Roman" w:hAnsi="Times New Roman" w:cs="Times New Roman"/>
          <w:sz w:val="24"/>
          <w:szCs w:val="24"/>
          <w:lang w:eastAsia="en-GB"/>
        </w:rPr>
        <w:t xml:space="preserve"> et al., 2021).</w:t>
      </w:r>
    </w:p>
    <w:p w14:paraId="7D7FCE88" w14:textId="3803D601" w:rsidR="00426A47" w:rsidRPr="00634DDB" w:rsidRDefault="00426A47" w:rsidP="00426A47">
      <w:pPr>
        <w:spacing w:before="100" w:beforeAutospacing="1" w:after="100" w:afterAutospacing="1" w:line="240" w:lineRule="auto"/>
        <w:outlineLvl w:val="3"/>
        <w:rPr>
          <w:rFonts w:ascii="Times New Roman" w:eastAsia="Times New Roman" w:hAnsi="Times New Roman" w:cs="Times New Roman"/>
          <w:b/>
          <w:bCs/>
          <w:color w:val="7030A0"/>
          <w:sz w:val="24"/>
          <w:szCs w:val="24"/>
          <w:lang w:eastAsia="en-GB"/>
        </w:rPr>
      </w:pPr>
      <w:r w:rsidRPr="00875933">
        <w:rPr>
          <w:rFonts w:ascii="Times New Roman" w:eastAsia="Times New Roman" w:hAnsi="Times New Roman" w:cs="Times New Roman"/>
          <w:b/>
          <w:bCs/>
          <w:sz w:val="24"/>
          <w:szCs w:val="24"/>
          <w:lang w:eastAsia="en-GB"/>
        </w:rPr>
        <w:t xml:space="preserve">3.3 </w:t>
      </w:r>
      <w:r w:rsidRPr="00634DDB">
        <w:rPr>
          <w:rFonts w:ascii="Times New Roman" w:eastAsia="Times New Roman" w:hAnsi="Times New Roman" w:cs="Times New Roman"/>
          <w:b/>
          <w:bCs/>
          <w:dstrike/>
          <w:sz w:val="24"/>
          <w:szCs w:val="24"/>
          <w:lang w:eastAsia="en-GB"/>
        </w:rPr>
        <w:t xml:space="preserve">Alkaloidal, </w:t>
      </w:r>
      <w:proofErr w:type="spellStart"/>
      <w:r w:rsidRPr="00634DDB">
        <w:rPr>
          <w:rFonts w:ascii="Times New Roman" w:eastAsia="Times New Roman" w:hAnsi="Times New Roman" w:cs="Times New Roman"/>
          <w:b/>
          <w:bCs/>
          <w:dstrike/>
          <w:color w:val="FF0000"/>
          <w:sz w:val="24"/>
          <w:szCs w:val="24"/>
          <w:lang w:eastAsia="en-GB"/>
        </w:rPr>
        <w:t>terpenoidal</w:t>
      </w:r>
      <w:proofErr w:type="spellEnd"/>
      <w:r w:rsidRPr="00634DDB">
        <w:rPr>
          <w:rFonts w:ascii="Times New Roman" w:eastAsia="Times New Roman" w:hAnsi="Times New Roman" w:cs="Times New Roman"/>
          <w:b/>
          <w:bCs/>
          <w:dstrike/>
          <w:color w:val="FF0000"/>
          <w:sz w:val="24"/>
          <w:szCs w:val="24"/>
          <w:lang w:eastAsia="en-GB"/>
        </w:rPr>
        <w:t xml:space="preserve"> and steroidal</w:t>
      </w:r>
      <w:r w:rsidRPr="00634DDB">
        <w:rPr>
          <w:rFonts w:ascii="Times New Roman" w:eastAsia="Times New Roman" w:hAnsi="Times New Roman" w:cs="Times New Roman"/>
          <w:b/>
          <w:bCs/>
          <w:dstrike/>
          <w:sz w:val="24"/>
          <w:szCs w:val="24"/>
          <w:lang w:eastAsia="en-GB"/>
        </w:rPr>
        <w:t xml:space="preserve"> constituents</w:t>
      </w:r>
      <w:r w:rsidR="00634DDB">
        <w:rPr>
          <w:rFonts w:ascii="Times New Roman" w:eastAsia="Times New Roman" w:hAnsi="Times New Roman" w:cs="Times New Roman"/>
          <w:b/>
          <w:bCs/>
          <w:sz w:val="24"/>
          <w:szCs w:val="24"/>
          <w:lang w:eastAsia="en-GB"/>
        </w:rPr>
        <w:t xml:space="preserve"> </w:t>
      </w:r>
      <w:r w:rsidR="00634DDB" w:rsidRPr="00634DDB">
        <w:rPr>
          <w:rFonts w:ascii="Times New Roman" w:eastAsia="Times New Roman" w:hAnsi="Times New Roman" w:cs="Times New Roman"/>
          <w:b/>
          <w:bCs/>
          <w:color w:val="7030A0"/>
          <w:sz w:val="24"/>
          <w:szCs w:val="24"/>
          <w:lang w:eastAsia="en-GB"/>
        </w:rPr>
        <w:t>Alkaloidal, steroidal</w:t>
      </w:r>
      <w:r w:rsidR="00634DDB" w:rsidRPr="00634DDB">
        <w:rPr>
          <w:rFonts w:ascii="Times New Roman" w:eastAsia="Times New Roman" w:hAnsi="Times New Roman" w:cs="Times New Roman"/>
          <w:b/>
          <w:bCs/>
          <w:color w:val="7030A0"/>
          <w:sz w:val="24"/>
          <w:szCs w:val="24"/>
          <w:lang w:eastAsia="en-GB"/>
        </w:rPr>
        <w:t xml:space="preserve"> </w:t>
      </w:r>
      <w:r w:rsidR="00634DDB" w:rsidRPr="00634DDB">
        <w:rPr>
          <w:rFonts w:ascii="Times New Roman" w:eastAsia="Times New Roman" w:hAnsi="Times New Roman" w:cs="Times New Roman"/>
          <w:b/>
          <w:bCs/>
          <w:color w:val="7030A0"/>
          <w:sz w:val="24"/>
          <w:szCs w:val="24"/>
          <w:lang w:eastAsia="en-GB"/>
        </w:rPr>
        <w:t xml:space="preserve">and </w:t>
      </w:r>
      <w:proofErr w:type="spellStart"/>
      <w:r w:rsidR="00634DDB" w:rsidRPr="00634DDB">
        <w:rPr>
          <w:rFonts w:ascii="Times New Roman" w:eastAsia="Times New Roman" w:hAnsi="Times New Roman" w:cs="Times New Roman"/>
          <w:b/>
          <w:bCs/>
          <w:color w:val="7030A0"/>
          <w:sz w:val="24"/>
          <w:szCs w:val="24"/>
          <w:lang w:eastAsia="en-GB"/>
        </w:rPr>
        <w:t>terpenoidal</w:t>
      </w:r>
      <w:proofErr w:type="spellEnd"/>
      <w:r w:rsidR="00634DDB" w:rsidRPr="00634DDB">
        <w:rPr>
          <w:rFonts w:ascii="Times New Roman" w:eastAsia="Times New Roman" w:hAnsi="Times New Roman" w:cs="Times New Roman"/>
          <w:b/>
          <w:bCs/>
          <w:color w:val="7030A0"/>
          <w:sz w:val="24"/>
          <w:szCs w:val="24"/>
          <w:lang w:eastAsia="en-GB"/>
        </w:rPr>
        <w:t xml:space="preserve"> constituents</w:t>
      </w:r>
    </w:p>
    <w:p w14:paraId="2B23221B" w14:textId="77777777" w:rsidR="00426A47" w:rsidRPr="00875933" w:rsidRDefault="00426A47" w:rsidP="00426A47">
      <w:pPr>
        <w:spacing w:before="100" w:beforeAutospacing="1" w:after="100" w:afterAutospacing="1" w:line="240" w:lineRule="auto"/>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 xml:space="preserve">A further, taxonomically interesting constituent is </w:t>
      </w:r>
      <w:proofErr w:type="spellStart"/>
      <w:r w:rsidRPr="00875933">
        <w:rPr>
          <w:rFonts w:ascii="Times New Roman" w:eastAsia="Times New Roman" w:hAnsi="Times New Roman" w:cs="Times New Roman"/>
          <w:sz w:val="24"/>
          <w:szCs w:val="24"/>
          <w:lang w:eastAsia="en-GB"/>
        </w:rPr>
        <w:t>flindersine</w:t>
      </w:r>
      <w:proofErr w:type="spellEnd"/>
      <w:r w:rsidRPr="00875933">
        <w:rPr>
          <w:rFonts w:ascii="Times New Roman" w:eastAsia="Times New Roman" w:hAnsi="Times New Roman" w:cs="Times New Roman"/>
          <w:sz w:val="24"/>
          <w:szCs w:val="24"/>
          <w:lang w:eastAsia="en-GB"/>
        </w:rPr>
        <w:t xml:space="preserve">, a </w:t>
      </w:r>
      <w:proofErr w:type="spellStart"/>
      <w:r w:rsidRPr="00875933">
        <w:rPr>
          <w:rFonts w:ascii="Times New Roman" w:eastAsia="Times New Roman" w:hAnsi="Times New Roman" w:cs="Times New Roman"/>
          <w:sz w:val="24"/>
          <w:szCs w:val="24"/>
          <w:lang w:eastAsia="en-GB"/>
        </w:rPr>
        <w:t>pyranoquinolinone</w:t>
      </w:r>
      <w:proofErr w:type="spellEnd"/>
      <w:r w:rsidRPr="00875933">
        <w:rPr>
          <w:rFonts w:ascii="Times New Roman" w:eastAsia="Times New Roman" w:hAnsi="Times New Roman" w:cs="Times New Roman"/>
          <w:sz w:val="24"/>
          <w:szCs w:val="24"/>
          <w:lang w:eastAsia="en-GB"/>
        </w:rPr>
        <w:t xml:space="preserve"> alkaloid more typically associated with the </w:t>
      </w:r>
      <w:proofErr w:type="spellStart"/>
      <w:r w:rsidRPr="00875933">
        <w:rPr>
          <w:rFonts w:ascii="Times New Roman" w:eastAsia="Times New Roman" w:hAnsi="Times New Roman" w:cs="Times New Roman"/>
          <w:sz w:val="24"/>
          <w:szCs w:val="24"/>
          <w:lang w:eastAsia="en-GB"/>
        </w:rPr>
        <w:t>Rutaceae</w:t>
      </w:r>
      <w:proofErr w:type="spellEnd"/>
      <w:r w:rsidRPr="00875933">
        <w:rPr>
          <w:rFonts w:ascii="Times New Roman" w:eastAsia="Times New Roman" w:hAnsi="Times New Roman" w:cs="Times New Roman"/>
          <w:sz w:val="24"/>
          <w:szCs w:val="24"/>
          <w:lang w:eastAsia="en-GB"/>
        </w:rPr>
        <w:t xml:space="preserve"> but reported also to occur in </w:t>
      </w:r>
      <w:r w:rsidRPr="00875933">
        <w:rPr>
          <w:rFonts w:ascii="Times New Roman" w:eastAsia="Times New Roman" w:hAnsi="Times New Roman" w:cs="Times New Roman"/>
          <w:i/>
          <w:iCs/>
          <w:sz w:val="24"/>
          <w:szCs w:val="24"/>
          <w:lang w:eastAsia="en-GB"/>
        </w:rPr>
        <w:t>A. indica</w:t>
      </w:r>
      <w:r w:rsidRPr="00875933">
        <w:rPr>
          <w:rFonts w:ascii="Times New Roman" w:eastAsia="Times New Roman" w:hAnsi="Times New Roman" w:cs="Times New Roman"/>
          <w:sz w:val="24"/>
          <w:szCs w:val="24"/>
          <w:lang w:eastAsia="en-GB"/>
        </w:rPr>
        <w:t xml:space="preserve">, alongside the simpler amides </w:t>
      </w:r>
      <w:proofErr w:type="spellStart"/>
      <w:r w:rsidRPr="00875933">
        <w:rPr>
          <w:rFonts w:ascii="Times New Roman" w:eastAsia="Times New Roman" w:hAnsi="Times New Roman" w:cs="Times New Roman"/>
          <w:sz w:val="24"/>
          <w:szCs w:val="24"/>
          <w:lang w:eastAsia="en-GB"/>
        </w:rPr>
        <w:t>acalyphamide</w:t>
      </w:r>
      <w:proofErr w:type="spellEnd"/>
      <w:r w:rsidRPr="00875933">
        <w:rPr>
          <w:rFonts w:ascii="Times New Roman" w:eastAsia="Times New Roman" w:hAnsi="Times New Roman" w:cs="Times New Roman"/>
          <w:sz w:val="24"/>
          <w:szCs w:val="24"/>
          <w:lang w:eastAsia="en-GB"/>
        </w:rPr>
        <w:t xml:space="preserve">, </w:t>
      </w:r>
      <w:proofErr w:type="spellStart"/>
      <w:r w:rsidRPr="00875933">
        <w:rPr>
          <w:rFonts w:ascii="Times New Roman" w:eastAsia="Times New Roman" w:hAnsi="Times New Roman" w:cs="Times New Roman"/>
          <w:sz w:val="24"/>
          <w:szCs w:val="24"/>
          <w:lang w:eastAsia="en-GB"/>
        </w:rPr>
        <w:t>aurantiamide</w:t>
      </w:r>
      <w:proofErr w:type="spellEnd"/>
      <w:r w:rsidRPr="00875933">
        <w:rPr>
          <w:rFonts w:ascii="Times New Roman" w:eastAsia="Times New Roman" w:hAnsi="Times New Roman" w:cs="Times New Roman"/>
          <w:sz w:val="24"/>
          <w:szCs w:val="24"/>
          <w:lang w:eastAsia="en-GB"/>
        </w:rPr>
        <w:t xml:space="preserve"> and succinimide (</w:t>
      </w:r>
      <w:proofErr w:type="spellStart"/>
      <w:r w:rsidRPr="00875933">
        <w:rPr>
          <w:rFonts w:ascii="Times New Roman" w:eastAsia="Times New Roman" w:hAnsi="Times New Roman" w:cs="Times New Roman"/>
          <w:sz w:val="24"/>
          <w:szCs w:val="24"/>
          <w:lang w:eastAsia="en-GB"/>
        </w:rPr>
        <w:t>Zahidin</w:t>
      </w:r>
      <w:proofErr w:type="spellEnd"/>
      <w:r w:rsidRPr="00875933">
        <w:rPr>
          <w:rFonts w:ascii="Times New Roman" w:eastAsia="Times New Roman" w:hAnsi="Times New Roman" w:cs="Times New Roman"/>
          <w:sz w:val="24"/>
          <w:szCs w:val="24"/>
          <w:lang w:eastAsia="en-GB"/>
        </w:rPr>
        <w:t xml:space="preserve"> et al., 2017; Seebaluck et al., 2015). Sterol constituents — principally β-sitosterol and its glucoside, together with stigmasterol in the root — have likewise been documented, and the plant yields quebrachitol besides, a cyclitol of independent pharmaceutical interest as a synthetic precursor (</w:t>
      </w:r>
      <w:proofErr w:type="spellStart"/>
      <w:r w:rsidRPr="00875933">
        <w:rPr>
          <w:rFonts w:ascii="Times New Roman" w:eastAsia="Times New Roman" w:hAnsi="Times New Roman" w:cs="Times New Roman"/>
          <w:sz w:val="24"/>
          <w:szCs w:val="24"/>
          <w:lang w:eastAsia="en-GB"/>
        </w:rPr>
        <w:t>Zahidin</w:t>
      </w:r>
      <w:proofErr w:type="spellEnd"/>
      <w:r w:rsidRPr="00875933">
        <w:rPr>
          <w:rFonts w:ascii="Times New Roman" w:eastAsia="Times New Roman" w:hAnsi="Times New Roman" w:cs="Times New Roman"/>
          <w:sz w:val="24"/>
          <w:szCs w:val="24"/>
          <w:lang w:eastAsia="en-GB"/>
        </w:rPr>
        <w:t xml:space="preserve"> et al., 2017). More recent phenolic and flavonoid profiling of aerial-part extracts intended for cosmeceutical use has confirmed catechin, gallic acid and kaempferol as quantifiable marker compounds by </w:t>
      </w:r>
      <w:r w:rsidRPr="00E810DE">
        <w:rPr>
          <w:rFonts w:ascii="Times New Roman" w:eastAsia="Times New Roman" w:hAnsi="Times New Roman" w:cs="Times New Roman"/>
          <w:sz w:val="24"/>
          <w:szCs w:val="24"/>
          <w:lang w:eastAsia="en-GB"/>
        </w:rPr>
        <w:t>high-performance thin-layer</w:t>
      </w:r>
      <w:r w:rsidRPr="00875933">
        <w:rPr>
          <w:rFonts w:ascii="Times New Roman" w:eastAsia="Times New Roman" w:hAnsi="Times New Roman" w:cs="Times New Roman"/>
          <w:sz w:val="24"/>
          <w:szCs w:val="24"/>
          <w:lang w:eastAsia="en-GB"/>
        </w:rPr>
        <w:t xml:space="preserve"> chromatography, giving the phytochemical record a degree of analytical specificity that, historically, it has largely lacked (Sriram &amp; </w:t>
      </w:r>
      <w:proofErr w:type="spellStart"/>
      <w:r w:rsidRPr="00875933">
        <w:rPr>
          <w:rFonts w:ascii="Times New Roman" w:eastAsia="Times New Roman" w:hAnsi="Times New Roman" w:cs="Times New Roman"/>
          <w:sz w:val="24"/>
          <w:szCs w:val="24"/>
          <w:lang w:eastAsia="en-GB"/>
        </w:rPr>
        <w:t>Yoganandam</w:t>
      </w:r>
      <w:proofErr w:type="spellEnd"/>
      <w:r w:rsidRPr="00875933">
        <w:rPr>
          <w:rFonts w:ascii="Times New Roman" w:eastAsia="Times New Roman" w:hAnsi="Times New Roman" w:cs="Times New Roman"/>
          <w:sz w:val="24"/>
          <w:szCs w:val="24"/>
          <w:lang w:eastAsia="en-GB"/>
        </w:rPr>
        <w:t>, 2025).</w:t>
      </w:r>
    </w:p>
    <w:p w14:paraId="7DE03275" w14:textId="4FED8505" w:rsidR="00426A47" w:rsidRPr="00875933" w:rsidRDefault="00426A47" w:rsidP="00426A47">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875933">
        <w:rPr>
          <w:rFonts w:ascii="Times New Roman" w:eastAsia="Times New Roman" w:hAnsi="Times New Roman" w:cs="Times New Roman"/>
          <w:b/>
          <w:bCs/>
          <w:sz w:val="24"/>
          <w:szCs w:val="24"/>
          <w:lang w:eastAsia="en-GB"/>
        </w:rPr>
        <w:t xml:space="preserve">3.4 </w:t>
      </w:r>
      <w:r w:rsidRPr="00634DDB">
        <w:rPr>
          <w:rFonts w:ascii="Times New Roman" w:eastAsia="Times New Roman" w:hAnsi="Times New Roman" w:cs="Times New Roman"/>
          <w:b/>
          <w:bCs/>
          <w:dstrike/>
          <w:color w:val="FF0000"/>
          <w:sz w:val="24"/>
          <w:szCs w:val="24"/>
          <w:lang w:eastAsia="en-GB"/>
        </w:rPr>
        <w:t>Volatile constituents and tannins</w:t>
      </w:r>
      <w:r w:rsidR="00634DDB">
        <w:rPr>
          <w:rFonts w:ascii="Times New Roman" w:eastAsia="Times New Roman" w:hAnsi="Times New Roman" w:cs="Times New Roman"/>
          <w:b/>
          <w:bCs/>
          <w:color w:val="FF0000"/>
          <w:sz w:val="24"/>
          <w:szCs w:val="24"/>
          <w:lang w:eastAsia="en-GB"/>
        </w:rPr>
        <w:t xml:space="preserve"> </w:t>
      </w:r>
      <w:proofErr w:type="spellStart"/>
      <w:r w:rsidR="00634DDB" w:rsidRPr="00634DDB">
        <w:rPr>
          <w:rFonts w:ascii="Times New Roman" w:eastAsia="Times New Roman" w:hAnsi="Times New Roman" w:cs="Times New Roman"/>
          <w:b/>
          <w:bCs/>
          <w:color w:val="7030A0"/>
          <w:sz w:val="24"/>
          <w:szCs w:val="24"/>
          <w:lang w:eastAsia="en-GB"/>
        </w:rPr>
        <w:t>T</w:t>
      </w:r>
      <w:r w:rsidR="00634DDB" w:rsidRPr="00634DDB">
        <w:rPr>
          <w:rFonts w:ascii="Times New Roman" w:eastAsia="Times New Roman" w:hAnsi="Times New Roman" w:cs="Times New Roman"/>
          <w:b/>
          <w:bCs/>
          <w:color w:val="7030A0"/>
          <w:sz w:val="24"/>
          <w:szCs w:val="24"/>
          <w:lang w:eastAsia="en-GB"/>
        </w:rPr>
        <w:t>annins</w:t>
      </w:r>
      <w:proofErr w:type="spellEnd"/>
      <w:r w:rsidR="00634DDB" w:rsidRPr="00634DDB">
        <w:rPr>
          <w:rFonts w:ascii="Times New Roman" w:eastAsia="Times New Roman" w:hAnsi="Times New Roman" w:cs="Times New Roman"/>
          <w:b/>
          <w:bCs/>
          <w:color w:val="7030A0"/>
          <w:sz w:val="24"/>
          <w:szCs w:val="24"/>
          <w:lang w:eastAsia="en-GB"/>
        </w:rPr>
        <w:t xml:space="preserve"> </w:t>
      </w:r>
      <w:r w:rsidR="00634DDB" w:rsidRPr="00634DDB">
        <w:rPr>
          <w:rFonts w:ascii="Times New Roman" w:eastAsia="Times New Roman" w:hAnsi="Times New Roman" w:cs="Times New Roman"/>
          <w:b/>
          <w:bCs/>
          <w:color w:val="7030A0"/>
          <w:sz w:val="24"/>
          <w:szCs w:val="24"/>
          <w:lang w:eastAsia="en-GB"/>
        </w:rPr>
        <w:t>and</w:t>
      </w:r>
      <w:r w:rsidR="00634DDB" w:rsidRPr="00634DDB">
        <w:rPr>
          <w:rFonts w:ascii="Times New Roman" w:eastAsia="Times New Roman" w:hAnsi="Times New Roman" w:cs="Times New Roman"/>
          <w:b/>
          <w:bCs/>
          <w:color w:val="7030A0"/>
          <w:sz w:val="24"/>
          <w:szCs w:val="24"/>
          <w:lang w:eastAsia="en-GB"/>
        </w:rPr>
        <w:t xml:space="preserve"> v</w:t>
      </w:r>
      <w:r w:rsidR="00634DDB" w:rsidRPr="00634DDB">
        <w:rPr>
          <w:rFonts w:ascii="Times New Roman" w:eastAsia="Times New Roman" w:hAnsi="Times New Roman" w:cs="Times New Roman"/>
          <w:b/>
          <w:bCs/>
          <w:color w:val="7030A0"/>
          <w:sz w:val="24"/>
          <w:szCs w:val="24"/>
          <w:lang w:eastAsia="en-GB"/>
        </w:rPr>
        <w:t>olatile constituents</w:t>
      </w:r>
      <w:r w:rsidR="00634DDB" w:rsidRPr="002A01A0">
        <w:rPr>
          <w:rFonts w:ascii="Times New Roman" w:eastAsia="Times New Roman" w:hAnsi="Times New Roman" w:cs="Times New Roman"/>
          <w:b/>
          <w:bCs/>
          <w:color w:val="FF0000"/>
          <w:sz w:val="24"/>
          <w:szCs w:val="24"/>
          <w:lang w:eastAsia="en-GB"/>
        </w:rPr>
        <w:t xml:space="preserve"> </w:t>
      </w:r>
      <w:r w:rsidR="00634DDB">
        <w:rPr>
          <w:rFonts w:ascii="Times New Roman" w:eastAsia="Times New Roman" w:hAnsi="Times New Roman" w:cs="Times New Roman"/>
          <w:b/>
          <w:bCs/>
          <w:color w:val="FF0000"/>
          <w:sz w:val="24"/>
          <w:szCs w:val="24"/>
          <w:lang w:eastAsia="en-GB"/>
        </w:rPr>
        <w:t xml:space="preserve"> </w:t>
      </w:r>
      <w:r w:rsidR="00634DDB" w:rsidRPr="002A01A0">
        <w:rPr>
          <w:rFonts w:ascii="Times New Roman" w:eastAsia="Times New Roman" w:hAnsi="Times New Roman" w:cs="Times New Roman"/>
          <w:b/>
          <w:bCs/>
          <w:color w:val="FF0000"/>
          <w:sz w:val="24"/>
          <w:szCs w:val="24"/>
          <w:lang w:eastAsia="en-GB"/>
        </w:rPr>
        <w:t xml:space="preserve"> </w:t>
      </w:r>
    </w:p>
    <w:p w14:paraId="1CFCABBE" w14:textId="77777777" w:rsidR="00426A47" w:rsidRPr="00875933" w:rsidRDefault="00426A47" w:rsidP="00426A47">
      <w:pPr>
        <w:spacing w:before="100" w:beforeAutospacing="1" w:after="100" w:afterAutospacing="1" w:line="240" w:lineRule="auto"/>
        <w:rPr>
          <w:rFonts w:ascii="Times New Roman" w:eastAsia="Times New Roman" w:hAnsi="Times New Roman" w:cs="Times New Roman"/>
          <w:sz w:val="24"/>
          <w:szCs w:val="24"/>
          <w:lang w:eastAsia="en-GB"/>
        </w:rPr>
      </w:pPr>
      <w:r w:rsidRPr="00875933">
        <w:rPr>
          <w:rFonts w:ascii="Times New Roman" w:hAnsi="Times New Roman" w:cs="Times New Roman"/>
        </w:rPr>
        <w:t xml:space="preserve">Tannins crop up consistently as a major constituent class across solvents and plant parts, and probably contribute substantially to the astringent, antimicrobial and wound-healing properties traditionally attributed to the species (Zahidin et al., 2017). Essential oil and volatile constituents have received less structural attention than the non-volatile phenolic and cyanogenic fraction, though gas chromatographic work consistently picks up fatty acid derivatives, terpenoid fragments and assorted aliphatic compounds among the major volatile signals in leaf extracts </w:t>
      </w:r>
      <w:r w:rsidRPr="00CE26E3">
        <w:rPr>
          <w:rFonts w:ascii="Times New Roman" w:hAnsi="Times New Roman" w:cs="Times New Roman"/>
          <w:color w:val="FF0000"/>
        </w:rPr>
        <w:t>—</w:t>
      </w:r>
      <w:r w:rsidRPr="00875933">
        <w:rPr>
          <w:rFonts w:ascii="Times New Roman" w:hAnsi="Times New Roman" w:cs="Times New Roman"/>
        </w:rPr>
        <w:t xml:space="preserve"> several of which have since been put forward as candidate ligands in molecular docking studies of antimicrobial and antioxidant mechanism (Ravi et al., 2017; Venkatesan &amp; Muniyan, 2026). Table 1 draws together the principal phytochemical classes discussed across this section, alongside their representative compounds and the plant parts in which each has been reported.</w:t>
      </w:r>
    </w:p>
    <w:p w14:paraId="2455479B" w14:textId="77777777" w:rsidR="00426A47" w:rsidRPr="00875933" w:rsidRDefault="00426A47" w:rsidP="00426A47">
      <w:pPr>
        <w:spacing w:before="100" w:beforeAutospacing="1" w:after="100" w:afterAutospacing="1" w:line="240" w:lineRule="auto"/>
        <w:rPr>
          <w:rFonts w:ascii="Times New Roman" w:eastAsia="Times New Roman" w:hAnsi="Times New Roman" w:cs="Times New Roman"/>
          <w:sz w:val="24"/>
          <w:szCs w:val="24"/>
          <w:lang w:eastAsia="en-GB"/>
        </w:rPr>
      </w:pPr>
      <w:r w:rsidRPr="00875933">
        <w:rPr>
          <w:rFonts w:ascii="Times New Roman" w:eastAsia="Times New Roman" w:hAnsi="Times New Roman" w:cs="Times New Roman"/>
          <w:b/>
          <w:bCs/>
          <w:sz w:val="24"/>
          <w:szCs w:val="24"/>
          <w:lang w:eastAsia="en-GB"/>
        </w:rPr>
        <w:t xml:space="preserve">Table 1. Principal phytochemical classes reported in </w:t>
      </w:r>
      <w:r w:rsidRPr="00875933">
        <w:rPr>
          <w:rFonts w:ascii="Times New Roman" w:eastAsia="Times New Roman" w:hAnsi="Times New Roman" w:cs="Times New Roman"/>
          <w:b/>
          <w:bCs/>
          <w:i/>
          <w:iCs/>
          <w:sz w:val="24"/>
          <w:szCs w:val="24"/>
          <w:lang w:eastAsia="en-GB"/>
        </w:rPr>
        <w:t>Acalypha indica</w:t>
      </w:r>
    </w:p>
    <w:tbl>
      <w:tblPr>
        <w:tblStyle w:val="TableGrid"/>
        <w:tblW w:w="0" w:type="auto"/>
        <w:tblLook w:val="04A0" w:firstRow="1" w:lastRow="0" w:firstColumn="1" w:lastColumn="0" w:noHBand="0" w:noVBand="1"/>
      </w:tblPr>
      <w:tblGrid>
        <w:gridCol w:w="2701"/>
        <w:gridCol w:w="3634"/>
        <w:gridCol w:w="2907"/>
      </w:tblGrid>
      <w:tr w:rsidR="00426A47" w:rsidRPr="00875933" w14:paraId="72AE92E1" w14:textId="77777777" w:rsidTr="00875933">
        <w:tc>
          <w:tcPr>
            <w:tcW w:w="0" w:type="auto"/>
            <w:hideMark/>
          </w:tcPr>
          <w:p w14:paraId="76A8C5E5" w14:textId="422BFE6C" w:rsidR="00426A47" w:rsidRPr="00875933" w:rsidRDefault="00426A47" w:rsidP="00426A47">
            <w:pPr>
              <w:jc w:val="center"/>
              <w:rPr>
                <w:rFonts w:ascii="Times New Roman" w:eastAsia="Times New Roman" w:hAnsi="Times New Roman" w:cs="Times New Roman"/>
                <w:b/>
                <w:bCs/>
                <w:sz w:val="24"/>
                <w:szCs w:val="24"/>
                <w:lang w:eastAsia="en-GB"/>
              </w:rPr>
            </w:pPr>
            <w:r w:rsidRPr="00875933">
              <w:rPr>
                <w:rFonts w:ascii="Times New Roman" w:eastAsia="Times New Roman" w:hAnsi="Times New Roman" w:cs="Times New Roman"/>
                <w:b/>
                <w:bCs/>
                <w:sz w:val="24"/>
                <w:szCs w:val="24"/>
                <w:lang w:eastAsia="en-GB"/>
              </w:rPr>
              <w:t>Phytochemical class</w:t>
            </w:r>
          </w:p>
        </w:tc>
        <w:tc>
          <w:tcPr>
            <w:tcW w:w="0" w:type="auto"/>
            <w:hideMark/>
          </w:tcPr>
          <w:p w14:paraId="43BCD20F" w14:textId="764F8AA8" w:rsidR="00426A47" w:rsidRPr="00875933" w:rsidRDefault="00426A47" w:rsidP="00426A47">
            <w:pPr>
              <w:jc w:val="center"/>
              <w:rPr>
                <w:rFonts w:ascii="Times New Roman" w:eastAsia="Times New Roman" w:hAnsi="Times New Roman" w:cs="Times New Roman"/>
                <w:b/>
                <w:bCs/>
                <w:sz w:val="24"/>
                <w:szCs w:val="24"/>
                <w:lang w:eastAsia="en-GB"/>
              </w:rPr>
            </w:pPr>
            <w:r w:rsidRPr="00875933">
              <w:rPr>
                <w:rFonts w:ascii="Times New Roman" w:eastAsia="Times New Roman" w:hAnsi="Times New Roman" w:cs="Times New Roman"/>
                <w:b/>
                <w:bCs/>
                <w:sz w:val="24"/>
                <w:szCs w:val="24"/>
                <w:lang w:eastAsia="en-GB"/>
              </w:rPr>
              <w:t>Representative compound</w:t>
            </w:r>
            <w:r w:rsidR="00CE26E3" w:rsidRPr="00CE26E3">
              <w:rPr>
                <w:rFonts w:ascii="Times New Roman" w:eastAsia="Times New Roman" w:hAnsi="Times New Roman" w:cs="Times New Roman"/>
                <w:b/>
                <w:bCs/>
                <w:color w:val="FF0000"/>
                <w:sz w:val="24"/>
                <w:szCs w:val="24"/>
                <w:lang w:eastAsia="en-GB"/>
              </w:rPr>
              <w:t>(</w:t>
            </w:r>
            <w:r w:rsidRPr="00875933">
              <w:rPr>
                <w:rFonts w:ascii="Times New Roman" w:eastAsia="Times New Roman" w:hAnsi="Times New Roman" w:cs="Times New Roman"/>
                <w:b/>
                <w:bCs/>
                <w:sz w:val="24"/>
                <w:szCs w:val="24"/>
                <w:lang w:eastAsia="en-GB"/>
              </w:rPr>
              <w:t>s</w:t>
            </w:r>
            <w:r w:rsidR="00CE26E3" w:rsidRPr="00CE26E3">
              <w:rPr>
                <w:rFonts w:ascii="Times New Roman" w:eastAsia="Times New Roman" w:hAnsi="Times New Roman" w:cs="Times New Roman"/>
                <w:b/>
                <w:bCs/>
                <w:color w:val="FF0000"/>
                <w:sz w:val="24"/>
                <w:szCs w:val="24"/>
                <w:lang w:eastAsia="en-GB"/>
              </w:rPr>
              <w:t>)</w:t>
            </w:r>
          </w:p>
        </w:tc>
        <w:tc>
          <w:tcPr>
            <w:tcW w:w="0" w:type="auto"/>
            <w:hideMark/>
          </w:tcPr>
          <w:p w14:paraId="3DD36AA2" w14:textId="77777777" w:rsidR="00426A47" w:rsidRPr="00875933" w:rsidRDefault="00426A47" w:rsidP="00426A47">
            <w:pPr>
              <w:jc w:val="center"/>
              <w:rPr>
                <w:rFonts w:ascii="Times New Roman" w:eastAsia="Times New Roman" w:hAnsi="Times New Roman" w:cs="Times New Roman"/>
                <w:b/>
                <w:bCs/>
                <w:sz w:val="24"/>
                <w:szCs w:val="24"/>
                <w:lang w:eastAsia="en-GB"/>
              </w:rPr>
            </w:pPr>
            <w:r w:rsidRPr="00875933">
              <w:rPr>
                <w:rFonts w:ascii="Times New Roman" w:eastAsia="Times New Roman" w:hAnsi="Times New Roman" w:cs="Times New Roman"/>
                <w:b/>
                <w:bCs/>
                <w:sz w:val="24"/>
                <w:szCs w:val="24"/>
                <w:lang w:eastAsia="en-GB"/>
              </w:rPr>
              <w:t>Plant part(s) reported</w:t>
            </w:r>
          </w:p>
        </w:tc>
      </w:tr>
      <w:tr w:rsidR="00426A47" w:rsidRPr="00875933" w14:paraId="42B13F3C" w14:textId="77777777" w:rsidTr="00875933">
        <w:tc>
          <w:tcPr>
            <w:tcW w:w="0" w:type="auto"/>
            <w:hideMark/>
          </w:tcPr>
          <w:p w14:paraId="2E45AD43" w14:textId="77777777" w:rsidR="00426A47" w:rsidRPr="00875933" w:rsidRDefault="00426A47" w:rsidP="00426A47">
            <w:pPr>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 xml:space="preserve">Cyanogenic </w:t>
            </w:r>
            <w:proofErr w:type="spellStart"/>
            <w:r w:rsidRPr="00875933">
              <w:rPr>
                <w:rFonts w:ascii="Times New Roman" w:eastAsia="Times New Roman" w:hAnsi="Times New Roman" w:cs="Times New Roman"/>
                <w:sz w:val="24"/>
                <w:szCs w:val="24"/>
                <w:lang w:eastAsia="en-GB"/>
              </w:rPr>
              <w:t>pyridone</w:t>
            </w:r>
            <w:proofErr w:type="spellEnd"/>
            <w:r w:rsidRPr="00875933">
              <w:rPr>
                <w:rFonts w:ascii="Times New Roman" w:eastAsia="Times New Roman" w:hAnsi="Times New Roman" w:cs="Times New Roman"/>
                <w:sz w:val="24"/>
                <w:szCs w:val="24"/>
                <w:lang w:eastAsia="en-GB"/>
              </w:rPr>
              <w:t xml:space="preserve"> glucosides</w:t>
            </w:r>
          </w:p>
        </w:tc>
        <w:tc>
          <w:tcPr>
            <w:tcW w:w="0" w:type="auto"/>
            <w:hideMark/>
          </w:tcPr>
          <w:p w14:paraId="4214AFFE" w14:textId="77777777" w:rsidR="00426A47" w:rsidRPr="00875933" w:rsidRDefault="00426A47" w:rsidP="00426A47">
            <w:pPr>
              <w:rPr>
                <w:rFonts w:ascii="Times New Roman" w:eastAsia="Times New Roman" w:hAnsi="Times New Roman" w:cs="Times New Roman"/>
                <w:sz w:val="24"/>
                <w:szCs w:val="24"/>
                <w:lang w:eastAsia="en-GB"/>
              </w:rPr>
            </w:pPr>
            <w:proofErr w:type="spellStart"/>
            <w:r w:rsidRPr="00875933">
              <w:rPr>
                <w:rFonts w:ascii="Times New Roman" w:eastAsia="Times New Roman" w:hAnsi="Times New Roman" w:cs="Times New Roman"/>
                <w:sz w:val="24"/>
                <w:szCs w:val="24"/>
                <w:lang w:eastAsia="en-GB"/>
              </w:rPr>
              <w:t>Acalyphin</w:t>
            </w:r>
            <w:proofErr w:type="spellEnd"/>
            <w:r w:rsidRPr="00875933">
              <w:rPr>
                <w:rFonts w:ascii="Times New Roman" w:eastAsia="Times New Roman" w:hAnsi="Times New Roman" w:cs="Times New Roman"/>
                <w:sz w:val="24"/>
                <w:szCs w:val="24"/>
                <w:lang w:eastAsia="en-GB"/>
              </w:rPr>
              <w:t xml:space="preserve">, </w:t>
            </w:r>
            <w:proofErr w:type="spellStart"/>
            <w:r w:rsidRPr="00875933">
              <w:rPr>
                <w:rFonts w:ascii="Times New Roman" w:eastAsia="Times New Roman" w:hAnsi="Times New Roman" w:cs="Times New Roman"/>
                <w:sz w:val="24"/>
                <w:szCs w:val="24"/>
                <w:lang w:eastAsia="en-GB"/>
              </w:rPr>
              <w:t>epiacalyphin</w:t>
            </w:r>
            <w:proofErr w:type="spellEnd"/>
            <w:r w:rsidRPr="00875933">
              <w:rPr>
                <w:rFonts w:ascii="Times New Roman" w:eastAsia="Times New Roman" w:hAnsi="Times New Roman" w:cs="Times New Roman"/>
                <w:sz w:val="24"/>
                <w:szCs w:val="24"/>
                <w:lang w:eastAsia="en-GB"/>
              </w:rPr>
              <w:t xml:space="preserve">, </w:t>
            </w:r>
            <w:proofErr w:type="spellStart"/>
            <w:r w:rsidRPr="00875933">
              <w:rPr>
                <w:rFonts w:ascii="Times New Roman" w:eastAsia="Times New Roman" w:hAnsi="Times New Roman" w:cs="Times New Roman"/>
                <w:sz w:val="24"/>
                <w:szCs w:val="24"/>
                <w:lang w:eastAsia="en-GB"/>
              </w:rPr>
              <w:t>noracalyphin</w:t>
            </w:r>
            <w:proofErr w:type="spellEnd"/>
            <w:r w:rsidRPr="00875933">
              <w:rPr>
                <w:rFonts w:ascii="Times New Roman" w:eastAsia="Times New Roman" w:hAnsi="Times New Roman" w:cs="Times New Roman"/>
                <w:sz w:val="24"/>
                <w:szCs w:val="24"/>
                <w:lang w:eastAsia="en-GB"/>
              </w:rPr>
              <w:t>, seco-</w:t>
            </w:r>
            <w:proofErr w:type="spellStart"/>
            <w:r w:rsidRPr="00875933">
              <w:rPr>
                <w:rFonts w:ascii="Times New Roman" w:eastAsia="Times New Roman" w:hAnsi="Times New Roman" w:cs="Times New Roman"/>
                <w:sz w:val="24"/>
                <w:szCs w:val="24"/>
                <w:lang w:eastAsia="en-GB"/>
              </w:rPr>
              <w:t>acalyphin</w:t>
            </w:r>
            <w:proofErr w:type="spellEnd"/>
          </w:p>
        </w:tc>
        <w:tc>
          <w:tcPr>
            <w:tcW w:w="0" w:type="auto"/>
            <w:hideMark/>
          </w:tcPr>
          <w:p w14:paraId="2EB07625" w14:textId="77777777" w:rsidR="00426A47" w:rsidRPr="00875933" w:rsidRDefault="00426A47" w:rsidP="00426A47">
            <w:pPr>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Leaves, inflorescences (highest in leaves)</w:t>
            </w:r>
          </w:p>
        </w:tc>
      </w:tr>
      <w:tr w:rsidR="00426A47" w:rsidRPr="00875933" w14:paraId="4C30C68E" w14:textId="77777777" w:rsidTr="00875933">
        <w:tc>
          <w:tcPr>
            <w:tcW w:w="0" w:type="auto"/>
            <w:hideMark/>
          </w:tcPr>
          <w:p w14:paraId="24D3B9D0" w14:textId="77777777" w:rsidR="00426A47" w:rsidRPr="00875933" w:rsidRDefault="00426A47" w:rsidP="00426A47">
            <w:pPr>
              <w:rPr>
                <w:rFonts w:ascii="Times New Roman" w:eastAsia="Times New Roman" w:hAnsi="Times New Roman" w:cs="Times New Roman"/>
                <w:sz w:val="24"/>
                <w:szCs w:val="24"/>
                <w:lang w:eastAsia="en-GB"/>
              </w:rPr>
            </w:pPr>
            <w:proofErr w:type="spellStart"/>
            <w:r w:rsidRPr="00875933">
              <w:rPr>
                <w:rFonts w:ascii="Times New Roman" w:eastAsia="Times New Roman" w:hAnsi="Times New Roman" w:cs="Times New Roman"/>
                <w:sz w:val="24"/>
                <w:szCs w:val="24"/>
                <w:lang w:eastAsia="en-GB"/>
              </w:rPr>
              <w:t>Flavonol</w:t>
            </w:r>
            <w:proofErr w:type="spellEnd"/>
            <w:r w:rsidRPr="00875933">
              <w:rPr>
                <w:rFonts w:ascii="Times New Roman" w:eastAsia="Times New Roman" w:hAnsi="Times New Roman" w:cs="Times New Roman"/>
                <w:sz w:val="24"/>
                <w:szCs w:val="24"/>
                <w:lang w:eastAsia="en-GB"/>
              </w:rPr>
              <w:t xml:space="preserve"> glycosides</w:t>
            </w:r>
          </w:p>
        </w:tc>
        <w:tc>
          <w:tcPr>
            <w:tcW w:w="0" w:type="auto"/>
            <w:hideMark/>
          </w:tcPr>
          <w:p w14:paraId="698C324F" w14:textId="77777777" w:rsidR="00426A47" w:rsidRPr="00875933" w:rsidRDefault="00426A47" w:rsidP="00426A47">
            <w:pPr>
              <w:rPr>
                <w:rFonts w:ascii="Times New Roman" w:eastAsia="Times New Roman" w:hAnsi="Times New Roman" w:cs="Times New Roman"/>
                <w:sz w:val="24"/>
                <w:szCs w:val="24"/>
                <w:lang w:eastAsia="en-GB"/>
              </w:rPr>
            </w:pPr>
            <w:proofErr w:type="spellStart"/>
            <w:r w:rsidRPr="00875933">
              <w:rPr>
                <w:rFonts w:ascii="Times New Roman" w:eastAsia="Times New Roman" w:hAnsi="Times New Roman" w:cs="Times New Roman"/>
                <w:sz w:val="24"/>
                <w:szCs w:val="24"/>
                <w:lang w:eastAsia="en-GB"/>
              </w:rPr>
              <w:t>Mauritianin</w:t>
            </w:r>
            <w:proofErr w:type="spellEnd"/>
            <w:r w:rsidRPr="00875933">
              <w:rPr>
                <w:rFonts w:ascii="Times New Roman" w:eastAsia="Times New Roman" w:hAnsi="Times New Roman" w:cs="Times New Roman"/>
                <w:sz w:val="24"/>
                <w:szCs w:val="24"/>
                <w:lang w:eastAsia="en-GB"/>
              </w:rPr>
              <w:t xml:space="preserve">, </w:t>
            </w:r>
            <w:proofErr w:type="spellStart"/>
            <w:r w:rsidRPr="00875933">
              <w:rPr>
                <w:rFonts w:ascii="Times New Roman" w:eastAsia="Times New Roman" w:hAnsi="Times New Roman" w:cs="Times New Roman"/>
                <w:sz w:val="24"/>
                <w:szCs w:val="24"/>
                <w:lang w:eastAsia="en-GB"/>
              </w:rPr>
              <w:t>clitorin</w:t>
            </w:r>
            <w:proofErr w:type="spellEnd"/>
            <w:r w:rsidRPr="00875933">
              <w:rPr>
                <w:rFonts w:ascii="Times New Roman" w:eastAsia="Times New Roman" w:hAnsi="Times New Roman" w:cs="Times New Roman"/>
                <w:sz w:val="24"/>
                <w:szCs w:val="24"/>
                <w:lang w:eastAsia="en-GB"/>
              </w:rPr>
              <w:t xml:space="preserve">, </w:t>
            </w:r>
            <w:proofErr w:type="spellStart"/>
            <w:r w:rsidRPr="00875933">
              <w:rPr>
                <w:rFonts w:ascii="Times New Roman" w:eastAsia="Times New Roman" w:hAnsi="Times New Roman" w:cs="Times New Roman"/>
                <w:sz w:val="24"/>
                <w:szCs w:val="24"/>
                <w:lang w:eastAsia="en-GB"/>
              </w:rPr>
              <w:t>nicotiflorin</w:t>
            </w:r>
            <w:proofErr w:type="spellEnd"/>
            <w:r w:rsidRPr="00875933">
              <w:rPr>
                <w:rFonts w:ascii="Times New Roman" w:eastAsia="Times New Roman" w:hAnsi="Times New Roman" w:cs="Times New Roman"/>
                <w:sz w:val="24"/>
                <w:szCs w:val="24"/>
                <w:lang w:eastAsia="en-GB"/>
              </w:rPr>
              <w:t xml:space="preserve">, </w:t>
            </w:r>
            <w:proofErr w:type="spellStart"/>
            <w:r w:rsidRPr="00875933">
              <w:rPr>
                <w:rFonts w:ascii="Times New Roman" w:eastAsia="Times New Roman" w:hAnsi="Times New Roman" w:cs="Times New Roman"/>
                <w:sz w:val="24"/>
                <w:szCs w:val="24"/>
                <w:lang w:eastAsia="en-GB"/>
              </w:rPr>
              <w:t>biorobin</w:t>
            </w:r>
            <w:proofErr w:type="spellEnd"/>
          </w:p>
        </w:tc>
        <w:tc>
          <w:tcPr>
            <w:tcW w:w="0" w:type="auto"/>
            <w:hideMark/>
          </w:tcPr>
          <w:p w14:paraId="4272E10F" w14:textId="77777777" w:rsidR="00426A47" w:rsidRPr="00875933" w:rsidRDefault="00426A47" w:rsidP="00426A47">
            <w:pPr>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Flowers, leaves</w:t>
            </w:r>
          </w:p>
        </w:tc>
      </w:tr>
      <w:tr w:rsidR="00426A47" w:rsidRPr="00875933" w14:paraId="68BA5B9F" w14:textId="77777777" w:rsidTr="00875933">
        <w:tc>
          <w:tcPr>
            <w:tcW w:w="0" w:type="auto"/>
            <w:hideMark/>
          </w:tcPr>
          <w:p w14:paraId="063E01B8" w14:textId="77777777" w:rsidR="00426A47" w:rsidRPr="00875933" w:rsidRDefault="00426A47" w:rsidP="00426A47">
            <w:pPr>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Phenolic acids</w:t>
            </w:r>
          </w:p>
        </w:tc>
        <w:tc>
          <w:tcPr>
            <w:tcW w:w="0" w:type="auto"/>
            <w:hideMark/>
          </w:tcPr>
          <w:p w14:paraId="13D491F0" w14:textId="77777777" w:rsidR="00426A47" w:rsidRPr="00875933" w:rsidRDefault="00426A47" w:rsidP="00426A47">
            <w:pPr>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Gallic acid, chlorogenic acid, ferulic acid, catechin</w:t>
            </w:r>
          </w:p>
        </w:tc>
        <w:tc>
          <w:tcPr>
            <w:tcW w:w="0" w:type="auto"/>
            <w:hideMark/>
          </w:tcPr>
          <w:p w14:paraId="5CEF7077" w14:textId="77777777" w:rsidR="00426A47" w:rsidRPr="00875933" w:rsidRDefault="00426A47" w:rsidP="00426A47">
            <w:pPr>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Leaves, roots, aerial parts</w:t>
            </w:r>
          </w:p>
        </w:tc>
      </w:tr>
      <w:tr w:rsidR="00426A47" w:rsidRPr="00875933" w14:paraId="0715776C" w14:textId="77777777" w:rsidTr="00875933">
        <w:tc>
          <w:tcPr>
            <w:tcW w:w="0" w:type="auto"/>
            <w:hideMark/>
          </w:tcPr>
          <w:p w14:paraId="5059CD29" w14:textId="77777777" w:rsidR="00426A47" w:rsidRPr="00875933" w:rsidRDefault="00426A47" w:rsidP="00426A47">
            <w:pPr>
              <w:rPr>
                <w:rFonts w:ascii="Times New Roman" w:eastAsia="Times New Roman" w:hAnsi="Times New Roman" w:cs="Times New Roman"/>
                <w:sz w:val="24"/>
                <w:szCs w:val="24"/>
                <w:lang w:eastAsia="en-GB"/>
              </w:rPr>
            </w:pPr>
            <w:proofErr w:type="spellStart"/>
            <w:r w:rsidRPr="00875933">
              <w:rPr>
                <w:rFonts w:ascii="Times New Roman" w:eastAsia="Times New Roman" w:hAnsi="Times New Roman" w:cs="Times New Roman"/>
                <w:sz w:val="24"/>
                <w:szCs w:val="24"/>
                <w:lang w:eastAsia="en-GB"/>
              </w:rPr>
              <w:t>Pyranoquinolinone</w:t>
            </w:r>
            <w:proofErr w:type="spellEnd"/>
            <w:r w:rsidRPr="00875933">
              <w:rPr>
                <w:rFonts w:ascii="Times New Roman" w:eastAsia="Times New Roman" w:hAnsi="Times New Roman" w:cs="Times New Roman"/>
                <w:sz w:val="24"/>
                <w:szCs w:val="24"/>
                <w:lang w:eastAsia="en-GB"/>
              </w:rPr>
              <w:t xml:space="preserve"> alkaloid</w:t>
            </w:r>
          </w:p>
        </w:tc>
        <w:tc>
          <w:tcPr>
            <w:tcW w:w="0" w:type="auto"/>
            <w:hideMark/>
          </w:tcPr>
          <w:p w14:paraId="2020750A" w14:textId="77777777" w:rsidR="00426A47" w:rsidRPr="00875933" w:rsidRDefault="00426A47" w:rsidP="00426A47">
            <w:pPr>
              <w:rPr>
                <w:rFonts w:ascii="Times New Roman" w:eastAsia="Times New Roman" w:hAnsi="Times New Roman" w:cs="Times New Roman"/>
                <w:sz w:val="24"/>
                <w:szCs w:val="24"/>
                <w:lang w:eastAsia="en-GB"/>
              </w:rPr>
            </w:pPr>
            <w:proofErr w:type="spellStart"/>
            <w:r w:rsidRPr="00875933">
              <w:rPr>
                <w:rFonts w:ascii="Times New Roman" w:eastAsia="Times New Roman" w:hAnsi="Times New Roman" w:cs="Times New Roman"/>
                <w:sz w:val="24"/>
                <w:szCs w:val="24"/>
                <w:lang w:eastAsia="en-GB"/>
              </w:rPr>
              <w:t>Flindersine</w:t>
            </w:r>
            <w:proofErr w:type="spellEnd"/>
          </w:p>
        </w:tc>
        <w:tc>
          <w:tcPr>
            <w:tcW w:w="0" w:type="auto"/>
            <w:hideMark/>
          </w:tcPr>
          <w:p w14:paraId="1836BDA1" w14:textId="77777777" w:rsidR="00426A47" w:rsidRPr="00875933" w:rsidRDefault="00426A47" w:rsidP="00426A47">
            <w:pPr>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Whole plant</w:t>
            </w:r>
          </w:p>
        </w:tc>
      </w:tr>
      <w:tr w:rsidR="00426A47" w:rsidRPr="00875933" w14:paraId="66087431" w14:textId="77777777" w:rsidTr="00875933">
        <w:tc>
          <w:tcPr>
            <w:tcW w:w="0" w:type="auto"/>
            <w:hideMark/>
          </w:tcPr>
          <w:p w14:paraId="5D932AF9" w14:textId="77777777" w:rsidR="00426A47" w:rsidRPr="00875933" w:rsidRDefault="00426A47" w:rsidP="00426A47">
            <w:pPr>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Amides</w:t>
            </w:r>
          </w:p>
        </w:tc>
        <w:tc>
          <w:tcPr>
            <w:tcW w:w="0" w:type="auto"/>
            <w:hideMark/>
          </w:tcPr>
          <w:p w14:paraId="71E469E5" w14:textId="77777777" w:rsidR="00426A47" w:rsidRPr="00875933" w:rsidRDefault="00426A47" w:rsidP="00426A47">
            <w:pPr>
              <w:rPr>
                <w:rFonts w:ascii="Times New Roman" w:eastAsia="Times New Roman" w:hAnsi="Times New Roman" w:cs="Times New Roman"/>
                <w:sz w:val="24"/>
                <w:szCs w:val="24"/>
                <w:lang w:eastAsia="en-GB"/>
              </w:rPr>
            </w:pPr>
            <w:proofErr w:type="spellStart"/>
            <w:r w:rsidRPr="00875933">
              <w:rPr>
                <w:rFonts w:ascii="Times New Roman" w:eastAsia="Times New Roman" w:hAnsi="Times New Roman" w:cs="Times New Roman"/>
                <w:sz w:val="24"/>
                <w:szCs w:val="24"/>
                <w:lang w:eastAsia="en-GB"/>
              </w:rPr>
              <w:t>Acalyphamide</w:t>
            </w:r>
            <w:proofErr w:type="spellEnd"/>
            <w:r w:rsidRPr="00875933">
              <w:rPr>
                <w:rFonts w:ascii="Times New Roman" w:eastAsia="Times New Roman" w:hAnsi="Times New Roman" w:cs="Times New Roman"/>
                <w:sz w:val="24"/>
                <w:szCs w:val="24"/>
                <w:lang w:eastAsia="en-GB"/>
              </w:rPr>
              <w:t xml:space="preserve">, </w:t>
            </w:r>
            <w:proofErr w:type="spellStart"/>
            <w:r w:rsidRPr="00875933">
              <w:rPr>
                <w:rFonts w:ascii="Times New Roman" w:eastAsia="Times New Roman" w:hAnsi="Times New Roman" w:cs="Times New Roman"/>
                <w:sz w:val="24"/>
                <w:szCs w:val="24"/>
                <w:lang w:eastAsia="en-GB"/>
              </w:rPr>
              <w:t>aurantiamide</w:t>
            </w:r>
            <w:proofErr w:type="spellEnd"/>
            <w:r w:rsidRPr="00875933">
              <w:rPr>
                <w:rFonts w:ascii="Times New Roman" w:eastAsia="Times New Roman" w:hAnsi="Times New Roman" w:cs="Times New Roman"/>
                <w:sz w:val="24"/>
                <w:szCs w:val="24"/>
                <w:lang w:eastAsia="en-GB"/>
              </w:rPr>
              <w:t>, succinimide</w:t>
            </w:r>
          </w:p>
        </w:tc>
        <w:tc>
          <w:tcPr>
            <w:tcW w:w="0" w:type="auto"/>
            <w:hideMark/>
          </w:tcPr>
          <w:p w14:paraId="62BF756B" w14:textId="77777777" w:rsidR="00426A47" w:rsidRPr="00875933" w:rsidRDefault="00426A47" w:rsidP="00426A47">
            <w:pPr>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Leaves</w:t>
            </w:r>
          </w:p>
        </w:tc>
      </w:tr>
      <w:tr w:rsidR="00426A47" w:rsidRPr="00875933" w14:paraId="6147E555" w14:textId="77777777" w:rsidTr="00875933">
        <w:tc>
          <w:tcPr>
            <w:tcW w:w="0" w:type="auto"/>
            <w:hideMark/>
          </w:tcPr>
          <w:p w14:paraId="6D5E7256" w14:textId="527D90A0" w:rsidR="00426A47" w:rsidRPr="00875933" w:rsidRDefault="00CE26E3" w:rsidP="00426A47">
            <w:pPr>
              <w:rPr>
                <w:rFonts w:ascii="Times New Roman" w:eastAsia="Times New Roman" w:hAnsi="Times New Roman" w:cs="Times New Roman"/>
                <w:sz w:val="24"/>
                <w:szCs w:val="24"/>
                <w:lang w:eastAsia="en-GB"/>
              </w:rPr>
            </w:pPr>
            <w:r w:rsidRPr="00634DDB">
              <w:rPr>
                <w:rFonts w:ascii="Times New Roman" w:eastAsia="Times New Roman" w:hAnsi="Times New Roman" w:cs="Times New Roman"/>
                <w:color w:val="7030A0"/>
                <w:sz w:val="24"/>
                <w:szCs w:val="24"/>
                <w:lang w:eastAsia="en-GB"/>
              </w:rPr>
              <w:t>Steroids</w:t>
            </w:r>
            <w:r>
              <w:rPr>
                <w:rFonts w:ascii="Times New Roman" w:eastAsia="Times New Roman" w:hAnsi="Times New Roman" w:cs="Times New Roman"/>
                <w:sz w:val="24"/>
                <w:szCs w:val="24"/>
                <w:lang w:eastAsia="en-GB"/>
              </w:rPr>
              <w:t xml:space="preserve"> </w:t>
            </w:r>
            <w:r w:rsidR="00426A47" w:rsidRPr="00CE26E3">
              <w:rPr>
                <w:rFonts w:ascii="Times New Roman" w:eastAsia="Times New Roman" w:hAnsi="Times New Roman" w:cs="Times New Roman"/>
                <w:dstrike/>
                <w:sz w:val="24"/>
                <w:szCs w:val="24"/>
                <w:lang w:eastAsia="en-GB"/>
              </w:rPr>
              <w:t>Sterols and cyclitols</w:t>
            </w:r>
          </w:p>
        </w:tc>
        <w:tc>
          <w:tcPr>
            <w:tcW w:w="0" w:type="auto"/>
            <w:hideMark/>
          </w:tcPr>
          <w:p w14:paraId="5B5534B8" w14:textId="77777777" w:rsidR="00426A47" w:rsidRPr="00875933" w:rsidRDefault="00426A47" w:rsidP="00426A47">
            <w:pPr>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β-Sitosterol, stigmasterol, quebrachitol</w:t>
            </w:r>
          </w:p>
        </w:tc>
        <w:tc>
          <w:tcPr>
            <w:tcW w:w="0" w:type="auto"/>
            <w:hideMark/>
          </w:tcPr>
          <w:p w14:paraId="6ED44AD6" w14:textId="77777777" w:rsidR="00426A47" w:rsidRPr="00875933" w:rsidRDefault="00426A47" w:rsidP="00426A47">
            <w:pPr>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Whole plant, root</w:t>
            </w:r>
          </w:p>
        </w:tc>
      </w:tr>
      <w:tr w:rsidR="00426A47" w:rsidRPr="00875933" w14:paraId="19F4C851" w14:textId="77777777" w:rsidTr="00875933">
        <w:tc>
          <w:tcPr>
            <w:tcW w:w="0" w:type="auto"/>
            <w:hideMark/>
          </w:tcPr>
          <w:p w14:paraId="1E35D5CF" w14:textId="77777777" w:rsidR="00426A47" w:rsidRPr="00875933" w:rsidRDefault="00426A47" w:rsidP="00426A47">
            <w:pPr>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Tannins</w:t>
            </w:r>
          </w:p>
        </w:tc>
        <w:tc>
          <w:tcPr>
            <w:tcW w:w="0" w:type="auto"/>
            <w:hideMark/>
          </w:tcPr>
          <w:p w14:paraId="12581735" w14:textId="77777777" w:rsidR="00426A47" w:rsidRPr="00875933" w:rsidRDefault="00426A47" w:rsidP="00426A47">
            <w:pPr>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Not individually characterised in most studies</w:t>
            </w:r>
          </w:p>
        </w:tc>
        <w:tc>
          <w:tcPr>
            <w:tcW w:w="0" w:type="auto"/>
            <w:hideMark/>
          </w:tcPr>
          <w:p w14:paraId="587EF7C9" w14:textId="77777777" w:rsidR="00426A47" w:rsidRPr="00875933" w:rsidRDefault="00426A47" w:rsidP="00426A47">
            <w:pPr>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Leaves, stem</w:t>
            </w:r>
          </w:p>
        </w:tc>
      </w:tr>
    </w:tbl>
    <w:p w14:paraId="5EB58D49" w14:textId="77777777" w:rsidR="00426A47" w:rsidRPr="00875933" w:rsidRDefault="00426A47" w:rsidP="00426A47">
      <w:pPr>
        <w:spacing w:before="100" w:beforeAutospacing="1" w:after="100" w:afterAutospacing="1" w:line="240" w:lineRule="auto"/>
        <w:rPr>
          <w:rFonts w:ascii="Times New Roman" w:eastAsia="Times New Roman" w:hAnsi="Times New Roman" w:cs="Times New Roman"/>
          <w:sz w:val="24"/>
          <w:szCs w:val="24"/>
          <w:lang w:eastAsia="en-GB"/>
        </w:rPr>
      </w:pPr>
      <w:r w:rsidRPr="00875933">
        <w:rPr>
          <w:rFonts w:ascii="Times New Roman" w:eastAsia="Times New Roman" w:hAnsi="Times New Roman" w:cs="Times New Roman"/>
          <w:i/>
          <w:iCs/>
          <w:sz w:val="24"/>
          <w:szCs w:val="24"/>
          <w:lang w:eastAsia="en-GB"/>
        </w:rPr>
        <w:lastRenderedPageBreak/>
        <w:t xml:space="preserve">Sources: Nahrstedt et al. (1982); Nahrstedt et al. (2006); </w:t>
      </w:r>
      <w:proofErr w:type="spellStart"/>
      <w:r w:rsidRPr="00875933">
        <w:rPr>
          <w:rFonts w:ascii="Times New Roman" w:eastAsia="Times New Roman" w:hAnsi="Times New Roman" w:cs="Times New Roman"/>
          <w:i/>
          <w:iCs/>
          <w:sz w:val="24"/>
          <w:szCs w:val="24"/>
          <w:lang w:eastAsia="en-GB"/>
        </w:rPr>
        <w:t>Hungeling</w:t>
      </w:r>
      <w:proofErr w:type="spellEnd"/>
      <w:r w:rsidRPr="00875933">
        <w:rPr>
          <w:rFonts w:ascii="Times New Roman" w:eastAsia="Times New Roman" w:hAnsi="Times New Roman" w:cs="Times New Roman"/>
          <w:i/>
          <w:iCs/>
          <w:sz w:val="24"/>
          <w:szCs w:val="24"/>
          <w:lang w:eastAsia="en-GB"/>
        </w:rPr>
        <w:t xml:space="preserve"> et al. (2009); </w:t>
      </w:r>
      <w:proofErr w:type="spellStart"/>
      <w:r w:rsidRPr="00875933">
        <w:rPr>
          <w:rFonts w:ascii="Times New Roman" w:eastAsia="Times New Roman" w:hAnsi="Times New Roman" w:cs="Times New Roman"/>
          <w:i/>
          <w:iCs/>
          <w:sz w:val="24"/>
          <w:szCs w:val="24"/>
          <w:lang w:eastAsia="en-GB"/>
        </w:rPr>
        <w:t>Zahidin</w:t>
      </w:r>
      <w:proofErr w:type="spellEnd"/>
      <w:r w:rsidRPr="00875933">
        <w:rPr>
          <w:rFonts w:ascii="Times New Roman" w:eastAsia="Times New Roman" w:hAnsi="Times New Roman" w:cs="Times New Roman"/>
          <w:i/>
          <w:iCs/>
          <w:sz w:val="24"/>
          <w:szCs w:val="24"/>
          <w:lang w:eastAsia="en-GB"/>
        </w:rPr>
        <w:t xml:space="preserve"> et al. (2017); </w:t>
      </w:r>
      <w:proofErr w:type="spellStart"/>
      <w:r w:rsidRPr="00875933">
        <w:rPr>
          <w:rFonts w:ascii="Times New Roman" w:eastAsia="Times New Roman" w:hAnsi="Times New Roman" w:cs="Times New Roman"/>
          <w:i/>
          <w:iCs/>
          <w:sz w:val="24"/>
          <w:szCs w:val="24"/>
          <w:lang w:eastAsia="en-GB"/>
        </w:rPr>
        <w:t>Sahukari</w:t>
      </w:r>
      <w:proofErr w:type="spellEnd"/>
      <w:r w:rsidRPr="00875933">
        <w:rPr>
          <w:rFonts w:ascii="Times New Roman" w:eastAsia="Times New Roman" w:hAnsi="Times New Roman" w:cs="Times New Roman"/>
          <w:i/>
          <w:iCs/>
          <w:sz w:val="24"/>
          <w:szCs w:val="24"/>
          <w:lang w:eastAsia="en-GB"/>
        </w:rPr>
        <w:t xml:space="preserve"> et al. (2021); Ravi et al. (2017); Sriram and </w:t>
      </w:r>
      <w:proofErr w:type="spellStart"/>
      <w:r w:rsidRPr="00875933">
        <w:rPr>
          <w:rFonts w:ascii="Times New Roman" w:eastAsia="Times New Roman" w:hAnsi="Times New Roman" w:cs="Times New Roman"/>
          <w:i/>
          <w:iCs/>
          <w:sz w:val="24"/>
          <w:szCs w:val="24"/>
          <w:lang w:eastAsia="en-GB"/>
        </w:rPr>
        <w:t>Yoganandam</w:t>
      </w:r>
      <w:proofErr w:type="spellEnd"/>
      <w:r w:rsidRPr="00875933">
        <w:rPr>
          <w:rFonts w:ascii="Times New Roman" w:eastAsia="Times New Roman" w:hAnsi="Times New Roman" w:cs="Times New Roman"/>
          <w:i/>
          <w:iCs/>
          <w:sz w:val="24"/>
          <w:szCs w:val="24"/>
          <w:lang w:eastAsia="en-GB"/>
        </w:rPr>
        <w:t xml:space="preserve"> (2025).</w:t>
      </w:r>
    </w:p>
    <w:p w14:paraId="75FA1CC2" w14:textId="77777777" w:rsidR="00426A47" w:rsidRPr="00875933" w:rsidRDefault="00426A47" w:rsidP="00426A47">
      <w:pPr>
        <w:spacing w:before="100" w:beforeAutospacing="1" w:after="100" w:afterAutospacing="1" w:line="240" w:lineRule="auto"/>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 xml:space="preserve">As the table makes clear, the cyanogenic glucosides and the kaempferol-derived flavonoids are by far the best-characterised constituent classes structurally, whereas the tannin and volatile fractions remain comparatively under-resolved at the level of individual compounds </w:t>
      </w:r>
      <w:r w:rsidRPr="002A01A0">
        <w:rPr>
          <w:rFonts w:ascii="Times New Roman" w:eastAsia="Times New Roman" w:hAnsi="Times New Roman" w:cs="Times New Roman"/>
          <w:color w:val="FF0000"/>
          <w:sz w:val="24"/>
          <w:szCs w:val="24"/>
          <w:lang w:eastAsia="en-GB"/>
        </w:rPr>
        <w:t>—</w:t>
      </w:r>
      <w:r w:rsidRPr="00875933">
        <w:rPr>
          <w:rFonts w:ascii="Times New Roman" w:eastAsia="Times New Roman" w:hAnsi="Times New Roman" w:cs="Times New Roman"/>
          <w:sz w:val="24"/>
          <w:szCs w:val="24"/>
          <w:lang w:eastAsia="en-GB"/>
        </w:rPr>
        <w:t xml:space="preserve"> a gap that recurs throughout the pharmacological literature reviewed in the next section, where activity is frequently attributed to "tannins" or "phenolics" as a class rather than to named molecules.</w:t>
      </w:r>
    </w:p>
    <w:p w14:paraId="172E2641" w14:textId="77777777" w:rsidR="00426A47" w:rsidRPr="00875933" w:rsidRDefault="00426A47" w:rsidP="00426A47">
      <w:pPr>
        <w:spacing w:after="0" w:line="240" w:lineRule="auto"/>
        <w:rPr>
          <w:rFonts w:ascii="Times New Roman" w:eastAsia="Times New Roman" w:hAnsi="Times New Roman" w:cs="Times New Roman"/>
          <w:sz w:val="24"/>
          <w:szCs w:val="24"/>
          <w:lang w:eastAsia="en-GB"/>
        </w:rPr>
      </w:pPr>
    </w:p>
    <w:p w14:paraId="607E551E" w14:textId="77777777" w:rsidR="00426A47" w:rsidRPr="00875933" w:rsidRDefault="00426A47" w:rsidP="00426A47">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875933">
        <w:rPr>
          <w:rFonts w:ascii="Times New Roman" w:eastAsia="Times New Roman" w:hAnsi="Times New Roman" w:cs="Times New Roman"/>
          <w:b/>
          <w:bCs/>
          <w:sz w:val="27"/>
          <w:szCs w:val="27"/>
          <w:lang w:eastAsia="en-GB"/>
        </w:rPr>
        <w:t>4. Pharmacological and Therapeutic Properties</w:t>
      </w:r>
    </w:p>
    <w:p w14:paraId="69944101" w14:textId="77777777" w:rsidR="00426A47" w:rsidRPr="00875933" w:rsidRDefault="00426A47" w:rsidP="00426A47">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875933">
        <w:rPr>
          <w:rFonts w:ascii="Times New Roman" w:eastAsia="Times New Roman" w:hAnsi="Times New Roman" w:cs="Times New Roman"/>
          <w:b/>
          <w:bCs/>
          <w:sz w:val="24"/>
          <w:szCs w:val="24"/>
          <w:lang w:eastAsia="en-GB"/>
        </w:rPr>
        <w:t>4.1 Antioxidant activity</w:t>
      </w:r>
    </w:p>
    <w:p w14:paraId="778EACC9" w14:textId="77777777" w:rsidR="00426A47" w:rsidRPr="00875933" w:rsidRDefault="00426A47" w:rsidP="00426A47">
      <w:pPr>
        <w:spacing w:before="100" w:beforeAutospacing="1" w:after="100" w:afterAutospacing="1" w:line="240" w:lineRule="auto"/>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 xml:space="preserve">The antioxidant properties of </w:t>
      </w:r>
      <w:r w:rsidRPr="00875933">
        <w:rPr>
          <w:rFonts w:ascii="Times New Roman" w:eastAsia="Times New Roman" w:hAnsi="Times New Roman" w:cs="Times New Roman"/>
          <w:i/>
          <w:iCs/>
          <w:sz w:val="24"/>
          <w:szCs w:val="24"/>
          <w:lang w:eastAsia="en-GB"/>
        </w:rPr>
        <w:t>A. indica</w:t>
      </w:r>
      <w:r w:rsidRPr="00875933">
        <w:rPr>
          <w:rFonts w:ascii="Times New Roman" w:eastAsia="Times New Roman" w:hAnsi="Times New Roman" w:cs="Times New Roman"/>
          <w:sz w:val="24"/>
          <w:szCs w:val="24"/>
          <w:lang w:eastAsia="en-GB"/>
        </w:rPr>
        <w:t xml:space="preserve"> are among the most consistently reproduced findings in the literature, having turned up across leaf, stem, root and aerial-part extracts using a range of complementary </w:t>
      </w:r>
      <w:r w:rsidRPr="00634DDB">
        <w:rPr>
          <w:rFonts w:ascii="Times New Roman" w:eastAsia="Times New Roman" w:hAnsi="Times New Roman" w:cs="Times New Roman"/>
          <w:i/>
          <w:iCs/>
          <w:color w:val="FF0000"/>
          <w:sz w:val="24"/>
          <w:szCs w:val="24"/>
          <w:lang w:eastAsia="en-GB"/>
        </w:rPr>
        <w:t>in vitro</w:t>
      </w:r>
      <w:r w:rsidRPr="00875933">
        <w:rPr>
          <w:rFonts w:ascii="Times New Roman" w:eastAsia="Times New Roman" w:hAnsi="Times New Roman" w:cs="Times New Roman"/>
          <w:sz w:val="24"/>
          <w:szCs w:val="24"/>
          <w:lang w:eastAsia="en-GB"/>
        </w:rPr>
        <w:t xml:space="preserve"> assays. Methanolic leaf extracts tested with </w:t>
      </w:r>
      <w:r w:rsidRPr="004D6040">
        <w:rPr>
          <w:rFonts w:ascii="Times New Roman" w:eastAsia="Times New Roman" w:hAnsi="Times New Roman" w:cs="Times New Roman"/>
          <w:sz w:val="24"/>
          <w:szCs w:val="24"/>
          <w:lang w:eastAsia="en-GB"/>
        </w:rPr>
        <w:t>DPPH</w:t>
      </w:r>
      <w:r w:rsidRPr="00875933">
        <w:rPr>
          <w:rFonts w:ascii="Times New Roman" w:eastAsia="Times New Roman" w:hAnsi="Times New Roman" w:cs="Times New Roman"/>
          <w:sz w:val="24"/>
          <w:szCs w:val="24"/>
          <w:lang w:eastAsia="en-GB"/>
        </w:rPr>
        <w:t xml:space="preserve">, hydrogen peroxide, hydroxyl radical and metal-ion-reducing assays show concentration-dependent scavenging that the original investigators attribute to the extract's high phenolic and flavonoid content (Ravi et al., 2017). Root methanolic extracts show a similar pattern of dose-dependent DPPH and hydroxyl radical scavenging </w:t>
      </w:r>
      <w:r w:rsidRPr="00634DDB">
        <w:rPr>
          <w:rFonts w:ascii="Times New Roman" w:eastAsia="Times New Roman" w:hAnsi="Times New Roman" w:cs="Times New Roman"/>
          <w:i/>
          <w:iCs/>
          <w:color w:val="FF0000"/>
          <w:sz w:val="24"/>
          <w:szCs w:val="24"/>
          <w:lang w:eastAsia="en-GB"/>
        </w:rPr>
        <w:t>in vitro</w:t>
      </w:r>
      <w:r w:rsidRPr="00875933">
        <w:rPr>
          <w:rFonts w:ascii="Times New Roman" w:eastAsia="Times New Roman" w:hAnsi="Times New Roman" w:cs="Times New Roman"/>
          <w:sz w:val="24"/>
          <w:szCs w:val="24"/>
          <w:lang w:eastAsia="en-GB"/>
        </w:rPr>
        <w:t xml:space="preserve">, and this carries through into measurable </w:t>
      </w:r>
      <w:r w:rsidRPr="00634DDB">
        <w:rPr>
          <w:rFonts w:ascii="Times New Roman" w:eastAsia="Times New Roman" w:hAnsi="Times New Roman" w:cs="Times New Roman"/>
          <w:i/>
          <w:iCs/>
          <w:color w:val="FF0000"/>
          <w:sz w:val="24"/>
          <w:szCs w:val="24"/>
          <w:lang w:eastAsia="en-GB"/>
        </w:rPr>
        <w:t>in vivo</w:t>
      </w:r>
      <w:r w:rsidRPr="00875933">
        <w:rPr>
          <w:rFonts w:ascii="Times New Roman" w:eastAsia="Times New Roman" w:hAnsi="Times New Roman" w:cs="Times New Roman"/>
          <w:sz w:val="24"/>
          <w:szCs w:val="24"/>
          <w:lang w:eastAsia="en-GB"/>
        </w:rPr>
        <w:t xml:space="preserve"> benefit: in a carrageenan-induced acute inflammation model in rats, pretreatment with the extract restored the activity of endogenous antioxidant enzymes — superoxide dismutase, catalase, glutathione reductase and glutathione peroxidase — that had been suppressed by the inflammatory insult (</w:t>
      </w:r>
      <w:proofErr w:type="spellStart"/>
      <w:r w:rsidRPr="00875933">
        <w:rPr>
          <w:rFonts w:ascii="Times New Roman" w:eastAsia="Times New Roman" w:hAnsi="Times New Roman" w:cs="Times New Roman"/>
          <w:sz w:val="24"/>
          <w:szCs w:val="24"/>
          <w:lang w:eastAsia="en-GB"/>
        </w:rPr>
        <w:t>Sahukari</w:t>
      </w:r>
      <w:proofErr w:type="spellEnd"/>
      <w:r w:rsidRPr="00875933">
        <w:rPr>
          <w:rFonts w:ascii="Times New Roman" w:eastAsia="Times New Roman" w:hAnsi="Times New Roman" w:cs="Times New Roman"/>
          <w:sz w:val="24"/>
          <w:szCs w:val="24"/>
          <w:lang w:eastAsia="en-GB"/>
        </w:rPr>
        <w:t xml:space="preserve"> et al., 2021). Stem extracts evaluated in streptozotocin-induced diabetic rats likewise recovered antioxidant enzymatic status that had been depressed by oxidative stress, with the authors explicitly linking this antioxidant recovery to the extract's broader hepatoprotective and </w:t>
      </w:r>
      <w:proofErr w:type="spellStart"/>
      <w:r w:rsidRPr="00875933">
        <w:rPr>
          <w:rFonts w:ascii="Times New Roman" w:eastAsia="Times New Roman" w:hAnsi="Times New Roman" w:cs="Times New Roman"/>
          <w:sz w:val="24"/>
          <w:szCs w:val="24"/>
          <w:lang w:eastAsia="en-GB"/>
        </w:rPr>
        <w:t>antihyperglycaemic</w:t>
      </w:r>
      <w:proofErr w:type="spellEnd"/>
      <w:r w:rsidRPr="00875933">
        <w:rPr>
          <w:rFonts w:ascii="Times New Roman" w:eastAsia="Times New Roman" w:hAnsi="Times New Roman" w:cs="Times New Roman"/>
          <w:sz w:val="24"/>
          <w:szCs w:val="24"/>
          <w:lang w:eastAsia="en-GB"/>
        </w:rPr>
        <w:t xml:space="preserve"> effects (Priya &amp; Rao, 2016). Beyond the aerial parts, ethanolic extracts of both aerial parts and root, assessed for cosmeceutical and wound-healing relevance, show clearly different antioxidant potency: aerial-part extract returns a markedly lower median inhibitory concentration in DPPH assays than root extract, which the authors read as evidence that antioxidant capacity is concentrated preferentially in metabolically active aerial tissue rather than being spread evenly across the plant (Ibrahim et al., 2021). More recent work aimed at skin-ageing applications has carried this further, into elastase and matrix metalloproteinase-1 inhibition assays, where aerial-part methanolic extract showed meaningful inhibitory activity against both enzymes implicated in </w:t>
      </w:r>
      <w:proofErr w:type="spellStart"/>
      <w:r w:rsidRPr="00875933">
        <w:rPr>
          <w:rFonts w:ascii="Times New Roman" w:eastAsia="Times New Roman" w:hAnsi="Times New Roman" w:cs="Times New Roman"/>
          <w:sz w:val="24"/>
          <w:szCs w:val="24"/>
          <w:lang w:eastAsia="en-GB"/>
        </w:rPr>
        <w:t>photoageing</w:t>
      </w:r>
      <w:proofErr w:type="spellEnd"/>
      <w:r w:rsidRPr="00875933">
        <w:rPr>
          <w:rFonts w:ascii="Times New Roman" w:eastAsia="Times New Roman" w:hAnsi="Times New Roman" w:cs="Times New Roman"/>
          <w:sz w:val="24"/>
          <w:szCs w:val="24"/>
          <w:lang w:eastAsia="en-GB"/>
        </w:rPr>
        <w:t xml:space="preserve">, alongside measurable stimulation of collagen biosynthesis in fibroblast culture (Sriram &amp; </w:t>
      </w:r>
      <w:proofErr w:type="spellStart"/>
      <w:r w:rsidRPr="00875933">
        <w:rPr>
          <w:rFonts w:ascii="Times New Roman" w:eastAsia="Times New Roman" w:hAnsi="Times New Roman" w:cs="Times New Roman"/>
          <w:sz w:val="24"/>
          <w:szCs w:val="24"/>
          <w:lang w:eastAsia="en-GB"/>
        </w:rPr>
        <w:t>Yoganandam</w:t>
      </w:r>
      <w:proofErr w:type="spellEnd"/>
      <w:r w:rsidRPr="00875933">
        <w:rPr>
          <w:rFonts w:ascii="Times New Roman" w:eastAsia="Times New Roman" w:hAnsi="Times New Roman" w:cs="Times New Roman"/>
          <w:sz w:val="24"/>
          <w:szCs w:val="24"/>
          <w:lang w:eastAsia="en-GB"/>
        </w:rPr>
        <w:t>, 2025).</w:t>
      </w:r>
    </w:p>
    <w:p w14:paraId="37878AAA" w14:textId="23C230B1" w:rsidR="00426A47" w:rsidRPr="00875933" w:rsidRDefault="00426A47" w:rsidP="00426A47">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875933">
        <w:rPr>
          <w:rFonts w:ascii="Times New Roman" w:eastAsia="Times New Roman" w:hAnsi="Times New Roman" w:cs="Times New Roman"/>
          <w:b/>
          <w:bCs/>
          <w:sz w:val="24"/>
          <w:szCs w:val="24"/>
          <w:lang w:eastAsia="en-GB"/>
        </w:rPr>
        <w:t xml:space="preserve">4.2 </w:t>
      </w:r>
      <w:r w:rsidRPr="00CC5068">
        <w:rPr>
          <w:rFonts w:ascii="Times New Roman" w:eastAsia="Times New Roman" w:hAnsi="Times New Roman" w:cs="Times New Roman"/>
          <w:b/>
          <w:bCs/>
          <w:dstrike/>
          <w:color w:val="FF0000"/>
          <w:sz w:val="24"/>
          <w:szCs w:val="24"/>
          <w:lang w:eastAsia="en-GB"/>
        </w:rPr>
        <w:t>Antimicrobial</w:t>
      </w:r>
      <w:r w:rsidRPr="00875933">
        <w:rPr>
          <w:rFonts w:ascii="Times New Roman" w:eastAsia="Times New Roman" w:hAnsi="Times New Roman" w:cs="Times New Roman"/>
          <w:b/>
          <w:bCs/>
          <w:sz w:val="24"/>
          <w:szCs w:val="24"/>
          <w:lang w:eastAsia="en-GB"/>
        </w:rPr>
        <w:t xml:space="preserve"> </w:t>
      </w:r>
      <w:r w:rsidR="00CC5068" w:rsidRPr="00634DDB">
        <w:rPr>
          <w:rFonts w:ascii="Times New Roman" w:eastAsia="Times New Roman" w:hAnsi="Times New Roman" w:cs="Times New Roman"/>
          <w:b/>
          <w:bCs/>
          <w:color w:val="7030A0"/>
          <w:sz w:val="24"/>
          <w:szCs w:val="24"/>
          <w:lang w:eastAsia="en-GB"/>
        </w:rPr>
        <w:t>Antibacterial</w:t>
      </w:r>
      <w:r w:rsidR="00CC5068">
        <w:rPr>
          <w:rFonts w:ascii="Times New Roman" w:eastAsia="Times New Roman" w:hAnsi="Times New Roman" w:cs="Times New Roman"/>
          <w:b/>
          <w:bCs/>
          <w:sz w:val="24"/>
          <w:szCs w:val="24"/>
          <w:lang w:eastAsia="en-GB"/>
        </w:rPr>
        <w:t xml:space="preserve"> </w:t>
      </w:r>
      <w:r w:rsidRPr="00875933">
        <w:rPr>
          <w:rFonts w:ascii="Times New Roman" w:eastAsia="Times New Roman" w:hAnsi="Times New Roman" w:cs="Times New Roman"/>
          <w:b/>
          <w:bCs/>
          <w:sz w:val="24"/>
          <w:szCs w:val="24"/>
          <w:lang w:eastAsia="en-GB"/>
        </w:rPr>
        <w:t xml:space="preserve">and antifungal </w:t>
      </w:r>
      <w:proofErr w:type="spellStart"/>
      <w:r w:rsidRPr="00875933">
        <w:rPr>
          <w:rFonts w:ascii="Times New Roman" w:eastAsia="Times New Roman" w:hAnsi="Times New Roman" w:cs="Times New Roman"/>
          <w:b/>
          <w:bCs/>
          <w:sz w:val="24"/>
          <w:szCs w:val="24"/>
          <w:lang w:eastAsia="en-GB"/>
        </w:rPr>
        <w:t>activit</w:t>
      </w:r>
      <w:r w:rsidRPr="00CC5068">
        <w:rPr>
          <w:rFonts w:ascii="Times New Roman" w:eastAsia="Times New Roman" w:hAnsi="Times New Roman" w:cs="Times New Roman"/>
          <w:b/>
          <w:bCs/>
          <w:dstrike/>
          <w:color w:val="FF0000"/>
          <w:sz w:val="24"/>
          <w:szCs w:val="24"/>
          <w:lang w:eastAsia="en-GB"/>
        </w:rPr>
        <w:t>y</w:t>
      </w:r>
      <w:r w:rsidR="00CC5068" w:rsidRPr="00634DDB">
        <w:rPr>
          <w:rFonts w:ascii="Times New Roman" w:eastAsia="Times New Roman" w:hAnsi="Times New Roman" w:cs="Times New Roman"/>
          <w:b/>
          <w:bCs/>
          <w:color w:val="7030A0"/>
          <w:sz w:val="24"/>
          <w:szCs w:val="24"/>
          <w:lang w:eastAsia="en-GB"/>
        </w:rPr>
        <w:t>ies</w:t>
      </w:r>
      <w:proofErr w:type="spellEnd"/>
    </w:p>
    <w:p w14:paraId="65DF681C" w14:textId="77777777" w:rsidR="00426A47" w:rsidRPr="00875933" w:rsidRDefault="00426A47" w:rsidP="00426A47">
      <w:pPr>
        <w:spacing w:before="100" w:beforeAutospacing="1" w:after="100" w:afterAutospacing="1" w:line="240" w:lineRule="auto"/>
        <w:rPr>
          <w:rFonts w:ascii="Times New Roman" w:eastAsia="Times New Roman" w:hAnsi="Times New Roman" w:cs="Times New Roman"/>
          <w:sz w:val="24"/>
          <w:szCs w:val="24"/>
          <w:lang w:eastAsia="en-GB"/>
        </w:rPr>
      </w:pPr>
      <w:r w:rsidRPr="00875933">
        <w:rPr>
          <w:rFonts w:ascii="Times New Roman" w:hAnsi="Times New Roman" w:cs="Times New Roman"/>
        </w:rPr>
        <w:t xml:space="preserve">The antimicrobial properties of </w:t>
      </w:r>
      <w:r w:rsidRPr="00875933">
        <w:rPr>
          <w:rFonts w:ascii="Times New Roman" w:hAnsi="Times New Roman" w:cs="Times New Roman"/>
          <w:i/>
        </w:rPr>
        <w:t>A. indica</w:t>
      </w:r>
      <w:r w:rsidRPr="00875933">
        <w:rPr>
          <w:rFonts w:ascii="Times New Roman" w:hAnsi="Times New Roman" w:cs="Times New Roman"/>
        </w:rPr>
        <w:t xml:space="preserve"> extracts have been demonstrated against a wide spread of Gram-positive and Gram-negative bacteria, as well as several fungal pathogens of clinical and agricultural relevance. Silver nanoparticles synthesised using aqueous leaf extract as both reducing and capping agent showed marked inhibitory activity against the waterborne pathogens </w:t>
      </w:r>
      <w:r w:rsidRPr="00875933">
        <w:rPr>
          <w:rFonts w:ascii="Times New Roman" w:hAnsi="Times New Roman" w:cs="Times New Roman"/>
          <w:i/>
        </w:rPr>
        <w:t>Escherichia coli</w:t>
      </w:r>
      <w:r w:rsidRPr="00875933">
        <w:rPr>
          <w:rFonts w:ascii="Times New Roman" w:hAnsi="Times New Roman" w:cs="Times New Roman"/>
        </w:rPr>
        <w:t xml:space="preserve"> and </w:t>
      </w:r>
      <w:r w:rsidRPr="00875933">
        <w:rPr>
          <w:rFonts w:ascii="Times New Roman" w:hAnsi="Times New Roman" w:cs="Times New Roman"/>
          <w:i/>
        </w:rPr>
        <w:t>Vibrio cholerae</w:t>
      </w:r>
      <w:r w:rsidRPr="00875933">
        <w:rPr>
          <w:rFonts w:ascii="Times New Roman" w:hAnsi="Times New Roman" w:cs="Times New Roman"/>
        </w:rPr>
        <w:t xml:space="preserve">; nanoparticle formation occurred within thirty minutes of mixing, and particle sizes of around twenty to thirty nanometres were confirmed by high-resolution transmission electron microscopy (Krishnaraj et al., 2010). Direct phytochemical screening of leaf extracts against a panel of human pathogens, including </w:t>
      </w:r>
      <w:r w:rsidRPr="00875933">
        <w:rPr>
          <w:rFonts w:ascii="Times New Roman" w:hAnsi="Times New Roman" w:cs="Times New Roman"/>
          <w:i/>
        </w:rPr>
        <w:t>Staphylococcus aureus</w:t>
      </w:r>
      <w:r w:rsidRPr="00875933">
        <w:rPr>
          <w:rFonts w:ascii="Times New Roman" w:hAnsi="Times New Roman" w:cs="Times New Roman"/>
        </w:rPr>
        <w:t xml:space="preserve">, </w:t>
      </w:r>
      <w:r w:rsidRPr="00875933">
        <w:rPr>
          <w:rFonts w:ascii="Times New Roman" w:hAnsi="Times New Roman" w:cs="Times New Roman"/>
          <w:i/>
        </w:rPr>
        <w:t>Klebsiella pneumoniae</w:t>
      </w:r>
      <w:r w:rsidRPr="00875933">
        <w:rPr>
          <w:rFonts w:ascii="Times New Roman" w:hAnsi="Times New Roman" w:cs="Times New Roman"/>
        </w:rPr>
        <w:t xml:space="preserve"> and </w:t>
      </w:r>
      <w:r w:rsidRPr="00875933">
        <w:rPr>
          <w:rFonts w:ascii="Times New Roman" w:hAnsi="Times New Roman" w:cs="Times New Roman"/>
          <w:i/>
        </w:rPr>
        <w:lastRenderedPageBreak/>
        <w:t>Escherichia coli</w:t>
      </w:r>
      <w:r w:rsidRPr="00875933">
        <w:rPr>
          <w:rFonts w:ascii="Times New Roman" w:hAnsi="Times New Roman" w:cs="Times New Roman"/>
        </w:rPr>
        <w:t xml:space="preserve">, corroborates these antibacterial effects and additionally shows activity against the fungal pathogens </w:t>
      </w:r>
      <w:r w:rsidRPr="00875933">
        <w:rPr>
          <w:rFonts w:ascii="Times New Roman" w:hAnsi="Times New Roman" w:cs="Times New Roman"/>
          <w:i/>
        </w:rPr>
        <w:t>Candida albicans</w:t>
      </w:r>
      <w:r w:rsidRPr="00875933">
        <w:rPr>
          <w:rFonts w:ascii="Times New Roman" w:hAnsi="Times New Roman" w:cs="Times New Roman"/>
        </w:rPr>
        <w:t xml:space="preserve"> and </w:t>
      </w:r>
      <w:r w:rsidRPr="00875933">
        <w:rPr>
          <w:rFonts w:ascii="Times New Roman" w:hAnsi="Times New Roman" w:cs="Times New Roman"/>
          <w:i/>
        </w:rPr>
        <w:t>Aspergillus niger</w:t>
      </w:r>
      <w:r w:rsidRPr="00875933">
        <w:rPr>
          <w:rFonts w:ascii="Times New Roman" w:hAnsi="Times New Roman" w:cs="Times New Roman"/>
        </w:rPr>
        <w:t xml:space="preserve">, lending some support to the plant's traditional use against fungal skin conditions (Thamil Priya et al., 2020). More recent work using response surface methodology to optimise extraction conditions has identified ethanolic leaf fractions with particularly large inhibition zones against </w:t>
      </w:r>
      <w:r w:rsidRPr="00875933">
        <w:rPr>
          <w:rFonts w:ascii="Times New Roman" w:hAnsi="Times New Roman" w:cs="Times New Roman"/>
          <w:i/>
        </w:rPr>
        <w:t>S. aureus</w:t>
      </w:r>
      <w:r w:rsidRPr="00875933">
        <w:rPr>
          <w:rFonts w:ascii="Times New Roman" w:hAnsi="Times New Roman" w:cs="Times New Roman"/>
        </w:rPr>
        <w:t xml:space="preserve"> and </w:t>
      </w:r>
      <w:r w:rsidRPr="00875933">
        <w:rPr>
          <w:rFonts w:ascii="Times New Roman" w:hAnsi="Times New Roman" w:cs="Times New Roman"/>
          <w:i/>
        </w:rPr>
        <w:t>E. coli</w:t>
      </w:r>
      <w:r w:rsidRPr="00875933">
        <w:rPr>
          <w:rFonts w:ascii="Times New Roman" w:hAnsi="Times New Roman" w:cs="Times New Roman"/>
        </w:rPr>
        <w:t xml:space="preserve">, and GC-MS-guided molecular docking of the compounds identified in these fractions has implicated interactions with bacterial DNA gyrase B and dihydrofolate reductase as a plausible mechanistic explanation for the antibacterial potency observed experimentally (Venkatesan &amp; Muniyan, 2026). Antifungal activity has separately been pursued through </w:t>
      </w:r>
      <w:r w:rsidRPr="00634DDB">
        <w:rPr>
          <w:rFonts w:ascii="Times New Roman" w:hAnsi="Times New Roman" w:cs="Times New Roman"/>
          <w:i/>
          <w:iCs/>
          <w:color w:val="FF0000"/>
        </w:rPr>
        <w:t>in silico</w:t>
      </w:r>
      <w:r w:rsidRPr="00875933">
        <w:rPr>
          <w:rFonts w:ascii="Times New Roman" w:hAnsi="Times New Roman" w:cs="Times New Roman"/>
        </w:rPr>
        <w:t xml:space="preserve"> screening of plant-derived phytochemicals against fungal lanosterol 14-alpha demethylase, a key ergosterol biosynthesis enzyme and an established antifungal drug target; several constituents of </w:t>
      </w:r>
      <w:r w:rsidRPr="00875933">
        <w:rPr>
          <w:rFonts w:ascii="Times New Roman" w:hAnsi="Times New Roman" w:cs="Times New Roman"/>
          <w:i/>
        </w:rPr>
        <w:t>A. indica</w:t>
      </w:r>
      <w:r w:rsidRPr="00875933">
        <w:rPr>
          <w:rFonts w:ascii="Times New Roman" w:hAnsi="Times New Roman" w:cs="Times New Roman"/>
        </w:rPr>
        <w:t xml:space="preserve"> show favourable predicted binding to this target in </w:t>
      </w:r>
      <w:r w:rsidRPr="00875933">
        <w:rPr>
          <w:rFonts w:ascii="Times New Roman" w:hAnsi="Times New Roman" w:cs="Times New Roman"/>
          <w:i/>
        </w:rPr>
        <w:t>Saccharomyces cerevisiae</w:t>
      </w:r>
      <w:r w:rsidRPr="00875933">
        <w:rPr>
          <w:rFonts w:ascii="Times New Roman" w:hAnsi="Times New Roman" w:cs="Times New Roman"/>
        </w:rPr>
        <w:t>, a model organism often used as a surrogate for pathogenic fungal demethylase inhibition studies (Edwin et al., 2025).</w:t>
      </w:r>
    </w:p>
    <w:p w14:paraId="46A9D788" w14:textId="77777777" w:rsidR="00426A47" w:rsidRPr="00875933" w:rsidRDefault="00426A47" w:rsidP="00426A47">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875933">
        <w:rPr>
          <w:rFonts w:ascii="Times New Roman" w:eastAsia="Times New Roman" w:hAnsi="Times New Roman" w:cs="Times New Roman"/>
          <w:b/>
          <w:bCs/>
          <w:sz w:val="24"/>
          <w:szCs w:val="24"/>
          <w:lang w:eastAsia="en-GB"/>
        </w:rPr>
        <w:t>4.3 Anti-inflammatory activity</w:t>
      </w:r>
    </w:p>
    <w:p w14:paraId="7CBE62AE" w14:textId="777689AC" w:rsidR="00426A47" w:rsidRPr="00875933" w:rsidRDefault="00426A47" w:rsidP="00426A47">
      <w:pPr>
        <w:spacing w:before="100" w:beforeAutospacing="1" w:after="100" w:afterAutospacing="1" w:line="240" w:lineRule="auto"/>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 xml:space="preserve">Anti-inflammatory effects have been documented through both classical biochemical assays and </w:t>
      </w:r>
      <w:r w:rsidRPr="009C2BD3">
        <w:rPr>
          <w:rFonts w:ascii="Times New Roman" w:eastAsia="Times New Roman" w:hAnsi="Times New Roman" w:cs="Times New Roman"/>
          <w:i/>
          <w:iCs/>
          <w:color w:val="FF0000"/>
          <w:sz w:val="24"/>
          <w:szCs w:val="24"/>
          <w:lang w:eastAsia="en-GB"/>
        </w:rPr>
        <w:t>in vivo</w:t>
      </w:r>
      <w:r w:rsidRPr="00875933">
        <w:rPr>
          <w:rFonts w:ascii="Times New Roman" w:eastAsia="Times New Roman" w:hAnsi="Times New Roman" w:cs="Times New Roman"/>
          <w:sz w:val="24"/>
          <w:szCs w:val="24"/>
          <w:lang w:eastAsia="en-GB"/>
        </w:rPr>
        <w:t xml:space="preserve"> inflammation models. A comprehensive bibliometric and mechanistic appraisal of the preclinical anti-inflammatory literature found that most available studies rely on protein denaturation inhibition assays and human erythrocyte membrane stabilisation tests as surrogate markers of anti-inflammatory potential, with the underlying molecular mechanism still incompletely worked out despite consistent phenomenological evidence of activity </w:t>
      </w:r>
      <w:r w:rsidRPr="009C2BD3">
        <w:rPr>
          <w:rFonts w:ascii="Times New Roman" w:eastAsia="Times New Roman" w:hAnsi="Times New Roman" w:cs="Times New Roman"/>
          <w:color w:val="FF0000"/>
          <w:sz w:val="24"/>
          <w:szCs w:val="24"/>
          <w:lang w:eastAsia="en-GB"/>
        </w:rPr>
        <w:t>—</w:t>
      </w:r>
      <w:r w:rsidRPr="00875933">
        <w:rPr>
          <w:rFonts w:ascii="Times New Roman" w:eastAsia="Times New Roman" w:hAnsi="Times New Roman" w:cs="Times New Roman"/>
          <w:sz w:val="24"/>
          <w:szCs w:val="24"/>
          <w:lang w:eastAsia="en-GB"/>
        </w:rPr>
        <w:t xml:space="preserve"> the authors provisionally attribute </w:t>
      </w:r>
      <w:r w:rsidRPr="00634DDB">
        <w:rPr>
          <w:rFonts w:ascii="Times New Roman" w:eastAsia="Times New Roman" w:hAnsi="Times New Roman" w:cs="Times New Roman"/>
          <w:dstrike/>
          <w:color w:val="FF0000"/>
          <w:sz w:val="24"/>
          <w:szCs w:val="24"/>
          <w:lang w:eastAsia="en-GB"/>
        </w:rPr>
        <w:t>much</w:t>
      </w:r>
      <w:r w:rsidRPr="00875933">
        <w:rPr>
          <w:rFonts w:ascii="Times New Roman" w:eastAsia="Times New Roman" w:hAnsi="Times New Roman" w:cs="Times New Roman"/>
          <w:sz w:val="24"/>
          <w:szCs w:val="24"/>
          <w:lang w:eastAsia="en-GB"/>
        </w:rPr>
        <w:t xml:space="preserve"> </w:t>
      </w:r>
      <w:r w:rsidR="00634DDB" w:rsidRPr="00634DDB">
        <w:rPr>
          <w:rFonts w:ascii="Times New Roman" w:eastAsia="Times New Roman" w:hAnsi="Times New Roman" w:cs="Times New Roman"/>
          <w:color w:val="7030A0"/>
          <w:sz w:val="24"/>
          <w:szCs w:val="24"/>
          <w:lang w:eastAsia="en-GB"/>
        </w:rPr>
        <w:t>most</w:t>
      </w:r>
      <w:r w:rsidR="00634DDB">
        <w:rPr>
          <w:rFonts w:ascii="Times New Roman" w:eastAsia="Times New Roman" w:hAnsi="Times New Roman" w:cs="Times New Roman"/>
          <w:sz w:val="24"/>
          <w:szCs w:val="24"/>
          <w:lang w:eastAsia="en-GB"/>
        </w:rPr>
        <w:t xml:space="preserve"> </w:t>
      </w:r>
      <w:r w:rsidRPr="00875933">
        <w:rPr>
          <w:rFonts w:ascii="Times New Roman" w:eastAsia="Times New Roman" w:hAnsi="Times New Roman" w:cs="Times New Roman"/>
          <w:sz w:val="24"/>
          <w:szCs w:val="24"/>
          <w:lang w:eastAsia="en-GB"/>
        </w:rPr>
        <w:t>of this activity to the flavonoid-rich phenolic fraction of the plant (Sharma, Sharma, Mandal &amp; Dhobi, 2024). This phenomenological picture has since been strengthened considerably by work using a carrageenan-induced paw oedema model in rats, in which root methanolic extract pretreatment significantly reduced oedema volume, circulating white cell and platelet counts, and C-reactive protein elevation, alongside lower neutrophil infiltration and vascular dilation on histopathological examination of the inflamed paw tissue (</w:t>
      </w:r>
      <w:proofErr w:type="spellStart"/>
      <w:r w:rsidRPr="00875933">
        <w:rPr>
          <w:rFonts w:ascii="Times New Roman" w:eastAsia="Times New Roman" w:hAnsi="Times New Roman" w:cs="Times New Roman"/>
          <w:sz w:val="24"/>
          <w:szCs w:val="24"/>
          <w:lang w:eastAsia="en-GB"/>
        </w:rPr>
        <w:t>Sahukari</w:t>
      </w:r>
      <w:proofErr w:type="spellEnd"/>
      <w:r w:rsidRPr="00875933">
        <w:rPr>
          <w:rFonts w:ascii="Times New Roman" w:eastAsia="Times New Roman" w:hAnsi="Times New Roman" w:cs="Times New Roman"/>
          <w:sz w:val="24"/>
          <w:szCs w:val="24"/>
          <w:lang w:eastAsia="en-GB"/>
        </w:rPr>
        <w:t xml:space="preserve"> et al., 2021). Mechanistic clarification has been pushed furthest in a lipopolysaccharide-stimulated macrophage model, where standardised </w:t>
      </w:r>
      <w:r w:rsidRPr="00875933">
        <w:rPr>
          <w:rFonts w:ascii="Times New Roman" w:eastAsia="Times New Roman" w:hAnsi="Times New Roman" w:cs="Times New Roman"/>
          <w:i/>
          <w:iCs/>
          <w:sz w:val="24"/>
          <w:szCs w:val="24"/>
          <w:lang w:eastAsia="en-GB"/>
        </w:rPr>
        <w:t>A. indica</w:t>
      </w:r>
      <w:r w:rsidRPr="00875933">
        <w:rPr>
          <w:rFonts w:ascii="Times New Roman" w:eastAsia="Times New Roman" w:hAnsi="Times New Roman" w:cs="Times New Roman"/>
          <w:sz w:val="24"/>
          <w:szCs w:val="24"/>
          <w:lang w:eastAsia="en-GB"/>
        </w:rPr>
        <w:t xml:space="preserve"> extract was shown to modulate nuclear factor kappa-B signalling — a master regulator of the inflammatory transcriptional programme — while at the same time showing antiviral activity in the same experimental system, results that begin to close the gap between phenomenological observation of anti-inflammatory effect and engagement of a defined molecular pathway (Sharma et al., 2025a).</w:t>
      </w:r>
    </w:p>
    <w:p w14:paraId="2EDCAB18" w14:textId="5CC7F192" w:rsidR="00426A47" w:rsidRPr="00875933" w:rsidRDefault="00426A47" w:rsidP="00426A47">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875933">
        <w:rPr>
          <w:rFonts w:ascii="Times New Roman" w:eastAsia="Times New Roman" w:hAnsi="Times New Roman" w:cs="Times New Roman"/>
          <w:b/>
          <w:bCs/>
          <w:sz w:val="24"/>
          <w:szCs w:val="24"/>
          <w:lang w:eastAsia="en-GB"/>
        </w:rPr>
        <w:t xml:space="preserve">4.4 Antidiabetic and </w:t>
      </w:r>
      <w:proofErr w:type="spellStart"/>
      <w:r w:rsidRPr="00875933">
        <w:rPr>
          <w:rFonts w:ascii="Times New Roman" w:eastAsia="Times New Roman" w:hAnsi="Times New Roman" w:cs="Times New Roman"/>
          <w:b/>
          <w:bCs/>
          <w:sz w:val="24"/>
          <w:szCs w:val="24"/>
          <w:lang w:eastAsia="en-GB"/>
        </w:rPr>
        <w:t>antihyperlipidaemic</w:t>
      </w:r>
      <w:proofErr w:type="spellEnd"/>
      <w:r w:rsidRPr="00875933">
        <w:rPr>
          <w:rFonts w:ascii="Times New Roman" w:eastAsia="Times New Roman" w:hAnsi="Times New Roman" w:cs="Times New Roman"/>
          <w:b/>
          <w:bCs/>
          <w:sz w:val="24"/>
          <w:szCs w:val="24"/>
          <w:lang w:eastAsia="en-GB"/>
        </w:rPr>
        <w:t xml:space="preserve"> </w:t>
      </w:r>
      <w:r w:rsidRPr="009C2BD3">
        <w:rPr>
          <w:rFonts w:ascii="Times New Roman" w:eastAsia="Times New Roman" w:hAnsi="Times New Roman" w:cs="Times New Roman"/>
          <w:b/>
          <w:bCs/>
          <w:color w:val="FF0000"/>
          <w:sz w:val="24"/>
          <w:szCs w:val="24"/>
          <w:lang w:eastAsia="en-GB"/>
        </w:rPr>
        <w:t>activit</w:t>
      </w:r>
      <w:r w:rsidR="00251DF6">
        <w:rPr>
          <w:rFonts w:ascii="Times New Roman" w:eastAsia="Times New Roman" w:hAnsi="Times New Roman" w:cs="Times New Roman"/>
          <w:b/>
          <w:bCs/>
          <w:color w:val="FF0000"/>
          <w:sz w:val="24"/>
          <w:szCs w:val="24"/>
          <w:lang w:eastAsia="en-GB"/>
        </w:rPr>
        <w:t>ies</w:t>
      </w:r>
    </w:p>
    <w:p w14:paraId="629C7130" w14:textId="2770B48A" w:rsidR="00426A47" w:rsidRPr="00875933" w:rsidRDefault="00426A47" w:rsidP="00426A47">
      <w:pPr>
        <w:spacing w:before="100" w:beforeAutospacing="1" w:after="100" w:afterAutospacing="1" w:line="240" w:lineRule="auto"/>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 xml:space="preserve">The antidiabetic potential of </w:t>
      </w:r>
      <w:r w:rsidRPr="00875933">
        <w:rPr>
          <w:rFonts w:ascii="Times New Roman" w:eastAsia="Times New Roman" w:hAnsi="Times New Roman" w:cs="Times New Roman"/>
          <w:i/>
          <w:iCs/>
          <w:sz w:val="24"/>
          <w:szCs w:val="24"/>
          <w:lang w:eastAsia="en-GB"/>
        </w:rPr>
        <w:t>A. indica</w:t>
      </w:r>
      <w:r w:rsidRPr="00875933">
        <w:rPr>
          <w:rFonts w:ascii="Times New Roman" w:eastAsia="Times New Roman" w:hAnsi="Times New Roman" w:cs="Times New Roman"/>
          <w:sz w:val="24"/>
          <w:szCs w:val="24"/>
          <w:lang w:eastAsia="en-GB"/>
        </w:rPr>
        <w:t xml:space="preserve"> has been characterised most carefully through a series of studies centred on inhibition of α-glucosidase, the enzyme governing postprandial carbohydrate absorption. Methanolic stem extract, having first been shown </w:t>
      </w:r>
      <w:r w:rsidRPr="009C2BD3">
        <w:rPr>
          <w:rFonts w:ascii="Times New Roman" w:eastAsia="Times New Roman" w:hAnsi="Times New Roman" w:cs="Times New Roman"/>
          <w:i/>
          <w:iCs/>
          <w:color w:val="FF0000"/>
          <w:sz w:val="24"/>
          <w:szCs w:val="24"/>
          <w:lang w:eastAsia="en-GB"/>
        </w:rPr>
        <w:t>in vitro</w:t>
      </w:r>
      <w:r w:rsidRPr="00875933">
        <w:rPr>
          <w:rFonts w:ascii="Times New Roman" w:eastAsia="Times New Roman" w:hAnsi="Times New Roman" w:cs="Times New Roman"/>
          <w:sz w:val="24"/>
          <w:szCs w:val="24"/>
          <w:lang w:eastAsia="en-GB"/>
        </w:rPr>
        <w:t xml:space="preserve"> to inhibit α-glucosidase activity with acceptable tolerability in acute and </w:t>
      </w:r>
      <w:proofErr w:type="spellStart"/>
      <w:r w:rsidRPr="00875933">
        <w:rPr>
          <w:rFonts w:ascii="Times New Roman" w:eastAsia="Times New Roman" w:hAnsi="Times New Roman" w:cs="Times New Roman"/>
          <w:sz w:val="24"/>
          <w:szCs w:val="24"/>
          <w:lang w:eastAsia="en-GB"/>
        </w:rPr>
        <w:t>subchronic</w:t>
      </w:r>
      <w:proofErr w:type="spellEnd"/>
      <w:r w:rsidRPr="00875933">
        <w:rPr>
          <w:rFonts w:ascii="Times New Roman" w:eastAsia="Times New Roman" w:hAnsi="Times New Roman" w:cs="Times New Roman"/>
          <w:sz w:val="24"/>
          <w:szCs w:val="24"/>
          <w:lang w:eastAsia="en-GB"/>
        </w:rPr>
        <w:t xml:space="preserve"> toxicity testing, was subsequently tested </w:t>
      </w:r>
      <w:r w:rsidRPr="009C2BD3">
        <w:rPr>
          <w:rFonts w:ascii="Times New Roman" w:eastAsia="Times New Roman" w:hAnsi="Times New Roman" w:cs="Times New Roman"/>
          <w:i/>
          <w:iCs/>
          <w:color w:val="FF0000"/>
          <w:sz w:val="24"/>
          <w:szCs w:val="24"/>
          <w:lang w:eastAsia="en-GB"/>
        </w:rPr>
        <w:t>in vivo</w:t>
      </w:r>
      <w:r w:rsidRPr="00875933">
        <w:rPr>
          <w:rFonts w:ascii="Times New Roman" w:eastAsia="Times New Roman" w:hAnsi="Times New Roman" w:cs="Times New Roman"/>
          <w:sz w:val="24"/>
          <w:szCs w:val="24"/>
          <w:lang w:eastAsia="en-GB"/>
        </w:rPr>
        <w:t xml:space="preserve"> using maltose-, sucrose- and glucose-loaded streptozotocin-induced normal and diabetic rats, where it cut postprandial blood glucose by roughly </w:t>
      </w:r>
      <w:r w:rsidRPr="00634DDB">
        <w:rPr>
          <w:rFonts w:ascii="Times New Roman" w:eastAsia="Times New Roman" w:hAnsi="Times New Roman" w:cs="Times New Roman"/>
          <w:b/>
          <w:bCs/>
          <w:dstrike/>
          <w:sz w:val="24"/>
          <w:szCs w:val="24"/>
          <w:lang w:eastAsia="en-GB"/>
        </w:rPr>
        <w:t>seventy to eighty per cent</w:t>
      </w:r>
      <w:r w:rsidRPr="00875933">
        <w:rPr>
          <w:rFonts w:ascii="Times New Roman" w:eastAsia="Times New Roman" w:hAnsi="Times New Roman" w:cs="Times New Roman"/>
          <w:sz w:val="24"/>
          <w:szCs w:val="24"/>
          <w:lang w:eastAsia="en-GB"/>
        </w:rPr>
        <w:t xml:space="preserve"> </w:t>
      </w:r>
      <w:r w:rsidR="00634DDB" w:rsidRPr="00FA29C3">
        <w:rPr>
          <w:rFonts w:ascii="Times New Roman" w:eastAsia="Times New Roman" w:hAnsi="Times New Roman" w:cs="Times New Roman"/>
          <w:color w:val="7030A0"/>
          <w:sz w:val="24"/>
          <w:szCs w:val="24"/>
          <w:lang w:eastAsia="en-GB"/>
        </w:rPr>
        <w:t>70-80%</w:t>
      </w:r>
      <w:r w:rsidR="00634DDB">
        <w:rPr>
          <w:rFonts w:ascii="Times New Roman" w:eastAsia="Times New Roman" w:hAnsi="Times New Roman" w:cs="Times New Roman"/>
          <w:sz w:val="24"/>
          <w:szCs w:val="24"/>
          <w:lang w:eastAsia="en-GB"/>
        </w:rPr>
        <w:t xml:space="preserve"> </w:t>
      </w:r>
      <w:r w:rsidRPr="00875933">
        <w:rPr>
          <w:rFonts w:ascii="Times New Roman" w:eastAsia="Times New Roman" w:hAnsi="Times New Roman" w:cs="Times New Roman"/>
          <w:sz w:val="24"/>
          <w:szCs w:val="24"/>
          <w:lang w:eastAsia="en-GB"/>
        </w:rPr>
        <w:t xml:space="preserve">relative to untreated diabetic controls following a carbohydrate challenge (Priya &amp; Rao, 2016). The same extract produced concurrent hepatoprotective effects in the diabetic model, evidenced by normalisation of elevated liver marker enzymes that had been disturbed by streptozotocin-induced oxidative injury </w:t>
      </w:r>
      <w:r w:rsidRPr="009C2BD3">
        <w:rPr>
          <w:rFonts w:ascii="Times New Roman" w:eastAsia="Times New Roman" w:hAnsi="Times New Roman" w:cs="Times New Roman"/>
          <w:color w:val="FF0000"/>
          <w:sz w:val="24"/>
          <w:szCs w:val="24"/>
          <w:lang w:eastAsia="en-GB"/>
        </w:rPr>
        <w:t>—</w:t>
      </w:r>
      <w:r w:rsidRPr="00875933">
        <w:rPr>
          <w:rFonts w:ascii="Times New Roman" w:eastAsia="Times New Roman" w:hAnsi="Times New Roman" w:cs="Times New Roman"/>
          <w:sz w:val="24"/>
          <w:szCs w:val="24"/>
          <w:lang w:eastAsia="en-GB"/>
        </w:rPr>
        <w:t xml:space="preserve"> which suggests the antidiabetic and hepatoprotective effects of the plant may share a common antioxidant mechanism rather than represent two independent pharmacological actions (Priya &amp; Rao, 2016).</w:t>
      </w:r>
    </w:p>
    <w:p w14:paraId="26AF247E" w14:textId="77777777" w:rsidR="00426A47" w:rsidRPr="00875933" w:rsidRDefault="00426A47" w:rsidP="00426A47">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875933">
        <w:rPr>
          <w:rFonts w:ascii="Times New Roman" w:eastAsia="Times New Roman" w:hAnsi="Times New Roman" w:cs="Times New Roman"/>
          <w:b/>
          <w:bCs/>
          <w:sz w:val="24"/>
          <w:szCs w:val="24"/>
          <w:lang w:eastAsia="en-GB"/>
        </w:rPr>
        <w:lastRenderedPageBreak/>
        <w:t>4.5 Anticancer and cytotoxic activity</w:t>
      </w:r>
    </w:p>
    <w:p w14:paraId="2817B863" w14:textId="7742A41D" w:rsidR="00426A47" w:rsidRPr="00875933" w:rsidRDefault="00426A47" w:rsidP="00426A47">
      <w:pPr>
        <w:spacing w:before="100" w:beforeAutospacing="1" w:after="100" w:afterAutospacing="1" w:line="240" w:lineRule="auto"/>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 xml:space="preserve">Cytotoxic and antiproliferative effects of </w:t>
      </w:r>
      <w:r w:rsidRPr="00875933">
        <w:rPr>
          <w:rFonts w:ascii="Times New Roman" w:eastAsia="Times New Roman" w:hAnsi="Times New Roman" w:cs="Times New Roman"/>
          <w:i/>
          <w:iCs/>
          <w:sz w:val="24"/>
          <w:szCs w:val="24"/>
          <w:lang w:eastAsia="en-GB"/>
        </w:rPr>
        <w:t>A. indica</w:t>
      </w:r>
      <w:r w:rsidRPr="00875933">
        <w:rPr>
          <w:rFonts w:ascii="Times New Roman" w:eastAsia="Times New Roman" w:hAnsi="Times New Roman" w:cs="Times New Roman"/>
          <w:sz w:val="24"/>
          <w:szCs w:val="24"/>
          <w:lang w:eastAsia="en-GB"/>
        </w:rPr>
        <w:t xml:space="preserve"> extracts have been shown across several human cancer cell lines, though the mechanistic depth of this literature varies a good deal from one study to the next. Hexane leaf extract tested against the MCF-7 breast cancer cell line using the MTT assay produced concentration-dependent cytotoxicity, with an inhibitory concentration for </w:t>
      </w:r>
      <w:r w:rsidRPr="00634DDB">
        <w:rPr>
          <w:rFonts w:ascii="Times New Roman" w:eastAsia="Times New Roman" w:hAnsi="Times New Roman" w:cs="Times New Roman"/>
          <w:b/>
          <w:bCs/>
          <w:dstrike/>
          <w:sz w:val="24"/>
          <w:szCs w:val="24"/>
          <w:lang w:eastAsia="en-GB"/>
        </w:rPr>
        <w:t>fifty per cent</w:t>
      </w:r>
      <w:r w:rsidRPr="00875933">
        <w:rPr>
          <w:rFonts w:ascii="Times New Roman" w:eastAsia="Times New Roman" w:hAnsi="Times New Roman" w:cs="Times New Roman"/>
          <w:sz w:val="24"/>
          <w:szCs w:val="24"/>
          <w:lang w:eastAsia="en-GB"/>
        </w:rPr>
        <w:t xml:space="preserve"> </w:t>
      </w:r>
      <w:r w:rsidR="00634DDB" w:rsidRPr="00634DDB">
        <w:rPr>
          <w:rFonts w:ascii="Times New Roman" w:eastAsia="Times New Roman" w:hAnsi="Times New Roman" w:cs="Times New Roman"/>
          <w:color w:val="7030A0"/>
          <w:sz w:val="24"/>
          <w:szCs w:val="24"/>
          <w:lang w:eastAsia="en-GB"/>
        </w:rPr>
        <w:t>50%</w:t>
      </w:r>
      <w:r w:rsidR="00634DDB">
        <w:rPr>
          <w:rFonts w:ascii="Times New Roman" w:eastAsia="Times New Roman" w:hAnsi="Times New Roman" w:cs="Times New Roman"/>
          <w:sz w:val="24"/>
          <w:szCs w:val="24"/>
          <w:lang w:eastAsia="en-GB"/>
        </w:rPr>
        <w:t xml:space="preserve"> </w:t>
      </w:r>
      <w:r w:rsidRPr="00875933">
        <w:rPr>
          <w:rFonts w:ascii="Times New Roman" w:eastAsia="Times New Roman" w:hAnsi="Times New Roman" w:cs="Times New Roman"/>
          <w:sz w:val="24"/>
          <w:szCs w:val="24"/>
          <w:lang w:eastAsia="en-GB"/>
        </w:rPr>
        <w:t xml:space="preserve">cell viability reduction reported at </w:t>
      </w:r>
      <w:r w:rsidRPr="00634DDB">
        <w:rPr>
          <w:rFonts w:ascii="Times New Roman" w:eastAsia="Times New Roman" w:hAnsi="Times New Roman" w:cs="Times New Roman"/>
          <w:b/>
          <w:bCs/>
          <w:dstrike/>
          <w:sz w:val="24"/>
          <w:szCs w:val="24"/>
          <w:lang w:eastAsia="en-GB"/>
        </w:rPr>
        <w:t>fifty micrograms per millilitre</w:t>
      </w:r>
      <w:r w:rsidRPr="00875933">
        <w:rPr>
          <w:rFonts w:ascii="Times New Roman" w:eastAsia="Times New Roman" w:hAnsi="Times New Roman" w:cs="Times New Roman"/>
          <w:sz w:val="24"/>
          <w:szCs w:val="24"/>
          <w:lang w:eastAsia="en-GB"/>
        </w:rPr>
        <w:t xml:space="preserve"> </w:t>
      </w:r>
      <w:r w:rsidR="00634DDB" w:rsidRPr="00634DDB">
        <w:rPr>
          <w:rFonts w:ascii="Times New Roman" w:eastAsia="Times New Roman" w:hAnsi="Times New Roman" w:cs="Times New Roman"/>
          <w:color w:val="7030A0"/>
          <w:sz w:val="24"/>
          <w:szCs w:val="24"/>
          <w:lang w:eastAsia="en-GB"/>
        </w:rPr>
        <w:t xml:space="preserve">50 </w:t>
      </w:r>
      <w:proofErr w:type="spellStart"/>
      <w:r w:rsidR="00634DDB" w:rsidRPr="00634DDB">
        <w:rPr>
          <w:rFonts w:ascii="Times New Roman" w:eastAsia="Times New Roman" w:hAnsi="Times New Roman" w:cs="Times New Roman"/>
          <w:color w:val="7030A0"/>
          <w:sz w:val="24"/>
          <w:szCs w:val="24"/>
          <w:lang w:eastAsia="en-GB"/>
        </w:rPr>
        <w:t>μg</w:t>
      </w:r>
      <w:proofErr w:type="spellEnd"/>
      <w:r w:rsidR="00634DDB" w:rsidRPr="00634DDB">
        <w:rPr>
          <w:rFonts w:ascii="Times New Roman" w:eastAsia="Times New Roman" w:hAnsi="Times New Roman" w:cs="Times New Roman"/>
          <w:color w:val="7030A0"/>
          <w:sz w:val="24"/>
          <w:szCs w:val="24"/>
          <w:lang w:eastAsia="en-GB"/>
        </w:rPr>
        <w:t>/L</w:t>
      </w:r>
      <w:r w:rsidR="00634DDB">
        <w:rPr>
          <w:rFonts w:ascii="Times New Roman" w:eastAsia="Times New Roman" w:hAnsi="Times New Roman" w:cs="Times New Roman"/>
          <w:sz w:val="24"/>
          <w:szCs w:val="24"/>
          <w:lang w:eastAsia="en-GB"/>
        </w:rPr>
        <w:t xml:space="preserve"> </w:t>
      </w:r>
      <w:r w:rsidRPr="00875933">
        <w:rPr>
          <w:rFonts w:ascii="Times New Roman" w:eastAsia="Times New Roman" w:hAnsi="Times New Roman" w:cs="Times New Roman"/>
          <w:sz w:val="24"/>
          <w:szCs w:val="24"/>
          <w:lang w:eastAsia="en-GB"/>
        </w:rPr>
        <w:t xml:space="preserve">against a cisplatin positive control (Chekuri et al., 2017). More recent work has pushed this cytotoxic characterisation further, into lipid metabolism pathways specifically implicated in breast cancer biology, showing that ethanolic extract suppresses expression of the lipogenic enzymes fatty acid synthase, acetyl-coenzyme A carboxylase and ATP citrate lyase in MCF-7 cells — an approach that situates the plant's anticancer activity within the contemporary metabolic-reprogramming framework of tumour biology rather than relying on generic cytotoxicity endpoints alone (Johari et al., 2024). At the level of computational mechanism, molecular docking and molecular dynamics simulations of phytochemical constituents against human caspase-3, the key executioner protease of the apoptotic cascade, have identified several sterol derivatives — including γ-sitosterol acetate and β-sitosterol acetate — with binding stability and affinity exceeding that of a co-crystallised native ligand, while a follow-up study restricted to the flavonoid fraction identified the kaempferol glycoside </w:t>
      </w:r>
      <w:proofErr w:type="spellStart"/>
      <w:r w:rsidRPr="00875933">
        <w:rPr>
          <w:rFonts w:ascii="Times New Roman" w:eastAsia="Times New Roman" w:hAnsi="Times New Roman" w:cs="Times New Roman"/>
          <w:sz w:val="24"/>
          <w:szCs w:val="24"/>
          <w:lang w:eastAsia="en-GB"/>
        </w:rPr>
        <w:t>nicotiflorin</w:t>
      </w:r>
      <w:proofErr w:type="spellEnd"/>
      <w:r w:rsidRPr="00875933">
        <w:rPr>
          <w:rFonts w:ascii="Times New Roman" w:eastAsia="Times New Roman" w:hAnsi="Times New Roman" w:cs="Times New Roman"/>
          <w:sz w:val="24"/>
          <w:szCs w:val="24"/>
          <w:lang w:eastAsia="en-GB"/>
        </w:rPr>
        <w:t xml:space="preserve"> as the most effective predicted caspase-3 activator among the compounds examined (</w:t>
      </w:r>
      <w:proofErr w:type="spellStart"/>
      <w:r w:rsidRPr="00875933">
        <w:rPr>
          <w:rFonts w:ascii="Times New Roman" w:eastAsia="Times New Roman" w:hAnsi="Times New Roman" w:cs="Times New Roman"/>
          <w:sz w:val="24"/>
          <w:szCs w:val="24"/>
          <w:lang w:eastAsia="en-GB"/>
        </w:rPr>
        <w:t>Febrina</w:t>
      </w:r>
      <w:proofErr w:type="spellEnd"/>
      <w:r w:rsidRPr="00875933">
        <w:rPr>
          <w:rFonts w:ascii="Times New Roman" w:eastAsia="Times New Roman" w:hAnsi="Times New Roman" w:cs="Times New Roman"/>
          <w:sz w:val="24"/>
          <w:szCs w:val="24"/>
          <w:lang w:eastAsia="en-GB"/>
        </w:rPr>
        <w:t xml:space="preserve"> et al., 2021; </w:t>
      </w:r>
      <w:proofErr w:type="spellStart"/>
      <w:r w:rsidRPr="00875933">
        <w:rPr>
          <w:rFonts w:ascii="Times New Roman" w:eastAsia="Times New Roman" w:hAnsi="Times New Roman" w:cs="Times New Roman"/>
          <w:sz w:val="24"/>
          <w:szCs w:val="24"/>
          <w:lang w:eastAsia="en-GB"/>
        </w:rPr>
        <w:t>Febrina</w:t>
      </w:r>
      <w:proofErr w:type="spellEnd"/>
      <w:r w:rsidRPr="00875933">
        <w:rPr>
          <w:rFonts w:ascii="Times New Roman" w:eastAsia="Times New Roman" w:hAnsi="Times New Roman" w:cs="Times New Roman"/>
          <w:sz w:val="24"/>
          <w:szCs w:val="24"/>
          <w:lang w:eastAsia="en-GB"/>
        </w:rPr>
        <w:t xml:space="preserve"> et al., 2022). Comparative context from the wider genus is instructive here: cytotoxic evaluation of the congeneric species </w:t>
      </w:r>
      <w:r w:rsidRPr="00875933">
        <w:rPr>
          <w:rFonts w:ascii="Times New Roman" w:eastAsia="Times New Roman" w:hAnsi="Times New Roman" w:cs="Times New Roman"/>
          <w:i/>
          <w:iCs/>
          <w:sz w:val="24"/>
          <w:szCs w:val="24"/>
          <w:lang w:eastAsia="en-GB"/>
        </w:rPr>
        <w:t xml:space="preserve">Acalypha </w:t>
      </w:r>
      <w:proofErr w:type="spellStart"/>
      <w:r w:rsidRPr="00875933">
        <w:rPr>
          <w:rFonts w:ascii="Times New Roman" w:eastAsia="Times New Roman" w:hAnsi="Times New Roman" w:cs="Times New Roman"/>
          <w:i/>
          <w:iCs/>
          <w:sz w:val="24"/>
          <w:szCs w:val="24"/>
          <w:lang w:eastAsia="en-GB"/>
        </w:rPr>
        <w:t>monostachya</w:t>
      </w:r>
      <w:proofErr w:type="spellEnd"/>
      <w:r w:rsidRPr="00875933">
        <w:rPr>
          <w:rFonts w:ascii="Times New Roman" w:eastAsia="Times New Roman" w:hAnsi="Times New Roman" w:cs="Times New Roman"/>
          <w:sz w:val="24"/>
          <w:szCs w:val="24"/>
          <w:lang w:eastAsia="en-GB"/>
        </w:rPr>
        <w:t xml:space="preserve"> explicitly draws on the prior demonstration that methanolic, hexane and chloroform extracts of </w:t>
      </w:r>
      <w:r w:rsidRPr="00875933">
        <w:rPr>
          <w:rFonts w:ascii="Times New Roman" w:eastAsia="Times New Roman" w:hAnsi="Times New Roman" w:cs="Times New Roman"/>
          <w:i/>
          <w:iCs/>
          <w:sz w:val="24"/>
          <w:szCs w:val="24"/>
          <w:lang w:eastAsia="en-GB"/>
        </w:rPr>
        <w:t>A. indica</w:t>
      </w:r>
      <w:r w:rsidRPr="00875933">
        <w:rPr>
          <w:rFonts w:ascii="Times New Roman" w:eastAsia="Times New Roman" w:hAnsi="Times New Roman" w:cs="Times New Roman"/>
          <w:sz w:val="24"/>
          <w:szCs w:val="24"/>
          <w:lang w:eastAsia="en-GB"/>
        </w:rPr>
        <w:t xml:space="preserve"> are non-cytotoxic to non-tumour Vero kidney cells while remaining active against lung carcinoma cells, and notes further that the methanolic extract of </w:t>
      </w:r>
      <w:r w:rsidRPr="00875933">
        <w:rPr>
          <w:rFonts w:ascii="Times New Roman" w:eastAsia="Times New Roman" w:hAnsi="Times New Roman" w:cs="Times New Roman"/>
          <w:i/>
          <w:iCs/>
          <w:sz w:val="24"/>
          <w:szCs w:val="24"/>
          <w:lang w:eastAsia="en-GB"/>
        </w:rPr>
        <w:t>A. indica</w:t>
      </w:r>
      <w:r w:rsidRPr="00875933">
        <w:rPr>
          <w:rFonts w:ascii="Times New Roman" w:eastAsia="Times New Roman" w:hAnsi="Times New Roman" w:cs="Times New Roman"/>
          <w:sz w:val="24"/>
          <w:szCs w:val="24"/>
          <w:lang w:eastAsia="en-GB"/>
        </w:rPr>
        <w:t xml:space="preserve"> contains the cyclitol L-quebrachitol, a compound independently of interest as a synthetic precursor in anticancer drug development — illustrating how findings on </w:t>
      </w:r>
      <w:r w:rsidRPr="00875933">
        <w:rPr>
          <w:rFonts w:ascii="Times New Roman" w:eastAsia="Times New Roman" w:hAnsi="Times New Roman" w:cs="Times New Roman"/>
          <w:i/>
          <w:iCs/>
          <w:sz w:val="24"/>
          <w:szCs w:val="24"/>
          <w:lang w:eastAsia="en-GB"/>
        </w:rPr>
        <w:t>A. indica</w:t>
      </w:r>
      <w:r w:rsidRPr="00875933">
        <w:rPr>
          <w:rFonts w:ascii="Times New Roman" w:eastAsia="Times New Roman" w:hAnsi="Times New Roman" w:cs="Times New Roman"/>
          <w:sz w:val="24"/>
          <w:szCs w:val="24"/>
          <w:lang w:eastAsia="en-GB"/>
        </w:rPr>
        <w:t xml:space="preserve"> continue to inform research across the broader </w:t>
      </w:r>
      <w:r w:rsidRPr="00875933">
        <w:rPr>
          <w:rFonts w:ascii="Times New Roman" w:eastAsia="Times New Roman" w:hAnsi="Times New Roman" w:cs="Times New Roman"/>
          <w:i/>
          <w:iCs/>
          <w:sz w:val="24"/>
          <w:szCs w:val="24"/>
          <w:lang w:eastAsia="en-GB"/>
        </w:rPr>
        <w:t>Acalypha</w:t>
      </w:r>
      <w:r w:rsidRPr="00875933">
        <w:rPr>
          <w:rFonts w:ascii="Times New Roman" w:eastAsia="Times New Roman" w:hAnsi="Times New Roman" w:cs="Times New Roman"/>
          <w:sz w:val="24"/>
          <w:szCs w:val="24"/>
          <w:lang w:eastAsia="en-GB"/>
        </w:rPr>
        <w:t xml:space="preserve"> genus (Guillén-Meléndez et al., 2021). A broader synthesis of anticancer activity across the </w:t>
      </w:r>
      <w:proofErr w:type="spellStart"/>
      <w:r w:rsidRPr="00875933">
        <w:rPr>
          <w:rFonts w:ascii="Times New Roman" w:eastAsia="Times New Roman" w:hAnsi="Times New Roman" w:cs="Times New Roman"/>
          <w:sz w:val="24"/>
          <w:szCs w:val="24"/>
          <w:lang w:eastAsia="en-GB"/>
        </w:rPr>
        <w:t>Euphorbiaceae</w:t>
      </w:r>
      <w:proofErr w:type="spellEnd"/>
      <w:r w:rsidRPr="00875933">
        <w:rPr>
          <w:rFonts w:ascii="Times New Roman" w:eastAsia="Times New Roman" w:hAnsi="Times New Roman" w:cs="Times New Roman"/>
          <w:sz w:val="24"/>
          <w:szCs w:val="24"/>
          <w:lang w:eastAsia="en-GB"/>
        </w:rPr>
        <w:t xml:space="preserve"> family situates these </w:t>
      </w:r>
      <w:r w:rsidRPr="00875933">
        <w:rPr>
          <w:rFonts w:ascii="Times New Roman" w:eastAsia="Times New Roman" w:hAnsi="Times New Roman" w:cs="Times New Roman"/>
          <w:i/>
          <w:iCs/>
          <w:sz w:val="24"/>
          <w:szCs w:val="24"/>
          <w:lang w:eastAsia="en-GB"/>
        </w:rPr>
        <w:t>Acalypha</w:t>
      </w:r>
      <w:r w:rsidRPr="00875933">
        <w:rPr>
          <w:rFonts w:ascii="Times New Roman" w:eastAsia="Times New Roman" w:hAnsi="Times New Roman" w:cs="Times New Roman"/>
          <w:sz w:val="24"/>
          <w:szCs w:val="24"/>
          <w:lang w:eastAsia="en-GB"/>
        </w:rPr>
        <w:t xml:space="preserve">-specific findings within a wider pattern of cytotoxic and pro-apoptotic activity recurring across the family, while cautioning that translating such </w:t>
      </w:r>
      <w:r w:rsidRPr="006666B7">
        <w:rPr>
          <w:rFonts w:ascii="Times New Roman" w:eastAsia="Times New Roman" w:hAnsi="Times New Roman" w:cs="Times New Roman"/>
          <w:i/>
          <w:iCs/>
          <w:color w:val="FF0000"/>
          <w:sz w:val="24"/>
          <w:szCs w:val="24"/>
          <w:lang w:eastAsia="en-GB"/>
        </w:rPr>
        <w:t>in vitro</w:t>
      </w:r>
      <w:r w:rsidRPr="00875933">
        <w:rPr>
          <w:rFonts w:ascii="Times New Roman" w:eastAsia="Times New Roman" w:hAnsi="Times New Roman" w:cs="Times New Roman"/>
          <w:sz w:val="24"/>
          <w:szCs w:val="24"/>
          <w:lang w:eastAsia="en-GB"/>
        </w:rPr>
        <w:t xml:space="preserve"> cytotoxicity data into clinically meaningful anticancer therapeutics remains, for the great majority of </w:t>
      </w:r>
      <w:proofErr w:type="spellStart"/>
      <w:r w:rsidRPr="00875933">
        <w:rPr>
          <w:rFonts w:ascii="Times New Roman" w:eastAsia="Times New Roman" w:hAnsi="Times New Roman" w:cs="Times New Roman"/>
          <w:sz w:val="24"/>
          <w:szCs w:val="24"/>
          <w:lang w:eastAsia="en-GB"/>
        </w:rPr>
        <w:t>Euphorbiaceae</w:t>
      </w:r>
      <w:proofErr w:type="spellEnd"/>
      <w:r w:rsidRPr="00875933">
        <w:rPr>
          <w:rFonts w:ascii="Times New Roman" w:eastAsia="Times New Roman" w:hAnsi="Times New Roman" w:cs="Times New Roman"/>
          <w:sz w:val="24"/>
          <w:szCs w:val="24"/>
          <w:lang w:eastAsia="en-GB"/>
        </w:rPr>
        <w:t xml:space="preserve"> species investigated so far, at an early and largely unvalidated stage (Jiménez-González et al., 2024).</w:t>
      </w:r>
    </w:p>
    <w:p w14:paraId="310973CD" w14:textId="77777777" w:rsidR="00426A47" w:rsidRPr="00875933" w:rsidRDefault="00426A47" w:rsidP="00426A47">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875933">
        <w:rPr>
          <w:rFonts w:ascii="Times New Roman" w:eastAsia="Times New Roman" w:hAnsi="Times New Roman" w:cs="Times New Roman"/>
          <w:b/>
          <w:bCs/>
          <w:sz w:val="24"/>
          <w:szCs w:val="24"/>
          <w:lang w:eastAsia="en-GB"/>
        </w:rPr>
        <w:t>4.6 Wound healing activity</w:t>
      </w:r>
    </w:p>
    <w:p w14:paraId="52AC3E09" w14:textId="77777777" w:rsidR="00426A47" w:rsidRPr="00875933" w:rsidRDefault="00426A47" w:rsidP="00426A47">
      <w:pPr>
        <w:spacing w:before="100" w:beforeAutospacing="1" w:after="100" w:afterAutospacing="1" w:line="240" w:lineRule="auto"/>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 xml:space="preserve">The wound-healing properties traditionally attributed to </w:t>
      </w:r>
      <w:r w:rsidRPr="00875933">
        <w:rPr>
          <w:rFonts w:ascii="Times New Roman" w:eastAsia="Times New Roman" w:hAnsi="Times New Roman" w:cs="Times New Roman"/>
          <w:i/>
          <w:iCs/>
          <w:sz w:val="24"/>
          <w:szCs w:val="24"/>
          <w:lang w:eastAsia="en-GB"/>
        </w:rPr>
        <w:t>A. indica</w:t>
      </w:r>
      <w:r w:rsidRPr="00875933">
        <w:rPr>
          <w:rFonts w:ascii="Times New Roman" w:eastAsia="Times New Roman" w:hAnsi="Times New Roman" w:cs="Times New Roman"/>
          <w:sz w:val="24"/>
          <w:szCs w:val="24"/>
          <w:lang w:eastAsia="en-GB"/>
        </w:rPr>
        <w:t xml:space="preserve"> have received fairly detailed mechanistic attention. Topical application of leaf extract to full-thickness excisional wounds in rats accelerated wound contraction and closure relative to untreated controls, an effect the investigators linked directly to up-regulated expression of type I and type III collagen in the healing wound bed — implicating enhanced extracellular matrix deposition as a key mechanism behind the plant's traditional topical use for cutaneous injury (Ganeshkumar et al., 2012). This collagen-centred account has since been backed up at the cellular level: ethanolic extracts of both the aerial parts and the root significantly stimulate fibroblast viability and migration </w:t>
      </w:r>
      <w:r w:rsidRPr="00D65EAA">
        <w:rPr>
          <w:rFonts w:ascii="Times New Roman" w:eastAsia="Times New Roman" w:hAnsi="Times New Roman" w:cs="Times New Roman"/>
          <w:i/>
          <w:iCs/>
          <w:color w:val="FF0000"/>
          <w:sz w:val="24"/>
          <w:szCs w:val="24"/>
          <w:lang w:eastAsia="en-GB"/>
        </w:rPr>
        <w:t>in vitro</w:t>
      </w:r>
      <w:r w:rsidRPr="00875933">
        <w:rPr>
          <w:rFonts w:ascii="Times New Roman" w:eastAsia="Times New Roman" w:hAnsi="Times New Roman" w:cs="Times New Roman"/>
          <w:sz w:val="24"/>
          <w:szCs w:val="24"/>
          <w:lang w:eastAsia="en-GB"/>
        </w:rPr>
        <w:t xml:space="preserve">, with aerial-part extract driving fibroblast proliferation well above untreated controls and producing substantially faster wound closure in a scratch-assay model within forty-eight hours </w:t>
      </w:r>
      <w:r w:rsidRPr="00D65EAA">
        <w:rPr>
          <w:rFonts w:ascii="Times New Roman" w:eastAsia="Times New Roman" w:hAnsi="Times New Roman" w:cs="Times New Roman"/>
          <w:color w:val="FF0000"/>
          <w:sz w:val="24"/>
          <w:szCs w:val="24"/>
          <w:lang w:eastAsia="en-GB"/>
        </w:rPr>
        <w:t>—</w:t>
      </w:r>
      <w:r w:rsidRPr="00875933">
        <w:rPr>
          <w:rFonts w:ascii="Times New Roman" w:eastAsia="Times New Roman" w:hAnsi="Times New Roman" w:cs="Times New Roman"/>
          <w:sz w:val="24"/>
          <w:szCs w:val="24"/>
          <w:lang w:eastAsia="en-GB"/>
        </w:rPr>
        <w:t xml:space="preserve"> corroborating the whole-animal wound-contraction findings at the cellular level (Ibrahim et al., 2021).</w:t>
      </w:r>
    </w:p>
    <w:p w14:paraId="34D4D2CF" w14:textId="77777777" w:rsidR="00426A47" w:rsidRPr="00875933" w:rsidRDefault="00426A47" w:rsidP="00426A47">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875933">
        <w:rPr>
          <w:rFonts w:ascii="Times New Roman" w:eastAsia="Times New Roman" w:hAnsi="Times New Roman" w:cs="Times New Roman"/>
          <w:b/>
          <w:bCs/>
          <w:sz w:val="24"/>
          <w:szCs w:val="24"/>
          <w:lang w:eastAsia="en-GB"/>
        </w:rPr>
        <w:lastRenderedPageBreak/>
        <w:t>4.7 Hepatoprotective activity</w:t>
      </w:r>
    </w:p>
    <w:p w14:paraId="63A82C7C" w14:textId="77777777" w:rsidR="00426A47" w:rsidRPr="00875933" w:rsidRDefault="00426A47" w:rsidP="00426A47">
      <w:pPr>
        <w:spacing w:before="100" w:beforeAutospacing="1" w:after="100" w:afterAutospacing="1" w:line="240" w:lineRule="auto"/>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 xml:space="preserve">Hepatoprotective effects, while not pursued as a standalone endpoint as often as the antidiabetic or wound-healing literature, </w:t>
      </w:r>
      <w:r w:rsidRPr="00557D73">
        <w:rPr>
          <w:rFonts w:ascii="Times New Roman" w:eastAsia="Times New Roman" w:hAnsi="Times New Roman" w:cs="Times New Roman"/>
          <w:sz w:val="24"/>
          <w:szCs w:val="24"/>
          <w:lang w:eastAsia="en-GB"/>
        </w:rPr>
        <w:t>nonetheless</w:t>
      </w:r>
      <w:r w:rsidRPr="00875933">
        <w:rPr>
          <w:rFonts w:ascii="Times New Roman" w:eastAsia="Times New Roman" w:hAnsi="Times New Roman" w:cs="Times New Roman"/>
          <w:sz w:val="24"/>
          <w:szCs w:val="24"/>
          <w:lang w:eastAsia="en-GB"/>
        </w:rPr>
        <w:t xml:space="preserve"> turn up consistently as a secondary finding within broader investigations </w:t>
      </w:r>
      <w:r w:rsidRPr="00557D73">
        <w:rPr>
          <w:rFonts w:ascii="Times New Roman" w:eastAsia="Times New Roman" w:hAnsi="Times New Roman" w:cs="Times New Roman"/>
          <w:sz w:val="24"/>
          <w:szCs w:val="24"/>
          <w:lang w:eastAsia="en-GB"/>
        </w:rPr>
        <w:t>of the plant's antioxidant and antidiabetic</w:t>
      </w:r>
      <w:r w:rsidRPr="00875933">
        <w:rPr>
          <w:rFonts w:ascii="Times New Roman" w:eastAsia="Times New Roman" w:hAnsi="Times New Roman" w:cs="Times New Roman"/>
          <w:sz w:val="24"/>
          <w:szCs w:val="24"/>
          <w:lang w:eastAsia="en-GB"/>
        </w:rPr>
        <w:t xml:space="preserve"> properties. As noted in Section 4.4, methanolic stem extract administered to streptozotocin-induced diabetic rats normalised serum liver marker enzymes that had been elevated by diabetes-associated oxidative stress, an effect the investigators attribute </w:t>
      </w:r>
      <w:r w:rsidRPr="00557D73">
        <w:rPr>
          <w:rFonts w:ascii="Times New Roman" w:eastAsia="Times New Roman" w:hAnsi="Times New Roman" w:cs="Times New Roman"/>
          <w:sz w:val="24"/>
          <w:szCs w:val="24"/>
          <w:lang w:eastAsia="en-GB"/>
        </w:rPr>
        <w:t>to the extract's ability</w:t>
      </w:r>
      <w:r w:rsidRPr="00875933">
        <w:rPr>
          <w:rFonts w:ascii="Times New Roman" w:eastAsia="Times New Roman" w:hAnsi="Times New Roman" w:cs="Times New Roman"/>
          <w:sz w:val="24"/>
          <w:szCs w:val="24"/>
          <w:lang w:eastAsia="en-GB"/>
        </w:rPr>
        <w:t xml:space="preserve"> to protect hepatocellular membrane integrity against streptozotocin-induced leakage (Priya &amp; Rao, 2016). This pattern — hepatoprotection arising as a downstream consequence of the plant's broader antioxidant capacity, rather than evidence of some distinct hepatotropic mechanism — fits comfortably with the wider literature on phenolic-rich plant extracts and underlines how interconnected the pharmacological effects catalogued in this section really are.</w:t>
      </w:r>
    </w:p>
    <w:p w14:paraId="45BF705B" w14:textId="77777777" w:rsidR="00426A47" w:rsidRPr="00875933" w:rsidRDefault="00426A47" w:rsidP="00426A47">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875933">
        <w:rPr>
          <w:rFonts w:ascii="Times New Roman" w:eastAsia="Times New Roman" w:hAnsi="Times New Roman" w:cs="Times New Roman"/>
          <w:b/>
          <w:bCs/>
          <w:sz w:val="24"/>
          <w:szCs w:val="24"/>
          <w:lang w:eastAsia="en-GB"/>
        </w:rPr>
        <w:t xml:space="preserve">4.8 </w:t>
      </w:r>
      <w:proofErr w:type="spellStart"/>
      <w:r w:rsidRPr="00875933">
        <w:rPr>
          <w:rFonts w:ascii="Times New Roman" w:eastAsia="Times New Roman" w:hAnsi="Times New Roman" w:cs="Times New Roman"/>
          <w:b/>
          <w:bCs/>
          <w:sz w:val="24"/>
          <w:szCs w:val="24"/>
          <w:lang w:eastAsia="en-GB"/>
        </w:rPr>
        <w:t>Antiasthmatic</w:t>
      </w:r>
      <w:proofErr w:type="spellEnd"/>
      <w:r w:rsidRPr="00875933">
        <w:rPr>
          <w:rFonts w:ascii="Times New Roman" w:eastAsia="Times New Roman" w:hAnsi="Times New Roman" w:cs="Times New Roman"/>
          <w:b/>
          <w:bCs/>
          <w:sz w:val="24"/>
          <w:szCs w:val="24"/>
          <w:lang w:eastAsia="en-GB"/>
        </w:rPr>
        <w:t xml:space="preserve"> and respiratory activity</w:t>
      </w:r>
    </w:p>
    <w:p w14:paraId="5C462EB2" w14:textId="77777777" w:rsidR="00426A47" w:rsidRPr="00875933" w:rsidRDefault="00426A47" w:rsidP="00426A47">
      <w:pPr>
        <w:spacing w:before="100" w:beforeAutospacing="1" w:after="100" w:afterAutospacing="1" w:line="240" w:lineRule="auto"/>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 xml:space="preserve">The traditional use of </w:t>
      </w:r>
      <w:r w:rsidRPr="00875933">
        <w:rPr>
          <w:rFonts w:ascii="Times New Roman" w:eastAsia="Times New Roman" w:hAnsi="Times New Roman" w:cs="Times New Roman"/>
          <w:i/>
          <w:iCs/>
          <w:sz w:val="24"/>
          <w:szCs w:val="24"/>
          <w:lang w:eastAsia="en-GB"/>
        </w:rPr>
        <w:t>A. indica</w:t>
      </w:r>
      <w:r w:rsidRPr="00875933">
        <w:rPr>
          <w:rFonts w:ascii="Times New Roman" w:eastAsia="Times New Roman" w:hAnsi="Times New Roman" w:cs="Times New Roman"/>
          <w:sz w:val="24"/>
          <w:szCs w:val="24"/>
          <w:lang w:eastAsia="en-GB"/>
        </w:rPr>
        <w:t xml:space="preserve"> in asthma, bronchitis and pneumonia has received fairly direct experimental validation through a multi-model pharmacological study of ethanolic leaf extract. The extract antagonised acetylcholine- and histamine-induced contraction of isolated goat tracheal chain preparations, pointing to anticholinergic and antihistaminic </w:t>
      </w:r>
      <w:r w:rsidRPr="007A1D30">
        <w:rPr>
          <w:rFonts w:ascii="Times New Roman" w:eastAsia="Times New Roman" w:hAnsi="Times New Roman" w:cs="Times New Roman"/>
          <w:b/>
          <w:bCs/>
          <w:sz w:val="24"/>
          <w:szCs w:val="24"/>
          <w:lang w:eastAsia="en-GB"/>
        </w:rPr>
        <w:t>activity</w:t>
      </w:r>
      <w:r w:rsidRPr="00875933">
        <w:rPr>
          <w:rFonts w:ascii="Times New Roman" w:eastAsia="Times New Roman" w:hAnsi="Times New Roman" w:cs="Times New Roman"/>
          <w:sz w:val="24"/>
          <w:szCs w:val="24"/>
          <w:lang w:eastAsia="en-GB"/>
        </w:rPr>
        <w:t>, and shortened the duration of clonidine-induced catalepsy in mice, a behavioural surrogate for histamine H1-receptor blockade (</w:t>
      </w:r>
      <w:proofErr w:type="spellStart"/>
      <w:r w:rsidRPr="00875933">
        <w:rPr>
          <w:rFonts w:ascii="Times New Roman" w:eastAsia="Times New Roman" w:hAnsi="Times New Roman" w:cs="Times New Roman"/>
          <w:sz w:val="24"/>
          <w:szCs w:val="24"/>
          <w:lang w:eastAsia="en-GB"/>
        </w:rPr>
        <w:t>Ninave</w:t>
      </w:r>
      <w:proofErr w:type="spellEnd"/>
      <w:r w:rsidRPr="00875933">
        <w:rPr>
          <w:rFonts w:ascii="Times New Roman" w:eastAsia="Times New Roman" w:hAnsi="Times New Roman" w:cs="Times New Roman"/>
          <w:sz w:val="24"/>
          <w:szCs w:val="24"/>
          <w:lang w:eastAsia="en-GB"/>
        </w:rPr>
        <w:t xml:space="preserve"> &amp; Patil, 2022). The same extract reduced leucocytosis and eosinophilia significantly in a milk-induced inflammatory model, inhibited clonidine-induced mast cell degranulation, attenuated oedema in a passive paw anaphylaxis model, and protected guinea pigs against histamine-induced bronchoconstriction — with lung histopathology in treated animals approximating that of untreated, non-challenged controls (</w:t>
      </w:r>
      <w:proofErr w:type="spellStart"/>
      <w:r w:rsidRPr="00875933">
        <w:rPr>
          <w:rFonts w:ascii="Times New Roman" w:eastAsia="Times New Roman" w:hAnsi="Times New Roman" w:cs="Times New Roman"/>
          <w:sz w:val="24"/>
          <w:szCs w:val="24"/>
          <w:lang w:eastAsia="en-GB"/>
        </w:rPr>
        <w:t>Ninave</w:t>
      </w:r>
      <w:proofErr w:type="spellEnd"/>
      <w:r w:rsidRPr="00875933">
        <w:rPr>
          <w:rFonts w:ascii="Times New Roman" w:eastAsia="Times New Roman" w:hAnsi="Times New Roman" w:cs="Times New Roman"/>
          <w:sz w:val="24"/>
          <w:szCs w:val="24"/>
          <w:lang w:eastAsia="en-GB"/>
        </w:rPr>
        <w:t xml:space="preserve"> &amp; Patil, 2022). Taken together, this multi-endpoint profile — spanning anticholinergic, antihistaminic, mast-cell-stabilising, </w:t>
      </w:r>
      <w:proofErr w:type="spellStart"/>
      <w:r w:rsidRPr="00875933">
        <w:rPr>
          <w:rFonts w:ascii="Times New Roman" w:eastAsia="Times New Roman" w:hAnsi="Times New Roman" w:cs="Times New Roman"/>
          <w:sz w:val="24"/>
          <w:szCs w:val="24"/>
          <w:lang w:eastAsia="en-GB"/>
        </w:rPr>
        <w:t>antianaphylactic</w:t>
      </w:r>
      <w:proofErr w:type="spellEnd"/>
      <w:r w:rsidRPr="00875933">
        <w:rPr>
          <w:rFonts w:ascii="Times New Roman" w:eastAsia="Times New Roman" w:hAnsi="Times New Roman" w:cs="Times New Roman"/>
          <w:sz w:val="24"/>
          <w:szCs w:val="24"/>
          <w:lang w:eastAsia="en-GB"/>
        </w:rPr>
        <w:t xml:space="preserve"> and </w:t>
      </w:r>
      <w:proofErr w:type="spellStart"/>
      <w:r w:rsidRPr="00875933">
        <w:rPr>
          <w:rFonts w:ascii="Times New Roman" w:eastAsia="Times New Roman" w:hAnsi="Times New Roman" w:cs="Times New Roman"/>
          <w:sz w:val="24"/>
          <w:szCs w:val="24"/>
          <w:lang w:eastAsia="en-GB"/>
        </w:rPr>
        <w:t>bronchodilatory</w:t>
      </w:r>
      <w:proofErr w:type="spellEnd"/>
      <w:r w:rsidRPr="00875933">
        <w:rPr>
          <w:rFonts w:ascii="Times New Roman" w:eastAsia="Times New Roman" w:hAnsi="Times New Roman" w:cs="Times New Roman"/>
          <w:sz w:val="24"/>
          <w:szCs w:val="24"/>
          <w:lang w:eastAsia="en-GB"/>
        </w:rPr>
        <w:t xml:space="preserve"> mechanisms — is one of the more internally coherent bodies of evidence available for any single therapeutic claim made about </w:t>
      </w:r>
      <w:r w:rsidRPr="00875933">
        <w:rPr>
          <w:rFonts w:ascii="Times New Roman" w:eastAsia="Times New Roman" w:hAnsi="Times New Roman" w:cs="Times New Roman"/>
          <w:i/>
          <w:iCs/>
          <w:sz w:val="24"/>
          <w:szCs w:val="24"/>
          <w:lang w:eastAsia="en-GB"/>
        </w:rPr>
        <w:t>A. indica</w:t>
      </w:r>
      <w:r w:rsidRPr="00875933">
        <w:rPr>
          <w:rFonts w:ascii="Times New Roman" w:eastAsia="Times New Roman" w:hAnsi="Times New Roman" w:cs="Times New Roman"/>
          <w:sz w:val="24"/>
          <w:szCs w:val="24"/>
          <w:lang w:eastAsia="en-GB"/>
        </w:rPr>
        <w:t xml:space="preserve">, and amounts to a reasonably direct experimental test of </w:t>
      </w:r>
      <w:r w:rsidRPr="007A1D30">
        <w:rPr>
          <w:rFonts w:ascii="Times New Roman" w:eastAsia="Times New Roman" w:hAnsi="Times New Roman" w:cs="Times New Roman"/>
          <w:b/>
          <w:bCs/>
          <w:sz w:val="24"/>
          <w:szCs w:val="24"/>
          <w:lang w:eastAsia="en-GB"/>
        </w:rPr>
        <w:t>a centuries-old</w:t>
      </w:r>
      <w:r w:rsidRPr="00875933">
        <w:rPr>
          <w:rFonts w:ascii="Times New Roman" w:eastAsia="Times New Roman" w:hAnsi="Times New Roman" w:cs="Times New Roman"/>
          <w:sz w:val="24"/>
          <w:szCs w:val="24"/>
          <w:lang w:eastAsia="en-GB"/>
        </w:rPr>
        <w:t xml:space="preserve"> ethnomedical indication.</w:t>
      </w:r>
    </w:p>
    <w:p w14:paraId="0B7A4220" w14:textId="77777777" w:rsidR="00426A47" w:rsidRPr="00875933" w:rsidRDefault="00426A47" w:rsidP="00426A47">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875933">
        <w:rPr>
          <w:rFonts w:ascii="Times New Roman" w:eastAsia="Times New Roman" w:hAnsi="Times New Roman" w:cs="Times New Roman"/>
          <w:b/>
          <w:bCs/>
          <w:sz w:val="24"/>
          <w:szCs w:val="24"/>
          <w:lang w:eastAsia="en-GB"/>
        </w:rPr>
        <w:t>4.9 Neuroprotective activity</w:t>
      </w:r>
    </w:p>
    <w:p w14:paraId="6C4788D5" w14:textId="60E593D1" w:rsidR="00426A47" w:rsidRPr="00875933" w:rsidRDefault="00426A47" w:rsidP="00426A47">
      <w:pPr>
        <w:spacing w:before="100" w:beforeAutospacing="1" w:after="100" w:afterAutospacing="1" w:line="240" w:lineRule="auto"/>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 xml:space="preserve">Investigation of </w:t>
      </w:r>
      <w:r w:rsidRPr="007A1D30">
        <w:rPr>
          <w:rFonts w:ascii="Times New Roman" w:eastAsia="Times New Roman" w:hAnsi="Times New Roman" w:cs="Times New Roman"/>
          <w:b/>
          <w:bCs/>
          <w:sz w:val="24"/>
          <w:szCs w:val="24"/>
          <w:lang w:eastAsia="en-GB"/>
        </w:rPr>
        <w:t>the plant's central nervous system effects</w:t>
      </w:r>
      <w:r w:rsidRPr="00875933">
        <w:rPr>
          <w:rFonts w:ascii="Times New Roman" w:eastAsia="Times New Roman" w:hAnsi="Times New Roman" w:cs="Times New Roman"/>
          <w:sz w:val="24"/>
          <w:szCs w:val="24"/>
          <w:lang w:eastAsia="en-GB"/>
        </w:rPr>
        <w:t xml:space="preserve"> has, until quite recently, been largely absent from the literature. A recent quality-controlled study of standardised </w:t>
      </w:r>
      <w:r w:rsidRPr="00875933">
        <w:rPr>
          <w:rFonts w:ascii="Times New Roman" w:eastAsia="Times New Roman" w:hAnsi="Times New Roman" w:cs="Times New Roman"/>
          <w:i/>
          <w:iCs/>
          <w:sz w:val="24"/>
          <w:szCs w:val="24"/>
          <w:lang w:eastAsia="en-GB"/>
        </w:rPr>
        <w:t>A. indica</w:t>
      </w:r>
      <w:r w:rsidRPr="00875933">
        <w:rPr>
          <w:rFonts w:ascii="Times New Roman" w:eastAsia="Times New Roman" w:hAnsi="Times New Roman" w:cs="Times New Roman"/>
          <w:sz w:val="24"/>
          <w:szCs w:val="24"/>
          <w:lang w:eastAsia="en-GB"/>
        </w:rPr>
        <w:t xml:space="preserve"> extract in a 1-methyl-4-phenyl-1,2,3,6-tetrahydropyridine-induced murine model of Parkinsonism begins to address this gap. High-performance thin-layer chromatography confirmed </w:t>
      </w:r>
      <w:r w:rsidRPr="007A1D30">
        <w:rPr>
          <w:rFonts w:ascii="Times New Roman" w:eastAsia="Times New Roman" w:hAnsi="Times New Roman" w:cs="Times New Roman"/>
          <w:b/>
          <w:bCs/>
          <w:sz w:val="24"/>
          <w:szCs w:val="24"/>
          <w:lang w:eastAsia="en-GB"/>
        </w:rPr>
        <w:t>gallic acid</w:t>
      </w:r>
      <w:r w:rsidRPr="00875933">
        <w:rPr>
          <w:rFonts w:ascii="Times New Roman" w:eastAsia="Times New Roman" w:hAnsi="Times New Roman" w:cs="Times New Roman"/>
          <w:sz w:val="24"/>
          <w:szCs w:val="24"/>
          <w:lang w:eastAsia="en-GB"/>
        </w:rPr>
        <w:t xml:space="preserve">, catechin and kaempferol as marker constituents in the standardised extract, which, across a dose range of </w:t>
      </w:r>
      <w:r w:rsidRPr="003332F9">
        <w:rPr>
          <w:rFonts w:ascii="Times New Roman" w:eastAsia="Times New Roman" w:hAnsi="Times New Roman" w:cs="Times New Roman"/>
          <w:b/>
          <w:bCs/>
          <w:dstrike/>
          <w:sz w:val="24"/>
          <w:szCs w:val="24"/>
          <w:lang w:eastAsia="en-GB"/>
        </w:rPr>
        <w:t>one hundred to four hundred milligrams per kilogram</w:t>
      </w:r>
      <w:r w:rsidR="007A1D30">
        <w:rPr>
          <w:rFonts w:ascii="Times New Roman" w:eastAsia="Times New Roman" w:hAnsi="Times New Roman" w:cs="Times New Roman"/>
          <w:sz w:val="24"/>
          <w:szCs w:val="24"/>
          <w:lang w:eastAsia="en-GB"/>
        </w:rPr>
        <w:t xml:space="preserve"> </w:t>
      </w:r>
      <w:r w:rsidR="007A1D30" w:rsidRPr="00634DDB">
        <w:rPr>
          <w:rFonts w:ascii="Times New Roman" w:eastAsia="Times New Roman" w:hAnsi="Times New Roman" w:cs="Times New Roman"/>
          <w:color w:val="7030A0"/>
          <w:sz w:val="24"/>
          <w:szCs w:val="24"/>
          <w:lang w:eastAsia="en-GB"/>
        </w:rPr>
        <w:t>100-400</w:t>
      </w:r>
      <w:r w:rsidR="003332F9" w:rsidRPr="00634DDB">
        <w:rPr>
          <w:rFonts w:ascii="Times New Roman" w:eastAsia="Times New Roman" w:hAnsi="Times New Roman" w:cs="Times New Roman"/>
          <w:color w:val="7030A0"/>
          <w:sz w:val="24"/>
          <w:szCs w:val="24"/>
          <w:lang w:eastAsia="en-GB"/>
        </w:rPr>
        <w:t xml:space="preserve"> mg/kg</w:t>
      </w:r>
      <w:r w:rsidRPr="00875933">
        <w:rPr>
          <w:rFonts w:ascii="Times New Roman" w:eastAsia="Times New Roman" w:hAnsi="Times New Roman" w:cs="Times New Roman"/>
          <w:sz w:val="24"/>
          <w:szCs w:val="24"/>
          <w:lang w:eastAsia="en-GB"/>
        </w:rPr>
        <w:t>, significantly eased anxiety-related behaviours and motor coordination deficits in the elevated plus-maze, rotarod and locomotor activity assays characteristic of this model (Sharma et al., 2025b). This is a single study rather than a corroborated body of evidence, but its explicit grounding in WHO-aligned quality-control methodology and its use of validated behavioural endpoints make it a reasonably promising starting point for further neuropharmacological work on the species.</w:t>
      </w:r>
    </w:p>
    <w:p w14:paraId="0F5950F6" w14:textId="77777777" w:rsidR="00426A47" w:rsidRPr="00875933" w:rsidRDefault="00426A47" w:rsidP="00426A47">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875933">
        <w:rPr>
          <w:rFonts w:ascii="Times New Roman" w:eastAsia="Times New Roman" w:hAnsi="Times New Roman" w:cs="Times New Roman"/>
          <w:b/>
          <w:bCs/>
          <w:sz w:val="24"/>
          <w:szCs w:val="24"/>
          <w:lang w:eastAsia="en-GB"/>
        </w:rPr>
        <w:t>4.10 Antiparasitic, larvicidal and antiviral activity</w:t>
      </w:r>
    </w:p>
    <w:p w14:paraId="7083B153" w14:textId="19A81B17" w:rsidR="00426A47" w:rsidRPr="00875933" w:rsidRDefault="00426A47" w:rsidP="00426A47">
      <w:pPr>
        <w:spacing w:before="100" w:beforeAutospacing="1" w:after="100" w:afterAutospacing="1" w:line="240" w:lineRule="auto"/>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lastRenderedPageBreak/>
        <w:t xml:space="preserve">The larvicidal and antiparasitic properties of </w:t>
      </w:r>
      <w:r w:rsidRPr="00875933">
        <w:rPr>
          <w:rFonts w:ascii="Times New Roman" w:eastAsia="Times New Roman" w:hAnsi="Times New Roman" w:cs="Times New Roman"/>
          <w:i/>
          <w:iCs/>
          <w:sz w:val="24"/>
          <w:szCs w:val="24"/>
          <w:lang w:eastAsia="en-GB"/>
        </w:rPr>
        <w:t>A. indica</w:t>
      </w:r>
      <w:r w:rsidRPr="00875933">
        <w:rPr>
          <w:rFonts w:ascii="Times New Roman" w:eastAsia="Times New Roman" w:hAnsi="Times New Roman" w:cs="Times New Roman"/>
          <w:sz w:val="24"/>
          <w:szCs w:val="24"/>
          <w:lang w:eastAsia="en-GB"/>
        </w:rPr>
        <w:t xml:space="preserve"> have been demonstrated against several mosquito vector species of considerable public health importance. Leaf extracts prepared in benzene, chloroform, ethyl acetate and methanol were tested against the malarial vector </w:t>
      </w:r>
      <w:r w:rsidRPr="00875933">
        <w:rPr>
          <w:rFonts w:ascii="Times New Roman" w:eastAsia="Times New Roman" w:hAnsi="Times New Roman" w:cs="Times New Roman"/>
          <w:i/>
          <w:iCs/>
          <w:sz w:val="24"/>
          <w:szCs w:val="24"/>
          <w:lang w:eastAsia="en-GB"/>
        </w:rPr>
        <w:t xml:space="preserve">Anopheles </w:t>
      </w:r>
      <w:proofErr w:type="spellStart"/>
      <w:r w:rsidRPr="00875933">
        <w:rPr>
          <w:rFonts w:ascii="Times New Roman" w:eastAsia="Times New Roman" w:hAnsi="Times New Roman" w:cs="Times New Roman"/>
          <w:i/>
          <w:iCs/>
          <w:sz w:val="24"/>
          <w:szCs w:val="24"/>
          <w:lang w:eastAsia="en-GB"/>
        </w:rPr>
        <w:t>stephensi</w:t>
      </w:r>
      <w:proofErr w:type="spellEnd"/>
      <w:r w:rsidRPr="00875933">
        <w:rPr>
          <w:rFonts w:ascii="Times New Roman" w:eastAsia="Times New Roman" w:hAnsi="Times New Roman" w:cs="Times New Roman"/>
          <w:sz w:val="24"/>
          <w:szCs w:val="24"/>
          <w:lang w:eastAsia="en-GB"/>
        </w:rPr>
        <w:t xml:space="preserve">, and the methanolic extract returned the lowest — and so the most potent — lethal concentration for </w:t>
      </w:r>
      <w:r w:rsidRPr="003332F9">
        <w:rPr>
          <w:rFonts w:ascii="Times New Roman" w:eastAsia="Times New Roman" w:hAnsi="Times New Roman" w:cs="Times New Roman"/>
          <w:b/>
          <w:bCs/>
          <w:dstrike/>
          <w:sz w:val="24"/>
          <w:szCs w:val="24"/>
          <w:lang w:eastAsia="en-GB"/>
        </w:rPr>
        <w:t>fifty per ce</w:t>
      </w:r>
      <w:r w:rsidR="003332F9" w:rsidRPr="003332F9">
        <w:rPr>
          <w:rFonts w:ascii="Times New Roman" w:eastAsia="Times New Roman" w:hAnsi="Times New Roman" w:cs="Times New Roman"/>
          <w:b/>
          <w:bCs/>
          <w:dstrike/>
          <w:sz w:val="24"/>
          <w:szCs w:val="24"/>
          <w:lang w:eastAsia="en-GB"/>
        </w:rPr>
        <w:t>nt</w:t>
      </w:r>
      <w:r w:rsidR="003332F9">
        <w:rPr>
          <w:rFonts w:ascii="Times New Roman" w:eastAsia="Times New Roman" w:hAnsi="Times New Roman" w:cs="Times New Roman"/>
          <w:sz w:val="24"/>
          <w:szCs w:val="24"/>
          <w:lang w:eastAsia="en-GB"/>
        </w:rPr>
        <w:t xml:space="preserve"> </w:t>
      </w:r>
      <w:r w:rsidR="003332F9" w:rsidRPr="00634DDB">
        <w:rPr>
          <w:rFonts w:ascii="Times New Roman" w:eastAsia="Times New Roman" w:hAnsi="Times New Roman" w:cs="Times New Roman"/>
          <w:color w:val="7030A0"/>
          <w:sz w:val="24"/>
          <w:szCs w:val="24"/>
          <w:lang w:eastAsia="en-GB"/>
        </w:rPr>
        <w:t>50%</w:t>
      </w:r>
      <w:r w:rsidRPr="00875933">
        <w:rPr>
          <w:rFonts w:ascii="Times New Roman" w:eastAsia="Times New Roman" w:hAnsi="Times New Roman" w:cs="Times New Roman"/>
          <w:sz w:val="24"/>
          <w:szCs w:val="24"/>
          <w:lang w:eastAsia="en-GB"/>
        </w:rPr>
        <w:t xml:space="preserve"> larval mortality among the solvents tested, alongside concentration-dependent ovicidal activity and oviposition-deterrent attractancy effects (Govindarajan et al., 2008). This larvicidal potential has since been harnessed within a green nanotechnology framework: herbal nanoparticles produced from </w:t>
      </w:r>
      <w:r w:rsidRPr="00875933">
        <w:rPr>
          <w:rFonts w:ascii="Times New Roman" w:eastAsia="Times New Roman" w:hAnsi="Times New Roman" w:cs="Times New Roman"/>
          <w:i/>
          <w:iCs/>
          <w:sz w:val="24"/>
          <w:szCs w:val="24"/>
          <w:lang w:eastAsia="en-GB"/>
        </w:rPr>
        <w:t>A. indica</w:t>
      </w:r>
      <w:r w:rsidRPr="00875933">
        <w:rPr>
          <w:rFonts w:ascii="Times New Roman" w:eastAsia="Times New Roman" w:hAnsi="Times New Roman" w:cs="Times New Roman"/>
          <w:sz w:val="24"/>
          <w:szCs w:val="24"/>
          <w:lang w:eastAsia="en-GB"/>
        </w:rPr>
        <w:t xml:space="preserve"> leaves by a solvent-free ball-milling technique show significant larvicidal activity against three medically important mosquito vectors — </w:t>
      </w:r>
      <w:r w:rsidRPr="00875933">
        <w:rPr>
          <w:rFonts w:ascii="Times New Roman" w:eastAsia="Times New Roman" w:hAnsi="Times New Roman" w:cs="Times New Roman"/>
          <w:i/>
          <w:iCs/>
          <w:sz w:val="24"/>
          <w:szCs w:val="24"/>
          <w:lang w:eastAsia="en-GB"/>
        </w:rPr>
        <w:t>Aedes aegypti</w:t>
      </w:r>
      <w:r w:rsidRPr="00875933">
        <w:rPr>
          <w:rFonts w:ascii="Times New Roman" w:eastAsia="Times New Roman" w:hAnsi="Times New Roman" w:cs="Times New Roman"/>
          <w:sz w:val="24"/>
          <w:szCs w:val="24"/>
          <w:lang w:eastAsia="en-GB"/>
        </w:rPr>
        <w:t xml:space="preserve">, </w:t>
      </w:r>
      <w:r w:rsidRPr="00875933">
        <w:rPr>
          <w:rFonts w:ascii="Times New Roman" w:eastAsia="Times New Roman" w:hAnsi="Times New Roman" w:cs="Times New Roman"/>
          <w:i/>
          <w:iCs/>
          <w:sz w:val="24"/>
          <w:szCs w:val="24"/>
          <w:lang w:eastAsia="en-GB"/>
        </w:rPr>
        <w:t xml:space="preserve">Anopheles </w:t>
      </w:r>
      <w:proofErr w:type="spellStart"/>
      <w:r w:rsidRPr="00875933">
        <w:rPr>
          <w:rFonts w:ascii="Times New Roman" w:eastAsia="Times New Roman" w:hAnsi="Times New Roman" w:cs="Times New Roman"/>
          <w:i/>
          <w:iCs/>
          <w:sz w:val="24"/>
          <w:szCs w:val="24"/>
          <w:lang w:eastAsia="en-GB"/>
        </w:rPr>
        <w:t>stephensi</w:t>
      </w:r>
      <w:proofErr w:type="spellEnd"/>
      <w:r w:rsidRPr="00875933">
        <w:rPr>
          <w:rFonts w:ascii="Times New Roman" w:eastAsia="Times New Roman" w:hAnsi="Times New Roman" w:cs="Times New Roman"/>
          <w:sz w:val="24"/>
          <w:szCs w:val="24"/>
          <w:lang w:eastAsia="en-GB"/>
        </w:rPr>
        <w:t xml:space="preserve"> and </w:t>
      </w:r>
      <w:r w:rsidRPr="00875933">
        <w:rPr>
          <w:rFonts w:ascii="Times New Roman" w:eastAsia="Times New Roman" w:hAnsi="Times New Roman" w:cs="Times New Roman"/>
          <w:i/>
          <w:iCs/>
          <w:sz w:val="24"/>
          <w:szCs w:val="24"/>
          <w:lang w:eastAsia="en-GB"/>
        </w:rPr>
        <w:t xml:space="preserve">Culex </w:t>
      </w:r>
      <w:proofErr w:type="spellStart"/>
      <w:r w:rsidRPr="00875933">
        <w:rPr>
          <w:rFonts w:ascii="Times New Roman" w:eastAsia="Times New Roman" w:hAnsi="Times New Roman" w:cs="Times New Roman"/>
          <w:i/>
          <w:iCs/>
          <w:sz w:val="24"/>
          <w:szCs w:val="24"/>
          <w:lang w:eastAsia="en-GB"/>
        </w:rPr>
        <w:t>quinquefasciatus</w:t>
      </w:r>
      <w:proofErr w:type="spellEnd"/>
      <w:r w:rsidRPr="00875933">
        <w:rPr>
          <w:rFonts w:ascii="Times New Roman" w:eastAsia="Times New Roman" w:hAnsi="Times New Roman" w:cs="Times New Roman"/>
          <w:sz w:val="24"/>
          <w:szCs w:val="24"/>
          <w:lang w:eastAsia="en-GB"/>
        </w:rPr>
        <w:t xml:space="preserve"> — in addition to superhydrophobic surface properties and </w:t>
      </w:r>
      <w:r w:rsidRPr="003332F9">
        <w:rPr>
          <w:rFonts w:ascii="Times New Roman" w:eastAsia="Times New Roman" w:hAnsi="Times New Roman" w:cs="Times New Roman"/>
          <w:b/>
          <w:bCs/>
          <w:dstrike/>
          <w:sz w:val="24"/>
          <w:szCs w:val="24"/>
          <w:lang w:eastAsia="en-GB"/>
        </w:rPr>
        <w:t>antimicrobial</w:t>
      </w:r>
      <w:r w:rsidR="003332F9">
        <w:rPr>
          <w:rFonts w:ascii="Times New Roman" w:eastAsia="Times New Roman" w:hAnsi="Times New Roman" w:cs="Times New Roman"/>
          <w:sz w:val="24"/>
          <w:szCs w:val="24"/>
          <w:lang w:eastAsia="en-GB"/>
        </w:rPr>
        <w:t xml:space="preserve"> </w:t>
      </w:r>
      <w:r w:rsidR="003332F9" w:rsidRPr="00634DDB">
        <w:rPr>
          <w:rFonts w:ascii="Times New Roman" w:eastAsia="Times New Roman" w:hAnsi="Times New Roman" w:cs="Times New Roman"/>
          <w:color w:val="7030A0"/>
          <w:sz w:val="24"/>
          <w:szCs w:val="24"/>
          <w:lang w:eastAsia="en-GB"/>
        </w:rPr>
        <w:t>antibacterial</w:t>
      </w:r>
      <w:r w:rsidRPr="00875933">
        <w:rPr>
          <w:rFonts w:ascii="Times New Roman" w:eastAsia="Times New Roman" w:hAnsi="Times New Roman" w:cs="Times New Roman"/>
          <w:sz w:val="24"/>
          <w:szCs w:val="24"/>
          <w:lang w:eastAsia="en-GB"/>
        </w:rPr>
        <w:t xml:space="preserve"> activity against </w:t>
      </w:r>
      <w:r w:rsidRPr="004D6040">
        <w:rPr>
          <w:rFonts w:ascii="Times New Roman" w:eastAsia="Times New Roman" w:hAnsi="Times New Roman" w:cs="Times New Roman"/>
          <w:i/>
          <w:iCs/>
          <w:sz w:val="24"/>
          <w:szCs w:val="24"/>
          <w:lang w:eastAsia="en-GB"/>
        </w:rPr>
        <w:t>S. aureus</w:t>
      </w:r>
      <w:r w:rsidRPr="00875933">
        <w:rPr>
          <w:rFonts w:ascii="Times New Roman" w:eastAsia="Times New Roman" w:hAnsi="Times New Roman" w:cs="Times New Roman"/>
          <w:sz w:val="24"/>
          <w:szCs w:val="24"/>
          <w:lang w:eastAsia="en-GB"/>
        </w:rPr>
        <w:t xml:space="preserve"> and </w:t>
      </w:r>
      <w:r w:rsidRPr="004D6040">
        <w:rPr>
          <w:rFonts w:ascii="Times New Roman" w:eastAsia="Times New Roman" w:hAnsi="Times New Roman" w:cs="Times New Roman"/>
          <w:i/>
          <w:iCs/>
          <w:sz w:val="24"/>
          <w:szCs w:val="24"/>
          <w:lang w:eastAsia="en-GB"/>
        </w:rPr>
        <w:t>E. coli</w:t>
      </w:r>
      <w:r w:rsidRPr="00875933">
        <w:rPr>
          <w:rFonts w:ascii="Times New Roman" w:eastAsia="Times New Roman" w:hAnsi="Times New Roman" w:cs="Times New Roman"/>
          <w:sz w:val="24"/>
          <w:szCs w:val="24"/>
          <w:lang w:eastAsia="en-GB"/>
        </w:rPr>
        <w:t xml:space="preserve"> (Karthik et al., 2017). Antiviral activity is a more recent line of investigation: the lipopolysaccharide-stimulated macrophage study discussed in Section 4.3 explicitly reports antiviral, alongside anti-inflammatory, activity for standardised extract acting through nuclear factor kappa-B modulation (Sharma et al., 2025a). At the level of specific viral targets, a broader </w:t>
      </w:r>
      <w:r w:rsidRPr="003332F9">
        <w:rPr>
          <w:rFonts w:ascii="Times New Roman" w:eastAsia="Times New Roman" w:hAnsi="Times New Roman" w:cs="Times New Roman"/>
          <w:i/>
          <w:iCs/>
          <w:color w:val="FF0000"/>
          <w:sz w:val="24"/>
          <w:szCs w:val="24"/>
          <w:lang w:eastAsia="en-GB"/>
        </w:rPr>
        <w:t>in silico</w:t>
      </w:r>
      <w:r w:rsidRPr="00875933">
        <w:rPr>
          <w:rFonts w:ascii="Times New Roman" w:eastAsia="Times New Roman" w:hAnsi="Times New Roman" w:cs="Times New Roman"/>
          <w:sz w:val="24"/>
          <w:szCs w:val="24"/>
          <w:lang w:eastAsia="en-GB"/>
        </w:rPr>
        <w:t xml:space="preserve"> and </w:t>
      </w:r>
      <w:r w:rsidRPr="003332F9">
        <w:rPr>
          <w:rFonts w:ascii="Times New Roman" w:eastAsia="Times New Roman" w:hAnsi="Times New Roman" w:cs="Times New Roman"/>
          <w:i/>
          <w:iCs/>
          <w:color w:val="FF0000"/>
          <w:sz w:val="24"/>
          <w:szCs w:val="24"/>
          <w:lang w:eastAsia="en-GB"/>
        </w:rPr>
        <w:t>in vitro</w:t>
      </w:r>
      <w:r w:rsidRPr="00875933">
        <w:rPr>
          <w:rFonts w:ascii="Times New Roman" w:eastAsia="Times New Roman" w:hAnsi="Times New Roman" w:cs="Times New Roman"/>
          <w:sz w:val="24"/>
          <w:szCs w:val="24"/>
          <w:lang w:eastAsia="en-GB"/>
        </w:rPr>
        <w:t xml:space="preserve"> screen of Omani traditional medicinal plant ligands against the SARS-CoV-2 spike protein identified </w:t>
      </w:r>
      <w:proofErr w:type="spellStart"/>
      <w:r w:rsidRPr="00875933">
        <w:rPr>
          <w:rFonts w:ascii="Times New Roman" w:eastAsia="Times New Roman" w:hAnsi="Times New Roman" w:cs="Times New Roman"/>
          <w:sz w:val="24"/>
          <w:szCs w:val="24"/>
          <w:lang w:eastAsia="en-GB"/>
        </w:rPr>
        <w:t>corilagin</w:t>
      </w:r>
      <w:proofErr w:type="spellEnd"/>
      <w:r w:rsidRPr="00875933">
        <w:rPr>
          <w:rFonts w:ascii="Times New Roman" w:eastAsia="Times New Roman" w:hAnsi="Times New Roman" w:cs="Times New Roman"/>
          <w:sz w:val="24"/>
          <w:szCs w:val="24"/>
          <w:lang w:eastAsia="en-GB"/>
        </w:rPr>
        <w:t xml:space="preserve"> — a constituent of </w:t>
      </w:r>
      <w:r w:rsidRPr="00875933">
        <w:rPr>
          <w:rFonts w:ascii="Times New Roman" w:eastAsia="Times New Roman" w:hAnsi="Times New Roman" w:cs="Times New Roman"/>
          <w:i/>
          <w:iCs/>
          <w:sz w:val="24"/>
          <w:szCs w:val="24"/>
          <w:lang w:eastAsia="en-GB"/>
        </w:rPr>
        <w:t>A. indica</w:t>
      </w:r>
      <w:r w:rsidRPr="00875933">
        <w:rPr>
          <w:rFonts w:ascii="Times New Roman" w:eastAsia="Times New Roman" w:hAnsi="Times New Roman" w:cs="Times New Roman"/>
          <w:sz w:val="24"/>
          <w:szCs w:val="24"/>
          <w:lang w:eastAsia="en-GB"/>
        </w:rPr>
        <w:t xml:space="preserve"> known locally in Oman as </w:t>
      </w:r>
      <w:proofErr w:type="spellStart"/>
      <w:r w:rsidRPr="00875933">
        <w:rPr>
          <w:rFonts w:ascii="Times New Roman" w:eastAsia="Times New Roman" w:hAnsi="Times New Roman" w:cs="Times New Roman"/>
          <w:sz w:val="24"/>
          <w:szCs w:val="24"/>
          <w:lang w:eastAsia="en-GB"/>
        </w:rPr>
        <w:t>Aeyan</w:t>
      </w:r>
      <w:proofErr w:type="spellEnd"/>
      <w:r w:rsidRPr="00875933">
        <w:rPr>
          <w:rFonts w:ascii="Times New Roman" w:eastAsia="Times New Roman" w:hAnsi="Times New Roman" w:cs="Times New Roman"/>
          <w:sz w:val="24"/>
          <w:szCs w:val="24"/>
          <w:lang w:eastAsia="en-GB"/>
        </w:rPr>
        <w:t xml:space="preserve"> Al </w:t>
      </w:r>
      <w:proofErr w:type="spellStart"/>
      <w:r w:rsidRPr="00875933">
        <w:rPr>
          <w:rFonts w:ascii="Times New Roman" w:eastAsia="Times New Roman" w:hAnsi="Times New Roman" w:cs="Times New Roman"/>
          <w:sz w:val="24"/>
          <w:szCs w:val="24"/>
          <w:lang w:eastAsia="en-GB"/>
        </w:rPr>
        <w:t>Aqrada</w:t>
      </w:r>
      <w:proofErr w:type="spellEnd"/>
      <w:r w:rsidRPr="00875933">
        <w:rPr>
          <w:rFonts w:ascii="Times New Roman" w:eastAsia="Times New Roman" w:hAnsi="Times New Roman" w:cs="Times New Roman"/>
          <w:sz w:val="24"/>
          <w:szCs w:val="24"/>
          <w:lang w:eastAsia="en-GB"/>
        </w:rPr>
        <w:t xml:space="preserve"> — as the single most promising inhibitor among several hundred unique ligands screened, with subsequent </w:t>
      </w:r>
      <w:r w:rsidRPr="003332F9">
        <w:rPr>
          <w:rFonts w:ascii="Times New Roman" w:eastAsia="Times New Roman" w:hAnsi="Times New Roman" w:cs="Times New Roman"/>
          <w:i/>
          <w:iCs/>
          <w:color w:val="FF0000"/>
          <w:sz w:val="24"/>
          <w:szCs w:val="24"/>
          <w:lang w:eastAsia="en-GB"/>
        </w:rPr>
        <w:t>in vitro</w:t>
      </w:r>
      <w:r w:rsidRPr="00875933">
        <w:rPr>
          <w:rFonts w:ascii="Times New Roman" w:eastAsia="Times New Roman" w:hAnsi="Times New Roman" w:cs="Times New Roman"/>
          <w:sz w:val="24"/>
          <w:szCs w:val="24"/>
          <w:lang w:eastAsia="en-GB"/>
        </w:rPr>
        <w:t xml:space="preserve"> work confirming </w:t>
      </w:r>
      <w:r w:rsidRPr="003332F9">
        <w:rPr>
          <w:rFonts w:ascii="Times New Roman" w:eastAsia="Times New Roman" w:hAnsi="Times New Roman" w:cs="Times New Roman"/>
          <w:b/>
          <w:bCs/>
          <w:dstrike/>
          <w:sz w:val="24"/>
          <w:szCs w:val="24"/>
          <w:lang w:eastAsia="en-GB"/>
        </w:rPr>
        <w:t>ninety-two per cent</w:t>
      </w:r>
      <w:r w:rsidRPr="00875933">
        <w:rPr>
          <w:rFonts w:ascii="Times New Roman" w:eastAsia="Times New Roman" w:hAnsi="Times New Roman" w:cs="Times New Roman"/>
          <w:sz w:val="24"/>
          <w:szCs w:val="24"/>
          <w:lang w:eastAsia="en-GB"/>
        </w:rPr>
        <w:t xml:space="preserve"> </w:t>
      </w:r>
      <w:r w:rsidR="003332F9" w:rsidRPr="00634DDB">
        <w:rPr>
          <w:rFonts w:ascii="Times New Roman" w:eastAsia="Times New Roman" w:hAnsi="Times New Roman" w:cs="Times New Roman"/>
          <w:color w:val="7030A0"/>
          <w:sz w:val="24"/>
          <w:szCs w:val="24"/>
          <w:lang w:eastAsia="en-GB"/>
        </w:rPr>
        <w:t xml:space="preserve">92% </w:t>
      </w:r>
      <w:r w:rsidRPr="00875933">
        <w:rPr>
          <w:rFonts w:ascii="Times New Roman" w:eastAsia="Times New Roman" w:hAnsi="Times New Roman" w:cs="Times New Roman"/>
          <w:sz w:val="24"/>
          <w:szCs w:val="24"/>
          <w:lang w:eastAsia="en-GB"/>
        </w:rPr>
        <w:t xml:space="preserve">inhibition at a concentration of 0.5 millimolar and a half-maximal inhibitory concentration in the low micromolar range (Al-Mahrami et al., 2024). This finding needs substantial further validation before any clinical inference can be drawn from it, but it illustrates how </w:t>
      </w:r>
      <w:r w:rsidRPr="00875933">
        <w:rPr>
          <w:rFonts w:ascii="Times New Roman" w:eastAsia="Times New Roman" w:hAnsi="Times New Roman" w:cs="Times New Roman"/>
          <w:i/>
          <w:iCs/>
          <w:sz w:val="24"/>
          <w:szCs w:val="24"/>
          <w:lang w:eastAsia="en-GB"/>
        </w:rPr>
        <w:t>A. indica</w:t>
      </w:r>
      <w:r w:rsidRPr="00875933">
        <w:rPr>
          <w:rFonts w:ascii="Times New Roman" w:eastAsia="Times New Roman" w:hAnsi="Times New Roman" w:cs="Times New Roman"/>
          <w:sz w:val="24"/>
          <w:szCs w:val="24"/>
          <w:lang w:eastAsia="en-GB"/>
        </w:rPr>
        <w:t>-derived phytochemicals can find relevance well beyond the plant's traditional indications, in this case in contemporary antiviral drug discovery.</w:t>
      </w:r>
    </w:p>
    <w:p w14:paraId="0736B3B1" w14:textId="6B731498" w:rsidR="00426A47" w:rsidRPr="00875933" w:rsidRDefault="00426A47" w:rsidP="00426A47">
      <w:pPr>
        <w:spacing w:before="100" w:beforeAutospacing="1" w:after="100" w:afterAutospacing="1" w:line="240" w:lineRule="auto"/>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 xml:space="preserve">Table 2 brings together the pharmacological activities discussed across this section, </w:t>
      </w:r>
      <w:r w:rsidRPr="00634DDB">
        <w:rPr>
          <w:rFonts w:ascii="Times New Roman" w:eastAsia="Times New Roman" w:hAnsi="Times New Roman" w:cs="Times New Roman"/>
          <w:b/>
          <w:bCs/>
          <w:dstrike/>
          <w:sz w:val="24"/>
          <w:szCs w:val="24"/>
          <w:lang w:eastAsia="en-GB"/>
        </w:rPr>
        <w:t>together with</w:t>
      </w:r>
      <w:r w:rsidRPr="00875933">
        <w:rPr>
          <w:rFonts w:ascii="Times New Roman" w:eastAsia="Times New Roman" w:hAnsi="Times New Roman" w:cs="Times New Roman"/>
          <w:sz w:val="24"/>
          <w:szCs w:val="24"/>
          <w:lang w:eastAsia="en-GB"/>
        </w:rPr>
        <w:t xml:space="preserve"> </w:t>
      </w:r>
      <w:r w:rsidR="00634DDB" w:rsidRPr="00634DDB">
        <w:rPr>
          <w:rFonts w:ascii="Times New Roman" w:eastAsia="Times New Roman" w:hAnsi="Times New Roman" w:cs="Times New Roman"/>
          <w:color w:val="7030A0"/>
          <w:sz w:val="24"/>
          <w:szCs w:val="24"/>
          <w:lang w:eastAsia="en-GB"/>
        </w:rPr>
        <w:t>alongside</w:t>
      </w:r>
      <w:r w:rsidR="00634DDB">
        <w:rPr>
          <w:rFonts w:ascii="Times New Roman" w:eastAsia="Times New Roman" w:hAnsi="Times New Roman" w:cs="Times New Roman"/>
          <w:sz w:val="24"/>
          <w:szCs w:val="24"/>
          <w:lang w:eastAsia="en-GB"/>
        </w:rPr>
        <w:t xml:space="preserve"> </w:t>
      </w:r>
      <w:r w:rsidRPr="00875933">
        <w:rPr>
          <w:rFonts w:ascii="Times New Roman" w:eastAsia="Times New Roman" w:hAnsi="Times New Roman" w:cs="Times New Roman"/>
          <w:sz w:val="24"/>
          <w:szCs w:val="24"/>
          <w:lang w:eastAsia="en-GB"/>
        </w:rPr>
        <w:t xml:space="preserve">the extracts, model systems and principal findings on which each </w:t>
      </w:r>
      <w:proofErr w:type="gramStart"/>
      <w:r w:rsidRPr="00875933">
        <w:rPr>
          <w:rFonts w:ascii="Times New Roman" w:eastAsia="Times New Roman" w:hAnsi="Times New Roman" w:cs="Times New Roman"/>
          <w:sz w:val="24"/>
          <w:szCs w:val="24"/>
          <w:lang w:eastAsia="en-GB"/>
        </w:rPr>
        <w:t>rests</w:t>
      </w:r>
      <w:proofErr w:type="gramEnd"/>
      <w:r w:rsidRPr="00875933">
        <w:rPr>
          <w:rFonts w:ascii="Times New Roman" w:eastAsia="Times New Roman" w:hAnsi="Times New Roman" w:cs="Times New Roman"/>
          <w:sz w:val="24"/>
          <w:szCs w:val="24"/>
          <w:lang w:eastAsia="en-GB"/>
        </w:rPr>
        <w:t>.</w:t>
      </w:r>
    </w:p>
    <w:p w14:paraId="58984E90" w14:textId="77777777" w:rsidR="00426A47" w:rsidRPr="00875933" w:rsidRDefault="00426A47" w:rsidP="00426A47">
      <w:pPr>
        <w:spacing w:before="100" w:beforeAutospacing="1" w:after="100" w:afterAutospacing="1" w:line="240" w:lineRule="auto"/>
        <w:rPr>
          <w:rFonts w:ascii="Times New Roman" w:eastAsia="Times New Roman" w:hAnsi="Times New Roman" w:cs="Times New Roman"/>
          <w:sz w:val="24"/>
          <w:szCs w:val="24"/>
          <w:lang w:eastAsia="en-GB"/>
        </w:rPr>
      </w:pPr>
      <w:r w:rsidRPr="00875933">
        <w:rPr>
          <w:rFonts w:ascii="Times New Roman" w:eastAsia="Times New Roman" w:hAnsi="Times New Roman" w:cs="Times New Roman"/>
          <w:b/>
          <w:bCs/>
          <w:sz w:val="24"/>
          <w:szCs w:val="24"/>
          <w:lang w:eastAsia="en-GB"/>
        </w:rPr>
        <w:t xml:space="preserve">Table 2. Summary of principal pharmacological activities reported for </w:t>
      </w:r>
      <w:r w:rsidRPr="00875933">
        <w:rPr>
          <w:rFonts w:ascii="Times New Roman" w:eastAsia="Times New Roman" w:hAnsi="Times New Roman" w:cs="Times New Roman"/>
          <w:b/>
          <w:bCs/>
          <w:i/>
          <w:iCs/>
          <w:sz w:val="24"/>
          <w:szCs w:val="24"/>
          <w:lang w:eastAsia="en-GB"/>
        </w:rPr>
        <w:t>Acalypha indica</w:t>
      </w:r>
    </w:p>
    <w:tbl>
      <w:tblPr>
        <w:tblStyle w:val="TableGrid"/>
        <w:tblW w:w="0" w:type="auto"/>
        <w:tblLook w:val="04A0" w:firstRow="1" w:lastRow="0" w:firstColumn="1" w:lastColumn="0" w:noHBand="0" w:noVBand="1"/>
      </w:tblPr>
      <w:tblGrid>
        <w:gridCol w:w="1983"/>
        <w:gridCol w:w="2398"/>
        <w:gridCol w:w="1997"/>
        <w:gridCol w:w="2864"/>
      </w:tblGrid>
      <w:tr w:rsidR="00426A47" w:rsidRPr="00875933" w14:paraId="49A42805" w14:textId="77777777" w:rsidTr="00875933">
        <w:tc>
          <w:tcPr>
            <w:tcW w:w="0" w:type="auto"/>
            <w:hideMark/>
          </w:tcPr>
          <w:p w14:paraId="660ACC2B" w14:textId="77777777" w:rsidR="00426A47" w:rsidRPr="00875933" w:rsidRDefault="00426A47" w:rsidP="00426A47">
            <w:pPr>
              <w:jc w:val="center"/>
              <w:rPr>
                <w:rFonts w:ascii="Times New Roman" w:eastAsia="Times New Roman" w:hAnsi="Times New Roman" w:cs="Times New Roman"/>
                <w:b/>
                <w:bCs/>
                <w:sz w:val="24"/>
                <w:szCs w:val="24"/>
                <w:lang w:eastAsia="en-GB"/>
              </w:rPr>
            </w:pPr>
            <w:r w:rsidRPr="00875933">
              <w:rPr>
                <w:rFonts w:ascii="Times New Roman" w:eastAsia="Times New Roman" w:hAnsi="Times New Roman" w:cs="Times New Roman"/>
                <w:b/>
                <w:bCs/>
                <w:sz w:val="24"/>
                <w:szCs w:val="24"/>
                <w:lang w:eastAsia="en-GB"/>
              </w:rPr>
              <w:t>Activity</w:t>
            </w:r>
          </w:p>
        </w:tc>
        <w:tc>
          <w:tcPr>
            <w:tcW w:w="0" w:type="auto"/>
            <w:hideMark/>
          </w:tcPr>
          <w:p w14:paraId="47477000" w14:textId="77777777" w:rsidR="00426A47" w:rsidRPr="00875933" w:rsidRDefault="00426A47" w:rsidP="00426A47">
            <w:pPr>
              <w:jc w:val="center"/>
              <w:rPr>
                <w:rFonts w:ascii="Times New Roman" w:eastAsia="Times New Roman" w:hAnsi="Times New Roman" w:cs="Times New Roman"/>
                <w:b/>
                <w:bCs/>
                <w:sz w:val="24"/>
                <w:szCs w:val="24"/>
                <w:lang w:eastAsia="en-GB"/>
              </w:rPr>
            </w:pPr>
            <w:r w:rsidRPr="00875933">
              <w:rPr>
                <w:rFonts w:ascii="Times New Roman" w:eastAsia="Times New Roman" w:hAnsi="Times New Roman" w:cs="Times New Roman"/>
                <w:b/>
                <w:bCs/>
                <w:sz w:val="24"/>
                <w:szCs w:val="24"/>
                <w:lang w:eastAsia="en-GB"/>
              </w:rPr>
              <w:t>Extract / preparation</w:t>
            </w:r>
          </w:p>
        </w:tc>
        <w:tc>
          <w:tcPr>
            <w:tcW w:w="0" w:type="auto"/>
            <w:hideMark/>
          </w:tcPr>
          <w:p w14:paraId="1AA09CCC" w14:textId="77777777" w:rsidR="00426A47" w:rsidRPr="00875933" w:rsidRDefault="00426A47" w:rsidP="00426A47">
            <w:pPr>
              <w:jc w:val="center"/>
              <w:rPr>
                <w:rFonts w:ascii="Times New Roman" w:eastAsia="Times New Roman" w:hAnsi="Times New Roman" w:cs="Times New Roman"/>
                <w:b/>
                <w:bCs/>
                <w:sz w:val="24"/>
                <w:szCs w:val="24"/>
                <w:lang w:eastAsia="en-GB"/>
              </w:rPr>
            </w:pPr>
            <w:r w:rsidRPr="00875933">
              <w:rPr>
                <w:rFonts w:ascii="Times New Roman" w:eastAsia="Times New Roman" w:hAnsi="Times New Roman" w:cs="Times New Roman"/>
                <w:b/>
                <w:bCs/>
                <w:sz w:val="24"/>
                <w:szCs w:val="24"/>
                <w:lang w:eastAsia="en-GB"/>
              </w:rPr>
              <w:t>Model system</w:t>
            </w:r>
          </w:p>
        </w:tc>
        <w:tc>
          <w:tcPr>
            <w:tcW w:w="0" w:type="auto"/>
            <w:hideMark/>
          </w:tcPr>
          <w:p w14:paraId="1EAC0E0F" w14:textId="77777777" w:rsidR="00426A47" w:rsidRPr="00875933" w:rsidRDefault="00426A47" w:rsidP="00426A47">
            <w:pPr>
              <w:jc w:val="center"/>
              <w:rPr>
                <w:rFonts w:ascii="Times New Roman" w:eastAsia="Times New Roman" w:hAnsi="Times New Roman" w:cs="Times New Roman"/>
                <w:b/>
                <w:bCs/>
                <w:sz w:val="24"/>
                <w:szCs w:val="24"/>
                <w:lang w:eastAsia="en-GB"/>
              </w:rPr>
            </w:pPr>
            <w:r w:rsidRPr="00875933">
              <w:rPr>
                <w:rFonts w:ascii="Times New Roman" w:eastAsia="Times New Roman" w:hAnsi="Times New Roman" w:cs="Times New Roman"/>
                <w:b/>
                <w:bCs/>
                <w:sz w:val="24"/>
                <w:szCs w:val="24"/>
                <w:lang w:eastAsia="en-GB"/>
              </w:rPr>
              <w:t>Principal finding</w:t>
            </w:r>
          </w:p>
        </w:tc>
      </w:tr>
      <w:tr w:rsidR="00426A47" w:rsidRPr="00875933" w14:paraId="1CA2BA97" w14:textId="77777777" w:rsidTr="00875933">
        <w:tc>
          <w:tcPr>
            <w:tcW w:w="0" w:type="auto"/>
            <w:hideMark/>
          </w:tcPr>
          <w:p w14:paraId="39A0281A" w14:textId="77777777" w:rsidR="00426A47" w:rsidRPr="00875933" w:rsidRDefault="00426A47" w:rsidP="00426A47">
            <w:pPr>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Antioxidant</w:t>
            </w:r>
          </w:p>
        </w:tc>
        <w:tc>
          <w:tcPr>
            <w:tcW w:w="0" w:type="auto"/>
            <w:hideMark/>
          </w:tcPr>
          <w:p w14:paraId="502F3095" w14:textId="77777777" w:rsidR="00426A47" w:rsidRPr="00875933" w:rsidRDefault="00426A47" w:rsidP="00426A47">
            <w:pPr>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Methanolic leaf, root and stem extracts</w:t>
            </w:r>
          </w:p>
        </w:tc>
        <w:tc>
          <w:tcPr>
            <w:tcW w:w="0" w:type="auto"/>
            <w:hideMark/>
          </w:tcPr>
          <w:p w14:paraId="3D679461" w14:textId="77777777" w:rsidR="00426A47" w:rsidRPr="00875933" w:rsidRDefault="00426A47" w:rsidP="00426A47">
            <w:pPr>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 xml:space="preserve">DPPH, hydroxyl radical, H₂O₂ assays; rat </w:t>
            </w:r>
            <w:r w:rsidRPr="007A7469">
              <w:rPr>
                <w:rFonts w:ascii="Times New Roman" w:eastAsia="Times New Roman" w:hAnsi="Times New Roman" w:cs="Times New Roman"/>
                <w:i/>
                <w:iCs/>
                <w:color w:val="FF0000"/>
                <w:sz w:val="24"/>
                <w:szCs w:val="24"/>
                <w:lang w:eastAsia="en-GB"/>
              </w:rPr>
              <w:t>in vivo</w:t>
            </w:r>
            <w:r w:rsidRPr="00875933">
              <w:rPr>
                <w:rFonts w:ascii="Times New Roman" w:eastAsia="Times New Roman" w:hAnsi="Times New Roman" w:cs="Times New Roman"/>
                <w:sz w:val="24"/>
                <w:szCs w:val="24"/>
                <w:lang w:eastAsia="en-GB"/>
              </w:rPr>
              <w:t xml:space="preserve"> models</w:t>
            </w:r>
          </w:p>
        </w:tc>
        <w:tc>
          <w:tcPr>
            <w:tcW w:w="0" w:type="auto"/>
            <w:hideMark/>
          </w:tcPr>
          <w:p w14:paraId="49B41552" w14:textId="77777777" w:rsidR="00426A47" w:rsidRPr="00875933" w:rsidRDefault="00426A47" w:rsidP="00426A47">
            <w:pPr>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 xml:space="preserve">Dose-dependent radical scavenging; restoration of enzymatic antioxidant status </w:t>
            </w:r>
            <w:r w:rsidRPr="007A7469">
              <w:rPr>
                <w:rFonts w:ascii="Times New Roman" w:eastAsia="Times New Roman" w:hAnsi="Times New Roman" w:cs="Times New Roman"/>
                <w:i/>
                <w:iCs/>
                <w:color w:val="FF0000"/>
                <w:sz w:val="24"/>
                <w:szCs w:val="24"/>
                <w:lang w:eastAsia="en-GB"/>
              </w:rPr>
              <w:t>in vivo</w:t>
            </w:r>
          </w:p>
        </w:tc>
      </w:tr>
      <w:tr w:rsidR="00426A47" w:rsidRPr="00875933" w14:paraId="095934AC" w14:textId="77777777" w:rsidTr="00875933">
        <w:tc>
          <w:tcPr>
            <w:tcW w:w="0" w:type="auto"/>
            <w:hideMark/>
          </w:tcPr>
          <w:p w14:paraId="29DCF77E" w14:textId="3638F269" w:rsidR="00426A47" w:rsidRPr="00875933" w:rsidRDefault="00426A47" w:rsidP="00426A47">
            <w:pPr>
              <w:rPr>
                <w:rFonts w:ascii="Times New Roman" w:eastAsia="Times New Roman" w:hAnsi="Times New Roman" w:cs="Times New Roman"/>
                <w:sz w:val="24"/>
                <w:szCs w:val="24"/>
                <w:lang w:eastAsia="en-GB"/>
              </w:rPr>
            </w:pPr>
            <w:r w:rsidRPr="007A7469">
              <w:rPr>
                <w:rFonts w:ascii="Times New Roman" w:eastAsia="Times New Roman" w:hAnsi="Times New Roman" w:cs="Times New Roman"/>
                <w:b/>
                <w:bCs/>
                <w:dstrike/>
                <w:sz w:val="24"/>
                <w:szCs w:val="24"/>
                <w:lang w:eastAsia="en-GB"/>
              </w:rPr>
              <w:t>Antimicrobial</w:t>
            </w:r>
            <w:r w:rsidR="007A7469">
              <w:rPr>
                <w:rFonts w:ascii="Times New Roman" w:eastAsia="Times New Roman" w:hAnsi="Times New Roman" w:cs="Times New Roman"/>
                <w:sz w:val="24"/>
                <w:szCs w:val="24"/>
                <w:lang w:eastAsia="en-GB"/>
              </w:rPr>
              <w:t xml:space="preserve"> </w:t>
            </w:r>
            <w:r w:rsidR="007A7469" w:rsidRPr="007A7469">
              <w:rPr>
                <w:rFonts w:ascii="Times New Roman" w:eastAsia="Times New Roman" w:hAnsi="Times New Roman" w:cs="Times New Roman"/>
                <w:color w:val="7030A0"/>
                <w:sz w:val="24"/>
                <w:szCs w:val="24"/>
                <w:lang w:eastAsia="en-GB"/>
              </w:rPr>
              <w:t>Antibacterial</w:t>
            </w:r>
            <w:r w:rsidRPr="00875933">
              <w:rPr>
                <w:rFonts w:ascii="Times New Roman" w:eastAsia="Times New Roman" w:hAnsi="Times New Roman" w:cs="Times New Roman"/>
                <w:sz w:val="24"/>
                <w:szCs w:val="24"/>
                <w:lang w:eastAsia="en-GB"/>
              </w:rPr>
              <w:t>/ antifungal</w:t>
            </w:r>
          </w:p>
        </w:tc>
        <w:tc>
          <w:tcPr>
            <w:tcW w:w="0" w:type="auto"/>
            <w:hideMark/>
          </w:tcPr>
          <w:p w14:paraId="1D0F5EF0" w14:textId="77777777" w:rsidR="00426A47" w:rsidRPr="00875933" w:rsidRDefault="00426A47" w:rsidP="00426A47">
            <w:pPr>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Aqueous leaf extract; ethanolic fractions; silver and herbal nanoparticles</w:t>
            </w:r>
          </w:p>
        </w:tc>
        <w:tc>
          <w:tcPr>
            <w:tcW w:w="0" w:type="auto"/>
            <w:hideMark/>
          </w:tcPr>
          <w:p w14:paraId="71B9DF92" w14:textId="77777777" w:rsidR="00426A47" w:rsidRPr="00875933" w:rsidRDefault="00426A47" w:rsidP="00426A47">
            <w:pPr>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Bacterial and fungal pathogen panels</w:t>
            </w:r>
          </w:p>
        </w:tc>
        <w:tc>
          <w:tcPr>
            <w:tcW w:w="0" w:type="auto"/>
            <w:hideMark/>
          </w:tcPr>
          <w:p w14:paraId="02C2E1B3" w14:textId="77777777" w:rsidR="00426A47" w:rsidRPr="00875933" w:rsidRDefault="00426A47" w:rsidP="00426A47">
            <w:pPr>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 xml:space="preserve">Activity against Gram-positive and Gram-negative bacteria and </w:t>
            </w:r>
            <w:r w:rsidRPr="00875933">
              <w:rPr>
                <w:rFonts w:ascii="Times New Roman" w:eastAsia="Times New Roman" w:hAnsi="Times New Roman" w:cs="Times New Roman"/>
                <w:i/>
                <w:iCs/>
                <w:sz w:val="24"/>
                <w:szCs w:val="24"/>
                <w:lang w:eastAsia="en-GB"/>
              </w:rPr>
              <w:t>Candida</w:t>
            </w:r>
            <w:r w:rsidRPr="00875933">
              <w:rPr>
                <w:rFonts w:ascii="Times New Roman" w:eastAsia="Times New Roman" w:hAnsi="Times New Roman" w:cs="Times New Roman"/>
                <w:sz w:val="24"/>
                <w:szCs w:val="24"/>
                <w:lang w:eastAsia="en-GB"/>
              </w:rPr>
              <w:t>/</w:t>
            </w:r>
            <w:r w:rsidRPr="00875933">
              <w:rPr>
                <w:rFonts w:ascii="Times New Roman" w:eastAsia="Times New Roman" w:hAnsi="Times New Roman" w:cs="Times New Roman"/>
                <w:i/>
                <w:iCs/>
                <w:sz w:val="24"/>
                <w:szCs w:val="24"/>
                <w:lang w:eastAsia="en-GB"/>
              </w:rPr>
              <w:t>Aspergillus</w:t>
            </w:r>
            <w:r w:rsidRPr="00875933">
              <w:rPr>
                <w:rFonts w:ascii="Times New Roman" w:eastAsia="Times New Roman" w:hAnsi="Times New Roman" w:cs="Times New Roman"/>
                <w:sz w:val="24"/>
                <w:szCs w:val="24"/>
                <w:lang w:eastAsia="en-GB"/>
              </w:rPr>
              <w:t xml:space="preserve"> species</w:t>
            </w:r>
          </w:p>
        </w:tc>
      </w:tr>
      <w:tr w:rsidR="00426A47" w:rsidRPr="00875933" w14:paraId="30E8AC79" w14:textId="77777777" w:rsidTr="00875933">
        <w:tc>
          <w:tcPr>
            <w:tcW w:w="0" w:type="auto"/>
            <w:hideMark/>
          </w:tcPr>
          <w:p w14:paraId="3E465725" w14:textId="77777777" w:rsidR="00426A47" w:rsidRPr="00875933" w:rsidRDefault="00426A47" w:rsidP="00426A47">
            <w:pPr>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Anti-inflammatory</w:t>
            </w:r>
          </w:p>
        </w:tc>
        <w:tc>
          <w:tcPr>
            <w:tcW w:w="0" w:type="auto"/>
            <w:hideMark/>
          </w:tcPr>
          <w:p w14:paraId="2B89FACE" w14:textId="77777777" w:rsidR="00426A47" w:rsidRPr="00875933" w:rsidRDefault="00426A47" w:rsidP="00426A47">
            <w:pPr>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Root methanolic extract; standardised extract</w:t>
            </w:r>
          </w:p>
        </w:tc>
        <w:tc>
          <w:tcPr>
            <w:tcW w:w="0" w:type="auto"/>
            <w:hideMark/>
          </w:tcPr>
          <w:p w14:paraId="67676941" w14:textId="77777777" w:rsidR="00426A47" w:rsidRPr="00875933" w:rsidRDefault="00426A47" w:rsidP="00426A47">
            <w:pPr>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Carrageenan-induced oedema (rat); LPS-stimulated macrophages</w:t>
            </w:r>
          </w:p>
        </w:tc>
        <w:tc>
          <w:tcPr>
            <w:tcW w:w="0" w:type="auto"/>
            <w:hideMark/>
          </w:tcPr>
          <w:p w14:paraId="053DDA34" w14:textId="77777777" w:rsidR="00426A47" w:rsidRPr="00875933" w:rsidRDefault="00426A47" w:rsidP="00426A47">
            <w:pPr>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Reduced oedema, CRP and leucocyte infiltration; NF-</w:t>
            </w:r>
            <w:proofErr w:type="spellStart"/>
            <w:r w:rsidRPr="00875933">
              <w:rPr>
                <w:rFonts w:ascii="Times New Roman" w:eastAsia="Times New Roman" w:hAnsi="Times New Roman" w:cs="Times New Roman"/>
                <w:sz w:val="24"/>
                <w:szCs w:val="24"/>
                <w:lang w:eastAsia="en-GB"/>
              </w:rPr>
              <w:t>κB</w:t>
            </w:r>
            <w:proofErr w:type="spellEnd"/>
            <w:r w:rsidRPr="00875933">
              <w:rPr>
                <w:rFonts w:ascii="Times New Roman" w:eastAsia="Times New Roman" w:hAnsi="Times New Roman" w:cs="Times New Roman"/>
                <w:sz w:val="24"/>
                <w:szCs w:val="24"/>
                <w:lang w:eastAsia="en-GB"/>
              </w:rPr>
              <w:t xml:space="preserve"> pathway modulation</w:t>
            </w:r>
          </w:p>
        </w:tc>
      </w:tr>
      <w:tr w:rsidR="00426A47" w:rsidRPr="00875933" w14:paraId="0F6AACE5" w14:textId="77777777" w:rsidTr="00875933">
        <w:tc>
          <w:tcPr>
            <w:tcW w:w="0" w:type="auto"/>
            <w:hideMark/>
          </w:tcPr>
          <w:p w14:paraId="692D5E8B" w14:textId="77777777" w:rsidR="00426A47" w:rsidRPr="00875933" w:rsidRDefault="00426A47" w:rsidP="00426A47">
            <w:pPr>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Antidiabetic</w:t>
            </w:r>
          </w:p>
        </w:tc>
        <w:tc>
          <w:tcPr>
            <w:tcW w:w="0" w:type="auto"/>
            <w:hideMark/>
          </w:tcPr>
          <w:p w14:paraId="0C90EA5E" w14:textId="77777777" w:rsidR="00426A47" w:rsidRPr="00875933" w:rsidRDefault="00426A47" w:rsidP="00426A47">
            <w:pPr>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Methanolic stem extract</w:t>
            </w:r>
          </w:p>
        </w:tc>
        <w:tc>
          <w:tcPr>
            <w:tcW w:w="0" w:type="auto"/>
            <w:hideMark/>
          </w:tcPr>
          <w:p w14:paraId="2E7BD2E5" w14:textId="77777777" w:rsidR="00426A47" w:rsidRPr="00875933" w:rsidRDefault="00426A47" w:rsidP="00426A47">
            <w:pPr>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 xml:space="preserve">α-glucosidase inhibition; STZ-induced diabetic </w:t>
            </w:r>
            <w:r w:rsidRPr="00875933">
              <w:rPr>
                <w:rFonts w:ascii="Times New Roman" w:eastAsia="Times New Roman" w:hAnsi="Times New Roman" w:cs="Times New Roman"/>
                <w:sz w:val="24"/>
                <w:szCs w:val="24"/>
                <w:lang w:eastAsia="en-GB"/>
              </w:rPr>
              <w:lastRenderedPageBreak/>
              <w:t>rats</w:t>
            </w:r>
          </w:p>
        </w:tc>
        <w:tc>
          <w:tcPr>
            <w:tcW w:w="0" w:type="auto"/>
            <w:hideMark/>
          </w:tcPr>
          <w:p w14:paraId="5F565E40" w14:textId="77777777" w:rsidR="00426A47" w:rsidRPr="00875933" w:rsidRDefault="00426A47" w:rsidP="00426A47">
            <w:pPr>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lastRenderedPageBreak/>
              <w:t>~69–80% reduction in postprandial hyperglycaemia</w:t>
            </w:r>
          </w:p>
        </w:tc>
      </w:tr>
      <w:tr w:rsidR="00426A47" w:rsidRPr="00875933" w14:paraId="3EDEC712" w14:textId="77777777" w:rsidTr="00875933">
        <w:tc>
          <w:tcPr>
            <w:tcW w:w="0" w:type="auto"/>
            <w:hideMark/>
          </w:tcPr>
          <w:p w14:paraId="0A779966" w14:textId="77777777" w:rsidR="00426A47" w:rsidRPr="00875933" w:rsidRDefault="00426A47" w:rsidP="00426A47">
            <w:pPr>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Anticancer</w:t>
            </w:r>
          </w:p>
        </w:tc>
        <w:tc>
          <w:tcPr>
            <w:tcW w:w="0" w:type="auto"/>
            <w:hideMark/>
          </w:tcPr>
          <w:p w14:paraId="2944871E" w14:textId="77777777" w:rsidR="00426A47" w:rsidRPr="00875933" w:rsidRDefault="00426A47" w:rsidP="00426A47">
            <w:pPr>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Hexane, ethanolic and methanolic extracts; isolated sterols/flavonoids</w:t>
            </w:r>
          </w:p>
        </w:tc>
        <w:tc>
          <w:tcPr>
            <w:tcW w:w="0" w:type="auto"/>
            <w:hideMark/>
          </w:tcPr>
          <w:p w14:paraId="4500520E" w14:textId="77777777" w:rsidR="00426A47" w:rsidRPr="00875933" w:rsidRDefault="00426A47" w:rsidP="00426A47">
            <w:pPr>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MCF-7 breast cancer cells; in silico caspase-3 docking</w:t>
            </w:r>
          </w:p>
        </w:tc>
        <w:tc>
          <w:tcPr>
            <w:tcW w:w="0" w:type="auto"/>
            <w:hideMark/>
          </w:tcPr>
          <w:p w14:paraId="3858B9DB" w14:textId="77777777" w:rsidR="00426A47" w:rsidRPr="00875933" w:rsidRDefault="00426A47" w:rsidP="00426A47">
            <w:pPr>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Concentration-dependent cytotoxicity; lipogenic enzyme suppression; favourable docking scores</w:t>
            </w:r>
          </w:p>
        </w:tc>
      </w:tr>
      <w:tr w:rsidR="00426A47" w:rsidRPr="00875933" w14:paraId="12CC450F" w14:textId="77777777" w:rsidTr="00875933">
        <w:tc>
          <w:tcPr>
            <w:tcW w:w="0" w:type="auto"/>
            <w:hideMark/>
          </w:tcPr>
          <w:p w14:paraId="0387E671" w14:textId="77777777" w:rsidR="00426A47" w:rsidRPr="00875933" w:rsidRDefault="00426A47" w:rsidP="00426A47">
            <w:pPr>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Wound healing</w:t>
            </w:r>
          </w:p>
        </w:tc>
        <w:tc>
          <w:tcPr>
            <w:tcW w:w="0" w:type="auto"/>
            <w:hideMark/>
          </w:tcPr>
          <w:p w14:paraId="0FA03BEB" w14:textId="77777777" w:rsidR="00426A47" w:rsidRPr="00875933" w:rsidRDefault="00426A47" w:rsidP="00426A47">
            <w:pPr>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Topical ethanolic extract</w:t>
            </w:r>
          </w:p>
        </w:tc>
        <w:tc>
          <w:tcPr>
            <w:tcW w:w="0" w:type="auto"/>
            <w:hideMark/>
          </w:tcPr>
          <w:p w14:paraId="1127690F" w14:textId="77777777" w:rsidR="00426A47" w:rsidRPr="00875933" w:rsidRDefault="00426A47" w:rsidP="00426A47">
            <w:pPr>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Excisional wounds (rat); fibroblast migration assays</w:t>
            </w:r>
          </w:p>
        </w:tc>
        <w:tc>
          <w:tcPr>
            <w:tcW w:w="0" w:type="auto"/>
            <w:hideMark/>
          </w:tcPr>
          <w:p w14:paraId="2FF63141" w14:textId="77777777" w:rsidR="00426A47" w:rsidRPr="00875933" w:rsidRDefault="00426A47" w:rsidP="00426A47">
            <w:pPr>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Accelerated wound closure; upregulated collagen I/III; fibroblast proliferation</w:t>
            </w:r>
          </w:p>
        </w:tc>
      </w:tr>
      <w:tr w:rsidR="00426A47" w:rsidRPr="00875933" w14:paraId="19D2A299" w14:textId="77777777" w:rsidTr="00875933">
        <w:tc>
          <w:tcPr>
            <w:tcW w:w="0" w:type="auto"/>
            <w:hideMark/>
          </w:tcPr>
          <w:p w14:paraId="41821E00" w14:textId="77777777" w:rsidR="00426A47" w:rsidRPr="00875933" w:rsidRDefault="00426A47" w:rsidP="00426A47">
            <w:pPr>
              <w:rPr>
                <w:rFonts w:ascii="Times New Roman" w:eastAsia="Times New Roman" w:hAnsi="Times New Roman" w:cs="Times New Roman"/>
                <w:sz w:val="24"/>
                <w:szCs w:val="24"/>
                <w:lang w:eastAsia="en-GB"/>
              </w:rPr>
            </w:pPr>
            <w:proofErr w:type="spellStart"/>
            <w:r w:rsidRPr="00875933">
              <w:rPr>
                <w:rFonts w:ascii="Times New Roman" w:eastAsia="Times New Roman" w:hAnsi="Times New Roman" w:cs="Times New Roman"/>
                <w:sz w:val="24"/>
                <w:szCs w:val="24"/>
                <w:lang w:eastAsia="en-GB"/>
              </w:rPr>
              <w:t>Antiasthmatic</w:t>
            </w:r>
            <w:proofErr w:type="spellEnd"/>
          </w:p>
        </w:tc>
        <w:tc>
          <w:tcPr>
            <w:tcW w:w="0" w:type="auto"/>
            <w:hideMark/>
          </w:tcPr>
          <w:p w14:paraId="37C5BFC4" w14:textId="77777777" w:rsidR="00426A47" w:rsidRPr="00875933" w:rsidRDefault="00426A47" w:rsidP="00426A47">
            <w:pPr>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Ethanolic leaf extract</w:t>
            </w:r>
          </w:p>
        </w:tc>
        <w:tc>
          <w:tcPr>
            <w:tcW w:w="0" w:type="auto"/>
            <w:hideMark/>
          </w:tcPr>
          <w:p w14:paraId="385A8CE8" w14:textId="77777777" w:rsidR="00426A47" w:rsidRPr="00875933" w:rsidRDefault="00426A47" w:rsidP="00426A47">
            <w:pPr>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Goat tracheal chain; mouse/guinea pig models</w:t>
            </w:r>
          </w:p>
        </w:tc>
        <w:tc>
          <w:tcPr>
            <w:tcW w:w="0" w:type="auto"/>
            <w:hideMark/>
          </w:tcPr>
          <w:p w14:paraId="04DC7DCC" w14:textId="77777777" w:rsidR="00426A47" w:rsidRPr="00875933" w:rsidRDefault="00426A47" w:rsidP="00426A47">
            <w:pPr>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 xml:space="preserve">Anticholinergic, antihistaminic, mast-cell-stabilising, </w:t>
            </w:r>
            <w:proofErr w:type="spellStart"/>
            <w:r w:rsidRPr="00875933">
              <w:rPr>
                <w:rFonts w:ascii="Times New Roman" w:eastAsia="Times New Roman" w:hAnsi="Times New Roman" w:cs="Times New Roman"/>
                <w:sz w:val="24"/>
                <w:szCs w:val="24"/>
                <w:lang w:eastAsia="en-GB"/>
              </w:rPr>
              <w:t>bronchodilatory</w:t>
            </w:r>
            <w:proofErr w:type="spellEnd"/>
            <w:r w:rsidRPr="00875933">
              <w:rPr>
                <w:rFonts w:ascii="Times New Roman" w:eastAsia="Times New Roman" w:hAnsi="Times New Roman" w:cs="Times New Roman"/>
                <w:sz w:val="24"/>
                <w:szCs w:val="24"/>
                <w:lang w:eastAsia="en-GB"/>
              </w:rPr>
              <w:t xml:space="preserve"> effects</w:t>
            </w:r>
          </w:p>
        </w:tc>
      </w:tr>
      <w:tr w:rsidR="00426A47" w:rsidRPr="00875933" w14:paraId="7DA7ECD6" w14:textId="77777777" w:rsidTr="00875933">
        <w:tc>
          <w:tcPr>
            <w:tcW w:w="0" w:type="auto"/>
            <w:hideMark/>
          </w:tcPr>
          <w:p w14:paraId="40B496DB" w14:textId="77777777" w:rsidR="00426A47" w:rsidRPr="00875933" w:rsidRDefault="00426A47" w:rsidP="00426A47">
            <w:pPr>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Neuroprotective</w:t>
            </w:r>
          </w:p>
        </w:tc>
        <w:tc>
          <w:tcPr>
            <w:tcW w:w="0" w:type="auto"/>
            <w:hideMark/>
          </w:tcPr>
          <w:p w14:paraId="6B0C3024" w14:textId="77777777" w:rsidR="00426A47" w:rsidRPr="00875933" w:rsidRDefault="00426A47" w:rsidP="00426A47">
            <w:pPr>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Standardised whole-plant extract</w:t>
            </w:r>
          </w:p>
        </w:tc>
        <w:tc>
          <w:tcPr>
            <w:tcW w:w="0" w:type="auto"/>
            <w:hideMark/>
          </w:tcPr>
          <w:p w14:paraId="4D9FB416" w14:textId="77777777" w:rsidR="00426A47" w:rsidRPr="00875933" w:rsidRDefault="00426A47" w:rsidP="00426A47">
            <w:pPr>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MPTP-induced Parkinsonism (mice)</w:t>
            </w:r>
          </w:p>
        </w:tc>
        <w:tc>
          <w:tcPr>
            <w:tcW w:w="0" w:type="auto"/>
            <w:hideMark/>
          </w:tcPr>
          <w:p w14:paraId="02CC9620" w14:textId="77777777" w:rsidR="00426A47" w:rsidRPr="00875933" w:rsidRDefault="00426A47" w:rsidP="00426A47">
            <w:pPr>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Reduced motor and anxiety-related deficits</w:t>
            </w:r>
          </w:p>
        </w:tc>
      </w:tr>
      <w:tr w:rsidR="00426A47" w:rsidRPr="00875933" w14:paraId="4741D5A0" w14:textId="77777777" w:rsidTr="00875933">
        <w:tc>
          <w:tcPr>
            <w:tcW w:w="0" w:type="auto"/>
            <w:hideMark/>
          </w:tcPr>
          <w:p w14:paraId="2E35DC2F" w14:textId="36D30574" w:rsidR="00426A47" w:rsidRPr="00875933" w:rsidRDefault="00426A47" w:rsidP="00426A47">
            <w:pPr>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Larvicidal / antiparasitic</w:t>
            </w:r>
            <w:r w:rsidR="007A7469">
              <w:rPr>
                <w:rFonts w:ascii="Times New Roman" w:eastAsia="Times New Roman" w:hAnsi="Times New Roman" w:cs="Times New Roman"/>
                <w:sz w:val="24"/>
                <w:szCs w:val="24"/>
                <w:lang w:eastAsia="en-GB"/>
              </w:rPr>
              <w:t xml:space="preserve"> </w:t>
            </w:r>
          </w:p>
        </w:tc>
        <w:tc>
          <w:tcPr>
            <w:tcW w:w="0" w:type="auto"/>
            <w:hideMark/>
          </w:tcPr>
          <w:p w14:paraId="634CCD04" w14:textId="77777777" w:rsidR="00426A47" w:rsidRPr="00875933" w:rsidRDefault="00426A47" w:rsidP="00426A47">
            <w:pPr>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Solvent extracts; herbal nanoparticles</w:t>
            </w:r>
          </w:p>
        </w:tc>
        <w:tc>
          <w:tcPr>
            <w:tcW w:w="0" w:type="auto"/>
            <w:hideMark/>
          </w:tcPr>
          <w:p w14:paraId="1461F968" w14:textId="77777777" w:rsidR="00426A47" w:rsidRPr="00875933" w:rsidRDefault="00426A47" w:rsidP="00426A47">
            <w:pPr>
              <w:rPr>
                <w:rFonts w:ascii="Times New Roman" w:eastAsia="Times New Roman" w:hAnsi="Times New Roman" w:cs="Times New Roman"/>
                <w:sz w:val="24"/>
                <w:szCs w:val="24"/>
                <w:lang w:eastAsia="en-GB"/>
              </w:rPr>
            </w:pPr>
            <w:r w:rsidRPr="00875933">
              <w:rPr>
                <w:rFonts w:ascii="Times New Roman" w:eastAsia="Times New Roman" w:hAnsi="Times New Roman" w:cs="Times New Roman"/>
                <w:i/>
                <w:iCs/>
                <w:sz w:val="24"/>
                <w:szCs w:val="24"/>
                <w:lang w:eastAsia="en-GB"/>
              </w:rPr>
              <w:t>Anopheles</w:t>
            </w:r>
            <w:r w:rsidRPr="00875933">
              <w:rPr>
                <w:rFonts w:ascii="Times New Roman" w:eastAsia="Times New Roman" w:hAnsi="Times New Roman" w:cs="Times New Roman"/>
                <w:sz w:val="24"/>
                <w:szCs w:val="24"/>
                <w:lang w:eastAsia="en-GB"/>
              </w:rPr>
              <w:t xml:space="preserve">, </w:t>
            </w:r>
            <w:r w:rsidRPr="00875933">
              <w:rPr>
                <w:rFonts w:ascii="Times New Roman" w:eastAsia="Times New Roman" w:hAnsi="Times New Roman" w:cs="Times New Roman"/>
                <w:i/>
                <w:iCs/>
                <w:sz w:val="24"/>
                <w:szCs w:val="24"/>
                <w:lang w:eastAsia="en-GB"/>
              </w:rPr>
              <w:t>Aedes</w:t>
            </w:r>
            <w:r w:rsidRPr="00875933">
              <w:rPr>
                <w:rFonts w:ascii="Times New Roman" w:eastAsia="Times New Roman" w:hAnsi="Times New Roman" w:cs="Times New Roman"/>
                <w:sz w:val="24"/>
                <w:szCs w:val="24"/>
                <w:lang w:eastAsia="en-GB"/>
              </w:rPr>
              <w:t xml:space="preserve">, </w:t>
            </w:r>
            <w:r w:rsidRPr="00875933">
              <w:rPr>
                <w:rFonts w:ascii="Times New Roman" w:eastAsia="Times New Roman" w:hAnsi="Times New Roman" w:cs="Times New Roman"/>
                <w:i/>
                <w:iCs/>
                <w:sz w:val="24"/>
                <w:szCs w:val="24"/>
                <w:lang w:eastAsia="en-GB"/>
              </w:rPr>
              <w:t>Culex</w:t>
            </w:r>
            <w:r w:rsidRPr="00875933">
              <w:rPr>
                <w:rFonts w:ascii="Times New Roman" w:eastAsia="Times New Roman" w:hAnsi="Times New Roman" w:cs="Times New Roman"/>
                <w:sz w:val="24"/>
                <w:szCs w:val="24"/>
                <w:lang w:eastAsia="en-GB"/>
              </w:rPr>
              <w:t xml:space="preserve"> larvae</w:t>
            </w:r>
          </w:p>
        </w:tc>
        <w:tc>
          <w:tcPr>
            <w:tcW w:w="0" w:type="auto"/>
            <w:hideMark/>
          </w:tcPr>
          <w:p w14:paraId="0DA9D44A" w14:textId="77777777" w:rsidR="00426A47" w:rsidRPr="00875933" w:rsidRDefault="00426A47" w:rsidP="00426A47">
            <w:pPr>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Significant larvicidal and ovicidal activity</w:t>
            </w:r>
          </w:p>
        </w:tc>
      </w:tr>
      <w:tr w:rsidR="00426A47" w:rsidRPr="00875933" w14:paraId="361AEA1A" w14:textId="77777777" w:rsidTr="00875933">
        <w:tc>
          <w:tcPr>
            <w:tcW w:w="0" w:type="auto"/>
            <w:hideMark/>
          </w:tcPr>
          <w:p w14:paraId="43AD448D" w14:textId="77777777" w:rsidR="00426A47" w:rsidRPr="00875933" w:rsidRDefault="00426A47" w:rsidP="00426A47">
            <w:pPr>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Antiviral</w:t>
            </w:r>
          </w:p>
        </w:tc>
        <w:tc>
          <w:tcPr>
            <w:tcW w:w="0" w:type="auto"/>
            <w:hideMark/>
          </w:tcPr>
          <w:p w14:paraId="692B9E80" w14:textId="77777777" w:rsidR="00426A47" w:rsidRPr="00875933" w:rsidRDefault="00426A47" w:rsidP="00426A47">
            <w:pPr>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 xml:space="preserve">Standardised extract; isolated </w:t>
            </w:r>
            <w:proofErr w:type="spellStart"/>
            <w:r w:rsidRPr="00875933">
              <w:rPr>
                <w:rFonts w:ascii="Times New Roman" w:eastAsia="Times New Roman" w:hAnsi="Times New Roman" w:cs="Times New Roman"/>
                <w:sz w:val="24"/>
                <w:szCs w:val="24"/>
                <w:lang w:eastAsia="en-GB"/>
              </w:rPr>
              <w:t>corilagin</w:t>
            </w:r>
            <w:proofErr w:type="spellEnd"/>
          </w:p>
        </w:tc>
        <w:tc>
          <w:tcPr>
            <w:tcW w:w="0" w:type="auto"/>
            <w:hideMark/>
          </w:tcPr>
          <w:p w14:paraId="496C8711" w14:textId="77777777" w:rsidR="00426A47" w:rsidRPr="00875933" w:rsidRDefault="00426A47" w:rsidP="00426A47">
            <w:pPr>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LPS macrophages; SARS-CoV-2 spike protein in silico/in vitro</w:t>
            </w:r>
          </w:p>
        </w:tc>
        <w:tc>
          <w:tcPr>
            <w:tcW w:w="0" w:type="auto"/>
            <w:hideMark/>
          </w:tcPr>
          <w:p w14:paraId="63866699" w14:textId="77777777" w:rsidR="00426A47" w:rsidRPr="00875933" w:rsidRDefault="00426A47" w:rsidP="00426A47">
            <w:pPr>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NF-</w:t>
            </w:r>
            <w:proofErr w:type="spellStart"/>
            <w:r w:rsidRPr="00875933">
              <w:rPr>
                <w:rFonts w:ascii="Times New Roman" w:eastAsia="Times New Roman" w:hAnsi="Times New Roman" w:cs="Times New Roman"/>
                <w:sz w:val="24"/>
                <w:szCs w:val="24"/>
                <w:lang w:eastAsia="en-GB"/>
              </w:rPr>
              <w:t>κB</w:t>
            </w:r>
            <w:proofErr w:type="spellEnd"/>
            <w:r w:rsidRPr="00875933">
              <w:rPr>
                <w:rFonts w:ascii="Times New Roman" w:eastAsia="Times New Roman" w:hAnsi="Times New Roman" w:cs="Times New Roman"/>
                <w:sz w:val="24"/>
                <w:szCs w:val="24"/>
                <w:lang w:eastAsia="en-GB"/>
              </w:rPr>
              <w:t xml:space="preserve">-linked antiviral effect; 92% spike-protein inhibition by </w:t>
            </w:r>
            <w:proofErr w:type="spellStart"/>
            <w:r w:rsidRPr="00875933">
              <w:rPr>
                <w:rFonts w:ascii="Times New Roman" w:eastAsia="Times New Roman" w:hAnsi="Times New Roman" w:cs="Times New Roman"/>
                <w:sz w:val="24"/>
                <w:szCs w:val="24"/>
                <w:lang w:eastAsia="en-GB"/>
              </w:rPr>
              <w:t>corilagin</w:t>
            </w:r>
            <w:proofErr w:type="spellEnd"/>
          </w:p>
        </w:tc>
      </w:tr>
    </w:tbl>
    <w:p w14:paraId="4193BE36" w14:textId="77777777" w:rsidR="00426A47" w:rsidRPr="00875933" w:rsidRDefault="00426A47" w:rsidP="00426A47">
      <w:pPr>
        <w:spacing w:before="100" w:beforeAutospacing="1" w:after="100" w:afterAutospacing="1" w:line="240" w:lineRule="auto"/>
        <w:rPr>
          <w:rFonts w:ascii="Times New Roman" w:eastAsia="Times New Roman" w:hAnsi="Times New Roman" w:cs="Times New Roman"/>
          <w:sz w:val="24"/>
          <w:szCs w:val="24"/>
          <w:lang w:eastAsia="en-GB"/>
        </w:rPr>
      </w:pPr>
      <w:r w:rsidRPr="00875933">
        <w:rPr>
          <w:rFonts w:ascii="Times New Roman" w:hAnsi="Times New Roman" w:cs="Times New Roman"/>
        </w:rPr>
        <w:t>Sources: Krishnaraj et al. (2010); Govindarajan et al. (2008); Ganeshkumar et al. (2012); Priya and Rao (2016); Thamil Priya et al. (2020); Ibrahim et al. (2021); Sahukari et al. (2021); Karthik et al. (2017); Chekuri et al. (2017); Ninave and Patil (2022); Sharma, Sharma, Mandal and Dhobi (2024); Sharma et al. (2025a); Sharma et al. (2025b); Johari et al. (2024); Febrina et al. (2021); Febrina et al. (2022); Venkatesan and Muniyan (2026); Edwin et al. (2025); Al-Mahrami et al. (2024).</w:t>
      </w:r>
    </w:p>
    <w:p w14:paraId="5BF5047E" w14:textId="77777777" w:rsidR="00426A47" w:rsidRPr="00875933" w:rsidRDefault="00426A47" w:rsidP="00426A47">
      <w:pPr>
        <w:spacing w:before="100" w:beforeAutospacing="1" w:after="100" w:afterAutospacing="1" w:line="240" w:lineRule="auto"/>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What the table makes visible, more than any single paragraph could, is the unevenness of the evidence base: some activities (</w:t>
      </w:r>
      <w:proofErr w:type="spellStart"/>
      <w:r w:rsidRPr="00875933">
        <w:rPr>
          <w:rFonts w:ascii="Times New Roman" w:eastAsia="Times New Roman" w:hAnsi="Times New Roman" w:cs="Times New Roman"/>
          <w:sz w:val="24"/>
          <w:szCs w:val="24"/>
          <w:lang w:eastAsia="en-GB"/>
        </w:rPr>
        <w:t>antiasthmatic</w:t>
      </w:r>
      <w:proofErr w:type="spellEnd"/>
      <w:r w:rsidRPr="00875933">
        <w:rPr>
          <w:rFonts w:ascii="Times New Roman" w:eastAsia="Times New Roman" w:hAnsi="Times New Roman" w:cs="Times New Roman"/>
          <w:sz w:val="24"/>
          <w:szCs w:val="24"/>
          <w:lang w:eastAsia="en-GB"/>
        </w:rPr>
        <w:t>, anti-inflammatory) rest on multi-endpoint studies with a degree of internal mechanistic coherence, while others (neuroprotective, antiviral) currently rest on a single study apiece. That unevenness is taken up again in Section 8.</w:t>
      </w:r>
    </w:p>
    <w:p w14:paraId="61BA3EAC" w14:textId="77777777" w:rsidR="00426A47" w:rsidRPr="00875933" w:rsidRDefault="00426A47" w:rsidP="00426A47">
      <w:pPr>
        <w:spacing w:after="0" w:line="240" w:lineRule="auto"/>
        <w:rPr>
          <w:rFonts w:ascii="Times New Roman" w:eastAsia="Times New Roman" w:hAnsi="Times New Roman" w:cs="Times New Roman"/>
          <w:sz w:val="24"/>
          <w:szCs w:val="24"/>
          <w:lang w:eastAsia="en-GB"/>
        </w:rPr>
      </w:pPr>
    </w:p>
    <w:p w14:paraId="410331B6" w14:textId="77777777" w:rsidR="00426A47" w:rsidRPr="00875933" w:rsidRDefault="00426A47" w:rsidP="00426A47">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875933">
        <w:rPr>
          <w:rFonts w:ascii="Times New Roman" w:eastAsia="Times New Roman" w:hAnsi="Times New Roman" w:cs="Times New Roman"/>
          <w:b/>
          <w:bCs/>
          <w:sz w:val="27"/>
          <w:szCs w:val="27"/>
          <w:lang w:eastAsia="en-GB"/>
        </w:rPr>
        <w:t>5. Nanotechnology and Novel Drug Delivery Applications</w:t>
      </w:r>
    </w:p>
    <w:p w14:paraId="3296FC2B" w14:textId="77777777" w:rsidR="00426A47" w:rsidRPr="00875933" w:rsidRDefault="00426A47" w:rsidP="00426A47">
      <w:pPr>
        <w:spacing w:before="100" w:beforeAutospacing="1" w:after="100" w:afterAutospacing="1" w:line="240" w:lineRule="auto"/>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 xml:space="preserve">The green synthesis of metallic and herbal nanoparticles using </w:t>
      </w:r>
      <w:r w:rsidRPr="00875933">
        <w:rPr>
          <w:rFonts w:ascii="Times New Roman" w:eastAsia="Times New Roman" w:hAnsi="Times New Roman" w:cs="Times New Roman"/>
          <w:i/>
          <w:iCs/>
          <w:sz w:val="24"/>
          <w:szCs w:val="24"/>
          <w:lang w:eastAsia="en-GB"/>
        </w:rPr>
        <w:t>A. indica</w:t>
      </w:r>
      <w:r w:rsidRPr="00875933">
        <w:rPr>
          <w:rFonts w:ascii="Times New Roman" w:eastAsia="Times New Roman" w:hAnsi="Times New Roman" w:cs="Times New Roman"/>
          <w:sz w:val="24"/>
          <w:szCs w:val="24"/>
          <w:lang w:eastAsia="en-GB"/>
        </w:rPr>
        <w:t xml:space="preserve"> leaf extract has become one of the more methodologically mature corners of the broader pharmacological literature on this species, partly because it is comparatively straightforward to combine standard nanoparticle characterisation — UV-</w:t>
      </w:r>
      <w:proofErr w:type="gramStart"/>
      <w:r w:rsidRPr="00875933">
        <w:rPr>
          <w:rFonts w:ascii="Times New Roman" w:eastAsia="Times New Roman" w:hAnsi="Times New Roman" w:cs="Times New Roman"/>
          <w:sz w:val="24"/>
          <w:szCs w:val="24"/>
          <w:lang w:eastAsia="en-GB"/>
        </w:rPr>
        <w:t>Vis</w:t>
      </w:r>
      <w:proofErr w:type="gramEnd"/>
      <w:r w:rsidRPr="00875933">
        <w:rPr>
          <w:rFonts w:ascii="Times New Roman" w:eastAsia="Times New Roman" w:hAnsi="Times New Roman" w:cs="Times New Roman"/>
          <w:sz w:val="24"/>
          <w:szCs w:val="24"/>
          <w:lang w:eastAsia="en-GB"/>
        </w:rPr>
        <w:t xml:space="preserve"> spectroscopy, FTIR, X-ray diffraction, electron microscopy — with conventional bioassay endpoints. The early demonstration that aqueous leaf extract can rapidly reduce silver ions into stable, well-defined silver nanoparticles within thirty minutes, with no need for additional chemical reducing or capping agents, established </w:t>
      </w:r>
      <w:r w:rsidRPr="00875933">
        <w:rPr>
          <w:rFonts w:ascii="Times New Roman" w:eastAsia="Times New Roman" w:hAnsi="Times New Roman" w:cs="Times New Roman"/>
          <w:i/>
          <w:iCs/>
          <w:sz w:val="24"/>
          <w:szCs w:val="24"/>
          <w:lang w:eastAsia="en-GB"/>
        </w:rPr>
        <w:t>A. indica</w:t>
      </w:r>
      <w:r w:rsidRPr="00875933">
        <w:rPr>
          <w:rFonts w:ascii="Times New Roman" w:eastAsia="Times New Roman" w:hAnsi="Times New Roman" w:cs="Times New Roman"/>
          <w:sz w:val="24"/>
          <w:szCs w:val="24"/>
          <w:lang w:eastAsia="en-GB"/>
        </w:rPr>
        <w:t xml:space="preserve"> as a workable green-chemistry platform and showed that the resulting nanoparticles retained, and in several respects sharpened, the antibacterial activity of the parent extract against waterborne pathogens (</w:t>
      </w:r>
      <w:proofErr w:type="spellStart"/>
      <w:r w:rsidRPr="00875933">
        <w:rPr>
          <w:rFonts w:ascii="Times New Roman" w:eastAsia="Times New Roman" w:hAnsi="Times New Roman" w:cs="Times New Roman"/>
          <w:sz w:val="24"/>
          <w:szCs w:val="24"/>
          <w:lang w:eastAsia="en-GB"/>
        </w:rPr>
        <w:t>Krishnaraj</w:t>
      </w:r>
      <w:proofErr w:type="spellEnd"/>
      <w:r w:rsidRPr="00875933">
        <w:rPr>
          <w:rFonts w:ascii="Times New Roman" w:eastAsia="Times New Roman" w:hAnsi="Times New Roman" w:cs="Times New Roman"/>
          <w:sz w:val="24"/>
          <w:szCs w:val="24"/>
          <w:lang w:eastAsia="en-GB"/>
        </w:rPr>
        <w:t xml:space="preserve"> et al., 2010). This work has </w:t>
      </w:r>
      <w:r w:rsidRPr="00875933">
        <w:rPr>
          <w:rFonts w:ascii="Times New Roman" w:eastAsia="Times New Roman" w:hAnsi="Times New Roman" w:cs="Times New Roman"/>
          <w:sz w:val="24"/>
          <w:szCs w:val="24"/>
          <w:lang w:eastAsia="en-GB"/>
        </w:rPr>
        <w:lastRenderedPageBreak/>
        <w:t xml:space="preserve">since been pushed further by a ball-milling approach that dispenses with solvent extraction altogether, generating amorphous herbal nanoparticles directly from dried leaf material; these particles combine antimicrobial activity against </w:t>
      </w:r>
      <w:r w:rsidRPr="00875933">
        <w:rPr>
          <w:rFonts w:ascii="Times New Roman" w:eastAsia="Times New Roman" w:hAnsi="Times New Roman" w:cs="Times New Roman"/>
          <w:i/>
          <w:iCs/>
          <w:sz w:val="24"/>
          <w:szCs w:val="24"/>
          <w:lang w:eastAsia="en-GB"/>
        </w:rPr>
        <w:t>S. aureus</w:t>
      </w:r>
      <w:r w:rsidRPr="00875933">
        <w:rPr>
          <w:rFonts w:ascii="Times New Roman" w:eastAsia="Times New Roman" w:hAnsi="Times New Roman" w:cs="Times New Roman"/>
          <w:sz w:val="24"/>
          <w:szCs w:val="24"/>
          <w:lang w:eastAsia="en-GB"/>
        </w:rPr>
        <w:t xml:space="preserve"> and </w:t>
      </w:r>
      <w:r w:rsidRPr="00875933">
        <w:rPr>
          <w:rFonts w:ascii="Times New Roman" w:eastAsia="Times New Roman" w:hAnsi="Times New Roman" w:cs="Times New Roman"/>
          <w:i/>
          <w:iCs/>
          <w:sz w:val="24"/>
          <w:szCs w:val="24"/>
          <w:lang w:eastAsia="en-GB"/>
        </w:rPr>
        <w:t>E. coli</w:t>
      </w:r>
      <w:r w:rsidRPr="00875933">
        <w:rPr>
          <w:rFonts w:ascii="Times New Roman" w:eastAsia="Times New Roman" w:hAnsi="Times New Roman" w:cs="Times New Roman"/>
          <w:sz w:val="24"/>
          <w:szCs w:val="24"/>
          <w:lang w:eastAsia="en-GB"/>
        </w:rPr>
        <w:t xml:space="preserve"> with pronounced </w:t>
      </w:r>
      <w:proofErr w:type="spellStart"/>
      <w:r w:rsidRPr="00875933">
        <w:rPr>
          <w:rFonts w:ascii="Times New Roman" w:eastAsia="Times New Roman" w:hAnsi="Times New Roman" w:cs="Times New Roman"/>
          <w:sz w:val="24"/>
          <w:szCs w:val="24"/>
          <w:lang w:eastAsia="en-GB"/>
        </w:rPr>
        <w:t>superhydrophobicity</w:t>
      </w:r>
      <w:proofErr w:type="spellEnd"/>
      <w:r w:rsidRPr="00875933">
        <w:rPr>
          <w:rFonts w:ascii="Times New Roman" w:eastAsia="Times New Roman" w:hAnsi="Times New Roman" w:cs="Times New Roman"/>
          <w:sz w:val="24"/>
          <w:szCs w:val="24"/>
          <w:lang w:eastAsia="en-GB"/>
        </w:rPr>
        <w:t xml:space="preserve"> and substantial larvicidal efficacy against three medically significant mosquito vectors, suggesting that a single nanomaterial platform can address multiple, mechanistically distinct biomedical and public-health uses at once (Karthik et al., 2017). More recent multifunctional silver nanoparticle formulations — with negative zeta potential indicative of moderate colloidal stability, and demonstrated potency against a panel of pathogens including </w:t>
      </w:r>
      <w:r w:rsidRPr="00875933">
        <w:rPr>
          <w:rFonts w:ascii="Times New Roman" w:eastAsia="Times New Roman" w:hAnsi="Times New Roman" w:cs="Times New Roman"/>
          <w:i/>
          <w:iCs/>
          <w:sz w:val="24"/>
          <w:szCs w:val="24"/>
          <w:lang w:eastAsia="en-GB"/>
        </w:rPr>
        <w:t>Salmonella typhi</w:t>
      </w:r>
      <w:r w:rsidRPr="00875933">
        <w:rPr>
          <w:rFonts w:ascii="Times New Roman" w:eastAsia="Times New Roman" w:hAnsi="Times New Roman" w:cs="Times New Roman"/>
          <w:sz w:val="24"/>
          <w:szCs w:val="24"/>
          <w:lang w:eastAsia="en-GB"/>
        </w:rPr>
        <w:t xml:space="preserve"> and </w:t>
      </w:r>
      <w:r w:rsidRPr="00875933">
        <w:rPr>
          <w:rFonts w:ascii="Times New Roman" w:eastAsia="Times New Roman" w:hAnsi="Times New Roman" w:cs="Times New Roman"/>
          <w:i/>
          <w:iCs/>
          <w:sz w:val="24"/>
          <w:szCs w:val="24"/>
          <w:lang w:eastAsia="en-GB"/>
        </w:rPr>
        <w:t>Streptococcus</w:t>
      </w:r>
      <w:r w:rsidRPr="00875933">
        <w:rPr>
          <w:rFonts w:ascii="Times New Roman" w:eastAsia="Times New Roman" w:hAnsi="Times New Roman" w:cs="Times New Roman"/>
          <w:sz w:val="24"/>
          <w:szCs w:val="24"/>
          <w:lang w:eastAsia="en-GB"/>
        </w:rPr>
        <w:t xml:space="preserve"> species — point to continued methodological refinement in this direction, and a clear shift towards explicitly multifunctional biomedical materials rather than single-endpoint antimicrobial agents (</w:t>
      </w:r>
      <w:proofErr w:type="spellStart"/>
      <w:r w:rsidRPr="00875933">
        <w:rPr>
          <w:rFonts w:ascii="Times New Roman" w:eastAsia="Times New Roman" w:hAnsi="Times New Roman" w:cs="Times New Roman"/>
          <w:sz w:val="24"/>
          <w:szCs w:val="24"/>
          <w:lang w:eastAsia="en-GB"/>
        </w:rPr>
        <w:t>Sakaray</w:t>
      </w:r>
      <w:proofErr w:type="spellEnd"/>
      <w:r w:rsidRPr="00875933">
        <w:rPr>
          <w:rFonts w:ascii="Times New Roman" w:eastAsia="Times New Roman" w:hAnsi="Times New Roman" w:cs="Times New Roman"/>
          <w:sz w:val="24"/>
          <w:szCs w:val="24"/>
          <w:lang w:eastAsia="en-GB"/>
        </w:rPr>
        <w:t xml:space="preserve"> et al., 2024). Table 3 sets these three studies side by side, listing the synthesis approach, characterisation methods and demonstrated application reported in each.</w:t>
      </w:r>
    </w:p>
    <w:p w14:paraId="6554CA6C" w14:textId="77777777" w:rsidR="00426A47" w:rsidRPr="00875933" w:rsidRDefault="00426A47" w:rsidP="00426A47">
      <w:pPr>
        <w:spacing w:before="100" w:beforeAutospacing="1" w:after="100" w:afterAutospacing="1" w:line="240" w:lineRule="auto"/>
        <w:rPr>
          <w:rFonts w:ascii="Times New Roman" w:eastAsia="Times New Roman" w:hAnsi="Times New Roman" w:cs="Times New Roman"/>
          <w:sz w:val="24"/>
          <w:szCs w:val="24"/>
          <w:lang w:eastAsia="en-GB"/>
        </w:rPr>
      </w:pPr>
      <w:r w:rsidRPr="00875933">
        <w:rPr>
          <w:rFonts w:ascii="Times New Roman" w:eastAsia="Times New Roman" w:hAnsi="Times New Roman" w:cs="Times New Roman"/>
          <w:b/>
          <w:bCs/>
          <w:sz w:val="24"/>
          <w:szCs w:val="24"/>
          <w:lang w:eastAsia="en-GB"/>
        </w:rPr>
        <w:t xml:space="preserve">Table 3. Nanoparticle-based applications of </w:t>
      </w:r>
      <w:r w:rsidRPr="00875933">
        <w:rPr>
          <w:rFonts w:ascii="Times New Roman" w:eastAsia="Times New Roman" w:hAnsi="Times New Roman" w:cs="Times New Roman"/>
          <w:b/>
          <w:bCs/>
          <w:i/>
          <w:iCs/>
          <w:sz w:val="24"/>
          <w:szCs w:val="24"/>
          <w:lang w:eastAsia="en-GB"/>
        </w:rPr>
        <w:t>Acalypha indica</w:t>
      </w:r>
      <w:r w:rsidRPr="00875933">
        <w:rPr>
          <w:rFonts w:ascii="Times New Roman" w:eastAsia="Times New Roman" w:hAnsi="Times New Roman" w:cs="Times New Roman"/>
          <w:b/>
          <w:bCs/>
          <w:sz w:val="24"/>
          <w:szCs w:val="24"/>
          <w:lang w:eastAsia="en-GB"/>
        </w:rPr>
        <w:t xml:space="preserve"> leaf extract</w:t>
      </w:r>
    </w:p>
    <w:tbl>
      <w:tblPr>
        <w:tblStyle w:val="TableGrid"/>
        <w:tblW w:w="0" w:type="auto"/>
        <w:tblLook w:val="04A0" w:firstRow="1" w:lastRow="0" w:firstColumn="1" w:lastColumn="0" w:noHBand="0" w:noVBand="1"/>
      </w:tblPr>
      <w:tblGrid>
        <w:gridCol w:w="1975"/>
        <w:gridCol w:w="2221"/>
        <w:gridCol w:w="2152"/>
        <w:gridCol w:w="2894"/>
      </w:tblGrid>
      <w:tr w:rsidR="00426A47" w:rsidRPr="00875933" w14:paraId="2F8DD7CA" w14:textId="77777777" w:rsidTr="00875933">
        <w:tc>
          <w:tcPr>
            <w:tcW w:w="0" w:type="auto"/>
            <w:hideMark/>
          </w:tcPr>
          <w:p w14:paraId="00E6720C" w14:textId="77777777" w:rsidR="00426A47" w:rsidRPr="00875933" w:rsidRDefault="00426A47" w:rsidP="00426A47">
            <w:pPr>
              <w:jc w:val="center"/>
              <w:rPr>
                <w:rFonts w:ascii="Times New Roman" w:eastAsia="Times New Roman" w:hAnsi="Times New Roman" w:cs="Times New Roman"/>
                <w:b/>
                <w:bCs/>
                <w:sz w:val="24"/>
                <w:szCs w:val="24"/>
                <w:lang w:eastAsia="en-GB"/>
              </w:rPr>
            </w:pPr>
            <w:r w:rsidRPr="00875933">
              <w:rPr>
                <w:rFonts w:ascii="Times New Roman" w:eastAsia="Times New Roman" w:hAnsi="Times New Roman" w:cs="Times New Roman"/>
                <w:b/>
                <w:bCs/>
                <w:sz w:val="24"/>
                <w:szCs w:val="24"/>
                <w:lang w:eastAsia="en-GB"/>
              </w:rPr>
              <w:t>Nanomaterial</w:t>
            </w:r>
          </w:p>
        </w:tc>
        <w:tc>
          <w:tcPr>
            <w:tcW w:w="0" w:type="auto"/>
            <w:hideMark/>
          </w:tcPr>
          <w:p w14:paraId="23B1DD8D" w14:textId="77777777" w:rsidR="00426A47" w:rsidRPr="00875933" w:rsidRDefault="00426A47" w:rsidP="00426A47">
            <w:pPr>
              <w:jc w:val="center"/>
              <w:rPr>
                <w:rFonts w:ascii="Times New Roman" w:eastAsia="Times New Roman" w:hAnsi="Times New Roman" w:cs="Times New Roman"/>
                <w:b/>
                <w:bCs/>
                <w:sz w:val="24"/>
                <w:szCs w:val="24"/>
                <w:lang w:eastAsia="en-GB"/>
              </w:rPr>
            </w:pPr>
            <w:r w:rsidRPr="00875933">
              <w:rPr>
                <w:rFonts w:ascii="Times New Roman" w:eastAsia="Times New Roman" w:hAnsi="Times New Roman" w:cs="Times New Roman"/>
                <w:b/>
                <w:bCs/>
                <w:sz w:val="24"/>
                <w:szCs w:val="24"/>
                <w:lang w:eastAsia="en-GB"/>
              </w:rPr>
              <w:t>Synthesis approach</w:t>
            </w:r>
          </w:p>
        </w:tc>
        <w:tc>
          <w:tcPr>
            <w:tcW w:w="0" w:type="auto"/>
            <w:hideMark/>
          </w:tcPr>
          <w:p w14:paraId="798D1D9F" w14:textId="77777777" w:rsidR="00426A47" w:rsidRPr="00875933" w:rsidRDefault="00426A47" w:rsidP="00426A47">
            <w:pPr>
              <w:jc w:val="center"/>
              <w:rPr>
                <w:rFonts w:ascii="Times New Roman" w:eastAsia="Times New Roman" w:hAnsi="Times New Roman" w:cs="Times New Roman"/>
                <w:b/>
                <w:bCs/>
                <w:sz w:val="24"/>
                <w:szCs w:val="24"/>
                <w:lang w:eastAsia="en-GB"/>
              </w:rPr>
            </w:pPr>
            <w:r w:rsidRPr="00875933">
              <w:rPr>
                <w:rFonts w:ascii="Times New Roman" w:eastAsia="Times New Roman" w:hAnsi="Times New Roman" w:cs="Times New Roman"/>
                <w:b/>
                <w:bCs/>
                <w:sz w:val="24"/>
                <w:szCs w:val="24"/>
                <w:lang w:eastAsia="en-GB"/>
              </w:rPr>
              <w:t>Characterisation</w:t>
            </w:r>
          </w:p>
        </w:tc>
        <w:tc>
          <w:tcPr>
            <w:tcW w:w="0" w:type="auto"/>
            <w:hideMark/>
          </w:tcPr>
          <w:p w14:paraId="35B65955" w14:textId="77777777" w:rsidR="00426A47" w:rsidRPr="00875933" w:rsidRDefault="00426A47" w:rsidP="00426A47">
            <w:pPr>
              <w:jc w:val="center"/>
              <w:rPr>
                <w:rFonts w:ascii="Times New Roman" w:eastAsia="Times New Roman" w:hAnsi="Times New Roman" w:cs="Times New Roman"/>
                <w:b/>
                <w:bCs/>
                <w:sz w:val="24"/>
                <w:szCs w:val="24"/>
                <w:lang w:eastAsia="en-GB"/>
              </w:rPr>
            </w:pPr>
            <w:r w:rsidRPr="00875933">
              <w:rPr>
                <w:rFonts w:ascii="Times New Roman" w:eastAsia="Times New Roman" w:hAnsi="Times New Roman" w:cs="Times New Roman"/>
                <w:b/>
                <w:bCs/>
                <w:sz w:val="24"/>
                <w:szCs w:val="24"/>
                <w:lang w:eastAsia="en-GB"/>
              </w:rPr>
              <w:t>Demonstrated application</w:t>
            </w:r>
          </w:p>
        </w:tc>
      </w:tr>
      <w:tr w:rsidR="00426A47" w:rsidRPr="00875933" w14:paraId="3FEF3320" w14:textId="77777777" w:rsidTr="00875933">
        <w:tc>
          <w:tcPr>
            <w:tcW w:w="0" w:type="auto"/>
            <w:hideMark/>
          </w:tcPr>
          <w:p w14:paraId="6F9C25EA" w14:textId="77777777" w:rsidR="00426A47" w:rsidRPr="00875933" w:rsidRDefault="00426A47" w:rsidP="00426A47">
            <w:pPr>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Silver nanoparticles (~20–30 nm)</w:t>
            </w:r>
          </w:p>
        </w:tc>
        <w:tc>
          <w:tcPr>
            <w:tcW w:w="0" w:type="auto"/>
            <w:hideMark/>
          </w:tcPr>
          <w:p w14:paraId="5467716D" w14:textId="77777777" w:rsidR="00426A47" w:rsidRPr="00875933" w:rsidRDefault="00426A47" w:rsidP="00426A47">
            <w:pPr>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Aqueous leaf extract as reducing/capping agent</w:t>
            </w:r>
          </w:p>
        </w:tc>
        <w:tc>
          <w:tcPr>
            <w:tcW w:w="0" w:type="auto"/>
            <w:hideMark/>
          </w:tcPr>
          <w:p w14:paraId="1F774056" w14:textId="77777777" w:rsidR="00426A47" w:rsidRPr="00875933" w:rsidRDefault="00426A47" w:rsidP="00426A47">
            <w:pPr>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UV-Vis, SEM, XRD, EDS, HRTEM</w:t>
            </w:r>
          </w:p>
        </w:tc>
        <w:tc>
          <w:tcPr>
            <w:tcW w:w="0" w:type="auto"/>
            <w:hideMark/>
          </w:tcPr>
          <w:p w14:paraId="3CEBDFA3" w14:textId="77777777" w:rsidR="00426A47" w:rsidRPr="00875933" w:rsidRDefault="00426A47" w:rsidP="00426A47">
            <w:pPr>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 xml:space="preserve">Antibacterial activity against </w:t>
            </w:r>
            <w:r w:rsidRPr="00875933">
              <w:rPr>
                <w:rFonts w:ascii="Times New Roman" w:eastAsia="Times New Roman" w:hAnsi="Times New Roman" w:cs="Times New Roman"/>
                <w:i/>
                <w:iCs/>
                <w:sz w:val="24"/>
                <w:szCs w:val="24"/>
                <w:lang w:eastAsia="en-GB"/>
              </w:rPr>
              <w:t>E. coli</w:t>
            </w:r>
            <w:r w:rsidRPr="00875933">
              <w:rPr>
                <w:rFonts w:ascii="Times New Roman" w:eastAsia="Times New Roman" w:hAnsi="Times New Roman" w:cs="Times New Roman"/>
                <w:sz w:val="24"/>
                <w:szCs w:val="24"/>
                <w:lang w:eastAsia="en-GB"/>
              </w:rPr>
              <w:t xml:space="preserve">, </w:t>
            </w:r>
            <w:r w:rsidRPr="00875933">
              <w:rPr>
                <w:rFonts w:ascii="Times New Roman" w:eastAsia="Times New Roman" w:hAnsi="Times New Roman" w:cs="Times New Roman"/>
                <w:i/>
                <w:iCs/>
                <w:sz w:val="24"/>
                <w:szCs w:val="24"/>
                <w:lang w:eastAsia="en-GB"/>
              </w:rPr>
              <w:t>V. cholerae</w:t>
            </w:r>
          </w:p>
        </w:tc>
      </w:tr>
      <w:tr w:rsidR="00426A47" w:rsidRPr="00875933" w14:paraId="218DD299" w14:textId="77777777" w:rsidTr="00875933">
        <w:tc>
          <w:tcPr>
            <w:tcW w:w="0" w:type="auto"/>
            <w:hideMark/>
          </w:tcPr>
          <w:p w14:paraId="56893455" w14:textId="77777777" w:rsidR="00426A47" w:rsidRPr="00875933" w:rsidRDefault="00426A47" w:rsidP="00426A47">
            <w:pPr>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Herbal nanoparticles (amorphous, ~54 nm)</w:t>
            </w:r>
          </w:p>
        </w:tc>
        <w:tc>
          <w:tcPr>
            <w:tcW w:w="0" w:type="auto"/>
            <w:hideMark/>
          </w:tcPr>
          <w:p w14:paraId="68A97552" w14:textId="77777777" w:rsidR="00426A47" w:rsidRPr="00875933" w:rsidRDefault="00426A47" w:rsidP="00426A47">
            <w:pPr>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Solvent-free ball-milling of dried leaves</w:t>
            </w:r>
          </w:p>
        </w:tc>
        <w:tc>
          <w:tcPr>
            <w:tcW w:w="0" w:type="auto"/>
            <w:hideMark/>
          </w:tcPr>
          <w:p w14:paraId="4806BFD4" w14:textId="77777777" w:rsidR="00426A47" w:rsidRPr="00875933" w:rsidRDefault="00426A47" w:rsidP="00426A47">
            <w:pPr>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XRD, FTIR, UV-Vis, SEM, XRF, TEM</w:t>
            </w:r>
          </w:p>
        </w:tc>
        <w:tc>
          <w:tcPr>
            <w:tcW w:w="0" w:type="auto"/>
            <w:hideMark/>
          </w:tcPr>
          <w:p w14:paraId="45F9F737" w14:textId="77777777" w:rsidR="00426A47" w:rsidRPr="00875933" w:rsidRDefault="00426A47" w:rsidP="00426A47">
            <w:pPr>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Larvicidal activity (</w:t>
            </w:r>
            <w:r w:rsidRPr="00875933">
              <w:rPr>
                <w:rFonts w:ascii="Times New Roman" w:eastAsia="Times New Roman" w:hAnsi="Times New Roman" w:cs="Times New Roman"/>
                <w:i/>
                <w:iCs/>
                <w:sz w:val="24"/>
                <w:szCs w:val="24"/>
                <w:lang w:eastAsia="en-GB"/>
              </w:rPr>
              <w:t>Aedes</w:t>
            </w:r>
            <w:r w:rsidRPr="00875933">
              <w:rPr>
                <w:rFonts w:ascii="Times New Roman" w:eastAsia="Times New Roman" w:hAnsi="Times New Roman" w:cs="Times New Roman"/>
                <w:sz w:val="24"/>
                <w:szCs w:val="24"/>
                <w:lang w:eastAsia="en-GB"/>
              </w:rPr>
              <w:t xml:space="preserve">, </w:t>
            </w:r>
            <w:r w:rsidRPr="00875933">
              <w:rPr>
                <w:rFonts w:ascii="Times New Roman" w:eastAsia="Times New Roman" w:hAnsi="Times New Roman" w:cs="Times New Roman"/>
                <w:i/>
                <w:iCs/>
                <w:sz w:val="24"/>
                <w:szCs w:val="24"/>
                <w:lang w:eastAsia="en-GB"/>
              </w:rPr>
              <w:t>Anopheles</w:t>
            </w:r>
            <w:r w:rsidRPr="00875933">
              <w:rPr>
                <w:rFonts w:ascii="Times New Roman" w:eastAsia="Times New Roman" w:hAnsi="Times New Roman" w:cs="Times New Roman"/>
                <w:sz w:val="24"/>
                <w:szCs w:val="24"/>
                <w:lang w:eastAsia="en-GB"/>
              </w:rPr>
              <w:t xml:space="preserve">, </w:t>
            </w:r>
            <w:r w:rsidRPr="00875933">
              <w:rPr>
                <w:rFonts w:ascii="Times New Roman" w:eastAsia="Times New Roman" w:hAnsi="Times New Roman" w:cs="Times New Roman"/>
                <w:i/>
                <w:iCs/>
                <w:sz w:val="24"/>
                <w:szCs w:val="24"/>
                <w:lang w:eastAsia="en-GB"/>
              </w:rPr>
              <w:t>Culex</w:t>
            </w:r>
            <w:r w:rsidRPr="00875933">
              <w:rPr>
                <w:rFonts w:ascii="Times New Roman" w:eastAsia="Times New Roman" w:hAnsi="Times New Roman" w:cs="Times New Roman"/>
                <w:sz w:val="24"/>
                <w:szCs w:val="24"/>
                <w:lang w:eastAsia="en-GB"/>
              </w:rPr>
              <w:t xml:space="preserve">); </w:t>
            </w:r>
            <w:proofErr w:type="spellStart"/>
            <w:r w:rsidRPr="00875933">
              <w:rPr>
                <w:rFonts w:ascii="Times New Roman" w:eastAsia="Times New Roman" w:hAnsi="Times New Roman" w:cs="Times New Roman"/>
                <w:sz w:val="24"/>
                <w:szCs w:val="24"/>
                <w:lang w:eastAsia="en-GB"/>
              </w:rPr>
              <w:t>superhydrophobicity</w:t>
            </w:r>
            <w:proofErr w:type="spellEnd"/>
            <w:r w:rsidRPr="00875933">
              <w:rPr>
                <w:rFonts w:ascii="Times New Roman" w:eastAsia="Times New Roman" w:hAnsi="Times New Roman" w:cs="Times New Roman"/>
                <w:sz w:val="24"/>
                <w:szCs w:val="24"/>
                <w:lang w:eastAsia="en-GB"/>
              </w:rPr>
              <w:t>; antibacterial activity</w:t>
            </w:r>
          </w:p>
        </w:tc>
      </w:tr>
      <w:tr w:rsidR="00426A47" w:rsidRPr="00875933" w14:paraId="58067092" w14:textId="77777777" w:rsidTr="00875933">
        <w:tc>
          <w:tcPr>
            <w:tcW w:w="0" w:type="auto"/>
            <w:hideMark/>
          </w:tcPr>
          <w:p w14:paraId="58D4F459" w14:textId="77777777" w:rsidR="00426A47" w:rsidRPr="00875933" w:rsidRDefault="00426A47" w:rsidP="00426A47">
            <w:pPr>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Multifunctional silver nanoparticles</w:t>
            </w:r>
          </w:p>
        </w:tc>
        <w:tc>
          <w:tcPr>
            <w:tcW w:w="0" w:type="auto"/>
            <w:hideMark/>
          </w:tcPr>
          <w:p w14:paraId="7CAEE015" w14:textId="77777777" w:rsidR="00426A47" w:rsidRPr="00875933" w:rsidRDefault="00426A47" w:rsidP="00426A47">
            <w:pPr>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Aqueous extract, surface plasmon resonance ~436 nm</w:t>
            </w:r>
          </w:p>
        </w:tc>
        <w:tc>
          <w:tcPr>
            <w:tcW w:w="0" w:type="auto"/>
            <w:hideMark/>
          </w:tcPr>
          <w:p w14:paraId="5BD77918" w14:textId="77777777" w:rsidR="00426A47" w:rsidRPr="00875933" w:rsidRDefault="00426A47" w:rsidP="00426A47">
            <w:pPr>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UV-Vis, FTIR, TEM, zeta potential</w:t>
            </w:r>
          </w:p>
        </w:tc>
        <w:tc>
          <w:tcPr>
            <w:tcW w:w="0" w:type="auto"/>
            <w:hideMark/>
          </w:tcPr>
          <w:p w14:paraId="744D641C" w14:textId="77777777" w:rsidR="00426A47" w:rsidRPr="00875933" w:rsidRDefault="00426A47" w:rsidP="00426A47">
            <w:pPr>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Broad-spectrum antimicrobial activity (</w:t>
            </w:r>
            <w:r w:rsidRPr="00875933">
              <w:rPr>
                <w:rFonts w:ascii="Times New Roman" w:eastAsia="Times New Roman" w:hAnsi="Times New Roman" w:cs="Times New Roman"/>
                <w:i/>
                <w:iCs/>
                <w:sz w:val="24"/>
                <w:szCs w:val="24"/>
                <w:lang w:eastAsia="en-GB"/>
              </w:rPr>
              <w:t>E. coli</w:t>
            </w:r>
            <w:r w:rsidRPr="00875933">
              <w:rPr>
                <w:rFonts w:ascii="Times New Roman" w:eastAsia="Times New Roman" w:hAnsi="Times New Roman" w:cs="Times New Roman"/>
                <w:sz w:val="24"/>
                <w:szCs w:val="24"/>
                <w:lang w:eastAsia="en-GB"/>
              </w:rPr>
              <w:t xml:space="preserve">, </w:t>
            </w:r>
            <w:r w:rsidRPr="00875933">
              <w:rPr>
                <w:rFonts w:ascii="Times New Roman" w:eastAsia="Times New Roman" w:hAnsi="Times New Roman" w:cs="Times New Roman"/>
                <w:i/>
                <w:iCs/>
                <w:sz w:val="24"/>
                <w:szCs w:val="24"/>
                <w:lang w:eastAsia="en-GB"/>
              </w:rPr>
              <w:t>S. typhi</w:t>
            </w:r>
            <w:r w:rsidRPr="00875933">
              <w:rPr>
                <w:rFonts w:ascii="Times New Roman" w:eastAsia="Times New Roman" w:hAnsi="Times New Roman" w:cs="Times New Roman"/>
                <w:sz w:val="24"/>
                <w:szCs w:val="24"/>
                <w:lang w:eastAsia="en-GB"/>
              </w:rPr>
              <w:t xml:space="preserve">, </w:t>
            </w:r>
            <w:r w:rsidRPr="00875933">
              <w:rPr>
                <w:rFonts w:ascii="Times New Roman" w:eastAsia="Times New Roman" w:hAnsi="Times New Roman" w:cs="Times New Roman"/>
                <w:i/>
                <w:iCs/>
                <w:sz w:val="24"/>
                <w:szCs w:val="24"/>
                <w:lang w:eastAsia="en-GB"/>
              </w:rPr>
              <w:t>S. aureus</w:t>
            </w:r>
            <w:r w:rsidRPr="00875933">
              <w:rPr>
                <w:rFonts w:ascii="Times New Roman" w:eastAsia="Times New Roman" w:hAnsi="Times New Roman" w:cs="Times New Roman"/>
                <w:sz w:val="24"/>
                <w:szCs w:val="24"/>
                <w:lang w:eastAsia="en-GB"/>
              </w:rPr>
              <w:t xml:space="preserve">, </w:t>
            </w:r>
            <w:r w:rsidRPr="00875933">
              <w:rPr>
                <w:rFonts w:ascii="Times New Roman" w:eastAsia="Times New Roman" w:hAnsi="Times New Roman" w:cs="Times New Roman"/>
                <w:i/>
                <w:iCs/>
                <w:sz w:val="24"/>
                <w:szCs w:val="24"/>
                <w:lang w:eastAsia="en-GB"/>
              </w:rPr>
              <w:t>Streptococcus</w:t>
            </w:r>
            <w:r w:rsidRPr="00875933">
              <w:rPr>
                <w:rFonts w:ascii="Times New Roman" w:eastAsia="Times New Roman" w:hAnsi="Times New Roman" w:cs="Times New Roman"/>
                <w:sz w:val="24"/>
                <w:szCs w:val="24"/>
                <w:lang w:eastAsia="en-GB"/>
              </w:rPr>
              <w:t xml:space="preserve"> sp.)</w:t>
            </w:r>
          </w:p>
        </w:tc>
      </w:tr>
    </w:tbl>
    <w:p w14:paraId="0A19682F" w14:textId="77777777" w:rsidR="00426A47" w:rsidRPr="00875933" w:rsidRDefault="00426A47" w:rsidP="00426A47">
      <w:pPr>
        <w:spacing w:before="100" w:beforeAutospacing="1" w:after="100" w:afterAutospacing="1" w:line="240" w:lineRule="auto"/>
        <w:rPr>
          <w:rFonts w:ascii="Times New Roman" w:eastAsia="Times New Roman" w:hAnsi="Times New Roman" w:cs="Times New Roman"/>
          <w:sz w:val="24"/>
          <w:szCs w:val="24"/>
          <w:lang w:eastAsia="en-GB"/>
        </w:rPr>
      </w:pPr>
      <w:r w:rsidRPr="00875933">
        <w:rPr>
          <w:rFonts w:ascii="Times New Roman" w:eastAsia="Times New Roman" w:hAnsi="Times New Roman" w:cs="Times New Roman"/>
          <w:i/>
          <w:iCs/>
          <w:sz w:val="24"/>
          <w:szCs w:val="24"/>
          <w:lang w:eastAsia="en-GB"/>
        </w:rPr>
        <w:t xml:space="preserve">Sources: </w:t>
      </w:r>
      <w:proofErr w:type="spellStart"/>
      <w:r w:rsidRPr="00875933">
        <w:rPr>
          <w:rFonts w:ascii="Times New Roman" w:eastAsia="Times New Roman" w:hAnsi="Times New Roman" w:cs="Times New Roman"/>
          <w:i/>
          <w:iCs/>
          <w:sz w:val="24"/>
          <w:szCs w:val="24"/>
          <w:lang w:eastAsia="en-GB"/>
        </w:rPr>
        <w:t>Krishnaraj</w:t>
      </w:r>
      <w:proofErr w:type="spellEnd"/>
      <w:r w:rsidRPr="00875933">
        <w:rPr>
          <w:rFonts w:ascii="Times New Roman" w:eastAsia="Times New Roman" w:hAnsi="Times New Roman" w:cs="Times New Roman"/>
          <w:i/>
          <w:iCs/>
          <w:sz w:val="24"/>
          <w:szCs w:val="24"/>
          <w:lang w:eastAsia="en-GB"/>
        </w:rPr>
        <w:t xml:space="preserve"> et al. (2010); Karthik et al. (2017); </w:t>
      </w:r>
      <w:proofErr w:type="spellStart"/>
      <w:r w:rsidRPr="00875933">
        <w:rPr>
          <w:rFonts w:ascii="Times New Roman" w:eastAsia="Times New Roman" w:hAnsi="Times New Roman" w:cs="Times New Roman"/>
          <w:i/>
          <w:iCs/>
          <w:sz w:val="24"/>
          <w:szCs w:val="24"/>
          <w:lang w:eastAsia="en-GB"/>
        </w:rPr>
        <w:t>Sakaray</w:t>
      </w:r>
      <w:proofErr w:type="spellEnd"/>
      <w:r w:rsidRPr="00875933">
        <w:rPr>
          <w:rFonts w:ascii="Times New Roman" w:eastAsia="Times New Roman" w:hAnsi="Times New Roman" w:cs="Times New Roman"/>
          <w:i/>
          <w:iCs/>
          <w:sz w:val="24"/>
          <w:szCs w:val="24"/>
          <w:lang w:eastAsia="en-GB"/>
        </w:rPr>
        <w:t xml:space="preserve"> et al. (2024).</w:t>
      </w:r>
    </w:p>
    <w:p w14:paraId="0BBE9012" w14:textId="77777777" w:rsidR="00426A47" w:rsidRPr="00875933" w:rsidRDefault="00426A47" w:rsidP="00426A47">
      <w:pPr>
        <w:spacing w:before="100" w:beforeAutospacing="1" w:after="100" w:afterAutospacing="1" w:line="240" w:lineRule="auto"/>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 xml:space="preserve">Read together, the three rows in Table 3 trace a fairly clear trajectory: from a simple, single-purpose antibacterial nanoparticle towards progressively more sophisticated, multifunctional materials. Considered as a whole, this body of work has, in several respects, advanced more quickly towards mechanistically characterised, application-ready outputs than the conventional crude-extract pharmacology discussed in Section 4 — even as basic questions about exactly which phytochemical species are responsible for nanoparticle reduction and capping, and about the long-term biocompatibility of such formulations </w:t>
      </w:r>
      <w:r w:rsidRPr="004F1F61">
        <w:rPr>
          <w:rFonts w:ascii="Times New Roman" w:eastAsia="Times New Roman" w:hAnsi="Times New Roman" w:cs="Times New Roman"/>
          <w:i/>
          <w:iCs/>
          <w:color w:val="FF0000"/>
          <w:sz w:val="24"/>
          <w:szCs w:val="24"/>
          <w:lang w:eastAsia="en-GB"/>
        </w:rPr>
        <w:t>in vivo</w:t>
      </w:r>
      <w:r w:rsidRPr="00875933">
        <w:rPr>
          <w:rFonts w:ascii="Times New Roman" w:eastAsia="Times New Roman" w:hAnsi="Times New Roman" w:cs="Times New Roman"/>
          <w:sz w:val="24"/>
          <w:szCs w:val="24"/>
          <w:lang w:eastAsia="en-GB"/>
        </w:rPr>
        <w:t>, remain only partly resolved.</w:t>
      </w:r>
    </w:p>
    <w:p w14:paraId="28A9B079" w14:textId="77777777" w:rsidR="00426A47" w:rsidRPr="00875933" w:rsidRDefault="00426A47" w:rsidP="00426A47">
      <w:pPr>
        <w:spacing w:after="0" w:line="240" w:lineRule="auto"/>
        <w:rPr>
          <w:rFonts w:ascii="Times New Roman" w:eastAsia="Times New Roman" w:hAnsi="Times New Roman" w:cs="Times New Roman"/>
          <w:sz w:val="24"/>
          <w:szCs w:val="24"/>
          <w:lang w:eastAsia="en-GB"/>
        </w:rPr>
      </w:pPr>
    </w:p>
    <w:p w14:paraId="10E3D2B3" w14:textId="77777777" w:rsidR="00426A47" w:rsidRPr="00875933" w:rsidRDefault="00426A47" w:rsidP="00426A47">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875933">
        <w:rPr>
          <w:rFonts w:ascii="Times New Roman" w:eastAsia="Times New Roman" w:hAnsi="Times New Roman" w:cs="Times New Roman"/>
          <w:b/>
          <w:bCs/>
          <w:sz w:val="27"/>
          <w:szCs w:val="27"/>
          <w:lang w:eastAsia="en-GB"/>
        </w:rPr>
        <w:t xml:space="preserve">6. Computational and </w:t>
      </w:r>
      <w:r w:rsidRPr="004F1F61">
        <w:rPr>
          <w:rFonts w:ascii="Times New Roman" w:eastAsia="Times New Roman" w:hAnsi="Times New Roman" w:cs="Times New Roman"/>
          <w:b/>
          <w:bCs/>
          <w:i/>
          <w:iCs/>
          <w:color w:val="FF0000"/>
          <w:sz w:val="27"/>
          <w:szCs w:val="27"/>
          <w:lang w:eastAsia="en-GB"/>
        </w:rPr>
        <w:t>In Silico</w:t>
      </w:r>
      <w:r w:rsidRPr="00875933">
        <w:rPr>
          <w:rFonts w:ascii="Times New Roman" w:eastAsia="Times New Roman" w:hAnsi="Times New Roman" w:cs="Times New Roman"/>
          <w:b/>
          <w:bCs/>
          <w:sz w:val="27"/>
          <w:szCs w:val="27"/>
          <w:lang w:eastAsia="en-GB"/>
        </w:rPr>
        <w:t xml:space="preserve"> Approaches to Drug Discovery</w:t>
      </w:r>
    </w:p>
    <w:p w14:paraId="0F16CE1C" w14:textId="0B27605F" w:rsidR="00426A47" w:rsidRPr="00875933" w:rsidRDefault="00426A47" w:rsidP="00426A47">
      <w:pPr>
        <w:spacing w:before="100" w:beforeAutospacing="1" w:after="100" w:afterAutospacing="1" w:line="240" w:lineRule="auto"/>
        <w:rPr>
          <w:rFonts w:ascii="Times New Roman" w:eastAsia="Times New Roman" w:hAnsi="Times New Roman" w:cs="Times New Roman"/>
          <w:sz w:val="24"/>
          <w:szCs w:val="24"/>
          <w:lang w:eastAsia="en-GB"/>
        </w:rPr>
      </w:pPr>
      <w:r w:rsidRPr="00875933">
        <w:rPr>
          <w:rFonts w:ascii="Times New Roman" w:hAnsi="Times New Roman" w:cs="Times New Roman"/>
        </w:rPr>
        <w:t xml:space="preserve">The application of structure-based computational methods to </w:t>
      </w:r>
      <w:r w:rsidRPr="00875933">
        <w:rPr>
          <w:rFonts w:ascii="Times New Roman" w:hAnsi="Times New Roman" w:cs="Times New Roman"/>
          <w:i/>
        </w:rPr>
        <w:t>A. indica</w:t>
      </w:r>
      <w:r w:rsidRPr="00875933">
        <w:rPr>
          <w:rFonts w:ascii="Times New Roman" w:hAnsi="Times New Roman" w:cs="Times New Roman"/>
        </w:rPr>
        <w:t xml:space="preserve"> phytochemistry has expanded considerably in recent years, in step with the broader move within natural product pharmacology towards </w:t>
      </w:r>
      <w:r w:rsidRPr="004F1F61">
        <w:rPr>
          <w:rFonts w:ascii="Times New Roman" w:hAnsi="Times New Roman" w:cs="Times New Roman"/>
          <w:i/>
          <w:iCs/>
          <w:color w:val="FF0000"/>
        </w:rPr>
        <w:t>in silico</w:t>
      </w:r>
      <w:r w:rsidRPr="00875933">
        <w:rPr>
          <w:rFonts w:ascii="Times New Roman" w:hAnsi="Times New Roman" w:cs="Times New Roman"/>
        </w:rPr>
        <w:t xml:space="preserve"> target prediction as a way of focusing, and prioritising, experimental work. Molecular docking and subsequent molecular dynamics simulation of </w:t>
      </w:r>
      <w:r w:rsidRPr="004F1F61">
        <w:rPr>
          <w:rFonts w:ascii="Times New Roman" w:hAnsi="Times New Roman" w:cs="Times New Roman"/>
          <w:b/>
          <w:bCs/>
          <w:dstrike/>
        </w:rPr>
        <w:t>thirty-three</w:t>
      </w:r>
      <w:r w:rsidR="004F1F61">
        <w:rPr>
          <w:rFonts w:ascii="Times New Roman" w:hAnsi="Times New Roman" w:cs="Times New Roman"/>
        </w:rPr>
        <w:t>33</w:t>
      </w:r>
      <w:r w:rsidRPr="00875933">
        <w:rPr>
          <w:rFonts w:ascii="Times New Roman" w:hAnsi="Times New Roman" w:cs="Times New Roman"/>
        </w:rPr>
        <w:t xml:space="preserve"> phytochemical constituents of </w:t>
      </w:r>
      <w:r w:rsidRPr="00875933">
        <w:rPr>
          <w:rFonts w:ascii="Times New Roman" w:hAnsi="Times New Roman" w:cs="Times New Roman"/>
          <w:i/>
        </w:rPr>
        <w:t>A. indica</w:t>
      </w:r>
      <w:r w:rsidRPr="00875933">
        <w:rPr>
          <w:rFonts w:ascii="Times New Roman" w:hAnsi="Times New Roman" w:cs="Times New Roman"/>
        </w:rPr>
        <w:t xml:space="preserve"> against human caspase-3 identified several sterol derivatives capable of forming hydrogen-bond interactions with key catalytic residues, with binding stability across </w:t>
      </w:r>
      <w:r w:rsidRPr="00875933">
        <w:rPr>
          <w:rFonts w:ascii="Times New Roman" w:hAnsi="Times New Roman" w:cs="Times New Roman"/>
        </w:rPr>
        <w:lastRenderedPageBreak/>
        <w:t xml:space="preserve">simulated trajectories suggesting real potential for apoptosis induction in cancer cells — though the authors were careful to describe these compounds as candidate lead structures requiring experimental confirmation, not as validated therapeutic agents (Febrina et al., 2021). A follow-up study, narrowed to the flavonoid fraction of the plant, identified nicotiflorin as the most effective predicted caspase-3 activator among </w:t>
      </w:r>
      <w:r w:rsidRPr="0078481B">
        <w:rPr>
          <w:rFonts w:ascii="Times New Roman" w:hAnsi="Times New Roman" w:cs="Times New Roman"/>
          <w:b/>
          <w:bCs/>
          <w:dstrike/>
        </w:rPr>
        <w:t>ten</w:t>
      </w:r>
      <w:r w:rsidR="004F1F61">
        <w:rPr>
          <w:rFonts w:ascii="Times New Roman" w:hAnsi="Times New Roman" w:cs="Times New Roman"/>
        </w:rPr>
        <w:t>10</w:t>
      </w:r>
      <w:r w:rsidRPr="00875933">
        <w:rPr>
          <w:rFonts w:ascii="Times New Roman" w:hAnsi="Times New Roman" w:cs="Times New Roman"/>
        </w:rPr>
        <w:t xml:space="preserve"> flavonoids examined, with molecular dynamics-derived binding free energy calculations bearing out the docking-based ranking (Febrina et al., 2022). In the antimicrobial domain, molecular docking of GC-MS-identified phytocompounds against </w:t>
      </w:r>
      <w:r w:rsidRPr="00875933">
        <w:rPr>
          <w:rFonts w:ascii="Times New Roman" w:hAnsi="Times New Roman" w:cs="Times New Roman"/>
          <w:i/>
        </w:rPr>
        <w:t>S. aureus</w:t>
      </w:r>
      <w:r w:rsidRPr="00875933">
        <w:rPr>
          <w:rFonts w:ascii="Times New Roman" w:hAnsi="Times New Roman" w:cs="Times New Roman"/>
        </w:rPr>
        <w:t xml:space="preserve"> DNA gyrase B and </w:t>
      </w:r>
      <w:r w:rsidRPr="00875933">
        <w:rPr>
          <w:rFonts w:ascii="Times New Roman" w:hAnsi="Times New Roman" w:cs="Times New Roman"/>
          <w:i/>
        </w:rPr>
        <w:t>E. coli</w:t>
      </w:r>
      <w:r w:rsidRPr="00875933">
        <w:rPr>
          <w:rFonts w:ascii="Times New Roman" w:hAnsi="Times New Roman" w:cs="Times New Roman"/>
        </w:rPr>
        <w:t xml:space="preserve"> dihydrofolate reductase has provided a mechanistic complement to the empirical antibacterial findings discussed in Section 4.2 (Venkatesan &amp; Muniyan, 2026). The antifungal application of similar methodology against fungal lanosterol 14-alpha demethylase extends this computational approach to a third major therapeutic domain (Edwin et al., 2025), while the identification of corilagin as a high-affinity, experimentally confirmed inhibitor of the SARS-CoV-2 spike protein is arguably the most translationally advanced computational finding associated with the species to date, since it was accompanied by direct </w:t>
      </w:r>
      <w:r w:rsidRPr="0078481B">
        <w:rPr>
          <w:rFonts w:ascii="Times New Roman" w:hAnsi="Times New Roman" w:cs="Times New Roman"/>
          <w:i/>
          <w:iCs/>
          <w:color w:val="FF0000"/>
        </w:rPr>
        <w:t>in vitro</w:t>
      </w:r>
      <w:r w:rsidRPr="00875933">
        <w:rPr>
          <w:rFonts w:ascii="Times New Roman" w:hAnsi="Times New Roman" w:cs="Times New Roman"/>
        </w:rPr>
        <w:t xml:space="preserve"> confirmation of inhibitory potency rather than resting on docking scores alone (Al-Mahrami et al., 2024).</w:t>
      </w:r>
    </w:p>
    <w:p w14:paraId="78EDBAAC" w14:textId="351F925F" w:rsidR="00426A47" w:rsidRPr="00875933" w:rsidRDefault="00426A47" w:rsidP="00426A47">
      <w:pPr>
        <w:spacing w:before="100" w:beforeAutospacing="1" w:after="100" w:afterAutospacing="1" w:line="240" w:lineRule="auto"/>
        <w:rPr>
          <w:rFonts w:ascii="Times New Roman" w:eastAsia="Times New Roman" w:hAnsi="Times New Roman" w:cs="Times New Roman"/>
          <w:sz w:val="24"/>
          <w:szCs w:val="24"/>
          <w:lang w:eastAsia="en-GB"/>
        </w:rPr>
      </w:pPr>
      <w:r w:rsidRPr="0078481B">
        <w:rPr>
          <w:rFonts w:ascii="Times New Roman" w:eastAsia="Times New Roman" w:hAnsi="Times New Roman" w:cs="Times New Roman"/>
          <w:b/>
          <w:bCs/>
          <w:sz w:val="24"/>
          <w:szCs w:val="24"/>
          <w:lang w:eastAsia="en-GB"/>
        </w:rPr>
        <w:t>Taken together</w:t>
      </w:r>
      <w:r w:rsidRPr="00875933">
        <w:rPr>
          <w:rFonts w:ascii="Times New Roman" w:eastAsia="Times New Roman" w:hAnsi="Times New Roman" w:cs="Times New Roman"/>
          <w:sz w:val="24"/>
          <w:szCs w:val="24"/>
          <w:lang w:eastAsia="en-GB"/>
        </w:rPr>
        <w:t xml:space="preserve">, this computational literature serves a genuinely useful hypothesis-generating function, narrowing the very large pool of phytochemicals catalogued in Section 3 down to a manageable shortlist of candidate bioactive molecules. Its main limitation, common to </w:t>
      </w:r>
      <w:r w:rsidRPr="0078481B">
        <w:rPr>
          <w:rFonts w:ascii="Times New Roman" w:eastAsia="Times New Roman" w:hAnsi="Times New Roman" w:cs="Times New Roman"/>
          <w:i/>
          <w:iCs/>
          <w:color w:val="FF0000"/>
          <w:sz w:val="24"/>
          <w:szCs w:val="24"/>
          <w:lang w:eastAsia="en-GB"/>
        </w:rPr>
        <w:t>in silico</w:t>
      </w:r>
      <w:r w:rsidRPr="00875933">
        <w:rPr>
          <w:rFonts w:ascii="Times New Roman" w:eastAsia="Times New Roman" w:hAnsi="Times New Roman" w:cs="Times New Roman"/>
          <w:sz w:val="24"/>
          <w:szCs w:val="24"/>
          <w:lang w:eastAsia="en-GB"/>
        </w:rPr>
        <w:t xml:space="preserve"> drug discovery generally, is that a favourable predicted binding affinity, or a clean absorption-distribution-metabolism-excretion-toxicity profile, is necessary but nowhere</w:t>
      </w:r>
      <w:r w:rsidR="0078481B">
        <w:rPr>
          <w:rFonts w:ascii="Times New Roman" w:eastAsia="Times New Roman" w:hAnsi="Times New Roman" w:cs="Times New Roman"/>
          <w:sz w:val="24"/>
          <w:szCs w:val="24"/>
          <w:lang w:eastAsia="en-GB"/>
        </w:rPr>
        <w:t xml:space="preserve"> </w:t>
      </w:r>
      <w:r w:rsidRPr="00875933">
        <w:rPr>
          <w:rFonts w:ascii="Times New Roman" w:eastAsia="Times New Roman" w:hAnsi="Times New Roman" w:cs="Times New Roman"/>
          <w:sz w:val="24"/>
          <w:szCs w:val="24"/>
          <w:lang w:eastAsia="en-GB"/>
        </w:rPr>
        <w:t xml:space="preserve">near sufficient evidence of genuine pharmacological efficacy — and most of the specific compounds nominated through this approach for </w:t>
      </w:r>
      <w:r w:rsidRPr="00875933">
        <w:rPr>
          <w:rFonts w:ascii="Times New Roman" w:eastAsia="Times New Roman" w:hAnsi="Times New Roman" w:cs="Times New Roman"/>
          <w:i/>
          <w:iCs/>
          <w:sz w:val="24"/>
          <w:szCs w:val="24"/>
          <w:lang w:eastAsia="en-GB"/>
        </w:rPr>
        <w:t>A. indica</w:t>
      </w:r>
      <w:r w:rsidRPr="00875933">
        <w:rPr>
          <w:rFonts w:ascii="Times New Roman" w:eastAsia="Times New Roman" w:hAnsi="Times New Roman" w:cs="Times New Roman"/>
          <w:sz w:val="24"/>
          <w:szCs w:val="24"/>
          <w:lang w:eastAsia="en-GB"/>
        </w:rPr>
        <w:t xml:space="preserve"> still await experimental confirmation in cellular or animal systems.</w:t>
      </w:r>
    </w:p>
    <w:p w14:paraId="531F42A8" w14:textId="77777777" w:rsidR="00426A47" w:rsidRPr="00875933" w:rsidRDefault="00426A47" w:rsidP="00426A47">
      <w:pPr>
        <w:spacing w:after="0" w:line="240" w:lineRule="auto"/>
        <w:rPr>
          <w:rFonts w:ascii="Times New Roman" w:eastAsia="Times New Roman" w:hAnsi="Times New Roman" w:cs="Times New Roman"/>
          <w:sz w:val="24"/>
          <w:szCs w:val="24"/>
          <w:lang w:eastAsia="en-GB"/>
        </w:rPr>
      </w:pPr>
    </w:p>
    <w:p w14:paraId="714D0FB4" w14:textId="77777777" w:rsidR="00426A47" w:rsidRPr="00875933" w:rsidRDefault="00426A47" w:rsidP="00426A47">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875933">
        <w:rPr>
          <w:rFonts w:ascii="Times New Roman" w:eastAsia="Times New Roman" w:hAnsi="Times New Roman" w:cs="Times New Roman"/>
          <w:b/>
          <w:bCs/>
          <w:sz w:val="27"/>
          <w:szCs w:val="27"/>
          <w:lang w:eastAsia="en-GB"/>
        </w:rPr>
        <w:t>7. Toxicological Considerations and Safety Profile</w:t>
      </w:r>
    </w:p>
    <w:p w14:paraId="34606314" w14:textId="41CBB9F3" w:rsidR="00426A47" w:rsidRPr="00875933" w:rsidRDefault="00426A47" w:rsidP="00426A47">
      <w:pPr>
        <w:spacing w:before="100" w:beforeAutospacing="1" w:after="100" w:afterAutospacing="1" w:line="240" w:lineRule="auto"/>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 xml:space="preserve">The toxicological picture for </w:t>
      </w:r>
      <w:r w:rsidRPr="00875933">
        <w:rPr>
          <w:rFonts w:ascii="Times New Roman" w:eastAsia="Times New Roman" w:hAnsi="Times New Roman" w:cs="Times New Roman"/>
          <w:i/>
          <w:iCs/>
          <w:sz w:val="24"/>
          <w:szCs w:val="24"/>
          <w:lang w:eastAsia="en-GB"/>
        </w:rPr>
        <w:t>A. indica</w:t>
      </w:r>
      <w:r w:rsidRPr="00875933">
        <w:rPr>
          <w:rFonts w:ascii="Times New Roman" w:eastAsia="Times New Roman" w:hAnsi="Times New Roman" w:cs="Times New Roman"/>
          <w:sz w:val="24"/>
          <w:szCs w:val="24"/>
          <w:lang w:eastAsia="en-GB"/>
        </w:rPr>
        <w:t xml:space="preserve"> is notably split down the middle: controlled animal toxicity studies generally report a comfortable safety margin, while clinical case reports document occasional, but sometimes severe, adverse events following ingestion of raw or minimally processed plant material. Acute and </w:t>
      </w:r>
      <w:proofErr w:type="spellStart"/>
      <w:r w:rsidRPr="00875933">
        <w:rPr>
          <w:rFonts w:ascii="Times New Roman" w:eastAsia="Times New Roman" w:hAnsi="Times New Roman" w:cs="Times New Roman"/>
          <w:sz w:val="24"/>
          <w:szCs w:val="24"/>
          <w:lang w:eastAsia="en-GB"/>
        </w:rPr>
        <w:t>subchronic</w:t>
      </w:r>
      <w:proofErr w:type="spellEnd"/>
      <w:r w:rsidRPr="00875933">
        <w:rPr>
          <w:rFonts w:ascii="Times New Roman" w:eastAsia="Times New Roman" w:hAnsi="Times New Roman" w:cs="Times New Roman"/>
          <w:sz w:val="24"/>
          <w:szCs w:val="24"/>
          <w:lang w:eastAsia="en-GB"/>
        </w:rPr>
        <w:t xml:space="preserve"> toxicity testing of aqueous extract in Sprague Dawley rats, given daily by oral gavage over ninety days at doses from</w:t>
      </w:r>
      <w:r w:rsidR="00FD1758">
        <w:rPr>
          <w:rFonts w:ascii="Times New Roman" w:eastAsia="Times New Roman" w:hAnsi="Times New Roman" w:cs="Times New Roman"/>
          <w:sz w:val="24"/>
          <w:szCs w:val="24"/>
          <w:lang w:eastAsia="en-GB"/>
        </w:rPr>
        <w:t xml:space="preserve"> </w:t>
      </w:r>
      <w:r w:rsidR="00FD1758" w:rsidRPr="00FD1758">
        <w:rPr>
          <w:rFonts w:ascii="Times New Roman" w:eastAsia="Times New Roman" w:hAnsi="Times New Roman" w:cs="Times New Roman"/>
          <w:color w:val="7030A0"/>
          <w:sz w:val="24"/>
          <w:szCs w:val="24"/>
          <w:lang w:eastAsia="en-GB"/>
        </w:rPr>
        <w:t>1</w:t>
      </w:r>
      <w:r w:rsidR="00FD1758" w:rsidRPr="00FD1758">
        <w:rPr>
          <w:rFonts w:ascii="Times New Roman" w:eastAsia="Times New Roman" w:hAnsi="Times New Roman" w:cs="Times New Roman"/>
          <w:color w:val="7030A0"/>
          <w:sz w:val="24"/>
          <w:szCs w:val="24"/>
          <w:lang w:eastAsia="en-GB"/>
        </w:rPr>
        <w:t>00 to 300</w:t>
      </w:r>
      <w:r w:rsidR="00FD1758" w:rsidRPr="00FD1758">
        <w:rPr>
          <w:rFonts w:ascii="Times New Roman" w:eastAsia="Times New Roman" w:hAnsi="Times New Roman" w:cs="Times New Roman"/>
          <w:color w:val="7030A0"/>
          <w:sz w:val="24"/>
          <w:szCs w:val="24"/>
          <w:lang w:eastAsia="en-GB"/>
        </w:rPr>
        <w:t xml:space="preserve"> mg/kg </w:t>
      </w:r>
      <w:r w:rsidRPr="00875933">
        <w:rPr>
          <w:rFonts w:ascii="Times New Roman" w:eastAsia="Times New Roman" w:hAnsi="Times New Roman" w:cs="Times New Roman"/>
          <w:sz w:val="24"/>
          <w:szCs w:val="24"/>
          <w:lang w:eastAsia="en-GB"/>
        </w:rPr>
        <w:t>of body weight, recorded no overt toxicity and no mortality, and no statistically significant difference from control animals in body weight gain or food and water intake — with only minor, clinically inconsequential changes in renal biochemical markers at the highest dose tested (</w:t>
      </w:r>
      <w:proofErr w:type="spellStart"/>
      <w:r w:rsidRPr="00875933">
        <w:rPr>
          <w:rFonts w:ascii="Times New Roman" w:eastAsia="Times New Roman" w:hAnsi="Times New Roman" w:cs="Times New Roman"/>
          <w:sz w:val="24"/>
          <w:szCs w:val="24"/>
          <w:lang w:eastAsia="en-GB"/>
        </w:rPr>
        <w:t>Hazali</w:t>
      </w:r>
      <w:proofErr w:type="spellEnd"/>
      <w:r w:rsidRPr="00875933">
        <w:rPr>
          <w:rFonts w:ascii="Times New Roman" w:eastAsia="Times New Roman" w:hAnsi="Times New Roman" w:cs="Times New Roman"/>
          <w:sz w:val="24"/>
          <w:szCs w:val="24"/>
          <w:lang w:eastAsia="en-GB"/>
        </w:rPr>
        <w:t xml:space="preserve"> et al., 2016). This reassuring preclinical picture sits in some tension with a substantial clinical case literature describing acute oxidative haemolysis and </w:t>
      </w:r>
      <w:proofErr w:type="spellStart"/>
      <w:r w:rsidRPr="00875933">
        <w:rPr>
          <w:rFonts w:ascii="Times New Roman" w:eastAsia="Times New Roman" w:hAnsi="Times New Roman" w:cs="Times New Roman"/>
          <w:sz w:val="24"/>
          <w:szCs w:val="24"/>
          <w:lang w:eastAsia="en-GB"/>
        </w:rPr>
        <w:t>methaemoglobinaemia</w:t>
      </w:r>
      <w:proofErr w:type="spellEnd"/>
      <w:r w:rsidRPr="00875933">
        <w:rPr>
          <w:rFonts w:ascii="Times New Roman" w:eastAsia="Times New Roman" w:hAnsi="Times New Roman" w:cs="Times New Roman"/>
          <w:sz w:val="24"/>
          <w:szCs w:val="24"/>
          <w:lang w:eastAsia="en-GB"/>
        </w:rPr>
        <w:t xml:space="preserve"> following ingestion of </w:t>
      </w:r>
      <w:r w:rsidRPr="00875933">
        <w:rPr>
          <w:rFonts w:ascii="Times New Roman" w:eastAsia="Times New Roman" w:hAnsi="Times New Roman" w:cs="Times New Roman"/>
          <w:i/>
          <w:iCs/>
          <w:sz w:val="24"/>
          <w:szCs w:val="24"/>
          <w:lang w:eastAsia="en-GB"/>
        </w:rPr>
        <w:t>A. indica</w:t>
      </w:r>
      <w:r w:rsidRPr="00875933">
        <w:rPr>
          <w:rFonts w:ascii="Times New Roman" w:eastAsia="Times New Roman" w:hAnsi="Times New Roman" w:cs="Times New Roman"/>
          <w:sz w:val="24"/>
          <w:szCs w:val="24"/>
          <w:lang w:eastAsia="en-GB"/>
        </w:rPr>
        <w:t xml:space="preserve">, predominantly, though not exclusively, in people with underlying glucose-6-phosphate dehydrogenase (G6PD) deficiency. The largest available case series, drawn from poison centre referrals across multiple hospitals over an eight-year period, identified eight affected patients, mostly male, all presenting with dark urine and haemolysis; seven of the eight were diagnosed with </w:t>
      </w:r>
      <w:proofErr w:type="spellStart"/>
      <w:r w:rsidRPr="00875933">
        <w:rPr>
          <w:rFonts w:ascii="Times New Roman" w:eastAsia="Times New Roman" w:hAnsi="Times New Roman" w:cs="Times New Roman"/>
          <w:sz w:val="24"/>
          <w:szCs w:val="24"/>
          <w:lang w:eastAsia="en-GB"/>
        </w:rPr>
        <w:t>methaemoglobinaemia</w:t>
      </w:r>
      <w:proofErr w:type="spellEnd"/>
      <w:r w:rsidRPr="00875933">
        <w:rPr>
          <w:rFonts w:ascii="Times New Roman" w:eastAsia="Times New Roman" w:hAnsi="Times New Roman" w:cs="Times New Roman"/>
          <w:sz w:val="24"/>
          <w:szCs w:val="24"/>
          <w:lang w:eastAsia="en-GB"/>
        </w:rPr>
        <w:t xml:space="preserve">, with the diagnosis confirmed and quantified in five of these seven, where levels reached as high as </w:t>
      </w:r>
      <w:r w:rsidRPr="00FD1758">
        <w:rPr>
          <w:rFonts w:ascii="Times New Roman" w:eastAsia="Times New Roman" w:hAnsi="Times New Roman" w:cs="Times New Roman"/>
          <w:b/>
          <w:bCs/>
          <w:dstrike/>
          <w:sz w:val="24"/>
          <w:szCs w:val="24"/>
          <w:lang w:eastAsia="en-GB"/>
        </w:rPr>
        <w:t>23.9 per cent</w:t>
      </w:r>
      <w:r w:rsidR="00FD1758" w:rsidRPr="00FD1758">
        <w:rPr>
          <w:rFonts w:ascii="Times New Roman" w:eastAsia="Times New Roman" w:hAnsi="Times New Roman" w:cs="Times New Roman"/>
          <w:b/>
          <w:bCs/>
          <w:dstrike/>
          <w:sz w:val="24"/>
          <w:szCs w:val="24"/>
          <w:lang w:eastAsia="en-GB"/>
        </w:rPr>
        <w:t xml:space="preserve"> </w:t>
      </w:r>
      <w:r w:rsidR="00FD1758" w:rsidRPr="00875933">
        <w:rPr>
          <w:rFonts w:ascii="Times New Roman" w:eastAsia="Times New Roman" w:hAnsi="Times New Roman" w:cs="Times New Roman"/>
          <w:sz w:val="24"/>
          <w:szCs w:val="24"/>
          <w:lang w:eastAsia="en-GB"/>
        </w:rPr>
        <w:t>23.9</w:t>
      </w:r>
      <w:r w:rsidR="00FD1758">
        <w:rPr>
          <w:rFonts w:ascii="Times New Roman" w:eastAsia="Times New Roman" w:hAnsi="Times New Roman" w:cs="Times New Roman"/>
          <w:sz w:val="24"/>
          <w:szCs w:val="24"/>
          <w:lang w:eastAsia="en-GB"/>
        </w:rPr>
        <w:t>%</w:t>
      </w:r>
      <w:r w:rsidRPr="00875933">
        <w:rPr>
          <w:rFonts w:ascii="Times New Roman" w:eastAsia="Times New Roman" w:hAnsi="Times New Roman" w:cs="Times New Roman"/>
          <w:sz w:val="24"/>
          <w:szCs w:val="24"/>
          <w:lang w:eastAsia="en-GB"/>
        </w:rPr>
        <w:t>, and symptom onset typically occurring within twenty-four hours of the most recent ingested dose (</w:t>
      </w:r>
      <w:proofErr w:type="spellStart"/>
      <w:r w:rsidRPr="00875933">
        <w:rPr>
          <w:rFonts w:ascii="Times New Roman" w:eastAsia="Times New Roman" w:hAnsi="Times New Roman" w:cs="Times New Roman"/>
          <w:sz w:val="24"/>
          <w:szCs w:val="24"/>
          <w:lang w:eastAsia="en-GB"/>
        </w:rPr>
        <w:t>Pradoo</w:t>
      </w:r>
      <w:proofErr w:type="spellEnd"/>
      <w:r w:rsidRPr="00875933">
        <w:rPr>
          <w:rFonts w:ascii="Times New Roman" w:eastAsia="Times New Roman" w:hAnsi="Times New Roman" w:cs="Times New Roman"/>
          <w:sz w:val="24"/>
          <w:szCs w:val="24"/>
          <w:lang w:eastAsia="en-GB"/>
        </w:rPr>
        <w:t xml:space="preserve"> et al., 2020). This case series is notable for flagging </w:t>
      </w:r>
      <w:proofErr w:type="spellStart"/>
      <w:r w:rsidRPr="00875933">
        <w:rPr>
          <w:rFonts w:ascii="Times New Roman" w:eastAsia="Times New Roman" w:hAnsi="Times New Roman" w:cs="Times New Roman"/>
          <w:sz w:val="24"/>
          <w:szCs w:val="24"/>
          <w:lang w:eastAsia="en-GB"/>
        </w:rPr>
        <w:t>methaemoglobinaemia</w:t>
      </w:r>
      <w:proofErr w:type="spellEnd"/>
      <w:r w:rsidRPr="00875933">
        <w:rPr>
          <w:rFonts w:ascii="Times New Roman" w:eastAsia="Times New Roman" w:hAnsi="Times New Roman" w:cs="Times New Roman"/>
          <w:sz w:val="24"/>
          <w:szCs w:val="24"/>
          <w:lang w:eastAsia="en-GB"/>
        </w:rPr>
        <w:t xml:space="preserve"> as a previously underappreciated complication of </w:t>
      </w:r>
      <w:r w:rsidRPr="00875933">
        <w:rPr>
          <w:rFonts w:ascii="Times New Roman" w:eastAsia="Times New Roman" w:hAnsi="Times New Roman" w:cs="Times New Roman"/>
          <w:i/>
          <w:iCs/>
          <w:sz w:val="24"/>
          <w:szCs w:val="24"/>
          <w:lang w:eastAsia="en-GB"/>
        </w:rPr>
        <w:t>A. indica</w:t>
      </w:r>
      <w:r w:rsidRPr="00875933">
        <w:rPr>
          <w:rFonts w:ascii="Times New Roman" w:eastAsia="Times New Roman" w:hAnsi="Times New Roman" w:cs="Times New Roman"/>
          <w:sz w:val="24"/>
          <w:szCs w:val="24"/>
          <w:lang w:eastAsia="en-GB"/>
        </w:rPr>
        <w:t xml:space="preserve"> toxicity, distinct from the haemolytic crisis classically linked to G6PD deficiency; the authors tentatively point to specific plant constituents, including quinone derivatives and </w:t>
      </w:r>
      <w:proofErr w:type="spellStart"/>
      <w:r w:rsidRPr="00875933">
        <w:rPr>
          <w:rFonts w:ascii="Times New Roman" w:eastAsia="Times New Roman" w:hAnsi="Times New Roman" w:cs="Times New Roman"/>
          <w:sz w:val="24"/>
          <w:szCs w:val="24"/>
          <w:lang w:eastAsia="en-GB"/>
        </w:rPr>
        <w:t>methylanthraquinone</w:t>
      </w:r>
      <w:proofErr w:type="spellEnd"/>
      <w:r w:rsidRPr="00875933">
        <w:rPr>
          <w:rFonts w:ascii="Times New Roman" w:eastAsia="Times New Roman" w:hAnsi="Times New Roman" w:cs="Times New Roman"/>
          <w:sz w:val="24"/>
          <w:szCs w:val="24"/>
          <w:lang w:eastAsia="en-GB"/>
        </w:rPr>
        <w:t xml:space="preserve"> compounds, as possible causes, though </w:t>
      </w:r>
      <w:r w:rsidRPr="00875933">
        <w:rPr>
          <w:rFonts w:ascii="Times New Roman" w:eastAsia="Times New Roman" w:hAnsi="Times New Roman" w:cs="Times New Roman"/>
          <w:sz w:val="24"/>
          <w:szCs w:val="24"/>
          <w:lang w:eastAsia="en-GB"/>
        </w:rPr>
        <w:lastRenderedPageBreak/>
        <w:t>definitive mechanistic confirmation is still lacking (</w:t>
      </w:r>
      <w:proofErr w:type="spellStart"/>
      <w:r w:rsidRPr="00875933">
        <w:rPr>
          <w:rFonts w:ascii="Times New Roman" w:eastAsia="Times New Roman" w:hAnsi="Times New Roman" w:cs="Times New Roman"/>
          <w:sz w:val="24"/>
          <w:szCs w:val="24"/>
          <w:lang w:eastAsia="en-GB"/>
        </w:rPr>
        <w:t>Pradoo</w:t>
      </w:r>
      <w:proofErr w:type="spellEnd"/>
      <w:r w:rsidRPr="00875933">
        <w:rPr>
          <w:rFonts w:ascii="Times New Roman" w:eastAsia="Times New Roman" w:hAnsi="Times New Roman" w:cs="Times New Roman"/>
          <w:sz w:val="24"/>
          <w:szCs w:val="24"/>
          <w:lang w:eastAsia="en-GB"/>
        </w:rPr>
        <w:t xml:space="preserve"> et al., 2020). This pattern of </w:t>
      </w:r>
      <w:r w:rsidRPr="00875933">
        <w:rPr>
          <w:rFonts w:ascii="Times New Roman" w:eastAsia="Times New Roman" w:hAnsi="Times New Roman" w:cs="Times New Roman"/>
          <w:i/>
          <w:iCs/>
          <w:sz w:val="24"/>
          <w:szCs w:val="24"/>
          <w:lang w:eastAsia="en-GB"/>
        </w:rPr>
        <w:t>Acalypha</w:t>
      </w:r>
      <w:r w:rsidRPr="00875933">
        <w:rPr>
          <w:rFonts w:ascii="Times New Roman" w:eastAsia="Times New Roman" w:hAnsi="Times New Roman" w:cs="Times New Roman"/>
          <w:sz w:val="24"/>
          <w:szCs w:val="24"/>
          <w:lang w:eastAsia="en-GB"/>
        </w:rPr>
        <w:t xml:space="preserve">-induced oxidative haemolysis in G6PD-deficient individuals has a fairly long clinical record: an early account from Sri Lanka documents acute intravascular haemolysis following ingestion of herbal broth containing the plant (Senanayake &amp; </w:t>
      </w:r>
      <w:proofErr w:type="spellStart"/>
      <w:r w:rsidRPr="00875933">
        <w:rPr>
          <w:rFonts w:ascii="Times New Roman" w:eastAsia="Times New Roman" w:hAnsi="Times New Roman" w:cs="Times New Roman"/>
          <w:sz w:val="24"/>
          <w:szCs w:val="24"/>
          <w:lang w:eastAsia="en-GB"/>
        </w:rPr>
        <w:t>Sanmuganathan</w:t>
      </w:r>
      <w:proofErr w:type="spellEnd"/>
      <w:r w:rsidRPr="00875933">
        <w:rPr>
          <w:rFonts w:ascii="Times New Roman" w:eastAsia="Times New Roman" w:hAnsi="Times New Roman" w:cs="Times New Roman"/>
          <w:sz w:val="24"/>
          <w:szCs w:val="24"/>
          <w:lang w:eastAsia="en-GB"/>
        </w:rPr>
        <w:t>, 1996), and more recent case reports continue to describe the phenomenon, including a paediatric and maternal dual presentation managed successfully with supportive care and blood transfusion (</w:t>
      </w:r>
      <w:proofErr w:type="spellStart"/>
      <w:r w:rsidRPr="00875933">
        <w:rPr>
          <w:rFonts w:ascii="Times New Roman" w:eastAsia="Times New Roman" w:hAnsi="Times New Roman" w:cs="Times New Roman"/>
          <w:sz w:val="24"/>
          <w:szCs w:val="24"/>
          <w:lang w:eastAsia="en-GB"/>
        </w:rPr>
        <w:t>Ehelepola</w:t>
      </w:r>
      <w:proofErr w:type="spellEnd"/>
      <w:r w:rsidRPr="00875933">
        <w:rPr>
          <w:rFonts w:ascii="Times New Roman" w:eastAsia="Times New Roman" w:hAnsi="Times New Roman" w:cs="Times New Roman"/>
          <w:sz w:val="24"/>
          <w:szCs w:val="24"/>
          <w:lang w:eastAsia="en-GB"/>
        </w:rPr>
        <w:t xml:space="preserve"> et al., 2018), and a further case complicated by concurrent acute kidney injury and infective endocarditis that shows how readily </w:t>
      </w:r>
      <w:r w:rsidRPr="00875933">
        <w:rPr>
          <w:rFonts w:ascii="Times New Roman" w:eastAsia="Times New Roman" w:hAnsi="Times New Roman" w:cs="Times New Roman"/>
          <w:i/>
          <w:iCs/>
          <w:sz w:val="24"/>
          <w:szCs w:val="24"/>
          <w:lang w:eastAsia="en-GB"/>
        </w:rPr>
        <w:t>Acalypha</w:t>
      </w:r>
      <w:r w:rsidRPr="00875933">
        <w:rPr>
          <w:rFonts w:ascii="Times New Roman" w:eastAsia="Times New Roman" w:hAnsi="Times New Roman" w:cs="Times New Roman"/>
          <w:sz w:val="24"/>
          <w:szCs w:val="24"/>
          <w:lang w:eastAsia="en-GB"/>
        </w:rPr>
        <w:t xml:space="preserve">-induced haemolysis can present alongside, and be confused with, other acute systemic illnesses endemic to the region, such as leptospirosis (Charles et al., 2024). The geographic clustering of these reports — predominantly from Sri Lanka and Thailand, where the plant continues to be consumed as an herbal broth or vegetable — suggests that the toxicological risk of </w:t>
      </w:r>
      <w:r w:rsidRPr="00875933">
        <w:rPr>
          <w:rFonts w:ascii="Times New Roman" w:eastAsia="Times New Roman" w:hAnsi="Times New Roman" w:cs="Times New Roman"/>
          <w:i/>
          <w:iCs/>
          <w:sz w:val="24"/>
          <w:szCs w:val="24"/>
          <w:lang w:eastAsia="en-GB"/>
        </w:rPr>
        <w:t>A. indica</w:t>
      </w:r>
      <w:r w:rsidRPr="00875933">
        <w:rPr>
          <w:rFonts w:ascii="Times New Roman" w:eastAsia="Times New Roman" w:hAnsi="Times New Roman" w:cs="Times New Roman"/>
          <w:sz w:val="24"/>
          <w:szCs w:val="24"/>
          <w:lang w:eastAsia="en-GB"/>
        </w:rPr>
        <w:t xml:space="preserve"> is not merely a theoretical worry stemming from its cyanogenic chemistry, but a recurring, clinically significant public health issue wherever traditional consumption persists alongside a meaningful prevalence of G6PD deficiency in the population.</w:t>
      </w:r>
    </w:p>
    <w:p w14:paraId="70C5C550" w14:textId="77777777" w:rsidR="00426A47" w:rsidRPr="00875933" w:rsidRDefault="00426A47" w:rsidP="00426A47">
      <w:pPr>
        <w:spacing w:before="100" w:beforeAutospacing="1" w:after="100" w:afterAutospacing="1" w:line="240" w:lineRule="auto"/>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 xml:space="preserve">Table 4 summarises these toxicological findings, from the reassuring </w:t>
      </w:r>
      <w:proofErr w:type="spellStart"/>
      <w:r w:rsidRPr="00875933">
        <w:rPr>
          <w:rFonts w:ascii="Times New Roman" w:eastAsia="Times New Roman" w:hAnsi="Times New Roman" w:cs="Times New Roman"/>
          <w:sz w:val="24"/>
          <w:szCs w:val="24"/>
          <w:lang w:eastAsia="en-GB"/>
        </w:rPr>
        <w:t>subchronic</w:t>
      </w:r>
      <w:proofErr w:type="spellEnd"/>
      <w:r w:rsidRPr="00875933">
        <w:rPr>
          <w:rFonts w:ascii="Times New Roman" w:eastAsia="Times New Roman" w:hAnsi="Times New Roman" w:cs="Times New Roman"/>
          <w:sz w:val="24"/>
          <w:szCs w:val="24"/>
          <w:lang w:eastAsia="en-GB"/>
        </w:rPr>
        <w:t xml:space="preserve"> rodent data through to the clinical case literature documenting genuine human harm.</w:t>
      </w:r>
    </w:p>
    <w:p w14:paraId="6E2F801A" w14:textId="77777777" w:rsidR="00426A47" w:rsidRPr="00875933" w:rsidRDefault="00426A47" w:rsidP="00426A47">
      <w:pPr>
        <w:spacing w:before="100" w:beforeAutospacing="1" w:after="100" w:afterAutospacing="1" w:line="240" w:lineRule="auto"/>
        <w:rPr>
          <w:rFonts w:ascii="Times New Roman" w:eastAsia="Times New Roman" w:hAnsi="Times New Roman" w:cs="Times New Roman"/>
          <w:sz w:val="24"/>
          <w:szCs w:val="24"/>
          <w:lang w:eastAsia="en-GB"/>
        </w:rPr>
      </w:pPr>
      <w:r w:rsidRPr="00875933">
        <w:rPr>
          <w:rFonts w:ascii="Times New Roman" w:eastAsia="Times New Roman" w:hAnsi="Times New Roman" w:cs="Times New Roman"/>
          <w:b/>
          <w:bCs/>
          <w:sz w:val="24"/>
          <w:szCs w:val="24"/>
          <w:lang w:eastAsia="en-GB"/>
        </w:rPr>
        <w:t xml:space="preserve">Table 4. Toxicological and safety findings for </w:t>
      </w:r>
      <w:r w:rsidRPr="00875933">
        <w:rPr>
          <w:rFonts w:ascii="Times New Roman" w:eastAsia="Times New Roman" w:hAnsi="Times New Roman" w:cs="Times New Roman"/>
          <w:b/>
          <w:bCs/>
          <w:i/>
          <w:iCs/>
          <w:sz w:val="24"/>
          <w:szCs w:val="24"/>
          <w:lang w:eastAsia="en-GB"/>
        </w:rPr>
        <w:t>Acalypha indica</w:t>
      </w:r>
    </w:p>
    <w:tbl>
      <w:tblPr>
        <w:tblStyle w:val="TableGrid"/>
        <w:tblW w:w="0" w:type="auto"/>
        <w:tblLook w:val="04A0" w:firstRow="1" w:lastRow="0" w:firstColumn="1" w:lastColumn="0" w:noHBand="0" w:noVBand="1"/>
      </w:tblPr>
      <w:tblGrid>
        <w:gridCol w:w="2114"/>
        <w:gridCol w:w="2258"/>
        <w:gridCol w:w="4870"/>
      </w:tblGrid>
      <w:tr w:rsidR="00426A47" w:rsidRPr="00875933" w14:paraId="1204D9C6" w14:textId="77777777" w:rsidTr="00875933">
        <w:tc>
          <w:tcPr>
            <w:tcW w:w="0" w:type="auto"/>
            <w:hideMark/>
          </w:tcPr>
          <w:p w14:paraId="2F5250F8" w14:textId="77777777" w:rsidR="00426A47" w:rsidRPr="00875933" w:rsidRDefault="00426A47" w:rsidP="00426A47">
            <w:pPr>
              <w:jc w:val="center"/>
              <w:rPr>
                <w:rFonts w:ascii="Times New Roman" w:eastAsia="Times New Roman" w:hAnsi="Times New Roman" w:cs="Times New Roman"/>
                <w:b/>
                <w:bCs/>
                <w:sz w:val="24"/>
                <w:szCs w:val="24"/>
                <w:lang w:eastAsia="en-GB"/>
              </w:rPr>
            </w:pPr>
            <w:r w:rsidRPr="00875933">
              <w:rPr>
                <w:rFonts w:ascii="Times New Roman" w:eastAsia="Times New Roman" w:hAnsi="Times New Roman" w:cs="Times New Roman"/>
                <w:b/>
                <w:bCs/>
                <w:sz w:val="24"/>
                <w:szCs w:val="24"/>
                <w:lang w:eastAsia="en-GB"/>
              </w:rPr>
              <w:t>Study type</w:t>
            </w:r>
          </w:p>
        </w:tc>
        <w:tc>
          <w:tcPr>
            <w:tcW w:w="0" w:type="auto"/>
            <w:hideMark/>
          </w:tcPr>
          <w:p w14:paraId="03F906C0" w14:textId="77777777" w:rsidR="00426A47" w:rsidRPr="00875933" w:rsidRDefault="00426A47" w:rsidP="00426A47">
            <w:pPr>
              <w:jc w:val="center"/>
              <w:rPr>
                <w:rFonts w:ascii="Times New Roman" w:eastAsia="Times New Roman" w:hAnsi="Times New Roman" w:cs="Times New Roman"/>
                <w:b/>
                <w:bCs/>
                <w:sz w:val="24"/>
                <w:szCs w:val="24"/>
                <w:lang w:eastAsia="en-GB"/>
              </w:rPr>
            </w:pPr>
            <w:r w:rsidRPr="00875933">
              <w:rPr>
                <w:rFonts w:ascii="Times New Roman" w:eastAsia="Times New Roman" w:hAnsi="Times New Roman" w:cs="Times New Roman"/>
                <w:b/>
                <w:bCs/>
                <w:sz w:val="24"/>
                <w:szCs w:val="24"/>
                <w:lang w:eastAsia="en-GB"/>
              </w:rPr>
              <w:t>Population / model</w:t>
            </w:r>
          </w:p>
        </w:tc>
        <w:tc>
          <w:tcPr>
            <w:tcW w:w="0" w:type="auto"/>
            <w:hideMark/>
          </w:tcPr>
          <w:p w14:paraId="0384A043" w14:textId="77777777" w:rsidR="00426A47" w:rsidRPr="00875933" w:rsidRDefault="00426A47" w:rsidP="00426A47">
            <w:pPr>
              <w:jc w:val="center"/>
              <w:rPr>
                <w:rFonts w:ascii="Times New Roman" w:eastAsia="Times New Roman" w:hAnsi="Times New Roman" w:cs="Times New Roman"/>
                <w:b/>
                <w:bCs/>
                <w:sz w:val="24"/>
                <w:szCs w:val="24"/>
                <w:lang w:eastAsia="en-GB"/>
              </w:rPr>
            </w:pPr>
            <w:r w:rsidRPr="00875933">
              <w:rPr>
                <w:rFonts w:ascii="Times New Roman" w:eastAsia="Times New Roman" w:hAnsi="Times New Roman" w:cs="Times New Roman"/>
                <w:b/>
                <w:bCs/>
                <w:sz w:val="24"/>
                <w:szCs w:val="24"/>
                <w:lang w:eastAsia="en-GB"/>
              </w:rPr>
              <w:t>Key finding</w:t>
            </w:r>
          </w:p>
        </w:tc>
      </w:tr>
      <w:tr w:rsidR="00426A47" w:rsidRPr="00875933" w14:paraId="203F0F67" w14:textId="77777777" w:rsidTr="00875933">
        <w:tc>
          <w:tcPr>
            <w:tcW w:w="0" w:type="auto"/>
            <w:hideMark/>
          </w:tcPr>
          <w:p w14:paraId="5F233394" w14:textId="77777777" w:rsidR="00426A47" w:rsidRPr="00875933" w:rsidRDefault="00426A47" w:rsidP="00426A47">
            <w:pPr>
              <w:rPr>
                <w:rFonts w:ascii="Times New Roman" w:eastAsia="Times New Roman" w:hAnsi="Times New Roman" w:cs="Times New Roman"/>
                <w:sz w:val="24"/>
                <w:szCs w:val="24"/>
                <w:lang w:eastAsia="en-GB"/>
              </w:rPr>
            </w:pPr>
            <w:proofErr w:type="spellStart"/>
            <w:r w:rsidRPr="00875933">
              <w:rPr>
                <w:rFonts w:ascii="Times New Roman" w:eastAsia="Times New Roman" w:hAnsi="Times New Roman" w:cs="Times New Roman"/>
                <w:sz w:val="24"/>
                <w:szCs w:val="24"/>
                <w:lang w:eastAsia="en-GB"/>
              </w:rPr>
              <w:t>Subchronic</w:t>
            </w:r>
            <w:proofErr w:type="spellEnd"/>
            <w:r w:rsidRPr="00875933">
              <w:rPr>
                <w:rFonts w:ascii="Times New Roman" w:eastAsia="Times New Roman" w:hAnsi="Times New Roman" w:cs="Times New Roman"/>
                <w:sz w:val="24"/>
                <w:szCs w:val="24"/>
                <w:lang w:eastAsia="en-GB"/>
              </w:rPr>
              <w:t xml:space="preserve"> toxicity (90-day oral)</w:t>
            </w:r>
          </w:p>
        </w:tc>
        <w:tc>
          <w:tcPr>
            <w:tcW w:w="0" w:type="auto"/>
            <w:hideMark/>
          </w:tcPr>
          <w:p w14:paraId="647EACE0" w14:textId="77777777" w:rsidR="00426A47" w:rsidRPr="00875933" w:rsidRDefault="00426A47" w:rsidP="00426A47">
            <w:pPr>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Sprague Dawley rats</w:t>
            </w:r>
          </w:p>
        </w:tc>
        <w:tc>
          <w:tcPr>
            <w:tcW w:w="0" w:type="auto"/>
            <w:hideMark/>
          </w:tcPr>
          <w:p w14:paraId="6ABAEDBB" w14:textId="77777777" w:rsidR="00426A47" w:rsidRPr="00875933" w:rsidRDefault="00426A47" w:rsidP="00426A47">
            <w:pPr>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No mortality or significant adverse effects up to 300 mg/kg/day; minor renal marker changes at highest dose</w:t>
            </w:r>
          </w:p>
        </w:tc>
      </w:tr>
      <w:tr w:rsidR="00426A47" w:rsidRPr="00875933" w14:paraId="275323C9" w14:textId="77777777" w:rsidTr="00875933">
        <w:tc>
          <w:tcPr>
            <w:tcW w:w="0" w:type="auto"/>
            <w:hideMark/>
          </w:tcPr>
          <w:p w14:paraId="2E3EAE8C" w14:textId="77777777" w:rsidR="00426A47" w:rsidRPr="00875933" w:rsidRDefault="00426A47" w:rsidP="00426A47">
            <w:pPr>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Clinical case series (poison centre, n = 8)</w:t>
            </w:r>
          </w:p>
        </w:tc>
        <w:tc>
          <w:tcPr>
            <w:tcW w:w="0" w:type="auto"/>
            <w:hideMark/>
          </w:tcPr>
          <w:p w14:paraId="35BAF951" w14:textId="77777777" w:rsidR="00426A47" w:rsidRPr="00875933" w:rsidRDefault="00426A47" w:rsidP="00426A47">
            <w:pPr>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Adult patients, Thailand</w:t>
            </w:r>
          </w:p>
        </w:tc>
        <w:tc>
          <w:tcPr>
            <w:tcW w:w="0" w:type="auto"/>
            <w:hideMark/>
          </w:tcPr>
          <w:p w14:paraId="60FB64B3" w14:textId="77777777" w:rsidR="00426A47" w:rsidRPr="00875933" w:rsidRDefault="00426A47" w:rsidP="00426A47">
            <w:pPr>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 xml:space="preserve">Haemolysis in all cases; </w:t>
            </w:r>
            <w:proofErr w:type="spellStart"/>
            <w:r w:rsidRPr="00875933">
              <w:rPr>
                <w:rFonts w:ascii="Times New Roman" w:eastAsia="Times New Roman" w:hAnsi="Times New Roman" w:cs="Times New Roman"/>
                <w:sz w:val="24"/>
                <w:szCs w:val="24"/>
                <w:lang w:eastAsia="en-GB"/>
              </w:rPr>
              <w:t>methaemoglobinaemia</w:t>
            </w:r>
            <w:proofErr w:type="spellEnd"/>
            <w:r w:rsidRPr="00875933">
              <w:rPr>
                <w:rFonts w:ascii="Times New Roman" w:eastAsia="Times New Roman" w:hAnsi="Times New Roman" w:cs="Times New Roman"/>
                <w:sz w:val="24"/>
                <w:szCs w:val="24"/>
                <w:lang w:eastAsia="en-GB"/>
              </w:rPr>
              <w:t xml:space="preserve"> diagnosed in 7/8, confirmed levels in 5 up to 23.9%</w:t>
            </w:r>
          </w:p>
        </w:tc>
      </w:tr>
      <w:tr w:rsidR="00426A47" w:rsidRPr="00875933" w14:paraId="0BF95FE5" w14:textId="77777777" w:rsidTr="00875933">
        <w:tc>
          <w:tcPr>
            <w:tcW w:w="0" w:type="auto"/>
            <w:hideMark/>
          </w:tcPr>
          <w:p w14:paraId="3B909A0E" w14:textId="77777777" w:rsidR="00426A47" w:rsidRPr="00875933" w:rsidRDefault="00426A47" w:rsidP="00426A47">
            <w:pPr>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Clinical case report (historical)</w:t>
            </w:r>
          </w:p>
        </w:tc>
        <w:tc>
          <w:tcPr>
            <w:tcW w:w="0" w:type="auto"/>
            <w:hideMark/>
          </w:tcPr>
          <w:p w14:paraId="3572E23A" w14:textId="77777777" w:rsidR="00426A47" w:rsidRPr="00875933" w:rsidRDefault="00426A47" w:rsidP="00426A47">
            <w:pPr>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G6PD-deficient patients, Sri Lanka</w:t>
            </w:r>
          </w:p>
        </w:tc>
        <w:tc>
          <w:tcPr>
            <w:tcW w:w="0" w:type="auto"/>
            <w:hideMark/>
          </w:tcPr>
          <w:p w14:paraId="135DAE6E" w14:textId="77777777" w:rsidR="00426A47" w:rsidRPr="00875933" w:rsidRDefault="00426A47" w:rsidP="00426A47">
            <w:pPr>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Acute intravascular haemolysis following herbal broth ingestion</w:t>
            </w:r>
          </w:p>
        </w:tc>
      </w:tr>
      <w:tr w:rsidR="00426A47" w:rsidRPr="00875933" w14:paraId="3A44CDB3" w14:textId="77777777" w:rsidTr="00875933">
        <w:tc>
          <w:tcPr>
            <w:tcW w:w="0" w:type="auto"/>
            <w:hideMark/>
          </w:tcPr>
          <w:p w14:paraId="78E094ED" w14:textId="77777777" w:rsidR="00426A47" w:rsidRPr="00875933" w:rsidRDefault="00426A47" w:rsidP="00426A47">
            <w:pPr>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Clinical case report</w:t>
            </w:r>
          </w:p>
        </w:tc>
        <w:tc>
          <w:tcPr>
            <w:tcW w:w="0" w:type="auto"/>
            <w:hideMark/>
          </w:tcPr>
          <w:p w14:paraId="5ABE45E7" w14:textId="77777777" w:rsidR="00426A47" w:rsidRPr="00875933" w:rsidRDefault="00426A47" w:rsidP="00426A47">
            <w:pPr>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G6PD-deficient mother and child, Sri Lanka</w:t>
            </w:r>
          </w:p>
        </w:tc>
        <w:tc>
          <w:tcPr>
            <w:tcW w:w="0" w:type="auto"/>
            <w:hideMark/>
          </w:tcPr>
          <w:p w14:paraId="508C87DB" w14:textId="77777777" w:rsidR="00426A47" w:rsidRPr="00875933" w:rsidRDefault="00426A47" w:rsidP="00426A47">
            <w:pPr>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 xml:space="preserve">Severe oxidative haemolysis and </w:t>
            </w:r>
            <w:proofErr w:type="spellStart"/>
            <w:r w:rsidRPr="00875933">
              <w:rPr>
                <w:rFonts w:ascii="Times New Roman" w:eastAsia="Times New Roman" w:hAnsi="Times New Roman" w:cs="Times New Roman"/>
                <w:sz w:val="24"/>
                <w:szCs w:val="24"/>
                <w:lang w:eastAsia="en-GB"/>
              </w:rPr>
              <w:t>methaemoglobinaemia</w:t>
            </w:r>
            <w:proofErr w:type="spellEnd"/>
            <w:r w:rsidRPr="00875933">
              <w:rPr>
                <w:rFonts w:ascii="Times New Roman" w:eastAsia="Times New Roman" w:hAnsi="Times New Roman" w:cs="Times New Roman"/>
                <w:sz w:val="24"/>
                <w:szCs w:val="24"/>
                <w:lang w:eastAsia="en-GB"/>
              </w:rPr>
              <w:t>; managed with transfusion</w:t>
            </w:r>
          </w:p>
        </w:tc>
      </w:tr>
      <w:tr w:rsidR="00426A47" w:rsidRPr="00875933" w14:paraId="74F5E5BA" w14:textId="77777777" w:rsidTr="00875933">
        <w:tc>
          <w:tcPr>
            <w:tcW w:w="0" w:type="auto"/>
            <w:hideMark/>
          </w:tcPr>
          <w:p w14:paraId="7C943081" w14:textId="77777777" w:rsidR="00426A47" w:rsidRPr="00875933" w:rsidRDefault="00426A47" w:rsidP="00426A47">
            <w:pPr>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Clinical case report</w:t>
            </w:r>
          </w:p>
        </w:tc>
        <w:tc>
          <w:tcPr>
            <w:tcW w:w="0" w:type="auto"/>
            <w:hideMark/>
          </w:tcPr>
          <w:p w14:paraId="5C15B4F4" w14:textId="77777777" w:rsidR="00426A47" w:rsidRPr="00875933" w:rsidRDefault="00426A47" w:rsidP="00426A47">
            <w:pPr>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G6PD-deficient adult with comorbidity</w:t>
            </w:r>
          </w:p>
        </w:tc>
        <w:tc>
          <w:tcPr>
            <w:tcW w:w="0" w:type="auto"/>
            <w:hideMark/>
          </w:tcPr>
          <w:p w14:paraId="47CBEAA7" w14:textId="77777777" w:rsidR="00426A47" w:rsidRPr="00875933" w:rsidRDefault="00426A47" w:rsidP="00426A47">
            <w:pPr>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Haemolysis with concurrent acute kidney injury and infective endocarditis; diagnostic overlap with leptospirosis</w:t>
            </w:r>
          </w:p>
        </w:tc>
      </w:tr>
    </w:tbl>
    <w:p w14:paraId="187B0157" w14:textId="77777777" w:rsidR="00426A47" w:rsidRPr="00875933" w:rsidRDefault="00426A47" w:rsidP="00426A47">
      <w:pPr>
        <w:spacing w:before="100" w:beforeAutospacing="1" w:after="100" w:afterAutospacing="1" w:line="240" w:lineRule="auto"/>
        <w:rPr>
          <w:rFonts w:ascii="Times New Roman" w:eastAsia="Times New Roman" w:hAnsi="Times New Roman" w:cs="Times New Roman"/>
          <w:sz w:val="24"/>
          <w:szCs w:val="24"/>
          <w:lang w:eastAsia="en-GB"/>
        </w:rPr>
      </w:pPr>
      <w:r w:rsidRPr="00875933">
        <w:rPr>
          <w:rFonts w:ascii="Times New Roman" w:eastAsia="Times New Roman" w:hAnsi="Times New Roman" w:cs="Times New Roman"/>
          <w:i/>
          <w:iCs/>
          <w:sz w:val="24"/>
          <w:szCs w:val="24"/>
          <w:lang w:eastAsia="en-GB"/>
        </w:rPr>
        <w:t xml:space="preserve">Sources: </w:t>
      </w:r>
      <w:proofErr w:type="spellStart"/>
      <w:r w:rsidRPr="00875933">
        <w:rPr>
          <w:rFonts w:ascii="Times New Roman" w:eastAsia="Times New Roman" w:hAnsi="Times New Roman" w:cs="Times New Roman"/>
          <w:i/>
          <w:iCs/>
          <w:sz w:val="24"/>
          <w:szCs w:val="24"/>
          <w:lang w:eastAsia="en-GB"/>
        </w:rPr>
        <w:t>Hazali</w:t>
      </w:r>
      <w:proofErr w:type="spellEnd"/>
      <w:r w:rsidRPr="00875933">
        <w:rPr>
          <w:rFonts w:ascii="Times New Roman" w:eastAsia="Times New Roman" w:hAnsi="Times New Roman" w:cs="Times New Roman"/>
          <w:i/>
          <w:iCs/>
          <w:sz w:val="24"/>
          <w:szCs w:val="24"/>
          <w:lang w:eastAsia="en-GB"/>
        </w:rPr>
        <w:t xml:space="preserve"> et al. (2016); </w:t>
      </w:r>
      <w:proofErr w:type="spellStart"/>
      <w:r w:rsidRPr="00875933">
        <w:rPr>
          <w:rFonts w:ascii="Times New Roman" w:eastAsia="Times New Roman" w:hAnsi="Times New Roman" w:cs="Times New Roman"/>
          <w:i/>
          <w:iCs/>
          <w:sz w:val="24"/>
          <w:szCs w:val="24"/>
          <w:lang w:eastAsia="en-GB"/>
        </w:rPr>
        <w:t>Pradoo</w:t>
      </w:r>
      <w:proofErr w:type="spellEnd"/>
      <w:r w:rsidRPr="00875933">
        <w:rPr>
          <w:rFonts w:ascii="Times New Roman" w:eastAsia="Times New Roman" w:hAnsi="Times New Roman" w:cs="Times New Roman"/>
          <w:i/>
          <w:iCs/>
          <w:sz w:val="24"/>
          <w:szCs w:val="24"/>
          <w:lang w:eastAsia="en-GB"/>
        </w:rPr>
        <w:t xml:space="preserve"> et al. (2020); Senanayake and </w:t>
      </w:r>
      <w:proofErr w:type="spellStart"/>
      <w:r w:rsidRPr="00875933">
        <w:rPr>
          <w:rFonts w:ascii="Times New Roman" w:eastAsia="Times New Roman" w:hAnsi="Times New Roman" w:cs="Times New Roman"/>
          <w:i/>
          <w:iCs/>
          <w:sz w:val="24"/>
          <w:szCs w:val="24"/>
          <w:lang w:eastAsia="en-GB"/>
        </w:rPr>
        <w:t>Sanmuganathan</w:t>
      </w:r>
      <w:proofErr w:type="spellEnd"/>
      <w:r w:rsidRPr="00875933">
        <w:rPr>
          <w:rFonts w:ascii="Times New Roman" w:eastAsia="Times New Roman" w:hAnsi="Times New Roman" w:cs="Times New Roman"/>
          <w:i/>
          <w:iCs/>
          <w:sz w:val="24"/>
          <w:szCs w:val="24"/>
          <w:lang w:eastAsia="en-GB"/>
        </w:rPr>
        <w:t xml:space="preserve"> (1996); </w:t>
      </w:r>
      <w:proofErr w:type="spellStart"/>
      <w:r w:rsidRPr="00875933">
        <w:rPr>
          <w:rFonts w:ascii="Times New Roman" w:eastAsia="Times New Roman" w:hAnsi="Times New Roman" w:cs="Times New Roman"/>
          <w:i/>
          <w:iCs/>
          <w:sz w:val="24"/>
          <w:szCs w:val="24"/>
          <w:lang w:eastAsia="en-GB"/>
        </w:rPr>
        <w:t>Ehelepola</w:t>
      </w:r>
      <w:proofErr w:type="spellEnd"/>
      <w:r w:rsidRPr="00875933">
        <w:rPr>
          <w:rFonts w:ascii="Times New Roman" w:eastAsia="Times New Roman" w:hAnsi="Times New Roman" w:cs="Times New Roman"/>
          <w:i/>
          <w:iCs/>
          <w:sz w:val="24"/>
          <w:szCs w:val="24"/>
          <w:lang w:eastAsia="en-GB"/>
        </w:rPr>
        <w:t xml:space="preserve"> et al. (2018); Charles et al. (2024).</w:t>
      </w:r>
    </w:p>
    <w:p w14:paraId="41EF2851" w14:textId="77777777" w:rsidR="00426A47" w:rsidRPr="00875933" w:rsidRDefault="00426A47" w:rsidP="00426A47">
      <w:pPr>
        <w:spacing w:before="100" w:beforeAutospacing="1" w:after="100" w:afterAutospacing="1" w:line="240" w:lineRule="auto"/>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The contrast between the top row of Table 4 and the four rows beneath it is, in a sense, the entire toxicological story of this plant in miniature: a controlled rodent study finds nothing of concern at doses well above typical traditional use, while real-world human exposure — uncontrolled in dose, preparation and underlying genetic susceptibility — produces a small but recurring stream of serious clinical events. That gap is returned to in Section 8.</w:t>
      </w:r>
    </w:p>
    <w:p w14:paraId="0EEA90BB" w14:textId="77777777" w:rsidR="00426A47" w:rsidRPr="00875933" w:rsidRDefault="00426A47" w:rsidP="00426A47">
      <w:pPr>
        <w:spacing w:after="0" w:line="240" w:lineRule="auto"/>
        <w:rPr>
          <w:rFonts w:ascii="Times New Roman" w:eastAsia="Times New Roman" w:hAnsi="Times New Roman" w:cs="Times New Roman"/>
          <w:sz w:val="24"/>
          <w:szCs w:val="24"/>
          <w:lang w:eastAsia="en-GB"/>
        </w:rPr>
      </w:pPr>
    </w:p>
    <w:p w14:paraId="57BF1F96" w14:textId="77777777" w:rsidR="00426A47" w:rsidRPr="00875933" w:rsidRDefault="00426A47" w:rsidP="00426A47">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875933">
        <w:rPr>
          <w:rFonts w:ascii="Times New Roman" w:eastAsia="Times New Roman" w:hAnsi="Times New Roman" w:cs="Times New Roman"/>
          <w:b/>
          <w:bCs/>
          <w:sz w:val="27"/>
          <w:szCs w:val="27"/>
          <w:lang w:eastAsia="en-GB"/>
        </w:rPr>
        <w:t>8. Critical Appraisal: Research Gaps and Translational Challenges</w:t>
      </w:r>
    </w:p>
    <w:p w14:paraId="5A2BAC89" w14:textId="77777777" w:rsidR="00426A47" w:rsidRPr="00875933" w:rsidRDefault="00426A47" w:rsidP="00426A47">
      <w:pPr>
        <w:spacing w:before="100" w:beforeAutospacing="1" w:after="100" w:afterAutospacing="1" w:line="240" w:lineRule="auto"/>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lastRenderedPageBreak/>
        <w:t xml:space="preserve">Notwithstanding the considerable breadth of pharmacological activity documented for </w:t>
      </w:r>
      <w:r w:rsidRPr="00875933">
        <w:rPr>
          <w:rFonts w:ascii="Times New Roman" w:eastAsia="Times New Roman" w:hAnsi="Times New Roman" w:cs="Times New Roman"/>
          <w:i/>
          <w:iCs/>
          <w:sz w:val="24"/>
          <w:szCs w:val="24"/>
          <w:lang w:eastAsia="en-GB"/>
        </w:rPr>
        <w:t>A. indica</w:t>
      </w:r>
      <w:r w:rsidRPr="00875933">
        <w:rPr>
          <w:rFonts w:ascii="Times New Roman" w:eastAsia="Times New Roman" w:hAnsi="Times New Roman" w:cs="Times New Roman"/>
          <w:sz w:val="24"/>
          <w:szCs w:val="24"/>
          <w:lang w:eastAsia="en-GB"/>
        </w:rPr>
        <w:t xml:space="preserve">, several recurring methodological and translational weaknesses temper any enthusiasm for its near-term clinical adoption. First, extract characterisation across the literature remains highly inconsistent: studies frequently fail to standardise solvent system, plant part, extraction temperature or duration, geographic provenance, or season of collection, despite the demonstrated sensitivity of cyanogenic glucoside and flavonoid content to precisely these variables. This heterogeneity makes direct comparison of potency between studies, and therefore any meta-analytic synthesis of the evidence base, exceedingly difficult (Zahidin et al., 2017; Seebaluck et al., 2015). Second, the great majority of pharmacological claims rest on </w:t>
      </w:r>
      <w:r w:rsidRPr="006522E6">
        <w:rPr>
          <w:rFonts w:ascii="Times New Roman" w:eastAsia="Times New Roman" w:hAnsi="Times New Roman" w:cs="Times New Roman"/>
          <w:i/>
          <w:iCs/>
          <w:color w:val="FF0000"/>
          <w:sz w:val="24"/>
          <w:szCs w:val="24"/>
          <w:lang w:eastAsia="en-GB"/>
        </w:rPr>
        <w:t>in vitro</w:t>
      </w:r>
      <w:r w:rsidRPr="00875933">
        <w:rPr>
          <w:rFonts w:ascii="Times New Roman" w:eastAsia="Times New Roman" w:hAnsi="Times New Roman" w:cs="Times New Roman"/>
          <w:sz w:val="24"/>
          <w:szCs w:val="24"/>
          <w:lang w:eastAsia="en-GB"/>
        </w:rPr>
        <w:t xml:space="preserve"> assays or rodent models, with an almost complete absence of controlled human trials; even the most mechanistically detailed studies discussed in Section 4 — the </w:t>
      </w:r>
      <w:proofErr w:type="spellStart"/>
      <w:r w:rsidRPr="00875933">
        <w:rPr>
          <w:rFonts w:ascii="Times New Roman" w:eastAsia="Times New Roman" w:hAnsi="Times New Roman" w:cs="Times New Roman"/>
          <w:sz w:val="24"/>
          <w:szCs w:val="24"/>
          <w:lang w:eastAsia="en-GB"/>
        </w:rPr>
        <w:t>antiasthmatic</w:t>
      </w:r>
      <w:proofErr w:type="spellEnd"/>
      <w:r w:rsidRPr="00875933">
        <w:rPr>
          <w:rFonts w:ascii="Times New Roman" w:eastAsia="Times New Roman" w:hAnsi="Times New Roman" w:cs="Times New Roman"/>
          <w:sz w:val="24"/>
          <w:szCs w:val="24"/>
          <w:lang w:eastAsia="en-GB"/>
        </w:rPr>
        <w:t xml:space="preserve">, neuroprotective and anti-inflammatory work, in particular — remain confined to animal or cellular systems, leaving a substantial gap between demonstrated preclinical bioactivity and any defensible claim of clinical efficacy. Third, the dose–response relationships established in animal studies are frequently expressed in terms that resist straightforward extrapolation to human dosing, a limitation made worse by the absence, to date, of any published pharmacokinetic characterisation of </w:t>
      </w:r>
      <w:r w:rsidRPr="006522E6">
        <w:rPr>
          <w:rFonts w:ascii="Times New Roman" w:eastAsia="Times New Roman" w:hAnsi="Times New Roman" w:cs="Times New Roman"/>
          <w:b/>
          <w:bCs/>
          <w:sz w:val="24"/>
          <w:szCs w:val="24"/>
          <w:lang w:eastAsia="en-GB"/>
        </w:rPr>
        <w:t xml:space="preserve">the plant's principal bioactive </w:t>
      </w:r>
      <w:r w:rsidRPr="00875933">
        <w:rPr>
          <w:rFonts w:ascii="Times New Roman" w:eastAsia="Times New Roman" w:hAnsi="Times New Roman" w:cs="Times New Roman"/>
          <w:sz w:val="24"/>
          <w:szCs w:val="24"/>
          <w:lang w:eastAsia="en-GB"/>
        </w:rPr>
        <w:t xml:space="preserve">constituents in either animal or human subjects. Fourth, the bibliometric appraisal of the anti-inflammatory literature has explicitly noted that the molecular mechanism behind even the most consistently replicated effects of the plant frequently remains incompletely worked out, with phenomenological assay endpoints such as protein denaturation inhibition standing in for more mechanistically informative, pathway-level investigation in a substantial share of published studies (Sharma, Sharma, Mandal &amp; Dhobi, 2024). Fifth, the genuinely promising but still young nanotechnological and computational literature discussed in Sections 5 and 6, while methodologically sophisticated on its own terms, has yet to be integrated with the conventional pharmacological literature — through, for example, head-to-head comparisons of nanoparticle-formulated versus crude-extract efficacy in the same disease model, or experimental confirmation of the specific computationally nominated lead compounds in cellular or animal systems. Finally, the toxicological literature discussed in Section 7 highlights a tension the field has not yet properly resolved: a plant that controlled </w:t>
      </w:r>
      <w:proofErr w:type="spellStart"/>
      <w:r w:rsidRPr="00875933">
        <w:rPr>
          <w:rFonts w:ascii="Times New Roman" w:eastAsia="Times New Roman" w:hAnsi="Times New Roman" w:cs="Times New Roman"/>
          <w:sz w:val="24"/>
          <w:szCs w:val="24"/>
          <w:lang w:eastAsia="en-GB"/>
        </w:rPr>
        <w:t>subchronic</w:t>
      </w:r>
      <w:proofErr w:type="spellEnd"/>
      <w:r w:rsidRPr="00875933">
        <w:rPr>
          <w:rFonts w:ascii="Times New Roman" w:eastAsia="Times New Roman" w:hAnsi="Times New Roman" w:cs="Times New Roman"/>
          <w:sz w:val="24"/>
          <w:szCs w:val="24"/>
          <w:lang w:eastAsia="en-GB"/>
        </w:rPr>
        <w:t xml:space="preserve"> rodent studies characterise as having a comfortable safety margin, and that clinical case reports simultaneously document as a recurring cause of severe haemolytic and </w:t>
      </w:r>
      <w:proofErr w:type="spellStart"/>
      <w:r w:rsidRPr="00875933">
        <w:rPr>
          <w:rFonts w:ascii="Times New Roman" w:eastAsia="Times New Roman" w:hAnsi="Times New Roman" w:cs="Times New Roman"/>
          <w:sz w:val="24"/>
          <w:szCs w:val="24"/>
          <w:lang w:eastAsia="en-GB"/>
        </w:rPr>
        <w:t>methaemoglobinaemic</w:t>
      </w:r>
      <w:proofErr w:type="spellEnd"/>
      <w:r w:rsidRPr="00875933">
        <w:rPr>
          <w:rFonts w:ascii="Times New Roman" w:eastAsia="Times New Roman" w:hAnsi="Times New Roman" w:cs="Times New Roman"/>
          <w:sz w:val="24"/>
          <w:szCs w:val="24"/>
          <w:lang w:eastAsia="en-GB"/>
        </w:rPr>
        <w:t xml:space="preserve"> crisis in susceptible individuals. Reconciling these two strands of evidence will require explicit characterisation of cyanogenic glucoside content across the specific preparations, doses and consumption practices linked to reported clinical toxicity, together with population-level data on G6PD deficiency prevalence in the regions where traditional consumption of the plant persists.</w:t>
      </w:r>
    </w:p>
    <w:p w14:paraId="5886E4F3" w14:textId="77777777" w:rsidR="00426A47" w:rsidRPr="00875933" w:rsidRDefault="00426A47" w:rsidP="00426A47">
      <w:pPr>
        <w:spacing w:after="0" w:line="240" w:lineRule="auto"/>
        <w:rPr>
          <w:rFonts w:ascii="Times New Roman" w:eastAsia="Times New Roman" w:hAnsi="Times New Roman" w:cs="Times New Roman"/>
          <w:sz w:val="24"/>
          <w:szCs w:val="24"/>
          <w:lang w:eastAsia="en-GB"/>
        </w:rPr>
      </w:pPr>
    </w:p>
    <w:p w14:paraId="4A0A2EAB" w14:textId="77777777" w:rsidR="00426A47" w:rsidRPr="00875933" w:rsidRDefault="00426A47" w:rsidP="00426A47">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875933">
        <w:rPr>
          <w:rFonts w:ascii="Times New Roman" w:eastAsia="Times New Roman" w:hAnsi="Times New Roman" w:cs="Times New Roman"/>
          <w:b/>
          <w:bCs/>
          <w:sz w:val="27"/>
          <w:szCs w:val="27"/>
          <w:lang w:eastAsia="en-GB"/>
        </w:rPr>
        <w:t>9. Conclusions</w:t>
      </w:r>
    </w:p>
    <w:p w14:paraId="03AD41A6" w14:textId="1B442AFB" w:rsidR="00426A47" w:rsidRPr="00875933" w:rsidRDefault="00426A47" w:rsidP="00426A47">
      <w:pPr>
        <w:spacing w:before="100" w:beforeAutospacing="1" w:after="100" w:afterAutospacing="1" w:line="240" w:lineRule="auto"/>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 xml:space="preserve">This review has brought together a substantial and methodologically varied body of evidence indicating that </w:t>
      </w:r>
      <w:r w:rsidRPr="00875933">
        <w:rPr>
          <w:rFonts w:ascii="Times New Roman" w:eastAsia="Times New Roman" w:hAnsi="Times New Roman" w:cs="Times New Roman"/>
          <w:i/>
          <w:iCs/>
          <w:sz w:val="24"/>
          <w:szCs w:val="24"/>
          <w:lang w:eastAsia="en-GB"/>
        </w:rPr>
        <w:t>Acalypha indica</w:t>
      </w:r>
      <w:r w:rsidRPr="00875933">
        <w:rPr>
          <w:rFonts w:ascii="Times New Roman" w:eastAsia="Times New Roman" w:hAnsi="Times New Roman" w:cs="Times New Roman"/>
          <w:sz w:val="24"/>
          <w:szCs w:val="24"/>
          <w:lang w:eastAsia="en-GB"/>
        </w:rPr>
        <w:t xml:space="preserve"> has a biologically plausible, multi-target pharmacological profile, underpinned by a phytochemically distinctive combination of cyanogenic </w:t>
      </w:r>
      <w:proofErr w:type="spellStart"/>
      <w:r w:rsidRPr="00875933">
        <w:rPr>
          <w:rFonts w:ascii="Times New Roman" w:eastAsia="Times New Roman" w:hAnsi="Times New Roman" w:cs="Times New Roman"/>
          <w:sz w:val="24"/>
          <w:szCs w:val="24"/>
          <w:lang w:eastAsia="en-GB"/>
        </w:rPr>
        <w:t>pyridone</w:t>
      </w:r>
      <w:proofErr w:type="spellEnd"/>
      <w:r w:rsidRPr="00875933">
        <w:rPr>
          <w:rFonts w:ascii="Times New Roman" w:eastAsia="Times New Roman" w:hAnsi="Times New Roman" w:cs="Times New Roman"/>
          <w:sz w:val="24"/>
          <w:szCs w:val="24"/>
          <w:lang w:eastAsia="en-GB"/>
        </w:rPr>
        <w:t xml:space="preserve"> glucosides, </w:t>
      </w:r>
      <w:proofErr w:type="spellStart"/>
      <w:r w:rsidRPr="00875933">
        <w:rPr>
          <w:rFonts w:ascii="Times New Roman" w:eastAsia="Times New Roman" w:hAnsi="Times New Roman" w:cs="Times New Roman"/>
          <w:sz w:val="24"/>
          <w:szCs w:val="24"/>
          <w:lang w:eastAsia="en-GB"/>
        </w:rPr>
        <w:t>flavonol</w:t>
      </w:r>
      <w:proofErr w:type="spellEnd"/>
      <w:r w:rsidRPr="00875933">
        <w:rPr>
          <w:rFonts w:ascii="Times New Roman" w:eastAsia="Times New Roman" w:hAnsi="Times New Roman" w:cs="Times New Roman"/>
          <w:sz w:val="24"/>
          <w:szCs w:val="24"/>
          <w:lang w:eastAsia="en-GB"/>
        </w:rPr>
        <w:t xml:space="preserve"> glycosides, tannins, and minor alkaloidal and steroidal constituents. The antioxidant, antimicrobial, anti-inflammatory, antidiabetic, anticancer, wound-healing and </w:t>
      </w:r>
      <w:proofErr w:type="spellStart"/>
      <w:r w:rsidRPr="00875933">
        <w:rPr>
          <w:rFonts w:ascii="Times New Roman" w:eastAsia="Times New Roman" w:hAnsi="Times New Roman" w:cs="Times New Roman"/>
          <w:sz w:val="24"/>
          <w:szCs w:val="24"/>
          <w:lang w:eastAsia="en-GB"/>
        </w:rPr>
        <w:t>antiasthmatic</w:t>
      </w:r>
      <w:proofErr w:type="spellEnd"/>
      <w:r w:rsidRPr="00875933">
        <w:rPr>
          <w:rFonts w:ascii="Times New Roman" w:eastAsia="Times New Roman" w:hAnsi="Times New Roman" w:cs="Times New Roman"/>
          <w:sz w:val="24"/>
          <w:szCs w:val="24"/>
          <w:lang w:eastAsia="en-GB"/>
        </w:rPr>
        <w:t xml:space="preserve"> activities of the plant are each backed by a reasonably consistent, if </w:t>
      </w:r>
      <w:r w:rsidR="0021214C" w:rsidRPr="0021214C">
        <w:rPr>
          <w:rFonts w:ascii="Times New Roman" w:eastAsia="Times New Roman" w:hAnsi="Times New Roman" w:cs="Times New Roman"/>
          <w:color w:val="7030A0"/>
          <w:sz w:val="24"/>
          <w:szCs w:val="24"/>
          <w:lang w:eastAsia="en-GB"/>
        </w:rPr>
        <w:t xml:space="preserve">not </w:t>
      </w:r>
      <w:r w:rsidRPr="00875933">
        <w:rPr>
          <w:rFonts w:ascii="Times New Roman" w:eastAsia="Times New Roman" w:hAnsi="Times New Roman" w:cs="Times New Roman"/>
          <w:sz w:val="24"/>
          <w:szCs w:val="24"/>
          <w:lang w:eastAsia="en-GB"/>
        </w:rPr>
        <w:t xml:space="preserve">methodologically uneven, preclinical literature, while newer work on its neuroprotective, antiviral and computationally guided drug-discovery applications suggests an expanding </w:t>
      </w:r>
      <w:r w:rsidRPr="00875933">
        <w:rPr>
          <w:rFonts w:ascii="Times New Roman" w:eastAsia="Times New Roman" w:hAnsi="Times New Roman" w:cs="Times New Roman"/>
          <w:sz w:val="24"/>
          <w:szCs w:val="24"/>
          <w:lang w:eastAsia="en-GB"/>
        </w:rPr>
        <w:lastRenderedPageBreak/>
        <w:t xml:space="preserve">rather than a settling research frontier. The plant's uptake into green nanotechnology platforms further shows how a long-used traditional medicinal species can find fresh relevance within contemporary materials science and sustainable chemistry. At the same time, the persistent clinical record of G6PD-related haemolysis and </w:t>
      </w:r>
      <w:proofErr w:type="spellStart"/>
      <w:r w:rsidRPr="00875933">
        <w:rPr>
          <w:rFonts w:ascii="Times New Roman" w:eastAsia="Times New Roman" w:hAnsi="Times New Roman" w:cs="Times New Roman"/>
          <w:sz w:val="24"/>
          <w:szCs w:val="24"/>
          <w:lang w:eastAsia="en-GB"/>
        </w:rPr>
        <w:t>methaemoglobinaemia</w:t>
      </w:r>
      <w:proofErr w:type="spellEnd"/>
      <w:r w:rsidRPr="00875933">
        <w:rPr>
          <w:rFonts w:ascii="Times New Roman" w:eastAsia="Times New Roman" w:hAnsi="Times New Roman" w:cs="Times New Roman"/>
          <w:sz w:val="24"/>
          <w:szCs w:val="24"/>
          <w:lang w:eastAsia="en-GB"/>
        </w:rPr>
        <w:t xml:space="preserve"> following ingestion of raw or minimally processed plant material serves as a necessary </w:t>
      </w:r>
      <w:r w:rsidRPr="0021214C">
        <w:rPr>
          <w:rFonts w:ascii="Times New Roman" w:eastAsia="Times New Roman" w:hAnsi="Times New Roman" w:cs="Times New Roman"/>
          <w:b/>
          <w:bCs/>
          <w:sz w:val="24"/>
          <w:szCs w:val="24"/>
          <w:lang w:eastAsia="en-GB"/>
        </w:rPr>
        <w:t>corrective</w:t>
      </w:r>
      <w:r w:rsidRPr="00875933">
        <w:rPr>
          <w:rFonts w:ascii="Times New Roman" w:eastAsia="Times New Roman" w:hAnsi="Times New Roman" w:cs="Times New Roman"/>
          <w:sz w:val="24"/>
          <w:szCs w:val="24"/>
          <w:lang w:eastAsia="en-GB"/>
        </w:rPr>
        <w:t xml:space="preserve"> to any uncritical enthusiasm for the species as a harmless herbal remedy: traditional use and pharmacological promise do not, on their own, add up to safety. The path from the current, largely preclinical evidence base towards genuinely translational application will depend on systematic standardisation of extract preparation, deeper mechanistic investigation, the generation of pharmacokinetic data, and, eventually, cautious clinical evaluation designed explicitly to take account of the toxicological concerns set out in the existing case literature.</w:t>
      </w:r>
    </w:p>
    <w:p w14:paraId="28BC2385" w14:textId="77777777" w:rsidR="00426A47" w:rsidRPr="00875933" w:rsidRDefault="00426A47" w:rsidP="00426A47">
      <w:pPr>
        <w:spacing w:after="0" w:line="240" w:lineRule="auto"/>
        <w:rPr>
          <w:rFonts w:ascii="Times New Roman" w:eastAsia="Times New Roman" w:hAnsi="Times New Roman" w:cs="Times New Roman"/>
          <w:sz w:val="24"/>
          <w:szCs w:val="24"/>
          <w:lang w:eastAsia="en-GB"/>
        </w:rPr>
      </w:pPr>
    </w:p>
    <w:p w14:paraId="54AB7138" w14:textId="77777777" w:rsidR="00426A47" w:rsidRPr="00875933" w:rsidRDefault="00426A47" w:rsidP="00426A47">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875933">
        <w:rPr>
          <w:rFonts w:ascii="Times New Roman" w:eastAsia="Times New Roman" w:hAnsi="Times New Roman" w:cs="Times New Roman"/>
          <w:b/>
          <w:bCs/>
          <w:sz w:val="27"/>
          <w:szCs w:val="27"/>
          <w:lang w:eastAsia="en-GB"/>
        </w:rPr>
        <w:t>10. Limitations</w:t>
      </w:r>
    </w:p>
    <w:p w14:paraId="50234B42" w14:textId="77777777" w:rsidR="00426A47" w:rsidRDefault="00426A47" w:rsidP="00426A47">
      <w:pPr>
        <w:spacing w:before="100" w:beforeAutospacing="1" w:after="100" w:afterAutospacing="1" w:line="240" w:lineRule="auto"/>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 xml:space="preserve">This review is subject to several limitations inherent to its narrative methodology and to the evidence base it draws on. The narrative approach, while well suited to bringing together heterogeneous study types across natural product chemistry, pharmacology, toxicology and computational science, does not allow the quantitative pooling of effect sizes that a systematic review or meta-analysis would offer, and the selection of studies for detailed discussion, although guided by explicit criteria, inevitably involves some interpretive judgement about relative methodological quality and influence. Restricting the search to English-language publications may have excluded relevant findings published in regional languages, particularly given the plant's prominence within South and Southeast Asian traditional medicine systems, where local-language publication remains common. The underlying primary literature is itself dominated by small, single-centre </w:t>
      </w:r>
      <w:r w:rsidRPr="001432B0">
        <w:rPr>
          <w:rFonts w:ascii="Times New Roman" w:eastAsia="Times New Roman" w:hAnsi="Times New Roman" w:cs="Times New Roman"/>
          <w:i/>
          <w:iCs/>
          <w:color w:val="FF0000"/>
          <w:sz w:val="24"/>
          <w:szCs w:val="24"/>
          <w:lang w:eastAsia="en-GB"/>
        </w:rPr>
        <w:t>in vitro</w:t>
      </w:r>
      <w:r w:rsidRPr="00875933">
        <w:rPr>
          <w:rFonts w:ascii="Times New Roman" w:eastAsia="Times New Roman" w:hAnsi="Times New Roman" w:cs="Times New Roman"/>
          <w:sz w:val="24"/>
          <w:szCs w:val="24"/>
          <w:lang w:eastAsia="en-GB"/>
        </w:rPr>
        <w:t xml:space="preserve"> and rodent studies using heterogeneous extract preparations, dosing regimens and outcome measures — a limitation that constrains the strength of any cross-study inference this review can draw, quite independent of how carefully the review itself was conducted. Finally, because research on this species continues to expand quickly, particularly in the computational and nanotechnological domains, this synthesis necessarily represents a time-bound snapshot of a moving evidence base rather than a settled or final assessment of the plant's therapeutic potential.</w:t>
      </w:r>
    </w:p>
    <w:p w14:paraId="51BFF63E" w14:textId="77777777" w:rsidR="0095282B" w:rsidRPr="000839CE" w:rsidRDefault="0095282B" w:rsidP="0095282B">
      <w:pPr>
        <w:spacing w:after="0" w:line="240" w:lineRule="auto"/>
        <w:rPr>
          <w:rFonts w:ascii="Times New Roman" w:hAnsi="Times New Roman" w:cs="Times New Roman"/>
          <w:b/>
        </w:rPr>
      </w:pPr>
      <w:r w:rsidRPr="000839CE">
        <w:rPr>
          <w:rFonts w:ascii="Times New Roman" w:hAnsi="Times New Roman" w:cs="Times New Roman"/>
          <w:b/>
        </w:rPr>
        <w:t>Declaration of AI Use</w:t>
      </w:r>
    </w:p>
    <w:p w14:paraId="4C567F4A" w14:textId="77777777" w:rsidR="0095282B" w:rsidRPr="000839CE" w:rsidRDefault="0095282B" w:rsidP="0095282B">
      <w:pPr>
        <w:spacing w:after="0" w:line="240" w:lineRule="auto"/>
        <w:rPr>
          <w:rFonts w:ascii="Times New Roman" w:hAnsi="Times New Roman" w:cs="Times New Roman"/>
        </w:rPr>
      </w:pPr>
    </w:p>
    <w:p w14:paraId="2D5E20C3" w14:textId="77777777" w:rsidR="0095282B" w:rsidRPr="000839CE" w:rsidRDefault="0095282B" w:rsidP="0095282B">
      <w:pPr>
        <w:spacing w:after="0" w:line="240" w:lineRule="auto"/>
        <w:jc w:val="both"/>
        <w:rPr>
          <w:rFonts w:ascii="Times New Roman" w:hAnsi="Times New Roman" w:cs="Times New Roman"/>
        </w:rPr>
      </w:pPr>
      <w:r w:rsidRPr="00C56790">
        <w:rPr>
          <w:rFonts w:ascii="Times New Roman"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2B9A190E" w14:textId="77777777" w:rsidR="0095282B" w:rsidRPr="00875933" w:rsidRDefault="0095282B" w:rsidP="00426A47">
      <w:pPr>
        <w:spacing w:before="100" w:beforeAutospacing="1" w:after="100" w:afterAutospacing="1" w:line="240" w:lineRule="auto"/>
        <w:rPr>
          <w:rFonts w:ascii="Times New Roman" w:eastAsia="Times New Roman" w:hAnsi="Times New Roman" w:cs="Times New Roman"/>
          <w:sz w:val="24"/>
          <w:szCs w:val="24"/>
          <w:lang w:eastAsia="en-GB"/>
        </w:rPr>
      </w:pPr>
    </w:p>
    <w:p w14:paraId="750AFB9D" w14:textId="77777777" w:rsidR="00426A47" w:rsidRDefault="00426A47" w:rsidP="00426A47">
      <w:pPr>
        <w:spacing w:after="0" w:line="240" w:lineRule="auto"/>
        <w:rPr>
          <w:rFonts w:ascii="Times New Roman" w:eastAsia="Times New Roman" w:hAnsi="Times New Roman" w:cs="Times New Roman"/>
          <w:sz w:val="24"/>
          <w:szCs w:val="24"/>
          <w:lang w:eastAsia="en-GB"/>
        </w:rPr>
      </w:pPr>
    </w:p>
    <w:p w14:paraId="594173A0" w14:textId="77777777" w:rsidR="00521EAD" w:rsidRDefault="00521EAD" w:rsidP="00426A47">
      <w:pPr>
        <w:spacing w:after="0" w:line="240" w:lineRule="auto"/>
        <w:rPr>
          <w:rFonts w:ascii="Times New Roman" w:eastAsia="Times New Roman" w:hAnsi="Times New Roman" w:cs="Times New Roman"/>
          <w:sz w:val="24"/>
          <w:szCs w:val="24"/>
          <w:lang w:eastAsia="en-GB"/>
        </w:rPr>
      </w:pPr>
    </w:p>
    <w:p w14:paraId="25E91C78" w14:textId="77777777" w:rsidR="00521EAD" w:rsidRPr="00875933" w:rsidRDefault="00521EAD" w:rsidP="00426A47">
      <w:pPr>
        <w:spacing w:after="0" w:line="240" w:lineRule="auto"/>
        <w:rPr>
          <w:rFonts w:ascii="Times New Roman" w:eastAsia="Times New Roman" w:hAnsi="Times New Roman" w:cs="Times New Roman"/>
          <w:sz w:val="24"/>
          <w:szCs w:val="24"/>
          <w:lang w:eastAsia="en-GB"/>
        </w:rPr>
      </w:pPr>
    </w:p>
    <w:p w14:paraId="4163B1AB" w14:textId="77777777" w:rsidR="00426A47" w:rsidRPr="00875933" w:rsidRDefault="00426A47" w:rsidP="00426A47">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875933">
        <w:rPr>
          <w:rFonts w:ascii="Times New Roman" w:eastAsia="Times New Roman" w:hAnsi="Times New Roman" w:cs="Times New Roman"/>
          <w:b/>
          <w:bCs/>
          <w:sz w:val="27"/>
          <w:szCs w:val="27"/>
          <w:lang w:eastAsia="en-GB"/>
        </w:rPr>
        <w:t>References</w:t>
      </w:r>
    </w:p>
    <w:p w14:paraId="28A3BBDF" w14:textId="77777777" w:rsidR="00426A47" w:rsidRPr="00875933" w:rsidRDefault="00426A47" w:rsidP="00426A47">
      <w:pPr>
        <w:spacing w:before="100" w:beforeAutospacing="1" w:after="100" w:afterAutospacing="1" w:line="240" w:lineRule="auto"/>
        <w:ind w:left="720" w:hanging="720"/>
        <w:rPr>
          <w:rFonts w:ascii="Times New Roman" w:eastAsia="Times New Roman" w:hAnsi="Times New Roman" w:cs="Times New Roman"/>
          <w:sz w:val="24"/>
          <w:szCs w:val="24"/>
          <w:lang w:eastAsia="en-GB"/>
        </w:rPr>
      </w:pPr>
      <w:r w:rsidRPr="00875933">
        <w:rPr>
          <w:rFonts w:ascii="Times New Roman" w:hAnsi="Times New Roman" w:cs="Times New Roman"/>
        </w:rPr>
        <w:t xml:space="preserve">Al-Mahrami, N., Nair, S. S. K., Al Mawali, A., Shafreen, R.-M. B., Ullah, S., Halim, S. A., Al-Harrasi, A., &amp; Sivakumar, N. (2024). In-silico and in-vitro studies to identify potential inhibitors of SARS-CoV-2 spike protein from Omani medicinal plants. </w:t>
      </w:r>
      <w:r w:rsidRPr="00875933">
        <w:rPr>
          <w:rFonts w:ascii="Times New Roman" w:hAnsi="Times New Roman" w:cs="Times New Roman"/>
          <w:i/>
        </w:rPr>
        <w:t>Heliyon</w:t>
      </w:r>
      <w:r w:rsidRPr="00875933">
        <w:rPr>
          <w:rFonts w:ascii="Times New Roman" w:hAnsi="Times New Roman" w:cs="Times New Roman"/>
        </w:rPr>
        <w:t xml:space="preserve">, </w:t>
      </w:r>
      <w:r w:rsidRPr="00875933">
        <w:rPr>
          <w:rFonts w:ascii="Times New Roman" w:hAnsi="Times New Roman" w:cs="Times New Roman"/>
          <w:i/>
        </w:rPr>
        <w:t>10</w:t>
      </w:r>
      <w:r w:rsidRPr="00875933">
        <w:rPr>
          <w:rFonts w:ascii="Times New Roman" w:hAnsi="Times New Roman" w:cs="Times New Roman"/>
        </w:rPr>
        <w:t xml:space="preserve">(21), Article e39649. </w:t>
      </w:r>
      <w:r w:rsidRPr="00875933">
        <w:rPr>
          <w:rFonts w:ascii="Times New Roman" w:hAnsi="Times New Roman" w:cs="Times New Roman"/>
          <w:color w:val="0563C1"/>
          <w:u w:val="single"/>
        </w:rPr>
        <w:t>https://doi.org/10.1016/j.heliyon.2024.e39649</w:t>
      </w:r>
    </w:p>
    <w:p w14:paraId="2C6B302E" w14:textId="77777777" w:rsidR="00426A47" w:rsidRPr="00875933" w:rsidRDefault="00426A47" w:rsidP="00426A47">
      <w:pPr>
        <w:spacing w:before="100" w:beforeAutospacing="1" w:after="100" w:afterAutospacing="1" w:line="240" w:lineRule="auto"/>
        <w:ind w:left="720" w:hanging="720"/>
        <w:rPr>
          <w:rFonts w:ascii="Times New Roman" w:eastAsia="Times New Roman" w:hAnsi="Times New Roman" w:cs="Times New Roman"/>
          <w:sz w:val="24"/>
          <w:szCs w:val="24"/>
          <w:lang w:eastAsia="en-GB"/>
        </w:rPr>
      </w:pPr>
      <w:r w:rsidRPr="00875933">
        <w:rPr>
          <w:rFonts w:ascii="Times New Roman" w:hAnsi="Times New Roman" w:cs="Times New Roman"/>
        </w:rPr>
        <w:t xml:space="preserve">Charles, J. C., Kiriwandeniya, K. G. K. U., Liyanapathirana, K. V., Gunarathna, R. D. S., Mendis, S., &amp; Liyanarachchi, G. G. (2024). Remedy or tragedy: </w:t>
      </w:r>
      <w:r w:rsidRPr="00875933">
        <w:rPr>
          <w:rFonts w:ascii="Times New Roman" w:hAnsi="Times New Roman" w:cs="Times New Roman"/>
          <w:i/>
        </w:rPr>
        <w:t>Acalypha indica</w:t>
      </w:r>
      <w:r w:rsidRPr="00875933">
        <w:rPr>
          <w:rFonts w:ascii="Times New Roman" w:hAnsi="Times New Roman" w:cs="Times New Roman"/>
        </w:rPr>
        <w:t xml:space="preserve">-induced acute oxidative hemolysis associated with acute kidney injury and infective endocarditis: An initial presentation of G6PD deficiency: A case report. </w:t>
      </w:r>
      <w:r w:rsidRPr="00875933">
        <w:rPr>
          <w:rFonts w:ascii="Times New Roman" w:hAnsi="Times New Roman" w:cs="Times New Roman"/>
          <w:i/>
        </w:rPr>
        <w:t>SAGE Open Medical Case Reports</w:t>
      </w:r>
      <w:r w:rsidRPr="00875933">
        <w:rPr>
          <w:rFonts w:ascii="Times New Roman" w:hAnsi="Times New Roman" w:cs="Times New Roman"/>
        </w:rPr>
        <w:t xml:space="preserve">, </w:t>
      </w:r>
      <w:r w:rsidRPr="00875933">
        <w:rPr>
          <w:rFonts w:ascii="Times New Roman" w:hAnsi="Times New Roman" w:cs="Times New Roman"/>
          <w:i/>
        </w:rPr>
        <w:t>12</w:t>
      </w:r>
      <w:r w:rsidRPr="00875933">
        <w:rPr>
          <w:rFonts w:ascii="Times New Roman" w:hAnsi="Times New Roman" w:cs="Times New Roman"/>
        </w:rPr>
        <w:t xml:space="preserve">, Article 2050313X241266554. </w:t>
      </w:r>
      <w:r w:rsidRPr="00875933">
        <w:rPr>
          <w:rFonts w:ascii="Times New Roman" w:hAnsi="Times New Roman" w:cs="Times New Roman"/>
          <w:color w:val="0563C1"/>
          <w:u w:val="single"/>
        </w:rPr>
        <w:t>https://doi.org/10.1177/2050313X241266554</w:t>
      </w:r>
    </w:p>
    <w:p w14:paraId="27242A35" w14:textId="77777777" w:rsidR="00426A47" w:rsidRPr="00875933" w:rsidRDefault="00426A47" w:rsidP="00426A47">
      <w:pPr>
        <w:spacing w:before="100" w:beforeAutospacing="1" w:after="100" w:afterAutospacing="1" w:line="240" w:lineRule="auto"/>
        <w:ind w:left="720" w:hanging="720"/>
        <w:rPr>
          <w:rFonts w:ascii="Times New Roman" w:eastAsia="Times New Roman" w:hAnsi="Times New Roman" w:cs="Times New Roman"/>
          <w:sz w:val="24"/>
          <w:szCs w:val="24"/>
          <w:lang w:eastAsia="en-GB"/>
        </w:rPr>
      </w:pPr>
      <w:r w:rsidRPr="00875933">
        <w:rPr>
          <w:rFonts w:ascii="Times New Roman" w:hAnsi="Times New Roman" w:cs="Times New Roman"/>
        </w:rPr>
        <w:t xml:space="preserve">Chekuri, S., Panjala, S., &amp; Anupalli, R. R. (2017). Cytotoxic activity of </w:t>
      </w:r>
      <w:r w:rsidRPr="00875933">
        <w:rPr>
          <w:rFonts w:ascii="Times New Roman" w:hAnsi="Times New Roman" w:cs="Times New Roman"/>
          <w:i/>
        </w:rPr>
        <w:t>Acalypha indica</w:t>
      </w:r>
      <w:r w:rsidRPr="00875933">
        <w:rPr>
          <w:rFonts w:ascii="Times New Roman" w:hAnsi="Times New Roman" w:cs="Times New Roman"/>
        </w:rPr>
        <w:t xml:space="preserve"> L. hexane extract on breast cancer cell lines (MCF-7). </w:t>
      </w:r>
      <w:r w:rsidRPr="00875933">
        <w:rPr>
          <w:rFonts w:ascii="Times New Roman" w:hAnsi="Times New Roman" w:cs="Times New Roman"/>
          <w:i/>
        </w:rPr>
        <w:t>Journal of Phytopharmacology</w:t>
      </w:r>
      <w:r w:rsidRPr="00875933">
        <w:rPr>
          <w:rFonts w:ascii="Times New Roman" w:hAnsi="Times New Roman" w:cs="Times New Roman"/>
        </w:rPr>
        <w:t xml:space="preserve">, </w:t>
      </w:r>
      <w:r w:rsidRPr="00875933">
        <w:rPr>
          <w:rFonts w:ascii="Times New Roman" w:hAnsi="Times New Roman" w:cs="Times New Roman"/>
          <w:i/>
        </w:rPr>
        <w:t>6</w:t>
      </w:r>
      <w:r w:rsidRPr="00875933">
        <w:rPr>
          <w:rFonts w:ascii="Times New Roman" w:hAnsi="Times New Roman" w:cs="Times New Roman"/>
        </w:rPr>
        <w:t xml:space="preserve">(5), 264–268. </w:t>
      </w:r>
      <w:r w:rsidRPr="00875933">
        <w:rPr>
          <w:rFonts w:ascii="Times New Roman" w:hAnsi="Times New Roman" w:cs="Times New Roman"/>
          <w:color w:val="0563C1"/>
          <w:u w:val="single"/>
        </w:rPr>
        <w:t>https://doi.org/10.31254/phyto.2017.6502</w:t>
      </w:r>
    </w:p>
    <w:p w14:paraId="3173F066" w14:textId="77777777" w:rsidR="00426A47" w:rsidRPr="00875933" w:rsidRDefault="00426A47" w:rsidP="00426A47">
      <w:pPr>
        <w:spacing w:before="100" w:beforeAutospacing="1" w:after="100" w:afterAutospacing="1" w:line="240" w:lineRule="auto"/>
        <w:ind w:left="720" w:hanging="720"/>
        <w:rPr>
          <w:rFonts w:ascii="Times New Roman" w:eastAsia="Times New Roman" w:hAnsi="Times New Roman" w:cs="Times New Roman"/>
          <w:sz w:val="24"/>
          <w:szCs w:val="24"/>
          <w:lang w:eastAsia="en-GB"/>
        </w:rPr>
      </w:pPr>
      <w:r w:rsidRPr="00875933">
        <w:rPr>
          <w:rFonts w:ascii="Times New Roman" w:hAnsi="Times New Roman" w:cs="Times New Roman"/>
        </w:rPr>
        <w:t xml:space="preserve">Edwin, M. A., Velmurugan, R., &amp; Patel, S. (2025). In silico evaluation of </w:t>
      </w:r>
      <w:r w:rsidRPr="00875933">
        <w:rPr>
          <w:rFonts w:ascii="Times New Roman" w:hAnsi="Times New Roman" w:cs="Times New Roman"/>
          <w:i/>
        </w:rPr>
        <w:t>Acalypha indica</w:t>
      </w:r>
      <w:r w:rsidRPr="00875933">
        <w:rPr>
          <w:rFonts w:ascii="Times New Roman" w:hAnsi="Times New Roman" w:cs="Times New Roman"/>
        </w:rPr>
        <w:t xml:space="preserve"> phytochemicals as potential antifungal agents targeting </w:t>
      </w:r>
      <w:r w:rsidRPr="00875933">
        <w:rPr>
          <w:rFonts w:ascii="Times New Roman" w:hAnsi="Times New Roman" w:cs="Times New Roman"/>
          <w:i/>
        </w:rPr>
        <w:t>Saccharomyces cerevisiae</w:t>
      </w:r>
      <w:r w:rsidRPr="00875933">
        <w:rPr>
          <w:rFonts w:ascii="Times New Roman" w:hAnsi="Times New Roman" w:cs="Times New Roman"/>
        </w:rPr>
        <w:t xml:space="preserve"> lanosterol 14-alpha demethylase. </w:t>
      </w:r>
      <w:r w:rsidRPr="00875933">
        <w:rPr>
          <w:rFonts w:ascii="Times New Roman" w:hAnsi="Times New Roman" w:cs="Times New Roman"/>
          <w:i/>
        </w:rPr>
        <w:t>Cell Biochemistry and Biophysics</w:t>
      </w:r>
      <w:r w:rsidRPr="00875933">
        <w:rPr>
          <w:rFonts w:ascii="Times New Roman" w:hAnsi="Times New Roman" w:cs="Times New Roman"/>
        </w:rPr>
        <w:t xml:space="preserve">, </w:t>
      </w:r>
      <w:r w:rsidRPr="00875933">
        <w:rPr>
          <w:rFonts w:ascii="Times New Roman" w:hAnsi="Times New Roman" w:cs="Times New Roman"/>
          <w:i/>
        </w:rPr>
        <w:t>83</w:t>
      </w:r>
      <w:r w:rsidRPr="00875933">
        <w:rPr>
          <w:rFonts w:ascii="Times New Roman" w:hAnsi="Times New Roman" w:cs="Times New Roman"/>
        </w:rPr>
        <w:t xml:space="preserve">, 5197–5215. </w:t>
      </w:r>
      <w:r w:rsidRPr="00875933">
        <w:rPr>
          <w:rFonts w:ascii="Times New Roman" w:hAnsi="Times New Roman" w:cs="Times New Roman"/>
          <w:color w:val="0563C1"/>
          <w:u w:val="single"/>
        </w:rPr>
        <w:t>https://doi.org/10.1007/s12013-025-01836-w</w:t>
      </w:r>
    </w:p>
    <w:p w14:paraId="47DA34EC" w14:textId="77777777" w:rsidR="00426A47" w:rsidRPr="00875933" w:rsidRDefault="00426A47" w:rsidP="00426A47">
      <w:pPr>
        <w:spacing w:before="100" w:beforeAutospacing="1" w:after="100" w:afterAutospacing="1" w:line="240" w:lineRule="auto"/>
        <w:ind w:left="720" w:hanging="720"/>
        <w:rPr>
          <w:rFonts w:ascii="Times New Roman" w:eastAsia="Times New Roman" w:hAnsi="Times New Roman" w:cs="Times New Roman"/>
          <w:sz w:val="24"/>
          <w:szCs w:val="24"/>
          <w:lang w:eastAsia="en-GB"/>
        </w:rPr>
      </w:pPr>
      <w:r w:rsidRPr="00875933">
        <w:rPr>
          <w:rFonts w:ascii="Times New Roman" w:hAnsi="Times New Roman" w:cs="Times New Roman"/>
        </w:rPr>
        <w:t xml:space="preserve">Ehelepola, N. D. B., Abayagunawardana, A. N., &amp; Sudusinghe, T. N. (2018). A vegetable-induced hemolytic crisis in a G6PD deficient person: A case report. </w:t>
      </w:r>
      <w:r w:rsidRPr="00875933">
        <w:rPr>
          <w:rFonts w:ascii="Times New Roman" w:hAnsi="Times New Roman" w:cs="Times New Roman"/>
          <w:i/>
        </w:rPr>
        <w:t>BMC Research Notes</w:t>
      </w:r>
      <w:r w:rsidRPr="00875933">
        <w:rPr>
          <w:rFonts w:ascii="Times New Roman" w:hAnsi="Times New Roman" w:cs="Times New Roman"/>
        </w:rPr>
        <w:t xml:space="preserve">, </w:t>
      </w:r>
      <w:r w:rsidRPr="00875933">
        <w:rPr>
          <w:rFonts w:ascii="Times New Roman" w:hAnsi="Times New Roman" w:cs="Times New Roman"/>
          <w:i/>
        </w:rPr>
        <w:t>11</w:t>
      </w:r>
      <w:r w:rsidRPr="00875933">
        <w:rPr>
          <w:rFonts w:ascii="Times New Roman" w:hAnsi="Times New Roman" w:cs="Times New Roman"/>
        </w:rPr>
        <w:t xml:space="preserve">(1), Article 179. </w:t>
      </w:r>
      <w:r w:rsidRPr="00875933">
        <w:rPr>
          <w:rFonts w:ascii="Times New Roman" w:hAnsi="Times New Roman" w:cs="Times New Roman"/>
          <w:color w:val="0563C1"/>
          <w:u w:val="single"/>
        </w:rPr>
        <w:t>https://doi.org/10.1186/s13104-018-3286-9</w:t>
      </w:r>
    </w:p>
    <w:p w14:paraId="192D2099" w14:textId="77777777" w:rsidR="00426A47" w:rsidRPr="00875933" w:rsidRDefault="00426A47" w:rsidP="00426A47">
      <w:pPr>
        <w:spacing w:before="100" w:beforeAutospacing="1" w:after="100" w:afterAutospacing="1" w:line="240" w:lineRule="auto"/>
        <w:ind w:left="720" w:hanging="720"/>
        <w:rPr>
          <w:rFonts w:ascii="Times New Roman" w:eastAsia="Times New Roman" w:hAnsi="Times New Roman" w:cs="Times New Roman"/>
          <w:sz w:val="24"/>
          <w:szCs w:val="24"/>
          <w:lang w:eastAsia="en-GB"/>
        </w:rPr>
      </w:pPr>
      <w:r w:rsidRPr="00875933">
        <w:rPr>
          <w:rFonts w:ascii="Times New Roman" w:hAnsi="Times New Roman" w:cs="Times New Roman"/>
        </w:rPr>
        <w:t xml:space="preserve">Febrina, E., Alamhari, R. K., Abdulah, R., Lestari, K., Levita, J., &amp; Supratman, U. (2021). Molecular docking and molecular dynamics studies of </w:t>
      </w:r>
      <w:r w:rsidRPr="00875933">
        <w:rPr>
          <w:rFonts w:ascii="Times New Roman" w:hAnsi="Times New Roman" w:cs="Times New Roman"/>
          <w:i/>
        </w:rPr>
        <w:t>Acalypha indica</w:t>
      </w:r>
      <w:r w:rsidRPr="00875933">
        <w:rPr>
          <w:rFonts w:ascii="Times New Roman" w:hAnsi="Times New Roman" w:cs="Times New Roman"/>
        </w:rPr>
        <w:t xml:space="preserve"> L. phytochemical constituents with caspase-3. </w:t>
      </w:r>
      <w:r w:rsidRPr="00875933">
        <w:rPr>
          <w:rFonts w:ascii="Times New Roman" w:hAnsi="Times New Roman" w:cs="Times New Roman"/>
          <w:i/>
        </w:rPr>
        <w:t>International Journal of Applied Pharmaceutics</w:t>
      </w:r>
      <w:r w:rsidRPr="00875933">
        <w:rPr>
          <w:rFonts w:ascii="Times New Roman" w:hAnsi="Times New Roman" w:cs="Times New Roman"/>
        </w:rPr>
        <w:t xml:space="preserve">, </w:t>
      </w:r>
      <w:r w:rsidRPr="00875933">
        <w:rPr>
          <w:rFonts w:ascii="Times New Roman" w:hAnsi="Times New Roman" w:cs="Times New Roman"/>
          <w:i/>
        </w:rPr>
        <w:t>13</w:t>
      </w:r>
      <w:r w:rsidRPr="00875933">
        <w:rPr>
          <w:rFonts w:ascii="Times New Roman" w:hAnsi="Times New Roman" w:cs="Times New Roman"/>
        </w:rPr>
        <w:t xml:space="preserve">(Special Issue 4), 210–215. </w:t>
      </w:r>
      <w:r w:rsidRPr="00875933">
        <w:rPr>
          <w:rFonts w:ascii="Times New Roman" w:hAnsi="Times New Roman" w:cs="Times New Roman"/>
          <w:color w:val="0563C1"/>
          <w:u w:val="single"/>
        </w:rPr>
        <w:t>https://doi.org/10.22159/ijap.2021.v13s4.43861</w:t>
      </w:r>
    </w:p>
    <w:p w14:paraId="73483F68" w14:textId="77777777" w:rsidR="00426A47" w:rsidRPr="00875933" w:rsidRDefault="00426A47" w:rsidP="00426A47">
      <w:pPr>
        <w:spacing w:before="100" w:beforeAutospacing="1" w:after="100" w:afterAutospacing="1" w:line="240" w:lineRule="auto"/>
        <w:ind w:left="720" w:hanging="720"/>
        <w:rPr>
          <w:rFonts w:ascii="Times New Roman" w:eastAsia="Times New Roman" w:hAnsi="Times New Roman" w:cs="Times New Roman"/>
          <w:sz w:val="24"/>
          <w:szCs w:val="24"/>
          <w:lang w:eastAsia="en-GB"/>
        </w:rPr>
      </w:pPr>
      <w:r w:rsidRPr="00875933">
        <w:rPr>
          <w:rFonts w:ascii="Times New Roman" w:hAnsi="Times New Roman" w:cs="Times New Roman"/>
        </w:rPr>
        <w:t xml:space="preserve">Febrina, E., Asnawi, A., Abdulah, R., Lestari, K., &amp; Supratman, U. (2022). Identification of flavonoids from </w:t>
      </w:r>
      <w:r w:rsidRPr="00875933">
        <w:rPr>
          <w:rFonts w:ascii="Times New Roman" w:hAnsi="Times New Roman" w:cs="Times New Roman"/>
          <w:i/>
        </w:rPr>
        <w:t>Acalypha indica</w:t>
      </w:r>
      <w:r w:rsidRPr="00875933">
        <w:rPr>
          <w:rFonts w:ascii="Times New Roman" w:hAnsi="Times New Roman" w:cs="Times New Roman"/>
        </w:rPr>
        <w:t xml:space="preserve"> L. (Euphorbiaceae) as caspase-3 activators using molecular docking and molecular dynamics. </w:t>
      </w:r>
      <w:r w:rsidRPr="00875933">
        <w:rPr>
          <w:rFonts w:ascii="Times New Roman" w:hAnsi="Times New Roman" w:cs="Times New Roman"/>
          <w:i/>
        </w:rPr>
        <w:t>International Journal of Applied Pharmaceutics</w:t>
      </w:r>
      <w:r w:rsidRPr="00875933">
        <w:rPr>
          <w:rFonts w:ascii="Times New Roman" w:hAnsi="Times New Roman" w:cs="Times New Roman"/>
        </w:rPr>
        <w:t xml:space="preserve">, </w:t>
      </w:r>
      <w:r w:rsidRPr="00875933">
        <w:rPr>
          <w:rFonts w:ascii="Times New Roman" w:hAnsi="Times New Roman" w:cs="Times New Roman"/>
          <w:i/>
        </w:rPr>
        <w:t>14</w:t>
      </w:r>
      <w:r w:rsidRPr="00875933">
        <w:rPr>
          <w:rFonts w:ascii="Times New Roman" w:hAnsi="Times New Roman" w:cs="Times New Roman"/>
        </w:rPr>
        <w:t xml:space="preserve">(Special Issue 5), 162–166. </w:t>
      </w:r>
      <w:r w:rsidRPr="00875933">
        <w:rPr>
          <w:rFonts w:ascii="Times New Roman" w:hAnsi="Times New Roman" w:cs="Times New Roman"/>
          <w:color w:val="0563C1"/>
          <w:u w:val="single"/>
        </w:rPr>
        <w:t>https://doi.org/10.22159/ijap.2022.v14s5.34</w:t>
      </w:r>
    </w:p>
    <w:p w14:paraId="35B570F8" w14:textId="77777777" w:rsidR="00426A47" w:rsidRPr="00875933" w:rsidRDefault="00426A47" w:rsidP="00426A47">
      <w:pPr>
        <w:spacing w:before="100" w:beforeAutospacing="1" w:after="100" w:afterAutospacing="1" w:line="240" w:lineRule="auto"/>
        <w:ind w:left="720" w:hanging="720"/>
        <w:rPr>
          <w:rFonts w:ascii="Times New Roman" w:eastAsia="Times New Roman" w:hAnsi="Times New Roman" w:cs="Times New Roman"/>
          <w:sz w:val="24"/>
          <w:szCs w:val="24"/>
          <w:lang w:eastAsia="en-GB"/>
        </w:rPr>
      </w:pPr>
      <w:r w:rsidRPr="00875933">
        <w:rPr>
          <w:rFonts w:ascii="Times New Roman" w:hAnsi="Times New Roman" w:cs="Times New Roman"/>
        </w:rPr>
        <w:t xml:space="preserve">Ganeshkumar, M., Ponrasu, T., Krithika, R., Iyappan, K., Gayathri, V. S., &amp; Suguna, L. (2012). Topical application of </w:t>
      </w:r>
      <w:r w:rsidRPr="00875933">
        <w:rPr>
          <w:rFonts w:ascii="Times New Roman" w:hAnsi="Times New Roman" w:cs="Times New Roman"/>
          <w:i/>
        </w:rPr>
        <w:t>Acalypha indica</w:t>
      </w:r>
      <w:r w:rsidRPr="00875933">
        <w:rPr>
          <w:rFonts w:ascii="Times New Roman" w:hAnsi="Times New Roman" w:cs="Times New Roman"/>
        </w:rPr>
        <w:t xml:space="preserve"> accelerates rat cutaneous wound healing by up-regulating the expression of type I and III collagen. </w:t>
      </w:r>
      <w:r w:rsidRPr="00875933">
        <w:rPr>
          <w:rFonts w:ascii="Times New Roman" w:hAnsi="Times New Roman" w:cs="Times New Roman"/>
          <w:i/>
        </w:rPr>
        <w:t>Journal of Ethnopharmacology</w:t>
      </w:r>
      <w:r w:rsidRPr="00875933">
        <w:rPr>
          <w:rFonts w:ascii="Times New Roman" w:hAnsi="Times New Roman" w:cs="Times New Roman"/>
        </w:rPr>
        <w:t xml:space="preserve">, </w:t>
      </w:r>
      <w:r w:rsidRPr="00875933">
        <w:rPr>
          <w:rFonts w:ascii="Times New Roman" w:hAnsi="Times New Roman" w:cs="Times New Roman"/>
          <w:i/>
        </w:rPr>
        <w:t>142</w:t>
      </w:r>
      <w:r w:rsidRPr="00875933">
        <w:rPr>
          <w:rFonts w:ascii="Times New Roman" w:hAnsi="Times New Roman" w:cs="Times New Roman"/>
        </w:rPr>
        <w:t xml:space="preserve">(1), 14–22. </w:t>
      </w:r>
      <w:r w:rsidRPr="00875933">
        <w:rPr>
          <w:rFonts w:ascii="Times New Roman" w:hAnsi="Times New Roman" w:cs="Times New Roman"/>
          <w:color w:val="0563C1"/>
          <w:u w:val="single"/>
        </w:rPr>
        <w:t>https://doi.org/10.1016/j.jep.2012.04.005</w:t>
      </w:r>
    </w:p>
    <w:p w14:paraId="0CBB9B0F" w14:textId="77777777" w:rsidR="00426A47" w:rsidRPr="00875933" w:rsidRDefault="00426A47" w:rsidP="00426A47">
      <w:pPr>
        <w:spacing w:before="100" w:beforeAutospacing="1" w:after="100" w:afterAutospacing="1" w:line="240" w:lineRule="auto"/>
        <w:ind w:left="720" w:hanging="720"/>
        <w:rPr>
          <w:rFonts w:ascii="Times New Roman" w:eastAsia="Times New Roman" w:hAnsi="Times New Roman" w:cs="Times New Roman"/>
          <w:sz w:val="24"/>
          <w:szCs w:val="24"/>
          <w:lang w:eastAsia="en-GB"/>
        </w:rPr>
      </w:pPr>
      <w:r w:rsidRPr="00875933">
        <w:rPr>
          <w:rFonts w:ascii="Times New Roman" w:hAnsi="Times New Roman" w:cs="Times New Roman"/>
        </w:rPr>
        <w:t xml:space="preserve">Govindarajan, M., Jebanesan, A., Pushpanathan, T., &amp; Samidurai, K. (2008). Studies on effect of </w:t>
      </w:r>
      <w:r w:rsidRPr="00875933">
        <w:rPr>
          <w:rFonts w:ascii="Times New Roman" w:hAnsi="Times New Roman" w:cs="Times New Roman"/>
          <w:i/>
        </w:rPr>
        <w:t>Acalypha indica</w:t>
      </w:r>
      <w:r w:rsidRPr="00875933">
        <w:rPr>
          <w:rFonts w:ascii="Times New Roman" w:hAnsi="Times New Roman" w:cs="Times New Roman"/>
        </w:rPr>
        <w:t xml:space="preserve"> L. (Euphorbiaceae) leaf extracts on the malarial vector, </w:t>
      </w:r>
      <w:r w:rsidRPr="00875933">
        <w:rPr>
          <w:rFonts w:ascii="Times New Roman" w:hAnsi="Times New Roman" w:cs="Times New Roman"/>
          <w:i/>
        </w:rPr>
        <w:t>Anopheles stephensi</w:t>
      </w:r>
      <w:r w:rsidRPr="00875933">
        <w:rPr>
          <w:rFonts w:ascii="Times New Roman" w:hAnsi="Times New Roman" w:cs="Times New Roman"/>
        </w:rPr>
        <w:t xml:space="preserve"> Liston (Diptera: Culicidae). </w:t>
      </w:r>
      <w:r w:rsidRPr="00875933">
        <w:rPr>
          <w:rFonts w:ascii="Times New Roman" w:hAnsi="Times New Roman" w:cs="Times New Roman"/>
          <w:i/>
        </w:rPr>
        <w:t>Parasitology Research</w:t>
      </w:r>
      <w:r w:rsidRPr="00875933">
        <w:rPr>
          <w:rFonts w:ascii="Times New Roman" w:hAnsi="Times New Roman" w:cs="Times New Roman"/>
        </w:rPr>
        <w:t xml:space="preserve">, </w:t>
      </w:r>
      <w:r w:rsidRPr="00875933">
        <w:rPr>
          <w:rFonts w:ascii="Times New Roman" w:hAnsi="Times New Roman" w:cs="Times New Roman"/>
          <w:i/>
        </w:rPr>
        <w:t>103</w:t>
      </w:r>
      <w:r w:rsidRPr="00875933">
        <w:rPr>
          <w:rFonts w:ascii="Times New Roman" w:hAnsi="Times New Roman" w:cs="Times New Roman"/>
        </w:rPr>
        <w:t xml:space="preserve">(3), 691–695. </w:t>
      </w:r>
      <w:r w:rsidRPr="00875933">
        <w:rPr>
          <w:rFonts w:ascii="Times New Roman" w:hAnsi="Times New Roman" w:cs="Times New Roman"/>
          <w:color w:val="0563C1"/>
          <w:u w:val="single"/>
        </w:rPr>
        <w:t>https://doi.org/10.1007/s00436-008-1032-2</w:t>
      </w:r>
    </w:p>
    <w:p w14:paraId="1438546F" w14:textId="77777777" w:rsidR="00426A47" w:rsidRPr="00875933" w:rsidRDefault="00426A47" w:rsidP="00426A47">
      <w:pPr>
        <w:spacing w:before="100" w:beforeAutospacing="1" w:after="100" w:afterAutospacing="1" w:line="240" w:lineRule="auto"/>
        <w:ind w:left="720" w:hanging="720"/>
        <w:rPr>
          <w:rFonts w:ascii="Times New Roman" w:eastAsia="Times New Roman" w:hAnsi="Times New Roman" w:cs="Times New Roman"/>
          <w:sz w:val="24"/>
          <w:szCs w:val="24"/>
          <w:lang w:eastAsia="en-GB"/>
        </w:rPr>
      </w:pPr>
      <w:r w:rsidRPr="00875933">
        <w:rPr>
          <w:rFonts w:ascii="Times New Roman" w:hAnsi="Times New Roman" w:cs="Times New Roman"/>
        </w:rPr>
        <w:t xml:space="preserve">Guillén-Meléndez, G. A., Villa-Cedillo, S. A., Pérez-Hernández, R. A., Castillo-Velázquez, U., Salas-Treviño, D., Saucedo-Cárdenas, O., Montes-de-Oca-Luna, R., Gómez-Tristán, C. A., Garza-Arredondo, A. J., &amp; Zamora-Ávila, D. E. (2021). Cytotoxic effect in vitro of </w:t>
      </w:r>
      <w:r w:rsidRPr="00875933">
        <w:rPr>
          <w:rFonts w:ascii="Times New Roman" w:hAnsi="Times New Roman" w:cs="Times New Roman"/>
          <w:i/>
        </w:rPr>
        <w:t>Acalypha monostachya</w:t>
      </w:r>
      <w:r w:rsidRPr="00875933">
        <w:rPr>
          <w:rFonts w:ascii="Times New Roman" w:hAnsi="Times New Roman" w:cs="Times New Roman"/>
        </w:rPr>
        <w:t xml:space="preserve"> extracts over human tumor cell lines. </w:t>
      </w:r>
      <w:r w:rsidRPr="00875933">
        <w:rPr>
          <w:rFonts w:ascii="Times New Roman" w:hAnsi="Times New Roman" w:cs="Times New Roman"/>
          <w:i/>
        </w:rPr>
        <w:t>Plants</w:t>
      </w:r>
      <w:r w:rsidRPr="00875933">
        <w:rPr>
          <w:rFonts w:ascii="Times New Roman" w:hAnsi="Times New Roman" w:cs="Times New Roman"/>
        </w:rPr>
        <w:t xml:space="preserve">, </w:t>
      </w:r>
      <w:r w:rsidRPr="00875933">
        <w:rPr>
          <w:rFonts w:ascii="Times New Roman" w:hAnsi="Times New Roman" w:cs="Times New Roman"/>
          <w:i/>
        </w:rPr>
        <w:t>10</w:t>
      </w:r>
      <w:r w:rsidRPr="00875933">
        <w:rPr>
          <w:rFonts w:ascii="Times New Roman" w:hAnsi="Times New Roman" w:cs="Times New Roman"/>
        </w:rPr>
        <w:t xml:space="preserve">(11), Article 2326. </w:t>
      </w:r>
      <w:r w:rsidRPr="00875933">
        <w:rPr>
          <w:rFonts w:ascii="Times New Roman" w:hAnsi="Times New Roman" w:cs="Times New Roman"/>
          <w:color w:val="0563C1"/>
          <w:u w:val="single"/>
        </w:rPr>
        <w:t>https://doi.org/10.3390/plants10112326</w:t>
      </w:r>
    </w:p>
    <w:p w14:paraId="500BF2D3" w14:textId="77777777" w:rsidR="00426A47" w:rsidRPr="00875933" w:rsidRDefault="00426A47" w:rsidP="00426A47">
      <w:pPr>
        <w:spacing w:before="100" w:beforeAutospacing="1" w:after="100" w:afterAutospacing="1" w:line="240" w:lineRule="auto"/>
        <w:ind w:left="720" w:hanging="720"/>
        <w:rPr>
          <w:rFonts w:ascii="Times New Roman" w:eastAsia="Times New Roman" w:hAnsi="Times New Roman" w:cs="Times New Roman"/>
          <w:sz w:val="24"/>
          <w:szCs w:val="24"/>
          <w:lang w:eastAsia="en-GB"/>
        </w:rPr>
      </w:pPr>
      <w:r w:rsidRPr="00875933">
        <w:rPr>
          <w:rFonts w:ascii="Times New Roman" w:hAnsi="Times New Roman" w:cs="Times New Roman"/>
        </w:rPr>
        <w:lastRenderedPageBreak/>
        <w:t xml:space="preserve">Hazali, N., Mohd Nazri, N. N., Ibrahim, M., &amp; Masri, M. (2016). Subchronic toxicity of Malaysian </w:t>
      </w:r>
      <w:r w:rsidRPr="00875933">
        <w:rPr>
          <w:rFonts w:ascii="Times New Roman" w:hAnsi="Times New Roman" w:cs="Times New Roman"/>
          <w:i/>
        </w:rPr>
        <w:t>Acalypha indica</w:t>
      </w:r>
      <w:r w:rsidRPr="00875933">
        <w:rPr>
          <w:rFonts w:ascii="Times New Roman" w:hAnsi="Times New Roman" w:cs="Times New Roman"/>
        </w:rPr>
        <w:t xml:space="preserve">: Biochemistry and haematology analysis of rat. </w:t>
      </w:r>
      <w:r w:rsidRPr="00875933">
        <w:rPr>
          <w:rFonts w:ascii="Times New Roman" w:hAnsi="Times New Roman" w:cs="Times New Roman"/>
          <w:i/>
        </w:rPr>
        <w:t>Jurnal Teknologi</w:t>
      </w:r>
      <w:r w:rsidRPr="00875933">
        <w:rPr>
          <w:rFonts w:ascii="Times New Roman" w:hAnsi="Times New Roman" w:cs="Times New Roman"/>
        </w:rPr>
        <w:t xml:space="preserve">, </w:t>
      </w:r>
      <w:r w:rsidRPr="00875933">
        <w:rPr>
          <w:rFonts w:ascii="Times New Roman" w:hAnsi="Times New Roman" w:cs="Times New Roman"/>
          <w:i/>
        </w:rPr>
        <w:t>78</w:t>
      </w:r>
      <w:r w:rsidRPr="00875933">
        <w:rPr>
          <w:rFonts w:ascii="Times New Roman" w:hAnsi="Times New Roman" w:cs="Times New Roman"/>
        </w:rPr>
        <w:t xml:space="preserve">(5-5), 21–26. </w:t>
      </w:r>
      <w:r w:rsidRPr="00875933">
        <w:rPr>
          <w:rFonts w:ascii="Times New Roman" w:hAnsi="Times New Roman" w:cs="Times New Roman"/>
          <w:color w:val="0563C1"/>
          <w:u w:val="single"/>
        </w:rPr>
        <w:t>https://doi.org/10.11113/jt.v78.8570</w:t>
      </w:r>
    </w:p>
    <w:p w14:paraId="756F73F2" w14:textId="77777777" w:rsidR="00426A47" w:rsidRPr="00875933" w:rsidRDefault="00426A47" w:rsidP="00426A47">
      <w:pPr>
        <w:spacing w:before="100" w:beforeAutospacing="1" w:after="100" w:afterAutospacing="1" w:line="240" w:lineRule="auto"/>
        <w:ind w:left="720" w:hanging="720"/>
        <w:rPr>
          <w:rFonts w:ascii="Times New Roman" w:eastAsia="Times New Roman" w:hAnsi="Times New Roman" w:cs="Times New Roman"/>
          <w:sz w:val="24"/>
          <w:szCs w:val="24"/>
          <w:lang w:eastAsia="en-GB"/>
        </w:rPr>
      </w:pPr>
      <w:r w:rsidRPr="00875933">
        <w:rPr>
          <w:rFonts w:ascii="Times New Roman" w:hAnsi="Times New Roman" w:cs="Times New Roman"/>
        </w:rPr>
        <w:t xml:space="preserve">Hungeling, M., Lechtenberg, M., Fronczek, F. R., &amp; Nahrstedt, A. (2009). Cyanogenic and non-cyanogenic pyridone glucosides from </w:t>
      </w:r>
      <w:r w:rsidRPr="00875933">
        <w:rPr>
          <w:rFonts w:ascii="Times New Roman" w:hAnsi="Times New Roman" w:cs="Times New Roman"/>
          <w:i/>
        </w:rPr>
        <w:t>Acalypha indica</w:t>
      </w:r>
      <w:r w:rsidRPr="00875933">
        <w:rPr>
          <w:rFonts w:ascii="Times New Roman" w:hAnsi="Times New Roman" w:cs="Times New Roman"/>
        </w:rPr>
        <w:t xml:space="preserve"> (Euphorbiaceae). </w:t>
      </w:r>
      <w:r w:rsidRPr="00875933">
        <w:rPr>
          <w:rFonts w:ascii="Times New Roman" w:hAnsi="Times New Roman" w:cs="Times New Roman"/>
          <w:i/>
        </w:rPr>
        <w:t>Phytochemistry</w:t>
      </w:r>
      <w:r w:rsidRPr="00875933">
        <w:rPr>
          <w:rFonts w:ascii="Times New Roman" w:hAnsi="Times New Roman" w:cs="Times New Roman"/>
        </w:rPr>
        <w:t xml:space="preserve">, </w:t>
      </w:r>
      <w:r w:rsidRPr="00875933">
        <w:rPr>
          <w:rFonts w:ascii="Times New Roman" w:hAnsi="Times New Roman" w:cs="Times New Roman"/>
          <w:i/>
        </w:rPr>
        <w:t>70</w:t>
      </w:r>
      <w:r w:rsidRPr="00875933">
        <w:rPr>
          <w:rFonts w:ascii="Times New Roman" w:hAnsi="Times New Roman" w:cs="Times New Roman"/>
        </w:rPr>
        <w:t xml:space="preserve">(2), 270–277. </w:t>
      </w:r>
      <w:r w:rsidRPr="00875933">
        <w:rPr>
          <w:rFonts w:ascii="Times New Roman" w:hAnsi="Times New Roman" w:cs="Times New Roman"/>
          <w:color w:val="0563C1"/>
          <w:u w:val="single"/>
        </w:rPr>
        <w:t>https://doi.org/10.1016/j.phytochem.2008.12.011</w:t>
      </w:r>
    </w:p>
    <w:p w14:paraId="4FC00F50" w14:textId="77777777" w:rsidR="00426A47" w:rsidRPr="00875933" w:rsidRDefault="00426A47" w:rsidP="00426A47">
      <w:pPr>
        <w:spacing w:before="100" w:beforeAutospacing="1" w:after="100" w:afterAutospacing="1" w:line="240" w:lineRule="auto"/>
        <w:ind w:left="720" w:hanging="720"/>
        <w:rPr>
          <w:rFonts w:ascii="Times New Roman" w:eastAsia="Times New Roman" w:hAnsi="Times New Roman" w:cs="Times New Roman"/>
          <w:sz w:val="24"/>
          <w:szCs w:val="24"/>
          <w:lang w:eastAsia="en-GB"/>
        </w:rPr>
      </w:pPr>
      <w:r w:rsidRPr="00875933">
        <w:rPr>
          <w:rFonts w:ascii="Times New Roman" w:hAnsi="Times New Roman" w:cs="Times New Roman"/>
        </w:rPr>
        <w:t xml:space="preserve">Ibrahim, A. M., Hamid, M. A., Althiab, R. A., Mohd Shariff, A. H., &amp; Zulkifli, R. M. (2021). In vitro fibroblasts viability and migration stimulation of </w:t>
      </w:r>
      <w:r w:rsidRPr="00875933">
        <w:rPr>
          <w:rFonts w:ascii="Times New Roman" w:hAnsi="Times New Roman" w:cs="Times New Roman"/>
          <w:i/>
        </w:rPr>
        <w:t>Acalypha indica</w:t>
      </w:r>
      <w:r w:rsidRPr="00875933">
        <w:rPr>
          <w:rFonts w:ascii="Times New Roman" w:hAnsi="Times New Roman" w:cs="Times New Roman"/>
        </w:rPr>
        <w:t xml:space="preserve">: An insight on wound healing activity. </w:t>
      </w:r>
      <w:r w:rsidRPr="00875933">
        <w:rPr>
          <w:rFonts w:ascii="Times New Roman" w:hAnsi="Times New Roman" w:cs="Times New Roman"/>
          <w:i/>
        </w:rPr>
        <w:t>Future Journal of Pharmaceutical Sciences</w:t>
      </w:r>
      <w:r w:rsidRPr="00875933">
        <w:rPr>
          <w:rFonts w:ascii="Times New Roman" w:hAnsi="Times New Roman" w:cs="Times New Roman"/>
        </w:rPr>
        <w:t xml:space="preserve">, </w:t>
      </w:r>
      <w:r w:rsidRPr="00875933">
        <w:rPr>
          <w:rFonts w:ascii="Times New Roman" w:hAnsi="Times New Roman" w:cs="Times New Roman"/>
          <w:i/>
        </w:rPr>
        <w:t>7</w:t>
      </w:r>
      <w:r w:rsidRPr="00875933">
        <w:rPr>
          <w:rFonts w:ascii="Times New Roman" w:hAnsi="Times New Roman" w:cs="Times New Roman"/>
        </w:rPr>
        <w:t xml:space="preserve">, Article 167. </w:t>
      </w:r>
      <w:r w:rsidRPr="00875933">
        <w:rPr>
          <w:rFonts w:ascii="Times New Roman" w:hAnsi="Times New Roman" w:cs="Times New Roman"/>
          <w:color w:val="0563C1"/>
          <w:u w:val="single"/>
        </w:rPr>
        <w:t>https://doi.org/10.1186/s43094-021-00333-0</w:t>
      </w:r>
    </w:p>
    <w:p w14:paraId="16184868" w14:textId="77777777" w:rsidR="00426A47" w:rsidRPr="00875933" w:rsidRDefault="00426A47" w:rsidP="00426A47">
      <w:pPr>
        <w:spacing w:before="100" w:beforeAutospacing="1" w:after="100" w:afterAutospacing="1" w:line="240" w:lineRule="auto"/>
        <w:ind w:left="720" w:hanging="720"/>
        <w:rPr>
          <w:rFonts w:ascii="Times New Roman" w:eastAsia="Times New Roman" w:hAnsi="Times New Roman" w:cs="Times New Roman"/>
          <w:sz w:val="24"/>
          <w:szCs w:val="24"/>
          <w:lang w:eastAsia="en-GB"/>
        </w:rPr>
      </w:pPr>
      <w:r w:rsidRPr="00875933">
        <w:rPr>
          <w:rFonts w:ascii="Times New Roman" w:hAnsi="Times New Roman" w:cs="Times New Roman"/>
        </w:rPr>
        <w:t xml:space="preserve">Jiménez-González, V., Kowalczyk, T., Piekarski, J., Szemraj, J., Rijo, P., &amp; Sitarek, P. (2024). Nature's green potential: Anticancer properties of plants of the Euphorbiaceae family. </w:t>
      </w:r>
      <w:r w:rsidRPr="00875933">
        <w:rPr>
          <w:rFonts w:ascii="Times New Roman" w:hAnsi="Times New Roman" w:cs="Times New Roman"/>
          <w:i/>
        </w:rPr>
        <w:t>Cancers</w:t>
      </w:r>
      <w:r w:rsidRPr="00875933">
        <w:rPr>
          <w:rFonts w:ascii="Times New Roman" w:hAnsi="Times New Roman" w:cs="Times New Roman"/>
        </w:rPr>
        <w:t xml:space="preserve">, </w:t>
      </w:r>
      <w:r w:rsidRPr="00875933">
        <w:rPr>
          <w:rFonts w:ascii="Times New Roman" w:hAnsi="Times New Roman" w:cs="Times New Roman"/>
          <w:i/>
        </w:rPr>
        <w:t>16</w:t>
      </w:r>
      <w:r w:rsidRPr="00875933">
        <w:rPr>
          <w:rFonts w:ascii="Times New Roman" w:hAnsi="Times New Roman" w:cs="Times New Roman"/>
        </w:rPr>
        <w:t xml:space="preserve">(1), Article 114. </w:t>
      </w:r>
      <w:r w:rsidRPr="00875933">
        <w:rPr>
          <w:rFonts w:ascii="Times New Roman" w:hAnsi="Times New Roman" w:cs="Times New Roman"/>
          <w:color w:val="0563C1"/>
          <w:u w:val="single"/>
        </w:rPr>
        <w:t>https://doi.org/10.3390/cancers16010114</w:t>
      </w:r>
    </w:p>
    <w:p w14:paraId="3C9E772D" w14:textId="77777777" w:rsidR="00426A47" w:rsidRPr="00875933" w:rsidRDefault="00426A47" w:rsidP="00426A47">
      <w:pPr>
        <w:spacing w:before="100" w:beforeAutospacing="1" w:after="100" w:afterAutospacing="1" w:line="240" w:lineRule="auto"/>
        <w:ind w:left="720" w:hanging="720"/>
        <w:rPr>
          <w:rFonts w:ascii="Times New Roman" w:eastAsia="Times New Roman" w:hAnsi="Times New Roman" w:cs="Times New Roman"/>
          <w:sz w:val="24"/>
          <w:szCs w:val="24"/>
          <w:lang w:eastAsia="en-GB"/>
        </w:rPr>
      </w:pPr>
      <w:r w:rsidRPr="00875933">
        <w:rPr>
          <w:rFonts w:ascii="Times New Roman" w:hAnsi="Times New Roman" w:cs="Times New Roman"/>
        </w:rPr>
        <w:t xml:space="preserve">Johari, N. A., Hoo, W. Q., Lo, L. T. H., Idris, M. K. H., Amran, S. I., Ab Latif, N., &amp; Jemon, K. (2024). In vitro and in silico evaluation of </w:t>
      </w:r>
      <w:r w:rsidRPr="00875933">
        <w:rPr>
          <w:rFonts w:ascii="Times New Roman" w:hAnsi="Times New Roman" w:cs="Times New Roman"/>
          <w:i/>
        </w:rPr>
        <w:t>Acalypha indica</w:t>
      </w:r>
      <w:r w:rsidRPr="00875933">
        <w:rPr>
          <w:rFonts w:ascii="Times New Roman" w:hAnsi="Times New Roman" w:cs="Times New Roman"/>
        </w:rPr>
        <w:t xml:space="preserve"> ethanolic extract on lipid metabolism-related protein expression on breast cancer cells. </w:t>
      </w:r>
      <w:r w:rsidRPr="00875933">
        <w:rPr>
          <w:rFonts w:ascii="Times New Roman" w:hAnsi="Times New Roman" w:cs="Times New Roman"/>
          <w:i/>
        </w:rPr>
        <w:t>Journal of Materials in Life Sciences</w:t>
      </w:r>
      <w:r w:rsidRPr="00875933">
        <w:rPr>
          <w:rFonts w:ascii="Times New Roman" w:hAnsi="Times New Roman" w:cs="Times New Roman"/>
        </w:rPr>
        <w:t xml:space="preserve">, </w:t>
      </w:r>
      <w:r w:rsidRPr="00875933">
        <w:rPr>
          <w:rFonts w:ascii="Times New Roman" w:hAnsi="Times New Roman" w:cs="Times New Roman"/>
          <w:i/>
        </w:rPr>
        <w:t>3</w:t>
      </w:r>
      <w:r w:rsidRPr="00875933">
        <w:rPr>
          <w:rFonts w:ascii="Times New Roman" w:hAnsi="Times New Roman" w:cs="Times New Roman"/>
        </w:rPr>
        <w:t xml:space="preserve">(2), 8–19. </w:t>
      </w:r>
      <w:r w:rsidRPr="00875933">
        <w:rPr>
          <w:rFonts w:ascii="Times New Roman" w:hAnsi="Times New Roman" w:cs="Times New Roman"/>
          <w:color w:val="0563C1"/>
          <w:u w:val="single"/>
        </w:rPr>
        <w:t>https://doi.org/10.11113/jomalisc.v3.74</w:t>
      </w:r>
    </w:p>
    <w:p w14:paraId="264ED86F" w14:textId="77777777" w:rsidR="00426A47" w:rsidRPr="00875933" w:rsidRDefault="00426A47" w:rsidP="00426A47">
      <w:pPr>
        <w:spacing w:before="100" w:beforeAutospacing="1" w:after="100" w:afterAutospacing="1" w:line="240" w:lineRule="auto"/>
        <w:ind w:left="720" w:hanging="720"/>
        <w:rPr>
          <w:rFonts w:ascii="Times New Roman" w:eastAsia="Times New Roman" w:hAnsi="Times New Roman" w:cs="Times New Roman"/>
          <w:sz w:val="24"/>
          <w:szCs w:val="24"/>
          <w:lang w:eastAsia="en-GB"/>
        </w:rPr>
      </w:pPr>
      <w:r w:rsidRPr="00875933">
        <w:rPr>
          <w:rFonts w:ascii="Times New Roman" w:hAnsi="Times New Roman" w:cs="Times New Roman"/>
        </w:rPr>
        <w:t xml:space="preserve">Karthik, S., Suriyaprabha, R., Vinoth, M., Srither, S. R., Manivasakan, P., Rajendran, V., &amp; Valiyaveettil, S. (2017). Larvicidal, super hydrophobic and antibacterial properties of herbal nanoparticles from </w:t>
      </w:r>
      <w:r w:rsidRPr="00875933">
        <w:rPr>
          <w:rFonts w:ascii="Times New Roman" w:hAnsi="Times New Roman" w:cs="Times New Roman"/>
          <w:i/>
        </w:rPr>
        <w:t>Acalypha indica</w:t>
      </w:r>
      <w:r w:rsidRPr="00875933">
        <w:rPr>
          <w:rFonts w:ascii="Times New Roman" w:hAnsi="Times New Roman" w:cs="Times New Roman"/>
        </w:rPr>
        <w:t xml:space="preserve"> for biomedical applications. </w:t>
      </w:r>
      <w:r w:rsidRPr="00875933">
        <w:rPr>
          <w:rFonts w:ascii="Times New Roman" w:hAnsi="Times New Roman" w:cs="Times New Roman"/>
          <w:i/>
        </w:rPr>
        <w:t>RSC Advances</w:t>
      </w:r>
      <w:r w:rsidRPr="00875933">
        <w:rPr>
          <w:rFonts w:ascii="Times New Roman" w:hAnsi="Times New Roman" w:cs="Times New Roman"/>
        </w:rPr>
        <w:t xml:space="preserve">, </w:t>
      </w:r>
      <w:r w:rsidRPr="00875933">
        <w:rPr>
          <w:rFonts w:ascii="Times New Roman" w:hAnsi="Times New Roman" w:cs="Times New Roman"/>
          <w:i/>
        </w:rPr>
        <w:t>7</w:t>
      </w:r>
      <w:r w:rsidRPr="00875933">
        <w:rPr>
          <w:rFonts w:ascii="Times New Roman" w:hAnsi="Times New Roman" w:cs="Times New Roman"/>
        </w:rPr>
        <w:t xml:space="preserve">, 41763–41770. </w:t>
      </w:r>
      <w:r w:rsidRPr="00875933">
        <w:rPr>
          <w:rFonts w:ascii="Times New Roman" w:hAnsi="Times New Roman" w:cs="Times New Roman"/>
          <w:color w:val="0563C1"/>
          <w:u w:val="single"/>
        </w:rPr>
        <w:t>https://doi.org/10.1039/C7RA05697D</w:t>
      </w:r>
    </w:p>
    <w:p w14:paraId="39D1E10F" w14:textId="77777777" w:rsidR="00426A47" w:rsidRPr="00875933" w:rsidRDefault="00426A47" w:rsidP="00426A47">
      <w:pPr>
        <w:spacing w:before="100" w:beforeAutospacing="1" w:after="100" w:afterAutospacing="1" w:line="240" w:lineRule="auto"/>
        <w:ind w:left="720" w:hanging="720"/>
        <w:rPr>
          <w:rFonts w:ascii="Times New Roman" w:eastAsia="Times New Roman" w:hAnsi="Times New Roman" w:cs="Times New Roman"/>
          <w:sz w:val="24"/>
          <w:szCs w:val="24"/>
          <w:lang w:eastAsia="en-GB"/>
        </w:rPr>
      </w:pPr>
      <w:r w:rsidRPr="00875933">
        <w:rPr>
          <w:rFonts w:ascii="Times New Roman" w:hAnsi="Times New Roman" w:cs="Times New Roman"/>
        </w:rPr>
        <w:t xml:space="preserve">Krishnaraj, C., Jagan, E. G., Rajasekar, S., Selvakumar, P., Kalaichelvan, P. T., &amp; Mohan, N. (2010). Synthesis of silver nanoparticles using </w:t>
      </w:r>
      <w:r w:rsidRPr="00875933">
        <w:rPr>
          <w:rFonts w:ascii="Times New Roman" w:hAnsi="Times New Roman" w:cs="Times New Roman"/>
          <w:i/>
        </w:rPr>
        <w:t>Acalypha indica</w:t>
      </w:r>
      <w:r w:rsidRPr="00875933">
        <w:rPr>
          <w:rFonts w:ascii="Times New Roman" w:hAnsi="Times New Roman" w:cs="Times New Roman"/>
        </w:rPr>
        <w:t xml:space="preserve"> leaf extracts and its antibacterial activity against water borne pathogens. </w:t>
      </w:r>
      <w:r w:rsidRPr="00875933">
        <w:rPr>
          <w:rFonts w:ascii="Times New Roman" w:hAnsi="Times New Roman" w:cs="Times New Roman"/>
          <w:i/>
        </w:rPr>
        <w:t>Colloids and Surfaces B: Biointerfaces</w:t>
      </w:r>
      <w:r w:rsidRPr="00875933">
        <w:rPr>
          <w:rFonts w:ascii="Times New Roman" w:hAnsi="Times New Roman" w:cs="Times New Roman"/>
        </w:rPr>
        <w:t xml:space="preserve">, </w:t>
      </w:r>
      <w:r w:rsidRPr="00875933">
        <w:rPr>
          <w:rFonts w:ascii="Times New Roman" w:hAnsi="Times New Roman" w:cs="Times New Roman"/>
          <w:i/>
        </w:rPr>
        <w:t>76</w:t>
      </w:r>
      <w:r w:rsidRPr="00875933">
        <w:rPr>
          <w:rFonts w:ascii="Times New Roman" w:hAnsi="Times New Roman" w:cs="Times New Roman"/>
        </w:rPr>
        <w:t xml:space="preserve">(1), 50–56. </w:t>
      </w:r>
      <w:r w:rsidRPr="00875933">
        <w:rPr>
          <w:rFonts w:ascii="Times New Roman" w:hAnsi="Times New Roman" w:cs="Times New Roman"/>
          <w:color w:val="0563C1"/>
          <w:u w:val="single"/>
        </w:rPr>
        <w:t>https://doi.org/10.1016/j.colsurfb.2009.10.008</w:t>
      </w:r>
    </w:p>
    <w:p w14:paraId="43B3C1E8" w14:textId="77777777" w:rsidR="00426A47" w:rsidRPr="00875933" w:rsidRDefault="00426A47" w:rsidP="00426A47">
      <w:pPr>
        <w:spacing w:before="100" w:beforeAutospacing="1" w:after="100" w:afterAutospacing="1" w:line="240" w:lineRule="auto"/>
        <w:ind w:left="720" w:hanging="720"/>
        <w:rPr>
          <w:rFonts w:ascii="Times New Roman" w:eastAsia="Times New Roman" w:hAnsi="Times New Roman" w:cs="Times New Roman"/>
          <w:sz w:val="24"/>
          <w:szCs w:val="24"/>
          <w:lang w:eastAsia="en-GB"/>
        </w:rPr>
      </w:pPr>
      <w:r w:rsidRPr="00875933">
        <w:rPr>
          <w:rFonts w:ascii="Times New Roman" w:hAnsi="Times New Roman" w:cs="Times New Roman"/>
        </w:rPr>
        <w:t xml:space="preserve">Nahrstedt, A., Hungeling, M., &amp; Petereit, F. (2006). Flavonoids from </w:t>
      </w:r>
      <w:r w:rsidRPr="00875933">
        <w:rPr>
          <w:rFonts w:ascii="Times New Roman" w:hAnsi="Times New Roman" w:cs="Times New Roman"/>
          <w:i/>
        </w:rPr>
        <w:t>Acalypha indica</w:t>
      </w:r>
      <w:r w:rsidRPr="00875933">
        <w:rPr>
          <w:rFonts w:ascii="Times New Roman" w:hAnsi="Times New Roman" w:cs="Times New Roman"/>
        </w:rPr>
        <w:t xml:space="preserve">. </w:t>
      </w:r>
      <w:r w:rsidRPr="00875933">
        <w:rPr>
          <w:rFonts w:ascii="Times New Roman" w:hAnsi="Times New Roman" w:cs="Times New Roman"/>
          <w:i/>
        </w:rPr>
        <w:t>Fitoterapia</w:t>
      </w:r>
      <w:r w:rsidRPr="00875933">
        <w:rPr>
          <w:rFonts w:ascii="Times New Roman" w:hAnsi="Times New Roman" w:cs="Times New Roman"/>
        </w:rPr>
        <w:t xml:space="preserve">, </w:t>
      </w:r>
      <w:r w:rsidRPr="00875933">
        <w:rPr>
          <w:rFonts w:ascii="Times New Roman" w:hAnsi="Times New Roman" w:cs="Times New Roman"/>
          <w:i/>
        </w:rPr>
        <w:t>77</w:t>
      </w:r>
      <w:r w:rsidRPr="00875933">
        <w:rPr>
          <w:rFonts w:ascii="Times New Roman" w:hAnsi="Times New Roman" w:cs="Times New Roman"/>
        </w:rPr>
        <w:t xml:space="preserve">(6), 484–486. </w:t>
      </w:r>
      <w:r w:rsidRPr="00875933">
        <w:rPr>
          <w:rFonts w:ascii="Times New Roman" w:hAnsi="Times New Roman" w:cs="Times New Roman"/>
          <w:color w:val="0563C1"/>
          <w:u w:val="single"/>
        </w:rPr>
        <w:t>https://doi.org/10.1016/j.fitote.2006.04.007</w:t>
      </w:r>
    </w:p>
    <w:p w14:paraId="6222C9BB" w14:textId="77777777" w:rsidR="00426A47" w:rsidRPr="00875933" w:rsidRDefault="00426A47" w:rsidP="00426A47">
      <w:pPr>
        <w:spacing w:before="100" w:beforeAutospacing="1" w:after="100" w:afterAutospacing="1" w:line="240" w:lineRule="auto"/>
        <w:ind w:left="720" w:hanging="720"/>
        <w:rPr>
          <w:rFonts w:ascii="Times New Roman" w:eastAsia="Times New Roman" w:hAnsi="Times New Roman" w:cs="Times New Roman"/>
          <w:sz w:val="24"/>
          <w:szCs w:val="24"/>
          <w:lang w:eastAsia="en-GB"/>
        </w:rPr>
      </w:pPr>
      <w:r w:rsidRPr="00875933">
        <w:rPr>
          <w:rFonts w:ascii="Times New Roman" w:hAnsi="Times New Roman" w:cs="Times New Roman"/>
        </w:rPr>
        <w:t xml:space="preserve">Nahrstedt, A., Kant, J.-D., &amp; Wray, V. (1982). Acalyphin, a cyanogenic glucoside from </w:t>
      </w:r>
      <w:r w:rsidRPr="00875933">
        <w:rPr>
          <w:rFonts w:ascii="Times New Roman" w:hAnsi="Times New Roman" w:cs="Times New Roman"/>
          <w:i/>
        </w:rPr>
        <w:t>Acalypha indica</w:t>
      </w:r>
      <w:r w:rsidRPr="00875933">
        <w:rPr>
          <w:rFonts w:ascii="Times New Roman" w:hAnsi="Times New Roman" w:cs="Times New Roman"/>
        </w:rPr>
        <w:t xml:space="preserve">. </w:t>
      </w:r>
      <w:r w:rsidRPr="00875933">
        <w:rPr>
          <w:rFonts w:ascii="Times New Roman" w:hAnsi="Times New Roman" w:cs="Times New Roman"/>
          <w:i/>
        </w:rPr>
        <w:t>Phytochemistry</w:t>
      </w:r>
      <w:r w:rsidRPr="00875933">
        <w:rPr>
          <w:rFonts w:ascii="Times New Roman" w:hAnsi="Times New Roman" w:cs="Times New Roman"/>
        </w:rPr>
        <w:t xml:space="preserve">, </w:t>
      </w:r>
      <w:r w:rsidRPr="00875933">
        <w:rPr>
          <w:rFonts w:ascii="Times New Roman" w:hAnsi="Times New Roman" w:cs="Times New Roman"/>
          <w:i/>
        </w:rPr>
        <w:t>21</w:t>
      </w:r>
      <w:r w:rsidRPr="00875933">
        <w:rPr>
          <w:rFonts w:ascii="Times New Roman" w:hAnsi="Times New Roman" w:cs="Times New Roman"/>
        </w:rPr>
        <w:t xml:space="preserve">(1), 101–105. </w:t>
      </w:r>
      <w:r w:rsidRPr="00875933">
        <w:rPr>
          <w:rFonts w:ascii="Times New Roman" w:hAnsi="Times New Roman" w:cs="Times New Roman"/>
          <w:color w:val="0563C1"/>
          <w:u w:val="single"/>
        </w:rPr>
        <w:t>https://doi.org/10.1016/0031-9422(82)80022-8</w:t>
      </w:r>
    </w:p>
    <w:p w14:paraId="6BA1ECB6" w14:textId="77777777" w:rsidR="00426A47" w:rsidRPr="00875933" w:rsidRDefault="00426A47" w:rsidP="00426A47">
      <w:pPr>
        <w:spacing w:before="100" w:beforeAutospacing="1" w:after="100" w:afterAutospacing="1" w:line="240" w:lineRule="auto"/>
        <w:ind w:left="720" w:hanging="720"/>
        <w:rPr>
          <w:rFonts w:ascii="Times New Roman" w:eastAsia="Times New Roman" w:hAnsi="Times New Roman" w:cs="Times New Roman"/>
          <w:sz w:val="24"/>
          <w:szCs w:val="24"/>
          <w:lang w:eastAsia="en-GB"/>
        </w:rPr>
      </w:pPr>
      <w:r w:rsidRPr="00875933">
        <w:rPr>
          <w:rFonts w:ascii="Times New Roman" w:hAnsi="Times New Roman" w:cs="Times New Roman"/>
        </w:rPr>
        <w:t xml:space="preserve">Ninave, P. B., &amp; Patil, S. D. (2022). Pharmacological screening of </w:t>
      </w:r>
      <w:r w:rsidRPr="00875933">
        <w:rPr>
          <w:rFonts w:ascii="Times New Roman" w:hAnsi="Times New Roman" w:cs="Times New Roman"/>
          <w:i/>
        </w:rPr>
        <w:t>Acalypha indica</w:t>
      </w:r>
      <w:r w:rsidRPr="00875933">
        <w:rPr>
          <w:rFonts w:ascii="Times New Roman" w:hAnsi="Times New Roman" w:cs="Times New Roman"/>
        </w:rPr>
        <w:t xml:space="preserve"> L.: Possible role in the treatment of asthma. </w:t>
      </w:r>
      <w:r w:rsidRPr="00875933">
        <w:rPr>
          <w:rFonts w:ascii="Times New Roman" w:hAnsi="Times New Roman" w:cs="Times New Roman"/>
          <w:i/>
        </w:rPr>
        <w:t>Journal of Ethnopharmacology</w:t>
      </w:r>
      <w:r w:rsidRPr="00875933">
        <w:rPr>
          <w:rFonts w:ascii="Times New Roman" w:hAnsi="Times New Roman" w:cs="Times New Roman"/>
        </w:rPr>
        <w:t xml:space="preserve">, </w:t>
      </w:r>
      <w:r w:rsidRPr="00875933">
        <w:rPr>
          <w:rFonts w:ascii="Times New Roman" w:hAnsi="Times New Roman" w:cs="Times New Roman"/>
          <w:i/>
        </w:rPr>
        <w:t>290</w:t>
      </w:r>
      <w:r w:rsidRPr="00875933">
        <w:rPr>
          <w:rFonts w:ascii="Times New Roman" w:hAnsi="Times New Roman" w:cs="Times New Roman"/>
        </w:rPr>
        <w:t xml:space="preserve">, Article 115093. </w:t>
      </w:r>
      <w:r w:rsidRPr="00875933">
        <w:rPr>
          <w:rFonts w:ascii="Times New Roman" w:hAnsi="Times New Roman" w:cs="Times New Roman"/>
          <w:color w:val="0563C1"/>
          <w:u w:val="single"/>
        </w:rPr>
        <w:t>https://doi.org/10.1016/j.jep.2022.115093</w:t>
      </w:r>
    </w:p>
    <w:p w14:paraId="3E0303E5" w14:textId="77777777" w:rsidR="00426A47" w:rsidRPr="00875933" w:rsidRDefault="00426A47" w:rsidP="00426A47">
      <w:pPr>
        <w:spacing w:before="100" w:beforeAutospacing="1" w:after="100" w:afterAutospacing="1" w:line="240" w:lineRule="auto"/>
        <w:ind w:left="720" w:hanging="720"/>
        <w:rPr>
          <w:rFonts w:ascii="Times New Roman" w:eastAsia="Times New Roman" w:hAnsi="Times New Roman" w:cs="Times New Roman"/>
          <w:sz w:val="24"/>
          <w:szCs w:val="24"/>
          <w:lang w:eastAsia="en-GB"/>
        </w:rPr>
      </w:pPr>
      <w:r w:rsidRPr="00875933">
        <w:rPr>
          <w:rFonts w:ascii="Times New Roman" w:hAnsi="Times New Roman" w:cs="Times New Roman"/>
        </w:rPr>
        <w:t xml:space="preserve">Pradoo, A., Sriapha, C., Trakulsrichai, S., Tongpoo, A., Kheiawsawang, M., &amp; Wananukul, W. (2020). Clinical characteristics of </w:t>
      </w:r>
      <w:r w:rsidRPr="00875933">
        <w:rPr>
          <w:rFonts w:ascii="Times New Roman" w:hAnsi="Times New Roman" w:cs="Times New Roman"/>
          <w:i/>
        </w:rPr>
        <w:t>Acalypha indica</w:t>
      </w:r>
      <w:r w:rsidRPr="00875933">
        <w:rPr>
          <w:rFonts w:ascii="Times New Roman" w:hAnsi="Times New Roman" w:cs="Times New Roman"/>
        </w:rPr>
        <w:t xml:space="preserve"> poisoning. </w:t>
      </w:r>
      <w:r w:rsidRPr="00875933">
        <w:rPr>
          <w:rFonts w:ascii="Times New Roman" w:hAnsi="Times New Roman" w:cs="Times New Roman"/>
          <w:i/>
        </w:rPr>
        <w:t>International Journal of General Medicine</w:t>
      </w:r>
      <w:r w:rsidRPr="00875933">
        <w:rPr>
          <w:rFonts w:ascii="Times New Roman" w:hAnsi="Times New Roman" w:cs="Times New Roman"/>
        </w:rPr>
        <w:t xml:space="preserve">, </w:t>
      </w:r>
      <w:r w:rsidRPr="00875933">
        <w:rPr>
          <w:rFonts w:ascii="Times New Roman" w:hAnsi="Times New Roman" w:cs="Times New Roman"/>
          <w:i/>
        </w:rPr>
        <w:t>13</w:t>
      </w:r>
      <w:r w:rsidRPr="00875933">
        <w:rPr>
          <w:rFonts w:ascii="Times New Roman" w:hAnsi="Times New Roman" w:cs="Times New Roman"/>
        </w:rPr>
        <w:t xml:space="preserve">, 539–545. </w:t>
      </w:r>
      <w:r w:rsidRPr="00875933">
        <w:rPr>
          <w:rFonts w:ascii="Times New Roman" w:hAnsi="Times New Roman" w:cs="Times New Roman"/>
          <w:color w:val="0563C1"/>
          <w:u w:val="single"/>
        </w:rPr>
        <w:t>https://doi.org/10.2147/IJGM.S263199</w:t>
      </w:r>
    </w:p>
    <w:p w14:paraId="14B932BF" w14:textId="77777777" w:rsidR="00426A47" w:rsidRPr="00875933" w:rsidRDefault="00426A47" w:rsidP="00426A47">
      <w:pPr>
        <w:spacing w:before="100" w:beforeAutospacing="1" w:after="100" w:afterAutospacing="1" w:line="240" w:lineRule="auto"/>
        <w:ind w:left="720" w:hanging="720"/>
        <w:rPr>
          <w:rFonts w:ascii="Times New Roman" w:eastAsia="Times New Roman" w:hAnsi="Times New Roman" w:cs="Times New Roman"/>
          <w:sz w:val="24"/>
          <w:szCs w:val="24"/>
          <w:lang w:eastAsia="en-GB"/>
        </w:rPr>
      </w:pPr>
      <w:r w:rsidRPr="00875933">
        <w:rPr>
          <w:rFonts w:ascii="Times New Roman" w:hAnsi="Times New Roman" w:cs="Times New Roman"/>
        </w:rPr>
        <w:t xml:space="preserve">Priya, C. L., &amp; Rao, K. V. B. (2016). Postprandial antihyperglycemic and antioxidant activities of </w:t>
      </w:r>
      <w:r w:rsidRPr="00875933">
        <w:rPr>
          <w:rFonts w:ascii="Times New Roman" w:hAnsi="Times New Roman" w:cs="Times New Roman"/>
          <w:i/>
        </w:rPr>
        <w:t>Acalypha indica</w:t>
      </w:r>
      <w:r w:rsidRPr="00875933">
        <w:rPr>
          <w:rFonts w:ascii="Times New Roman" w:hAnsi="Times New Roman" w:cs="Times New Roman"/>
        </w:rPr>
        <w:t xml:space="preserve"> Linn stem extract: An in-vivo study. </w:t>
      </w:r>
      <w:r w:rsidRPr="00875933">
        <w:rPr>
          <w:rFonts w:ascii="Times New Roman" w:hAnsi="Times New Roman" w:cs="Times New Roman"/>
          <w:i/>
        </w:rPr>
        <w:t>Pharmacognosy Magazine</w:t>
      </w:r>
      <w:r w:rsidRPr="00875933">
        <w:rPr>
          <w:rFonts w:ascii="Times New Roman" w:hAnsi="Times New Roman" w:cs="Times New Roman"/>
        </w:rPr>
        <w:t xml:space="preserve">, </w:t>
      </w:r>
      <w:r w:rsidRPr="00875933">
        <w:rPr>
          <w:rFonts w:ascii="Times New Roman" w:hAnsi="Times New Roman" w:cs="Times New Roman"/>
          <w:i/>
        </w:rPr>
        <w:t>12</w:t>
      </w:r>
      <w:r w:rsidRPr="00875933">
        <w:rPr>
          <w:rFonts w:ascii="Times New Roman" w:hAnsi="Times New Roman" w:cs="Times New Roman"/>
        </w:rPr>
        <w:t xml:space="preserve">(Suppl 4), S475–S481. </w:t>
      </w:r>
      <w:r w:rsidRPr="00875933">
        <w:rPr>
          <w:rFonts w:ascii="Times New Roman" w:hAnsi="Times New Roman" w:cs="Times New Roman"/>
          <w:color w:val="0563C1"/>
          <w:u w:val="single"/>
        </w:rPr>
        <w:t>https://doi.org/10.4103/0973-1296.191461</w:t>
      </w:r>
    </w:p>
    <w:p w14:paraId="1FDC98F6" w14:textId="77777777" w:rsidR="00426A47" w:rsidRPr="00875933" w:rsidRDefault="00426A47" w:rsidP="00426A47">
      <w:pPr>
        <w:spacing w:before="100" w:beforeAutospacing="1" w:after="100" w:afterAutospacing="1" w:line="240" w:lineRule="auto"/>
        <w:ind w:left="720" w:hanging="720"/>
        <w:rPr>
          <w:rFonts w:ascii="Times New Roman" w:eastAsia="Times New Roman" w:hAnsi="Times New Roman" w:cs="Times New Roman"/>
          <w:sz w:val="24"/>
          <w:szCs w:val="24"/>
          <w:lang w:eastAsia="en-GB"/>
        </w:rPr>
      </w:pPr>
      <w:r w:rsidRPr="00875933">
        <w:rPr>
          <w:rFonts w:ascii="Times New Roman" w:hAnsi="Times New Roman" w:cs="Times New Roman"/>
        </w:rPr>
        <w:t xml:space="preserve">Ravi, S., Shanmugam, B., Subbaiah, G. V., Prasad, S. H., &amp; Reddy, K. S. (2017). Identification of food preservative, stress relief compounds by GC–MS and HR-LC/Q-TOF/MS; evaluation of antioxidant activity of </w:t>
      </w:r>
      <w:r w:rsidRPr="00875933">
        <w:rPr>
          <w:rFonts w:ascii="Times New Roman" w:hAnsi="Times New Roman" w:cs="Times New Roman"/>
          <w:i/>
        </w:rPr>
        <w:t>Acalypha indica</w:t>
      </w:r>
      <w:r w:rsidRPr="00875933">
        <w:rPr>
          <w:rFonts w:ascii="Times New Roman" w:hAnsi="Times New Roman" w:cs="Times New Roman"/>
        </w:rPr>
        <w:t xml:space="preserve"> leaves methanolic extract (in vitro) and polyphenolic </w:t>
      </w:r>
      <w:r w:rsidRPr="00875933">
        <w:rPr>
          <w:rFonts w:ascii="Times New Roman" w:hAnsi="Times New Roman" w:cs="Times New Roman"/>
        </w:rPr>
        <w:lastRenderedPageBreak/>
        <w:t xml:space="preserve">fraction (in vivo). </w:t>
      </w:r>
      <w:r w:rsidRPr="00875933">
        <w:rPr>
          <w:rFonts w:ascii="Times New Roman" w:hAnsi="Times New Roman" w:cs="Times New Roman"/>
          <w:i/>
        </w:rPr>
        <w:t>Journal of Food Science and Technology</w:t>
      </w:r>
      <w:r w:rsidRPr="00875933">
        <w:rPr>
          <w:rFonts w:ascii="Times New Roman" w:hAnsi="Times New Roman" w:cs="Times New Roman"/>
        </w:rPr>
        <w:t xml:space="preserve">, </w:t>
      </w:r>
      <w:r w:rsidRPr="00875933">
        <w:rPr>
          <w:rFonts w:ascii="Times New Roman" w:hAnsi="Times New Roman" w:cs="Times New Roman"/>
          <w:i/>
        </w:rPr>
        <w:t>54</w:t>
      </w:r>
      <w:r w:rsidRPr="00875933">
        <w:rPr>
          <w:rFonts w:ascii="Times New Roman" w:hAnsi="Times New Roman" w:cs="Times New Roman"/>
        </w:rPr>
        <w:t xml:space="preserve">(6), 1585–1596. </w:t>
      </w:r>
      <w:r w:rsidRPr="00875933">
        <w:rPr>
          <w:rFonts w:ascii="Times New Roman" w:hAnsi="Times New Roman" w:cs="Times New Roman"/>
          <w:color w:val="0563C1"/>
          <w:u w:val="single"/>
        </w:rPr>
        <w:t>https://doi.org/10.1007/s13197-017-2590-z</w:t>
      </w:r>
    </w:p>
    <w:p w14:paraId="6CE4EB75" w14:textId="77777777" w:rsidR="00426A47" w:rsidRPr="00875933" w:rsidRDefault="00426A47" w:rsidP="00426A47">
      <w:pPr>
        <w:spacing w:before="100" w:beforeAutospacing="1" w:after="100" w:afterAutospacing="1" w:line="240" w:lineRule="auto"/>
        <w:ind w:left="720" w:hanging="720"/>
        <w:rPr>
          <w:rFonts w:ascii="Times New Roman" w:eastAsia="Times New Roman" w:hAnsi="Times New Roman" w:cs="Times New Roman"/>
          <w:sz w:val="24"/>
          <w:szCs w:val="24"/>
          <w:lang w:eastAsia="en-GB"/>
        </w:rPr>
      </w:pPr>
      <w:r w:rsidRPr="00875933">
        <w:rPr>
          <w:rFonts w:ascii="Times New Roman" w:hAnsi="Times New Roman" w:cs="Times New Roman"/>
        </w:rPr>
        <w:t xml:space="preserve">Sahukari, R., Punabaka, J., Bhasha, S., Ganjikunta, V. S., Kondeti Ramudu, S., Kesireddy, S. R., Ye, W., &amp; Korivi, M. (2021). Phytochemical profile, free radical scavenging and anti-inflammatory properties of </w:t>
      </w:r>
      <w:r w:rsidRPr="00875933">
        <w:rPr>
          <w:rFonts w:ascii="Times New Roman" w:hAnsi="Times New Roman" w:cs="Times New Roman"/>
          <w:i/>
        </w:rPr>
        <w:t>Acalypha indica</w:t>
      </w:r>
      <w:r w:rsidRPr="00875933">
        <w:rPr>
          <w:rFonts w:ascii="Times New Roman" w:hAnsi="Times New Roman" w:cs="Times New Roman"/>
        </w:rPr>
        <w:t xml:space="preserve"> root extract: Evidence from in vitro and in vivo studies. </w:t>
      </w:r>
      <w:r w:rsidRPr="00875933">
        <w:rPr>
          <w:rFonts w:ascii="Times New Roman" w:hAnsi="Times New Roman" w:cs="Times New Roman"/>
          <w:i/>
        </w:rPr>
        <w:t>Molecules</w:t>
      </w:r>
      <w:r w:rsidRPr="00875933">
        <w:rPr>
          <w:rFonts w:ascii="Times New Roman" w:hAnsi="Times New Roman" w:cs="Times New Roman"/>
        </w:rPr>
        <w:t xml:space="preserve">, </w:t>
      </w:r>
      <w:r w:rsidRPr="00875933">
        <w:rPr>
          <w:rFonts w:ascii="Times New Roman" w:hAnsi="Times New Roman" w:cs="Times New Roman"/>
          <w:i/>
        </w:rPr>
        <w:t>26</w:t>
      </w:r>
      <w:r w:rsidRPr="00875933">
        <w:rPr>
          <w:rFonts w:ascii="Times New Roman" w:hAnsi="Times New Roman" w:cs="Times New Roman"/>
        </w:rPr>
        <w:t xml:space="preserve">(20), Article 6251. </w:t>
      </w:r>
      <w:r w:rsidRPr="00875933">
        <w:rPr>
          <w:rFonts w:ascii="Times New Roman" w:hAnsi="Times New Roman" w:cs="Times New Roman"/>
          <w:color w:val="0563C1"/>
          <w:u w:val="single"/>
        </w:rPr>
        <w:t>https://doi.org/10.3390/molecules26206251</w:t>
      </w:r>
    </w:p>
    <w:p w14:paraId="2529DC65" w14:textId="77777777" w:rsidR="00426A47" w:rsidRPr="00875933" w:rsidRDefault="00426A47" w:rsidP="00426A47">
      <w:pPr>
        <w:spacing w:before="100" w:beforeAutospacing="1" w:after="100" w:afterAutospacing="1" w:line="240" w:lineRule="auto"/>
        <w:ind w:left="720" w:hanging="720"/>
        <w:rPr>
          <w:rFonts w:ascii="Times New Roman" w:eastAsia="Times New Roman" w:hAnsi="Times New Roman" w:cs="Times New Roman"/>
          <w:sz w:val="24"/>
          <w:szCs w:val="24"/>
          <w:lang w:eastAsia="en-GB"/>
        </w:rPr>
      </w:pPr>
      <w:r w:rsidRPr="00875933">
        <w:rPr>
          <w:rFonts w:ascii="Times New Roman" w:hAnsi="Times New Roman" w:cs="Times New Roman"/>
        </w:rPr>
        <w:t xml:space="preserve">Sakaray, V., Rao, Y. S., &amp; Naidu, N. V. (2024). Green synthesis of silver nanoparticles by </w:t>
      </w:r>
      <w:r w:rsidRPr="00875933">
        <w:rPr>
          <w:rFonts w:ascii="Times New Roman" w:hAnsi="Times New Roman" w:cs="Times New Roman"/>
          <w:i/>
        </w:rPr>
        <w:t>Acalypha indica</w:t>
      </w:r>
      <w:r w:rsidRPr="00875933">
        <w:rPr>
          <w:rFonts w:ascii="Times New Roman" w:hAnsi="Times New Roman" w:cs="Times New Roman"/>
        </w:rPr>
        <w:t xml:space="preserve"> plant extract and their approach towards multifunctional applications. </w:t>
      </w:r>
      <w:r w:rsidRPr="00875933">
        <w:rPr>
          <w:rFonts w:ascii="Times New Roman" w:hAnsi="Times New Roman" w:cs="Times New Roman"/>
          <w:i/>
        </w:rPr>
        <w:t>Nano Biomedicine and Engineering</w:t>
      </w:r>
      <w:r w:rsidRPr="00875933">
        <w:rPr>
          <w:rFonts w:ascii="Times New Roman" w:hAnsi="Times New Roman" w:cs="Times New Roman"/>
        </w:rPr>
        <w:t xml:space="preserve">, </w:t>
      </w:r>
      <w:r w:rsidRPr="00875933">
        <w:rPr>
          <w:rFonts w:ascii="Times New Roman" w:hAnsi="Times New Roman" w:cs="Times New Roman"/>
          <w:i/>
        </w:rPr>
        <w:t>16</w:t>
      </w:r>
      <w:r w:rsidRPr="00875933">
        <w:rPr>
          <w:rFonts w:ascii="Times New Roman" w:hAnsi="Times New Roman" w:cs="Times New Roman"/>
        </w:rPr>
        <w:t xml:space="preserve">(4), 665–676. </w:t>
      </w:r>
      <w:r w:rsidRPr="00875933">
        <w:rPr>
          <w:rFonts w:ascii="Times New Roman" w:hAnsi="Times New Roman" w:cs="Times New Roman"/>
          <w:color w:val="0563C1"/>
          <w:u w:val="single"/>
        </w:rPr>
        <w:t>https://doi.org/10.26599/NBE.2024.9290064</w:t>
      </w:r>
    </w:p>
    <w:p w14:paraId="51F8CFF4" w14:textId="77777777" w:rsidR="00426A47" w:rsidRPr="00875933" w:rsidRDefault="00426A47" w:rsidP="00426A47">
      <w:pPr>
        <w:spacing w:before="100" w:beforeAutospacing="1" w:after="100" w:afterAutospacing="1" w:line="240" w:lineRule="auto"/>
        <w:ind w:left="720" w:hanging="720"/>
        <w:rPr>
          <w:rFonts w:ascii="Times New Roman" w:eastAsia="Times New Roman" w:hAnsi="Times New Roman" w:cs="Times New Roman"/>
          <w:sz w:val="24"/>
          <w:szCs w:val="24"/>
          <w:lang w:eastAsia="en-GB"/>
        </w:rPr>
      </w:pPr>
      <w:r w:rsidRPr="00875933">
        <w:rPr>
          <w:rFonts w:ascii="Times New Roman" w:hAnsi="Times New Roman" w:cs="Times New Roman"/>
        </w:rPr>
        <w:t xml:space="preserve">Seebaluck, R., Gurib-Fakim, A., &amp; Mahomoodally, F. (2015). Medicinal plants from the genus Acalypha (Euphorbiaceae): A review of their ethnopharmacology and phytochemistry. </w:t>
      </w:r>
      <w:r w:rsidRPr="00875933">
        <w:rPr>
          <w:rFonts w:ascii="Times New Roman" w:hAnsi="Times New Roman" w:cs="Times New Roman"/>
          <w:i/>
        </w:rPr>
        <w:t>Journal of Ethnopharmacology</w:t>
      </w:r>
      <w:r w:rsidRPr="00875933">
        <w:rPr>
          <w:rFonts w:ascii="Times New Roman" w:hAnsi="Times New Roman" w:cs="Times New Roman"/>
        </w:rPr>
        <w:t xml:space="preserve">, </w:t>
      </w:r>
      <w:r w:rsidRPr="00875933">
        <w:rPr>
          <w:rFonts w:ascii="Times New Roman" w:hAnsi="Times New Roman" w:cs="Times New Roman"/>
          <w:i/>
        </w:rPr>
        <w:t>159</w:t>
      </w:r>
      <w:r w:rsidRPr="00875933">
        <w:rPr>
          <w:rFonts w:ascii="Times New Roman" w:hAnsi="Times New Roman" w:cs="Times New Roman"/>
        </w:rPr>
        <w:t xml:space="preserve">, 137–157. </w:t>
      </w:r>
      <w:r w:rsidRPr="00875933">
        <w:rPr>
          <w:rFonts w:ascii="Times New Roman" w:hAnsi="Times New Roman" w:cs="Times New Roman"/>
          <w:color w:val="0563C1"/>
          <w:u w:val="single"/>
        </w:rPr>
        <w:t>https://doi.org/10.1016/j.jep.2014.10.040</w:t>
      </w:r>
    </w:p>
    <w:p w14:paraId="514EA57F" w14:textId="77777777" w:rsidR="00426A47" w:rsidRPr="00875933" w:rsidRDefault="00426A47" w:rsidP="00426A47">
      <w:pPr>
        <w:spacing w:before="100" w:beforeAutospacing="1" w:after="100" w:afterAutospacing="1" w:line="240" w:lineRule="auto"/>
        <w:ind w:left="720" w:hanging="720"/>
        <w:rPr>
          <w:rFonts w:ascii="Times New Roman" w:eastAsia="Times New Roman" w:hAnsi="Times New Roman" w:cs="Times New Roman"/>
          <w:sz w:val="24"/>
          <w:szCs w:val="24"/>
          <w:lang w:eastAsia="en-GB"/>
        </w:rPr>
      </w:pPr>
      <w:r w:rsidRPr="00875933">
        <w:rPr>
          <w:rFonts w:ascii="Times New Roman" w:hAnsi="Times New Roman" w:cs="Times New Roman"/>
        </w:rPr>
        <w:t xml:space="preserve">Senanayake, N., &amp; Sanmuganathan, P. S. (1996). Acute intravascular haemolysis in glucose-6-phosphate dehydrogenase deficient patients following ingestion of herbal broth containing </w:t>
      </w:r>
      <w:r w:rsidRPr="00875933">
        <w:rPr>
          <w:rFonts w:ascii="Times New Roman" w:hAnsi="Times New Roman" w:cs="Times New Roman"/>
          <w:i/>
        </w:rPr>
        <w:t>Acalypha indica</w:t>
      </w:r>
      <w:r w:rsidRPr="00875933">
        <w:rPr>
          <w:rFonts w:ascii="Times New Roman" w:hAnsi="Times New Roman" w:cs="Times New Roman"/>
        </w:rPr>
        <w:t xml:space="preserve">. </w:t>
      </w:r>
      <w:r w:rsidRPr="00875933">
        <w:rPr>
          <w:rFonts w:ascii="Times New Roman" w:hAnsi="Times New Roman" w:cs="Times New Roman"/>
          <w:i/>
        </w:rPr>
        <w:t>Tropical Doctor</w:t>
      </w:r>
      <w:r w:rsidRPr="00875933">
        <w:rPr>
          <w:rFonts w:ascii="Times New Roman" w:hAnsi="Times New Roman" w:cs="Times New Roman"/>
        </w:rPr>
        <w:t xml:space="preserve">, </w:t>
      </w:r>
      <w:r w:rsidRPr="00875933">
        <w:rPr>
          <w:rFonts w:ascii="Times New Roman" w:hAnsi="Times New Roman" w:cs="Times New Roman"/>
          <w:i/>
        </w:rPr>
        <w:t>26</w:t>
      </w:r>
      <w:r w:rsidRPr="00875933">
        <w:rPr>
          <w:rFonts w:ascii="Times New Roman" w:hAnsi="Times New Roman" w:cs="Times New Roman"/>
        </w:rPr>
        <w:t xml:space="preserve">(1), 32. </w:t>
      </w:r>
      <w:r w:rsidRPr="00875933">
        <w:rPr>
          <w:rFonts w:ascii="Times New Roman" w:hAnsi="Times New Roman" w:cs="Times New Roman"/>
          <w:color w:val="0563C1"/>
          <w:u w:val="single"/>
        </w:rPr>
        <w:t>https://doi.org/10.1177/004947559602600113</w:t>
      </w:r>
    </w:p>
    <w:p w14:paraId="512FDB84" w14:textId="77777777" w:rsidR="00426A47" w:rsidRPr="00875933" w:rsidRDefault="00426A47" w:rsidP="00426A47">
      <w:pPr>
        <w:spacing w:before="100" w:beforeAutospacing="1" w:after="100" w:afterAutospacing="1" w:line="240" w:lineRule="auto"/>
        <w:ind w:left="720" w:hanging="720"/>
        <w:rPr>
          <w:rFonts w:ascii="Times New Roman" w:eastAsia="Times New Roman" w:hAnsi="Times New Roman" w:cs="Times New Roman"/>
          <w:sz w:val="24"/>
          <w:szCs w:val="24"/>
          <w:lang w:eastAsia="en-GB"/>
        </w:rPr>
      </w:pPr>
      <w:r w:rsidRPr="00875933">
        <w:rPr>
          <w:rFonts w:ascii="Times New Roman" w:hAnsi="Times New Roman" w:cs="Times New Roman"/>
        </w:rPr>
        <w:t xml:space="preserve">Sharma, D., Shrimal, H., Singh, K., Apparsundaram, S., &amp; Dhobi, M. (2025a). Evaluation of the antiviral and anti-inflammatory activity of </w:t>
      </w:r>
      <w:r w:rsidRPr="00875933">
        <w:rPr>
          <w:rFonts w:ascii="Times New Roman" w:hAnsi="Times New Roman" w:cs="Times New Roman"/>
          <w:i/>
        </w:rPr>
        <w:t>Acalypha indica</w:t>
      </w:r>
      <w:r w:rsidRPr="00875933">
        <w:rPr>
          <w:rFonts w:ascii="Times New Roman" w:hAnsi="Times New Roman" w:cs="Times New Roman"/>
        </w:rPr>
        <w:t xml:space="preserve"> L. in LPS-induced macrophages via modulating NF-κB pathway. </w:t>
      </w:r>
      <w:r w:rsidRPr="00875933">
        <w:rPr>
          <w:rFonts w:ascii="Times New Roman" w:hAnsi="Times New Roman" w:cs="Times New Roman"/>
          <w:i/>
        </w:rPr>
        <w:t>Phytomedicine Plus</w:t>
      </w:r>
      <w:r w:rsidRPr="00875933">
        <w:rPr>
          <w:rFonts w:ascii="Times New Roman" w:hAnsi="Times New Roman" w:cs="Times New Roman"/>
        </w:rPr>
        <w:t xml:space="preserve">, </w:t>
      </w:r>
      <w:r w:rsidRPr="00875933">
        <w:rPr>
          <w:rFonts w:ascii="Times New Roman" w:hAnsi="Times New Roman" w:cs="Times New Roman"/>
          <w:i/>
        </w:rPr>
        <w:t>5</w:t>
      </w:r>
      <w:r w:rsidRPr="00875933">
        <w:rPr>
          <w:rFonts w:ascii="Times New Roman" w:hAnsi="Times New Roman" w:cs="Times New Roman"/>
        </w:rPr>
        <w:t xml:space="preserve">(4), Article 100882. </w:t>
      </w:r>
      <w:r w:rsidRPr="00875933">
        <w:rPr>
          <w:rFonts w:ascii="Times New Roman" w:hAnsi="Times New Roman" w:cs="Times New Roman"/>
          <w:color w:val="0563C1"/>
          <w:u w:val="single"/>
        </w:rPr>
        <w:t>https://doi.org/10.1016/j.phyplu.2025.100882</w:t>
      </w:r>
    </w:p>
    <w:p w14:paraId="340543C0" w14:textId="77777777" w:rsidR="00426A47" w:rsidRPr="00875933" w:rsidRDefault="00426A47" w:rsidP="00426A47">
      <w:pPr>
        <w:spacing w:before="100" w:beforeAutospacing="1" w:after="100" w:afterAutospacing="1" w:line="240" w:lineRule="auto"/>
        <w:ind w:left="720" w:hanging="720"/>
        <w:rPr>
          <w:rFonts w:ascii="Times New Roman" w:eastAsia="Times New Roman" w:hAnsi="Times New Roman" w:cs="Times New Roman"/>
          <w:sz w:val="24"/>
          <w:szCs w:val="24"/>
          <w:lang w:eastAsia="en-GB"/>
        </w:rPr>
      </w:pPr>
      <w:r w:rsidRPr="00875933">
        <w:rPr>
          <w:rFonts w:ascii="Times New Roman" w:hAnsi="Times New Roman" w:cs="Times New Roman"/>
        </w:rPr>
        <w:t xml:space="preserve">Sharma, D., Singh, C., Thakur, A. K., Apparsundaram, S., &amp; Dhobi, M. (2025b). Therapeutic potential of standardized </w:t>
      </w:r>
      <w:r w:rsidRPr="00875933">
        <w:rPr>
          <w:rFonts w:ascii="Times New Roman" w:hAnsi="Times New Roman" w:cs="Times New Roman"/>
          <w:i/>
        </w:rPr>
        <w:t>Acalypha indica</w:t>
      </w:r>
      <w:r w:rsidRPr="00875933">
        <w:rPr>
          <w:rFonts w:ascii="Times New Roman" w:hAnsi="Times New Roman" w:cs="Times New Roman"/>
        </w:rPr>
        <w:t xml:space="preserve"> extract in MPTP-induced parkinsonism in mice. </w:t>
      </w:r>
      <w:r w:rsidRPr="00875933">
        <w:rPr>
          <w:rFonts w:ascii="Times New Roman" w:hAnsi="Times New Roman" w:cs="Times New Roman"/>
          <w:i/>
        </w:rPr>
        <w:t>Chemistry &amp; Biodiversity</w:t>
      </w:r>
      <w:r w:rsidRPr="00875933">
        <w:rPr>
          <w:rFonts w:ascii="Times New Roman" w:hAnsi="Times New Roman" w:cs="Times New Roman"/>
        </w:rPr>
        <w:t xml:space="preserve">, </w:t>
      </w:r>
      <w:r w:rsidRPr="00875933">
        <w:rPr>
          <w:rFonts w:ascii="Times New Roman" w:hAnsi="Times New Roman" w:cs="Times New Roman"/>
          <w:i/>
        </w:rPr>
        <w:t>22</w:t>
      </w:r>
      <w:r w:rsidRPr="00875933">
        <w:rPr>
          <w:rFonts w:ascii="Times New Roman" w:hAnsi="Times New Roman" w:cs="Times New Roman"/>
        </w:rPr>
        <w:t xml:space="preserve">(11), Article e01226. </w:t>
      </w:r>
      <w:r w:rsidRPr="00875933">
        <w:rPr>
          <w:rFonts w:ascii="Times New Roman" w:hAnsi="Times New Roman" w:cs="Times New Roman"/>
          <w:color w:val="0563C1"/>
          <w:u w:val="single"/>
        </w:rPr>
        <w:t>https://doi.org/10.1002/cbdv.202501226</w:t>
      </w:r>
    </w:p>
    <w:p w14:paraId="4904ECB3" w14:textId="77777777" w:rsidR="00426A47" w:rsidRPr="00875933" w:rsidRDefault="00426A47" w:rsidP="00426A47">
      <w:pPr>
        <w:spacing w:before="100" w:beforeAutospacing="1" w:after="100" w:afterAutospacing="1" w:line="240" w:lineRule="auto"/>
        <w:ind w:left="720" w:hanging="720"/>
        <w:rPr>
          <w:rFonts w:ascii="Times New Roman" w:eastAsia="Times New Roman" w:hAnsi="Times New Roman" w:cs="Times New Roman"/>
          <w:sz w:val="24"/>
          <w:szCs w:val="24"/>
          <w:lang w:eastAsia="en-GB"/>
        </w:rPr>
      </w:pPr>
      <w:r w:rsidRPr="00875933">
        <w:rPr>
          <w:rFonts w:ascii="Times New Roman" w:hAnsi="Times New Roman" w:cs="Times New Roman"/>
        </w:rPr>
        <w:t xml:space="preserve">Sharma, D., Sharma, S., Mandal, V., &amp; Dhobi, M. (2024). Unveiling the anti-inflammatory potential of </w:t>
      </w:r>
      <w:r w:rsidRPr="00875933">
        <w:rPr>
          <w:rFonts w:ascii="Times New Roman" w:hAnsi="Times New Roman" w:cs="Times New Roman"/>
          <w:i/>
        </w:rPr>
        <w:t>Acalypha indica</w:t>
      </w:r>
      <w:r w:rsidRPr="00875933">
        <w:rPr>
          <w:rFonts w:ascii="Times New Roman" w:hAnsi="Times New Roman" w:cs="Times New Roman"/>
        </w:rPr>
        <w:t xml:space="preserve"> L. and analyzing its research trend: Digging deep to learn deep. </w:t>
      </w:r>
      <w:r w:rsidRPr="00875933">
        <w:rPr>
          <w:rFonts w:ascii="Times New Roman" w:hAnsi="Times New Roman" w:cs="Times New Roman"/>
          <w:i/>
        </w:rPr>
        <w:t>Naunyn-Schmiedeberg's Archives of Pharmacology</w:t>
      </w:r>
      <w:r w:rsidRPr="00875933">
        <w:rPr>
          <w:rFonts w:ascii="Times New Roman" w:hAnsi="Times New Roman" w:cs="Times New Roman"/>
        </w:rPr>
        <w:t xml:space="preserve">, </w:t>
      </w:r>
      <w:r w:rsidRPr="00875933">
        <w:rPr>
          <w:rFonts w:ascii="Times New Roman" w:hAnsi="Times New Roman" w:cs="Times New Roman"/>
          <w:i/>
        </w:rPr>
        <w:t>397</w:t>
      </w:r>
      <w:r w:rsidRPr="00875933">
        <w:rPr>
          <w:rFonts w:ascii="Times New Roman" w:hAnsi="Times New Roman" w:cs="Times New Roman"/>
        </w:rPr>
        <w:t xml:space="preserve">(4), 1935–1956. </w:t>
      </w:r>
      <w:r w:rsidRPr="00875933">
        <w:rPr>
          <w:rFonts w:ascii="Times New Roman" w:hAnsi="Times New Roman" w:cs="Times New Roman"/>
          <w:color w:val="0563C1"/>
          <w:u w:val="single"/>
        </w:rPr>
        <w:t>https://doi.org/10.1007/s00210-023-02734-9</w:t>
      </w:r>
    </w:p>
    <w:p w14:paraId="5CF96199" w14:textId="77777777" w:rsidR="00426A47" w:rsidRPr="00875933" w:rsidRDefault="00426A47" w:rsidP="00426A47">
      <w:pPr>
        <w:spacing w:before="100" w:beforeAutospacing="1" w:after="100" w:afterAutospacing="1" w:line="240" w:lineRule="auto"/>
        <w:ind w:left="720" w:hanging="720"/>
        <w:rPr>
          <w:rFonts w:ascii="Times New Roman" w:eastAsia="Times New Roman" w:hAnsi="Times New Roman" w:cs="Times New Roman"/>
          <w:sz w:val="24"/>
          <w:szCs w:val="24"/>
          <w:lang w:eastAsia="en-GB"/>
        </w:rPr>
      </w:pPr>
      <w:r w:rsidRPr="00875933">
        <w:rPr>
          <w:rFonts w:ascii="Times New Roman" w:hAnsi="Times New Roman" w:cs="Times New Roman"/>
        </w:rPr>
        <w:t xml:space="preserve">Sriram, R., &amp; Yoganandam, G. P. (2025). In vitro skin anti-aging potential evaluation of methanolic extract of aerial parts from </w:t>
      </w:r>
      <w:r w:rsidRPr="00875933">
        <w:rPr>
          <w:rFonts w:ascii="Times New Roman" w:hAnsi="Times New Roman" w:cs="Times New Roman"/>
          <w:i/>
        </w:rPr>
        <w:t>Acalypha indica</w:t>
      </w:r>
      <w:r w:rsidRPr="00875933">
        <w:rPr>
          <w:rFonts w:ascii="Times New Roman" w:hAnsi="Times New Roman" w:cs="Times New Roman"/>
        </w:rPr>
        <w:t xml:space="preserve"> Linn. </w:t>
      </w:r>
      <w:r w:rsidRPr="00875933">
        <w:rPr>
          <w:rFonts w:ascii="Times New Roman" w:hAnsi="Times New Roman" w:cs="Times New Roman"/>
          <w:i/>
        </w:rPr>
        <w:t>Bioinformation</w:t>
      </w:r>
      <w:r w:rsidRPr="00875933">
        <w:rPr>
          <w:rFonts w:ascii="Times New Roman" w:hAnsi="Times New Roman" w:cs="Times New Roman"/>
        </w:rPr>
        <w:t xml:space="preserve">, </w:t>
      </w:r>
      <w:r w:rsidRPr="00875933">
        <w:rPr>
          <w:rFonts w:ascii="Times New Roman" w:hAnsi="Times New Roman" w:cs="Times New Roman"/>
          <w:i/>
        </w:rPr>
        <w:t>21</w:t>
      </w:r>
      <w:r w:rsidRPr="00875933">
        <w:rPr>
          <w:rFonts w:ascii="Times New Roman" w:hAnsi="Times New Roman" w:cs="Times New Roman"/>
        </w:rPr>
        <w:t xml:space="preserve">(7), 1796–1803. </w:t>
      </w:r>
      <w:r w:rsidRPr="00875933">
        <w:rPr>
          <w:rFonts w:ascii="Times New Roman" w:hAnsi="Times New Roman" w:cs="Times New Roman"/>
          <w:color w:val="0563C1"/>
          <w:u w:val="single"/>
        </w:rPr>
        <w:t>https://doi.org/10.6026/973206300211796</w:t>
      </w:r>
    </w:p>
    <w:p w14:paraId="66220ADD" w14:textId="77777777" w:rsidR="00426A47" w:rsidRPr="00875933" w:rsidRDefault="00426A47" w:rsidP="00426A47">
      <w:pPr>
        <w:spacing w:before="100" w:beforeAutospacing="1" w:after="100" w:afterAutospacing="1" w:line="240" w:lineRule="auto"/>
        <w:ind w:left="720" w:hanging="720"/>
        <w:rPr>
          <w:rFonts w:ascii="Times New Roman" w:eastAsia="Times New Roman" w:hAnsi="Times New Roman" w:cs="Times New Roman"/>
          <w:sz w:val="24"/>
          <w:szCs w:val="24"/>
          <w:lang w:eastAsia="en-GB"/>
        </w:rPr>
      </w:pPr>
      <w:r w:rsidRPr="00875933">
        <w:rPr>
          <w:rFonts w:ascii="Times New Roman" w:hAnsi="Times New Roman" w:cs="Times New Roman"/>
        </w:rPr>
        <w:t xml:space="preserve">Sukhera, J. (2022). Narrative reviews: Flexible, rigorous, and practical. </w:t>
      </w:r>
      <w:r w:rsidRPr="00875933">
        <w:rPr>
          <w:rFonts w:ascii="Times New Roman" w:hAnsi="Times New Roman" w:cs="Times New Roman"/>
          <w:i/>
        </w:rPr>
        <w:t>Journal of Graduate Medical Education</w:t>
      </w:r>
      <w:r w:rsidRPr="00875933">
        <w:rPr>
          <w:rFonts w:ascii="Times New Roman" w:hAnsi="Times New Roman" w:cs="Times New Roman"/>
        </w:rPr>
        <w:t xml:space="preserve">, </w:t>
      </w:r>
      <w:r w:rsidRPr="00875933">
        <w:rPr>
          <w:rFonts w:ascii="Times New Roman" w:hAnsi="Times New Roman" w:cs="Times New Roman"/>
          <w:i/>
        </w:rPr>
        <w:t>14</w:t>
      </w:r>
      <w:r w:rsidRPr="00875933">
        <w:rPr>
          <w:rFonts w:ascii="Times New Roman" w:hAnsi="Times New Roman" w:cs="Times New Roman"/>
        </w:rPr>
        <w:t xml:space="preserve">(4), 414–417. </w:t>
      </w:r>
      <w:r w:rsidRPr="00875933">
        <w:rPr>
          <w:rFonts w:ascii="Times New Roman" w:hAnsi="Times New Roman" w:cs="Times New Roman"/>
          <w:color w:val="0563C1"/>
          <w:u w:val="single"/>
        </w:rPr>
        <w:t>https://doi.org/10.4300/JGME-D-22-00480.1</w:t>
      </w:r>
    </w:p>
    <w:p w14:paraId="4307A9C9" w14:textId="77777777" w:rsidR="00426A47" w:rsidRPr="00875933" w:rsidRDefault="00426A47" w:rsidP="00426A47">
      <w:pPr>
        <w:spacing w:before="100" w:beforeAutospacing="1" w:after="100" w:afterAutospacing="1" w:line="240" w:lineRule="auto"/>
        <w:ind w:left="720" w:hanging="720"/>
        <w:rPr>
          <w:rFonts w:ascii="Times New Roman" w:eastAsia="Times New Roman" w:hAnsi="Times New Roman" w:cs="Times New Roman"/>
          <w:sz w:val="24"/>
          <w:szCs w:val="24"/>
          <w:lang w:eastAsia="en-GB"/>
        </w:rPr>
      </w:pPr>
      <w:r w:rsidRPr="00875933">
        <w:rPr>
          <w:rFonts w:ascii="Times New Roman" w:hAnsi="Times New Roman" w:cs="Times New Roman"/>
        </w:rPr>
        <w:t xml:space="preserve">Thamil Priya, V., Balasubramanian, N., Shanmugaiah, V., &amp; Karunakaran, C. (2020). Phyotochemical properties of </w:t>
      </w:r>
      <w:r w:rsidRPr="00875933">
        <w:rPr>
          <w:rFonts w:ascii="Times New Roman" w:hAnsi="Times New Roman" w:cs="Times New Roman"/>
          <w:i/>
        </w:rPr>
        <w:t>Acalypha indica</w:t>
      </w:r>
      <w:r w:rsidRPr="00875933">
        <w:rPr>
          <w:rFonts w:ascii="Times New Roman" w:hAnsi="Times New Roman" w:cs="Times New Roman"/>
        </w:rPr>
        <w:t xml:space="preserve"> (L), and its antimicrobial potential against human pathogens. </w:t>
      </w:r>
      <w:r w:rsidRPr="00875933">
        <w:rPr>
          <w:rFonts w:ascii="Times New Roman" w:hAnsi="Times New Roman" w:cs="Times New Roman"/>
          <w:i/>
        </w:rPr>
        <w:t>Journal of Pure and Applied Microbiology</w:t>
      </w:r>
      <w:r w:rsidRPr="00875933">
        <w:rPr>
          <w:rFonts w:ascii="Times New Roman" w:hAnsi="Times New Roman" w:cs="Times New Roman"/>
        </w:rPr>
        <w:t xml:space="preserve">, </w:t>
      </w:r>
      <w:r w:rsidRPr="00875933">
        <w:rPr>
          <w:rFonts w:ascii="Times New Roman" w:hAnsi="Times New Roman" w:cs="Times New Roman"/>
          <w:i/>
        </w:rPr>
        <w:t>14</w:t>
      </w:r>
      <w:r w:rsidRPr="00875933">
        <w:rPr>
          <w:rFonts w:ascii="Times New Roman" w:hAnsi="Times New Roman" w:cs="Times New Roman"/>
        </w:rPr>
        <w:t xml:space="preserve">(1), 319–326. </w:t>
      </w:r>
      <w:r w:rsidRPr="00875933">
        <w:rPr>
          <w:rFonts w:ascii="Times New Roman" w:hAnsi="Times New Roman" w:cs="Times New Roman"/>
          <w:color w:val="0563C1"/>
          <w:u w:val="single"/>
        </w:rPr>
        <w:t>https://doi.org/10.22207/JPAM.14.1.33</w:t>
      </w:r>
    </w:p>
    <w:p w14:paraId="18095445" w14:textId="77777777" w:rsidR="00426A47" w:rsidRPr="00875933" w:rsidRDefault="00426A47" w:rsidP="00426A47">
      <w:pPr>
        <w:spacing w:before="100" w:beforeAutospacing="1" w:after="100" w:afterAutospacing="1" w:line="240" w:lineRule="auto"/>
        <w:ind w:left="720" w:hanging="720"/>
        <w:rPr>
          <w:rFonts w:ascii="Times New Roman" w:eastAsia="Times New Roman" w:hAnsi="Times New Roman" w:cs="Times New Roman"/>
          <w:sz w:val="24"/>
          <w:szCs w:val="24"/>
          <w:lang w:eastAsia="en-GB"/>
        </w:rPr>
      </w:pPr>
      <w:r w:rsidRPr="00875933">
        <w:rPr>
          <w:rFonts w:ascii="Times New Roman" w:hAnsi="Times New Roman" w:cs="Times New Roman"/>
        </w:rPr>
        <w:t xml:space="preserve">Venkatesan, U., &amp; Muniyan, R. (2026). Therapeutic potential of </w:t>
      </w:r>
      <w:r w:rsidRPr="00875933">
        <w:rPr>
          <w:rFonts w:ascii="Times New Roman" w:hAnsi="Times New Roman" w:cs="Times New Roman"/>
          <w:i/>
        </w:rPr>
        <w:t>Acalypha indica</w:t>
      </w:r>
      <w:r w:rsidRPr="00875933">
        <w:rPr>
          <w:rFonts w:ascii="Times New Roman" w:hAnsi="Times New Roman" w:cs="Times New Roman"/>
        </w:rPr>
        <w:t xml:space="preserve"> L. leaf fractions against foodborne pathogens: An in vitro and in silico study. </w:t>
      </w:r>
      <w:r w:rsidRPr="00875933">
        <w:rPr>
          <w:rFonts w:ascii="Times New Roman" w:hAnsi="Times New Roman" w:cs="Times New Roman"/>
          <w:i/>
        </w:rPr>
        <w:t>Scientific Reports</w:t>
      </w:r>
      <w:r w:rsidRPr="00875933">
        <w:rPr>
          <w:rFonts w:ascii="Times New Roman" w:hAnsi="Times New Roman" w:cs="Times New Roman"/>
        </w:rPr>
        <w:t xml:space="preserve">, </w:t>
      </w:r>
      <w:r w:rsidRPr="00875933">
        <w:rPr>
          <w:rFonts w:ascii="Times New Roman" w:hAnsi="Times New Roman" w:cs="Times New Roman"/>
          <w:i/>
        </w:rPr>
        <w:t>16</w:t>
      </w:r>
      <w:r w:rsidRPr="00875933">
        <w:rPr>
          <w:rFonts w:ascii="Times New Roman" w:hAnsi="Times New Roman" w:cs="Times New Roman"/>
        </w:rPr>
        <w:t xml:space="preserve">, Article 2423. </w:t>
      </w:r>
      <w:r w:rsidRPr="00875933">
        <w:rPr>
          <w:rFonts w:ascii="Times New Roman" w:hAnsi="Times New Roman" w:cs="Times New Roman"/>
          <w:color w:val="0563C1"/>
          <w:u w:val="single"/>
        </w:rPr>
        <w:t>https://doi.org/10.1038/s41598-025-32216-2</w:t>
      </w:r>
    </w:p>
    <w:p w14:paraId="38F2A326" w14:textId="77777777" w:rsidR="00426A47" w:rsidRPr="00875933" w:rsidRDefault="00426A47" w:rsidP="00426A47">
      <w:pPr>
        <w:spacing w:before="100" w:beforeAutospacing="1" w:after="100" w:afterAutospacing="1" w:line="240" w:lineRule="auto"/>
        <w:ind w:left="720" w:hanging="720"/>
        <w:rPr>
          <w:rFonts w:ascii="Times New Roman" w:eastAsia="Times New Roman" w:hAnsi="Times New Roman" w:cs="Times New Roman"/>
          <w:sz w:val="24"/>
          <w:szCs w:val="24"/>
          <w:lang w:eastAsia="en-GB"/>
        </w:rPr>
      </w:pPr>
      <w:r w:rsidRPr="00875933">
        <w:rPr>
          <w:rFonts w:ascii="Times New Roman" w:hAnsi="Times New Roman" w:cs="Times New Roman"/>
        </w:rPr>
        <w:t xml:space="preserve">World Health Organization. (2013). WHO traditional medicine strategy: 2014–2023. World Health Organization. </w:t>
      </w:r>
      <w:r w:rsidRPr="00875933">
        <w:rPr>
          <w:rFonts w:ascii="Times New Roman" w:hAnsi="Times New Roman" w:cs="Times New Roman"/>
          <w:color w:val="0563C1"/>
          <w:u w:val="single"/>
        </w:rPr>
        <w:t>https://www.who.int/publications/i/item/9789241506096</w:t>
      </w:r>
    </w:p>
    <w:p w14:paraId="4F69B89A" w14:textId="77777777" w:rsidR="00426A47" w:rsidRPr="00875933" w:rsidRDefault="00426A47" w:rsidP="00426A47">
      <w:pPr>
        <w:spacing w:before="100" w:beforeAutospacing="1" w:after="100" w:afterAutospacing="1" w:line="240" w:lineRule="auto"/>
        <w:ind w:left="720" w:hanging="720"/>
        <w:rPr>
          <w:rFonts w:ascii="Times New Roman" w:eastAsia="Times New Roman" w:hAnsi="Times New Roman" w:cs="Times New Roman"/>
          <w:sz w:val="24"/>
          <w:szCs w:val="24"/>
          <w:lang w:eastAsia="en-GB"/>
        </w:rPr>
      </w:pPr>
      <w:r w:rsidRPr="00875933">
        <w:rPr>
          <w:rFonts w:ascii="Times New Roman" w:hAnsi="Times New Roman" w:cs="Times New Roman"/>
        </w:rPr>
        <w:lastRenderedPageBreak/>
        <w:t xml:space="preserve">Zahidin, N. S., Saidin, S., Zulkifli, R. M., Muhamad, I. I., Ya'akob, H., &amp; Nur, H. (2017). A review of </w:t>
      </w:r>
      <w:r w:rsidRPr="00875933">
        <w:rPr>
          <w:rFonts w:ascii="Times New Roman" w:hAnsi="Times New Roman" w:cs="Times New Roman"/>
          <w:i/>
        </w:rPr>
        <w:t>Acalypha indica</w:t>
      </w:r>
      <w:r w:rsidRPr="00875933">
        <w:rPr>
          <w:rFonts w:ascii="Times New Roman" w:hAnsi="Times New Roman" w:cs="Times New Roman"/>
        </w:rPr>
        <w:t xml:space="preserve"> L. (Euphorbiaceae) as traditional medicinal plant and its therapeutic potential. </w:t>
      </w:r>
      <w:r w:rsidRPr="00875933">
        <w:rPr>
          <w:rFonts w:ascii="Times New Roman" w:hAnsi="Times New Roman" w:cs="Times New Roman"/>
          <w:i/>
        </w:rPr>
        <w:t>Journal of Ethnopharmacology</w:t>
      </w:r>
      <w:r w:rsidRPr="00875933">
        <w:rPr>
          <w:rFonts w:ascii="Times New Roman" w:hAnsi="Times New Roman" w:cs="Times New Roman"/>
        </w:rPr>
        <w:t xml:space="preserve">, </w:t>
      </w:r>
      <w:r w:rsidRPr="00875933">
        <w:rPr>
          <w:rFonts w:ascii="Times New Roman" w:hAnsi="Times New Roman" w:cs="Times New Roman"/>
          <w:i/>
        </w:rPr>
        <w:t>207</w:t>
      </w:r>
      <w:r w:rsidRPr="00875933">
        <w:rPr>
          <w:rFonts w:ascii="Times New Roman" w:hAnsi="Times New Roman" w:cs="Times New Roman"/>
        </w:rPr>
        <w:t xml:space="preserve">, 146–173. </w:t>
      </w:r>
      <w:r w:rsidRPr="00875933">
        <w:rPr>
          <w:rFonts w:ascii="Times New Roman" w:hAnsi="Times New Roman" w:cs="Times New Roman"/>
          <w:color w:val="0563C1"/>
          <w:u w:val="single"/>
        </w:rPr>
        <w:t>https://doi.org/10.1016/j.jep.2017.06.019</w:t>
      </w:r>
    </w:p>
    <w:p w14:paraId="25DBD6F2" w14:textId="77777777" w:rsidR="004841B3" w:rsidRPr="00875933" w:rsidRDefault="004841B3">
      <w:pPr>
        <w:rPr>
          <w:rFonts w:ascii="Times New Roman" w:hAnsi="Times New Roman" w:cs="Times New Roman"/>
        </w:rPr>
      </w:pPr>
    </w:p>
    <w:sectPr w:rsidR="004841B3" w:rsidRPr="00875933" w:rsidSect="00466AF0">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A142CF" w14:textId="77777777" w:rsidR="00FF2C09" w:rsidRDefault="00FF2C09" w:rsidP="00521EAD">
      <w:pPr>
        <w:spacing w:after="0" w:line="240" w:lineRule="auto"/>
      </w:pPr>
      <w:r>
        <w:separator/>
      </w:r>
    </w:p>
  </w:endnote>
  <w:endnote w:type="continuationSeparator" w:id="0">
    <w:p w14:paraId="3FFF36DC" w14:textId="77777777" w:rsidR="00FF2C09" w:rsidRDefault="00FF2C09" w:rsidP="00521E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566B4" w14:textId="77777777" w:rsidR="00521EAD" w:rsidRDefault="00521E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27EF0" w14:textId="77777777" w:rsidR="00521EAD" w:rsidRDefault="00521EA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89E98" w14:textId="77777777" w:rsidR="00521EAD" w:rsidRDefault="00521E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67F23E" w14:textId="77777777" w:rsidR="00FF2C09" w:rsidRDefault="00FF2C09" w:rsidP="00521EAD">
      <w:pPr>
        <w:spacing w:after="0" w:line="240" w:lineRule="auto"/>
      </w:pPr>
      <w:r>
        <w:separator/>
      </w:r>
    </w:p>
  </w:footnote>
  <w:footnote w:type="continuationSeparator" w:id="0">
    <w:p w14:paraId="09DCAFFA" w14:textId="77777777" w:rsidR="00FF2C09" w:rsidRDefault="00FF2C09" w:rsidP="00521E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72B55" w14:textId="51D785AF" w:rsidR="00521EAD" w:rsidRDefault="005A5453">
    <w:pPr>
      <w:pStyle w:val="Header"/>
    </w:pPr>
    <w:r>
      <w:rPr>
        <w:noProof/>
      </w:rPr>
      <w:pict w14:anchorId="5969FB3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0686766"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AF31D" w14:textId="18142CAE" w:rsidR="00521EAD" w:rsidRDefault="005A5453">
    <w:pPr>
      <w:pStyle w:val="Header"/>
    </w:pPr>
    <w:r>
      <w:rPr>
        <w:noProof/>
      </w:rPr>
      <w:pict w14:anchorId="7C244FB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0686767"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192D2" w14:textId="1F5E6609" w:rsidR="00521EAD" w:rsidRDefault="005A5453">
    <w:pPr>
      <w:pStyle w:val="Header"/>
    </w:pPr>
    <w:r>
      <w:rPr>
        <w:noProof/>
      </w:rPr>
      <w:pict w14:anchorId="54641AA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0686765"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26A47"/>
    <w:rsid w:val="000674CC"/>
    <w:rsid w:val="001432B0"/>
    <w:rsid w:val="0021214C"/>
    <w:rsid w:val="00251DF6"/>
    <w:rsid w:val="002A01A0"/>
    <w:rsid w:val="003332F9"/>
    <w:rsid w:val="003D3186"/>
    <w:rsid w:val="00426A47"/>
    <w:rsid w:val="00466AF0"/>
    <w:rsid w:val="004841B3"/>
    <w:rsid w:val="004D6040"/>
    <w:rsid w:val="004F1F61"/>
    <w:rsid w:val="00521EAD"/>
    <w:rsid w:val="00557D73"/>
    <w:rsid w:val="005A5453"/>
    <w:rsid w:val="00634DDB"/>
    <w:rsid w:val="006421AE"/>
    <w:rsid w:val="00646A55"/>
    <w:rsid w:val="006522E6"/>
    <w:rsid w:val="006666B7"/>
    <w:rsid w:val="007775D0"/>
    <w:rsid w:val="0078481B"/>
    <w:rsid w:val="007A1D30"/>
    <w:rsid w:val="007A7469"/>
    <w:rsid w:val="00875933"/>
    <w:rsid w:val="009361CB"/>
    <w:rsid w:val="0095282B"/>
    <w:rsid w:val="009938AF"/>
    <w:rsid w:val="009C2BD3"/>
    <w:rsid w:val="009D6D41"/>
    <w:rsid w:val="00B217DC"/>
    <w:rsid w:val="00C463AE"/>
    <w:rsid w:val="00CC5068"/>
    <w:rsid w:val="00CD31EB"/>
    <w:rsid w:val="00CE26E3"/>
    <w:rsid w:val="00CF73F6"/>
    <w:rsid w:val="00D65EAA"/>
    <w:rsid w:val="00E5437A"/>
    <w:rsid w:val="00E810DE"/>
    <w:rsid w:val="00FA29C3"/>
    <w:rsid w:val="00FA5FE0"/>
    <w:rsid w:val="00FD1758"/>
    <w:rsid w:val="00FF2C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DB0E1C"/>
  <w15:docId w15:val="{4159201F-A9B7-4C27-8136-21026E66C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1B3"/>
  </w:style>
  <w:style w:type="paragraph" w:styleId="Heading2">
    <w:name w:val="heading 2"/>
    <w:basedOn w:val="Normal"/>
    <w:link w:val="Heading2Char"/>
    <w:uiPriority w:val="9"/>
    <w:qFormat/>
    <w:rsid w:val="00426A47"/>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426A47"/>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link w:val="Heading4Char"/>
    <w:uiPriority w:val="9"/>
    <w:qFormat/>
    <w:rsid w:val="00426A47"/>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26A47"/>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426A47"/>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rsid w:val="00426A47"/>
    <w:rPr>
      <w:rFonts w:ascii="Times New Roman" w:eastAsia="Times New Roman" w:hAnsi="Times New Roman" w:cs="Times New Roman"/>
      <w:b/>
      <w:bCs/>
      <w:sz w:val="24"/>
      <w:szCs w:val="24"/>
      <w:lang w:eastAsia="en-GB"/>
    </w:rPr>
  </w:style>
  <w:style w:type="character" w:styleId="Emphasis">
    <w:name w:val="Emphasis"/>
    <w:basedOn w:val="DefaultParagraphFont"/>
    <w:uiPriority w:val="20"/>
    <w:qFormat/>
    <w:rsid w:val="00426A47"/>
    <w:rPr>
      <w:i/>
      <w:iCs/>
    </w:rPr>
  </w:style>
  <w:style w:type="paragraph" w:customStyle="1" w:styleId="font-claude-response-body">
    <w:name w:val="font-claude-response-body"/>
    <w:basedOn w:val="Normal"/>
    <w:rsid w:val="00426A4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426A47"/>
    <w:rPr>
      <w:b/>
      <w:bCs/>
    </w:rPr>
  </w:style>
  <w:style w:type="character" w:styleId="Hyperlink">
    <w:name w:val="Hyperlink"/>
    <w:basedOn w:val="DefaultParagraphFont"/>
    <w:uiPriority w:val="99"/>
    <w:semiHidden/>
    <w:unhideWhenUsed/>
    <w:rsid w:val="00426A47"/>
    <w:rPr>
      <w:color w:val="0000FF"/>
      <w:u w:val="single"/>
    </w:rPr>
  </w:style>
  <w:style w:type="table" w:styleId="TableGrid">
    <w:name w:val="Table Grid"/>
    <w:basedOn w:val="TableNormal"/>
    <w:uiPriority w:val="59"/>
    <w:rsid w:val="008759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21E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1EAD"/>
  </w:style>
  <w:style w:type="paragraph" w:styleId="Footer">
    <w:name w:val="footer"/>
    <w:basedOn w:val="Normal"/>
    <w:link w:val="FooterChar"/>
    <w:uiPriority w:val="99"/>
    <w:unhideWhenUsed/>
    <w:rsid w:val="00521E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1EAD"/>
  </w:style>
  <w:style w:type="character" w:styleId="LineNumber">
    <w:name w:val="line number"/>
    <w:basedOn w:val="DefaultParagraphFont"/>
    <w:uiPriority w:val="99"/>
    <w:semiHidden/>
    <w:unhideWhenUsed/>
    <w:rsid w:val="00466A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6765260">
      <w:bodyDiv w:val="1"/>
      <w:marLeft w:val="0"/>
      <w:marRight w:val="0"/>
      <w:marTop w:val="0"/>
      <w:marBottom w:val="0"/>
      <w:divBdr>
        <w:top w:val="none" w:sz="0" w:space="0" w:color="auto"/>
        <w:left w:val="none" w:sz="0" w:space="0" w:color="auto"/>
        <w:bottom w:val="none" w:sz="0" w:space="0" w:color="auto"/>
        <w:right w:val="none" w:sz="0" w:space="0" w:color="auto"/>
      </w:divBdr>
      <w:divsChild>
        <w:div w:id="9991157">
          <w:marLeft w:val="0"/>
          <w:marRight w:val="0"/>
          <w:marTop w:val="0"/>
          <w:marBottom w:val="0"/>
          <w:divBdr>
            <w:top w:val="none" w:sz="0" w:space="0" w:color="auto"/>
            <w:left w:val="none" w:sz="0" w:space="0" w:color="auto"/>
            <w:bottom w:val="none" w:sz="0" w:space="0" w:color="auto"/>
            <w:right w:val="none" w:sz="0" w:space="0" w:color="auto"/>
          </w:divBdr>
        </w:div>
        <w:div w:id="937833889">
          <w:marLeft w:val="0"/>
          <w:marRight w:val="0"/>
          <w:marTop w:val="0"/>
          <w:marBottom w:val="0"/>
          <w:divBdr>
            <w:top w:val="none" w:sz="0" w:space="0" w:color="auto"/>
            <w:left w:val="none" w:sz="0" w:space="0" w:color="auto"/>
            <w:bottom w:val="none" w:sz="0" w:space="0" w:color="auto"/>
            <w:right w:val="none" w:sz="0" w:space="0" w:color="auto"/>
          </w:divBdr>
        </w:div>
        <w:div w:id="1863201811">
          <w:marLeft w:val="0"/>
          <w:marRight w:val="0"/>
          <w:marTop w:val="0"/>
          <w:marBottom w:val="0"/>
          <w:divBdr>
            <w:top w:val="none" w:sz="0" w:space="0" w:color="auto"/>
            <w:left w:val="none" w:sz="0" w:space="0" w:color="auto"/>
            <w:bottom w:val="none" w:sz="0" w:space="0" w:color="auto"/>
            <w:right w:val="none" w:sz="0" w:space="0" w:color="auto"/>
          </w:divBdr>
        </w:div>
        <w:div w:id="13802815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9910</Words>
  <Characters>56492</Characters>
  <Application>Microsoft Office Word</Application>
  <DocSecurity>0</DocSecurity>
  <Lines>470</Lines>
  <Paragraphs>132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66270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Managing Editor</dc:creator>
  <cp:keywords/>
  <dc:description/>
  <cp:lastModifiedBy>Muhammad Muhammad (PGR)</cp:lastModifiedBy>
  <cp:revision>2</cp:revision>
  <dcterms:created xsi:type="dcterms:W3CDTF">2026-06-27T15:08:00Z</dcterms:created>
  <dcterms:modified xsi:type="dcterms:W3CDTF">2026-06-27T15:08:00Z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fdf4e555-fa70-40be-ae9c-9dba82c4966b</vt:lpwstr>
  </property>
</Properties>
</file>