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D29EE" w14:textId="77777777" w:rsidR="00882233" w:rsidRDefault="00882233" w:rsidP="00D648B8">
      <w:pPr>
        <w:jc w:val="right"/>
        <w:rPr>
          <w:rFonts w:ascii="Arial" w:eastAsia="Arial" w:hAnsi="Arial"/>
          <w:b/>
          <w:sz w:val="36"/>
          <w:szCs w:val="36"/>
        </w:rPr>
      </w:pPr>
    </w:p>
    <w:p w14:paraId="4D0D1782" w14:textId="77777777" w:rsidR="00841E59" w:rsidRPr="00841E59" w:rsidRDefault="00841E59" w:rsidP="00841E59">
      <w:pPr>
        <w:jc w:val="right"/>
        <w:rPr>
          <w:rFonts w:ascii="Arial" w:eastAsia="Arial" w:hAnsi="Arial"/>
          <w:b/>
          <w:bCs/>
          <w:i/>
          <w:iCs/>
          <w:sz w:val="36"/>
          <w:szCs w:val="36"/>
          <w:u w:val="single"/>
        </w:rPr>
      </w:pPr>
      <w:r w:rsidRPr="00841E59">
        <w:rPr>
          <w:rFonts w:ascii="Arial" w:eastAsia="Arial" w:hAnsi="Arial"/>
          <w:b/>
          <w:bCs/>
          <w:i/>
          <w:iCs/>
          <w:sz w:val="36"/>
          <w:szCs w:val="36"/>
          <w:u w:val="single"/>
        </w:rPr>
        <w:t>Original Research Article</w:t>
      </w:r>
    </w:p>
    <w:p w14:paraId="099E646F" w14:textId="77777777" w:rsidR="00D648B8" w:rsidRPr="00D648B8" w:rsidRDefault="00D648B8" w:rsidP="00D648B8">
      <w:pPr>
        <w:jc w:val="right"/>
        <w:rPr>
          <w:sz w:val="36"/>
          <w:szCs w:val="36"/>
        </w:rPr>
      </w:pPr>
      <w:r w:rsidRPr="00D648B8">
        <w:rPr>
          <w:rFonts w:ascii="Arial" w:eastAsia="Arial" w:hAnsi="Arial"/>
          <w:b/>
          <w:sz w:val="36"/>
          <w:szCs w:val="36"/>
        </w:rPr>
        <w:t xml:space="preserve">Development and </w:t>
      </w:r>
      <w:r w:rsidR="00A44B6E">
        <w:rPr>
          <w:rFonts w:ascii="Arial" w:eastAsia="Arial" w:hAnsi="Arial"/>
          <w:b/>
          <w:sz w:val="36"/>
          <w:szCs w:val="36"/>
        </w:rPr>
        <w:t>E</w:t>
      </w:r>
      <w:r w:rsidRPr="00D648B8">
        <w:rPr>
          <w:rFonts w:ascii="Arial" w:eastAsia="Arial" w:hAnsi="Arial"/>
          <w:b/>
          <w:sz w:val="36"/>
          <w:szCs w:val="36"/>
        </w:rPr>
        <w:t xml:space="preserve">ngineering </w:t>
      </w:r>
      <w:r w:rsidR="00A44B6E">
        <w:rPr>
          <w:rFonts w:ascii="Arial" w:eastAsia="Arial" w:hAnsi="Arial"/>
          <w:b/>
          <w:sz w:val="36"/>
          <w:szCs w:val="36"/>
        </w:rPr>
        <w:t>S</w:t>
      </w:r>
      <w:r w:rsidRPr="00D648B8">
        <w:rPr>
          <w:rFonts w:ascii="Arial" w:eastAsia="Arial" w:hAnsi="Arial"/>
          <w:b/>
          <w:sz w:val="36"/>
          <w:szCs w:val="36"/>
        </w:rPr>
        <w:t xml:space="preserve">ubstantiation of a </w:t>
      </w:r>
      <w:r w:rsidR="00A44B6E">
        <w:rPr>
          <w:rFonts w:ascii="Arial" w:eastAsia="Arial" w:hAnsi="Arial"/>
          <w:b/>
          <w:sz w:val="36"/>
          <w:szCs w:val="36"/>
        </w:rPr>
        <w:t>L</w:t>
      </w:r>
      <w:r w:rsidRPr="00D648B8">
        <w:rPr>
          <w:rFonts w:ascii="Arial" w:eastAsia="Arial" w:hAnsi="Arial"/>
          <w:b/>
          <w:sz w:val="36"/>
          <w:szCs w:val="36"/>
        </w:rPr>
        <w:t>ow-</w:t>
      </w:r>
      <w:r w:rsidR="00A44B6E">
        <w:rPr>
          <w:rFonts w:ascii="Arial" w:eastAsia="Arial" w:hAnsi="Arial"/>
          <w:b/>
          <w:sz w:val="36"/>
          <w:szCs w:val="36"/>
        </w:rPr>
        <w:t>V</w:t>
      </w:r>
      <w:r w:rsidRPr="00D648B8">
        <w:rPr>
          <w:rFonts w:ascii="Arial" w:eastAsia="Arial" w:hAnsi="Arial"/>
          <w:b/>
          <w:sz w:val="36"/>
          <w:szCs w:val="36"/>
        </w:rPr>
        <w:t xml:space="preserve">oltage </w:t>
      </w:r>
      <w:r>
        <w:rPr>
          <w:rFonts w:ascii="Arial" w:eastAsia="Arial" w:hAnsi="Arial"/>
          <w:b/>
          <w:sz w:val="36"/>
          <w:szCs w:val="36"/>
        </w:rPr>
        <w:t>UV</w:t>
      </w:r>
      <w:r w:rsidRPr="00D648B8">
        <w:rPr>
          <w:rFonts w:ascii="Arial" w:eastAsia="Arial" w:hAnsi="Arial"/>
          <w:b/>
          <w:sz w:val="36"/>
          <w:szCs w:val="36"/>
        </w:rPr>
        <w:t>-</w:t>
      </w:r>
      <w:r>
        <w:rPr>
          <w:rFonts w:ascii="Arial" w:eastAsia="Arial" w:hAnsi="Arial"/>
          <w:b/>
          <w:sz w:val="36"/>
          <w:szCs w:val="36"/>
        </w:rPr>
        <w:t>C</w:t>
      </w:r>
      <w:r w:rsidRPr="00D648B8">
        <w:rPr>
          <w:rFonts w:ascii="Arial" w:eastAsia="Arial" w:hAnsi="Arial"/>
          <w:b/>
          <w:sz w:val="36"/>
          <w:szCs w:val="36"/>
        </w:rPr>
        <w:t xml:space="preserve"> </w:t>
      </w:r>
      <w:r w:rsidR="00A44B6E">
        <w:rPr>
          <w:rFonts w:ascii="Arial" w:eastAsia="Arial" w:hAnsi="Arial"/>
          <w:b/>
          <w:sz w:val="36"/>
          <w:szCs w:val="36"/>
        </w:rPr>
        <w:t>S</w:t>
      </w:r>
      <w:r w:rsidRPr="00D648B8">
        <w:rPr>
          <w:rFonts w:ascii="Arial" w:eastAsia="Arial" w:hAnsi="Arial"/>
          <w:b/>
          <w:sz w:val="36"/>
          <w:szCs w:val="36"/>
        </w:rPr>
        <w:t xml:space="preserve">ystem </w:t>
      </w:r>
      <w:r w:rsidR="00A44B6E">
        <w:rPr>
          <w:rFonts w:ascii="Arial" w:eastAsia="Arial" w:hAnsi="Arial"/>
          <w:b/>
          <w:sz w:val="36"/>
          <w:szCs w:val="36"/>
        </w:rPr>
        <w:t>f</w:t>
      </w:r>
      <w:r w:rsidRPr="00D648B8">
        <w:rPr>
          <w:rFonts w:ascii="Arial" w:eastAsia="Arial" w:hAnsi="Arial"/>
          <w:b/>
          <w:sz w:val="36"/>
          <w:szCs w:val="36"/>
        </w:rPr>
        <w:t xml:space="preserve">or </w:t>
      </w:r>
      <w:r w:rsidR="00A44B6E">
        <w:rPr>
          <w:rFonts w:ascii="Arial" w:eastAsia="Arial" w:hAnsi="Arial"/>
          <w:b/>
          <w:sz w:val="36"/>
          <w:szCs w:val="36"/>
        </w:rPr>
        <w:t>B</w:t>
      </w:r>
      <w:r w:rsidRPr="00D648B8">
        <w:rPr>
          <w:rFonts w:ascii="Arial" w:eastAsia="Arial" w:hAnsi="Arial"/>
          <w:b/>
          <w:sz w:val="36"/>
          <w:szCs w:val="36"/>
        </w:rPr>
        <w:t xml:space="preserve">actericidal </w:t>
      </w:r>
      <w:r w:rsidR="00A44B6E">
        <w:rPr>
          <w:rFonts w:ascii="Arial" w:eastAsia="Arial" w:hAnsi="Arial"/>
          <w:b/>
          <w:sz w:val="36"/>
          <w:szCs w:val="36"/>
        </w:rPr>
        <w:t>S</w:t>
      </w:r>
      <w:r w:rsidRPr="00D648B8">
        <w:rPr>
          <w:rFonts w:ascii="Arial" w:eastAsia="Arial" w:hAnsi="Arial"/>
          <w:b/>
          <w:sz w:val="36"/>
          <w:szCs w:val="36"/>
        </w:rPr>
        <w:t xml:space="preserve">anitation of </w:t>
      </w:r>
      <w:r w:rsidR="00A44B6E">
        <w:rPr>
          <w:rFonts w:ascii="Arial" w:eastAsia="Arial" w:hAnsi="Arial"/>
          <w:b/>
          <w:sz w:val="36"/>
          <w:szCs w:val="36"/>
        </w:rPr>
        <w:t>M</w:t>
      </w:r>
      <w:r w:rsidRPr="00D648B8">
        <w:rPr>
          <w:rFonts w:ascii="Arial" w:eastAsia="Arial" w:hAnsi="Arial"/>
          <w:b/>
          <w:sz w:val="36"/>
          <w:szCs w:val="36"/>
        </w:rPr>
        <w:t>ilk-</w:t>
      </w:r>
      <w:r w:rsidR="00A44B6E">
        <w:rPr>
          <w:rFonts w:ascii="Arial" w:eastAsia="Arial" w:hAnsi="Arial"/>
          <w:b/>
          <w:sz w:val="36"/>
          <w:szCs w:val="36"/>
        </w:rPr>
        <w:t>T</w:t>
      </w:r>
      <w:r w:rsidRPr="00D648B8">
        <w:rPr>
          <w:rFonts w:ascii="Arial" w:eastAsia="Arial" w:hAnsi="Arial"/>
          <w:b/>
          <w:sz w:val="36"/>
          <w:szCs w:val="36"/>
        </w:rPr>
        <w:t xml:space="preserve">ransport </w:t>
      </w:r>
      <w:r w:rsidR="00A44B6E">
        <w:rPr>
          <w:rFonts w:ascii="Arial" w:eastAsia="Arial" w:hAnsi="Arial"/>
          <w:b/>
          <w:sz w:val="36"/>
          <w:szCs w:val="36"/>
        </w:rPr>
        <w:t>C</w:t>
      </w:r>
      <w:r w:rsidRPr="00D648B8">
        <w:rPr>
          <w:rFonts w:ascii="Arial" w:eastAsia="Arial" w:hAnsi="Arial"/>
          <w:b/>
          <w:sz w:val="36"/>
          <w:szCs w:val="36"/>
        </w:rPr>
        <w:t>ontainers</w:t>
      </w:r>
    </w:p>
    <w:p w14:paraId="1C7FA90E" w14:textId="77777777" w:rsidR="00A258C3" w:rsidRPr="00790ADA" w:rsidRDefault="00A258C3" w:rsidP="00D648B8">
      <w:pPr>
        <w:pStyle w:val="Author"/>
        <w:spacing w:line="240" w:lineRule="auto"/>
        <w:jc w:val="both"/>
        <w:rPr>
          <w:rFonts w:ascii="Arial" w:hAnsi="Arial" w:cs="Arial"/>
          <w:sz w:val="36"/>
        </w:rPr>
      </w:pPr>
    </w:p>
    <w:p w14:paraId="72F2ABB8" w14:textId="77777777" w:rsidR="00790ADA" w:rsidRDefault="00790ADA" w:rsidP="00882233">
      <w:pPr>
        <w:pStyle w:val="Affiliation"/>
        <w:spacing w:after="0" w:line="240" w:lineRule="auto"/>
        <w:jc w:val="both"/>
        <w:rPr>
          <w:rFonts w:ascii="Arial" w:hAnsi="Arial" w:cs="Arial"/>
        </w:rPr>
      </w:pPr>
    </w:p>
    <w:p w14:paraId="24E55EE5" w14:textId="77777777" w:rsidR="0087462E" w:rsidRDefault="0087462E" w:rsidP="00882233">
      <w:pPr>
        <w:pStyle w:val="Affiliation"/>
        <w:spacing w:after="0" w:line="240" w:lineRule="auto"/>
        <w:jc w:val="both"/>
        <w:rPr>
          <w:rFonts w:ascii="Arial" w:hAnsi="Arial" w:cs="Arial"/>
        </w:rPr>
      </w:pPr>
    </w:p>
    <w:p w14:paraId="6691D0D1" w14:textId="77777777" w:rsidR="0087462E" w:rsidRPr="00882233" w:rsidRDefault="0087462E" w:rsidP="00882233">
      <w:pPr>
        <w:pStyle w:val="Affiliation"/>
        <w:spacing w:after="0" w:line="240" w:lineRule="auto"/>
        <w:jc w:val="both"/>
        <w:rPr>
          <w:rFonts w:ascii="Arial" w:hAnsi="Arial" w:cs="Arial"/>
        </w:rPr>
      </w:pPr>
    </w:p>
    <w:p w14:paraId="62B29CFD" w14:textId="77777777" w:rsidR="00B01FCD" w:rsidRPr="00FB3A86" w:rsidRDefault="00754DE1" w:rsidP="00882233">
      <w:pPr>
        <w:pStyle w:val="Copyright"/>
        <w:spacing w:after="0" w:line="240" w:lineRule="auto"/>
        <w:jc w:val="both"/>
        <w:rPr>
          <w:rFonts w:ascii="Arial" w:hAnsi="Arial" w:cs="Arial"/>
        </w:rPr>
        <w:sectPr w:rsidR="00B01FCD" w:rsidRPr="00FB3A86" w:rsidSect="00841E59">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36523475" wp14:editId="0AB34C44">
                <wp:extent cx="5303520" cy="635"/>
                <wp:effectExtent l="13335" t="10795" r="17145" b="177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fl="http://schemas.microsoft.com/office/word/2024/wordml/sdtformatlock" xmlns:w16du="http://schemas.microsoft.com/office/word/2023/wordml/word16du" xmlns:oel="http://schemas.microsoft.com/office/2019/extlst">
            <w:pict>
              <v:shapetype w14:anchorId="3382127F"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" strokeweight="1.5pt">
                <w10:anchorlock/>
              </v:shape>
            </w:pict>
          </mc:Fallback>
        </mc:AlternateContent>
      </w:r>
      <w:r w:rsidR="00FB3A86">
        <w:rPr>
          <w:rFonts w:ascii="Arial" w:hAnsi="Arial" w:cs="Arial"/>
        </w:rPr>
        <w:t>.</w:t>
      </w:r>
    </w:p>
    <w:p w14:paraId="793D8C85" w14:textId="77777777" w:rsidR="00790ADA"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4944B8C3" w14:textId="77777777" w:rsidR="00D648B8" w:rsidRPr="00FB3A86" w:rsidRDefault="00D648B8" w:rsidP="00441B6F">
      <w:pPr>
        <w:pStyle w:val="AbstHead"/>
        <w:spacing w:after="0"/>
        <w:jc w:val="both"/>
        <w:rPr>
          <w:rFonts w:ascii="Arial" w:hAnsi="Arial" w:cs="Arial"/>
        </w:rPr>
      </w:pPr>
    </w:p>
    <w:p w14:paraId="20804A95" w14:textId="77777777" w:rsidR="00807324" w:rsidRPr="00AC65EB" w:rsidRDefault="00807324" w:rsidP="00807324">
      <w:pPr>
        <w:spacing w:before="100" w:beforeAutospacing="1" w:after="100" w:afterAutospacing="1"/>
        <w:rPr>
          <w:rFonts w:ascii="Times New Roman" w:hAnsi="Times New Roman"/>
          <w:sz w:val="24"/>
          <w:szCs w:val="24"/>
        </w:rPr>
      </w:pPr>
      <w:r w:rsidRPr="00AC65EB">
        <w:rPr>
          <w:rFonts w:ascii="Times New Roman" w:hAnsi="Times New Roman"/>
          <w:b/>
          <w:bCs/>
          <w:sz w:val="24"/>
          <w:szCs w:val="24"/>
        </w:rPr>
        <w:t>Abstract</w:t>
      </w:r>
    </w:p>
    <w:p w14:paraId="74B9EE66" w14:textId="77777777" w:rsidR="00807324" w:rsidRPr="00AC65EB" w:rsidRDefault="00807324" w:rsidP="00807324">
      <w:pPr>
        <w:spacing w:before="100" w:beforeAutospacing="1" w:after="100" w:afterAutospacing="1"/>
        <w:rPr>
          <w:rFonts w:ascii="Times New Roman" w:hAnsi="Times New Roman"/>
          <w:sz w:val="24"/>
          <w:szCs w:val="24"/>
        </w:rPr>
      </w:pPr>
      <w:r w:rsidRPr="00AC65EB">
        <w:rPr>
          <w:rFonts w:ascii="Times New Roman" w:hAnsi="Times New Roman"/>
          <w:sz w:val="24"/>
          <w:szCs w:val="24"/>
        </w:rPr>
        <w:t xml:space="preserve">This study presents the development and engineering substantiation of a compact low-voltage ultraviolet-C system intended for finishing bactericidal sanitation of milk-transport containers. The proposed prototype, designated UBZTT-20, was designed for treatment of the internal air volume and accessible inner surfaces of previously washed, rinsed and drained containers used for the transportation of milk and dairy products. The work combined engineering design analysis, electrical-parameter calculation, ultraviolet-C dose modelling, estimation of energy consumption and assessment of basic operational safety requirements. The unit has an installed electrical power of 20 W, overall dimensions of 550 × 160 × 160 mm, a mass of 3 kg and a recommended treated volume of up to 5 m³. It can be supplied from 12 V or 24 V direct-current sources, with estimated current consumption of approximately 1.67 A and 0.83 A, respectively. For the maximum recommended treated volume, the specific installed power is 4 W/m³. The calculated electrical energy consumption of one sanitation cycle is </w:t>
      </w:r>
      <w:commentRangeStart w:id="0"/>
      <w:r w:rsidRPr="00AC65EB">
        <w:rPr>
          <w:rFonts w:ascii="Times New Roman" w:hAnsi="Times New Roman"/>
          <w:sz w:val="24"/>
          <w:szCs w:val="24"/>
        </w:rPr>
        <w:t xml:space="preserve">1.67 Wh for 5 min, 3.33 Wh for 10 </w:t>
      </w:r>
      <w:commentRangeEnd w:id="0"/>
      <w:r w:rsidR="00743616">
        <w:rPr>
          <w:rStyle w:val="CommentReference"/>
          <w:rFonts w:ascii="Times New Roman" w:hAnsi="Times New Roman"/>
          <w:lang w:val="nb-NO" w:eastAsia="nb-NO"/>
        </w:rPr>
        <w:commentReference w:id="0"/>
      </w:r>
      <w:r w:rsidRPr="00AC65EB">
        <w:rPr>
          <w:rFonts w:ascii="Times New Roman" w:hAnsi="Times New Roman"/>
          <w:sz w:val="24"/>
          <w:szCs w:val="24"/>
        </w:rPr>
        <w:t>min, 5.00 Wh for 15 min and 6.67 Wh for 20 min. The system is intended only as an additional finishing sanitation stage after standard mechanical washing, detergent cleaning, rinsing and draining. Its expected function is to reduce residual microbial contamination on accessible inner container surfaces and in the internal air volume before filling. Practical application requires microbiological validation by surface swab testing at selected exposure times and assessment of irradiance at the least-exposed accessible surface zones.</w:t>
      </w:r>
    </w:p>
    <w:p w14:paraId="2FEF1C0D" w14:textId="77777777" w:rsidR="00887137" w:rsidRDefault="00887137" w:rsidP="00441B6F">
      <w:pPr>
        <w:pStyle w:val="Body"/>
        <w:spacing w:after="0"/>
        <w:rPr>
          <w:rFonts w:ascii="Arial" w:hAnsi="Arial" w:cs="Arial"/>
          <w:i/>
        </w:rPr>
      </w:pPr>
    </w:p>
    <w:p w14:paraId="0313DD97" w14:textId="77777777" w:rsidR="00A24E7E" w:rsidRDefault="00A24E7E" w:rsidP="00441B6F">
      <w:pPr>
        <w:pStyle w:val="Body"/>
        <w:spacing w:after="0"/>
        <w:rPr>
          <w:rFonts w:ascii="Arial" w:hAnsi="Arial" w:cs="Arial"/>
          <w:i/>
        </w:rPr>
      </w:pPr>
      <w:r>
        <w:rPr>
          <w:rFonts w:ascii="Arial" w:hAnsi="Arial" w:cs="Arial"/>
          <w:i/>
        </w:rPr>
        <w:t xml:space="preserve">Keywords: </w:t>
      </w:r>
      <w:r w:rsidR="00754DE1">
        <w:rPr>
          <w:rFonts w:ascii="Arial" w:eastAsia="Arial" w:hAnsi="Arial"/>
          <w:i/>
        </w:rPr>
        <w:t>UV-C irradiation; milk transportation; transport container; bactericidal sanitation; food contact surface; electrotechnical system; UBZTT-20.</w:t>
      </w:r>
    </w:p>
    <w:p w14:paraId="2C28AC8B" w14:textId="77777777" w:rsidR="00790ADA" w:rsidRDefault="00790ADA" w:rsidP="00441B6F">
      <w:pPr>
        <w:pStyle w:val="Body"/>
        <w:spacing w:after="0"/>
        <w:rPr>
          <w:rFonts w:ascii="Arial" w:hAnsi="Arial" w:cs="Arial"/>
          <w:i/>
        </w:rPr>
      </w:pPr>
    </w:p>
    <w:p w14:paraId="2F701D4D" w14:textId="77777777" w:rsidR="00882233" w:rsidRDefault="00882233" w:rsidP="00441B6F">
      <w:pPr>
        <w:pStyle w:val="Body"/>
        <w:spacing w:after="0"/>
        <w:rPr>
          <w:rFonts w:ascii="Arial" w:hAnsi="Arial" w:cs="Arial"/>
          <w:i/>
        </w:rPr>
      </w:pPr>
    </w:p>
    <w:p w14:paraId="7B20E46B" w14:textId="77777777" w:rsidR="007F7B32" w:rsidRDefault="00902823" w:rsidP="00441B6F">
      <w:pPr>
        <w:pStyle w:val="AbstHead"/>
        <w:spacing w:after="0"/>
        <w:jc w:val="both"/>
        <w:rPr>
          <w:rFonts w:ascii="Arial" w:hAnsi="Arial" w:cs="Arial"/>
        </w:rPr>
      </w:pPr>
      <w:r>
        <w:rPr>
          <w:rFonts w:ascii="Arial" w:hAnsi="Arial" w:cs="Arial"/>
        </w:rPr>
        <w:lastRenderedPageBreak/>
        <w:t xml:space="preserve">1. </w:t>
      </w:r>
      <w:r w:rsidR="00B01FCD" w:rsidRPr="00FB3A86">
        <w:rPr>
          <w:rFonts w:ascii="Arial" w:hAnsi="Arial" w:cs="Arial"/>
        </w:rPr>
        <w:t>INTRODUCTION</w:t>
      </w:r>
    </w:p>
    <w:p w14:paraId="37E7C7B8" w14:textId="77777777" w:rsidR="00790ADA" w:rsidRPr="00FB3A86" w:rsidRDefault="00790ADA" w:rsidP="00441B6F">
      <w:pPr>
        <w:pStyle w:val="AbstHead"/>
        <w:spacing w:after="0"/>
        <w:jc w:val="both"/>
        <w:rPr>
          <w:rFonts w:ascii="Arial" w:hAnsi="Arial" w:cs="Arial"/>
        </w:rPr>
      </w:pPr>
    </w:p>
    <w:p w14:paraId="51E5B895" w14:textId="77777777" w:rsidR="00F2299C" w:rsidRDefault="00F2299C" w:rsidP="00754DE1">
      <w:pPr>
        <w:jc w:val="both"/>
      </w:pPr>
      <w:r>
        <w:t xml:space="preserve">Milk is a nutrient-rich raw material and a favourable medium for the growth of spoilage and pathogenic microorganisms. Its hygienic quality during transportation depends not only on the initial microbiological condition of the product but also on the sanitary condition of containers, lids, internal surfaces, the air volume, and handling equipment. Even after routine washing, residual microorganisms may remain in scratches, joints, seals, or poorly drained areas. These contamination sources may contribute to secondary microbial contamination and accelerate the increase in </w:t>
      </w:r>
      <w:commentRangeStart w:id="1"/>
      <w:r>
        <w:t xml:space="preserve">milk acidity </w:t>
      </w:r>
      <w:commentRangeEnd w:id="1"/>
      <w:r w:rsidR="00743616">
        <w:rPr>
          <w:rStyle w:val="CommentReference"/>
          <w:rFonts w:ascii="Times New Roman" w:hAnsi="Times New Roman"/>
          <w:lang w:val="nb-NO" w:eastAsia="nb-NO"/>
        </w:rPr>
        <w:commentReference w:id="1"/>
      </w:r>
      <w:r>
        <w:t>during transportation and short-term storage.</w:t>
      </w:r>
    </w:p>
    <w:p w14:paraId="74E704B1" w14:textId="77777777" w:rsidR="00754DE1" w:rsidRDefault="00754DE1" w:rsidP="00754DE1">
      <w:pPr>
        <w:jc w:val="both"/>
      </w:pPr>
      <w:r>
        <w:rPr>
          <w:rFonts w:ascii="Arial" w:eastAsia="Arial" w:hAnsi="Arial"/>
        </w:rPr>
        <w:t>Traditional sanitation of milk containers is based on mechanical cleaning, detergent washing, rinsing, thermal treatment and chemical disinfectants. These methods are essential and cannot be eliminated; however, they require water, energy and chemical reagents. In small farms and milk-collection points, deviations from a stable cleaning regime may occur due to limited equipment, irregular container turnover and human factors. For this reason, additional non-thermal and reagent-free methods of finishing sanitation are of practical interes</w:t>
      </w:r>
      <w:commentRangeStart w:id="2"/>
      <w:r>
        <w:rPr>
          <w:rFonts w:ascii="Arial" w:eastAsia="Arial" w:hAnsi="Arial"/>
        </w:rPr>
        <w:t>t.</w:t>
      </w:r>
      <w:commentRangeEnd w:id="2"/>
      <w:r w:rsidR="00743616">
        <w:rPr>
          <w:rStyle w:val="CommentReference"/>
          <w:rFonts w:ascii="Times New Roman" w:hAnsi="Times New Roman"/>
          <w:lang w:val="nb-NO" w:eastAsia="nb-NO"/>
        </w:rPr>
        <w:commentReference w:id="2"/>
      </w:r>
    </w:p>
    <w:p w14:paraId="5DABEEF6" w14:textId="77777777" w:rsidR="00754DE1" w:rsidRDefault="00754DE1" w:rsidP="00754DE1">
      <w:pPr>
        <w:jc w:val="both"/>
      </w:pPr>
      <w:r>
        <w:rPr>
          <w:rFonts w:ascii="Arial" w:eastAsia="Arial" w:hAnsi="Arial"/>
        </w:rPr>
        <w:t>Ultraviolet light has been widely discussed as a non-thermal technology in dairy processing. It can be used for microbial inactivation in air, water, packaging materials and food-contact surfaces (Koca et al., 2018; Chawla et al., 2021). UV-C radiation is particularly effective in the wavelength range of 200-280 nm; radiation near 254 nm is commonly associated with the maximum germicidal effect of low-pressure mercury sources because of strong DNA absorption (Koca et al., 2018). The mechanism of microbial inactivation is associated with photochemical damage to nucleic acids and inhibition of replication (Koca et al., 2018; Sharma et al., 2023).</w:t>
      </w:r>
    </w:p>
    <w:p w14:paraId="27FB4C87" w14:textId="77777777" w:rsidR="00754DE1" w:rsidRDefault="00754DE1" w:rsidP="00754DE1">
      <w:pPr>
        <w:jc w:val="both"/>
      </w:pPr>
      <w:r>
        <w:rPr>
          <w:rFonts w:ascii="Arial" w:eastAsia="Arial" w:hAnsi="Arial"/>
        </w:rPr>
        <w:t xml:space="preserve">The use of UV-C for food-contact surfaces differs from the direct treatment of milk. In liquids such as milk, low penetration depth, turbidity and possible quality changes must be considered (Chawla et al., 2021; </w:t>
      </w:r>
      <w:commentRangeStart w:id="3"/>
      <w:r>
        <w:rPr>
          <w:rFonts w:ascii="Arial" w:eastAsia="Arial" w:hAnsi="Arial"/>
        </w:rPr>
        <w:t>Matak et al., 2005</w:t>
      </w:r>
      <w:commentRangeEnd w:id="3"/>
      <w:r w:rsidR="00743616">
        <w:rPr>
          <w:rStyle w:val="CommentReference"/>
          <w:rFonts w:ascii="Times New Roman" w:hAnsi="Times New Roman"/>
          <w:lang w:val="nb-NO" w:eastAsia="nb-NO"/>
        </w:rPr>
        <w:commentReference w:id="3"/>
      </w:r>
      <w:r>
        <w:rPr>
          <w:rFonts w:ascii="Arial" w:eastAsia="Arial" w:hAnsi="Arial"/>
        </w:rPr>
        <w:t xml:space="preserve">). In the present work the product itself is not irradiated. The target is the internal volume and accessible inner surfaces of transport containers before filling with milk. This approach is technologically safer because it avoids </w:t>
      </w:r>
      <w:commentRangeStart w:id="4"/>
      <w:r>
        <w:rPr>
          <w:rFonts w:ascii="Arial" w:eastAsia="Arial" w:hAnsi="Arial"/>
        </w:rPr>
        <w:t xml:space="preserve">direct photo-oxidative action </w:t>
      </w:r>
      <w:commentRangeEnd w:id="4"/>
      <w:r w:rsidR="00743616">
        <w:rPr>
          <w:rStyle w:val="CommentReference"/>
          <w:rFonts w:ascii="Times New Roman" w:hAnsi="Times New Roman"/>
          <w:lang w:val="nb-NO" w:eastAsia="nb-NO"/>
        </w:rPr>
        <w:commentReference w:id="4"/>
      </w:r>
      <w:r>
        <w:rPr>
          <w:rFonts w:ascii="Arial" w:eastAsia="Arial" w:hAnsi="Arial"/>
        </w:rPr>
        <w:t>on the product and focuses on preventing post-washing contamination from the container.</w:t>
      </w:r>
    </w:p>
    <w:p w14:paraId="6EB3A5DD" w14:textId="77777777" w:rsidR="00754DE1" w:rsidRDefault="00754DE1" w:rsidP="00754DE1">
      <w:pPr>
        <w:jc w:val="both"/>
      </w:pPr>
      <w:r>
        <w:rPr>
          <w:rFonts w:ascii="Arial" w:eastAsia="Arial" w:hAnsi="Arial"/>
        </w:rPr>
        <w:t xml:space="preserve">The effectiveness of UV-C treatment is governed by the radiation source, wavelength, dose, distance to the treated surface, exposure time, surface cleanliness, geometry, shadows and target microorganisms (Koca et al., 2018; Sharma et al., 2023; Galie et al., 2018). For this reason, engineering design of UV-C devices for transport containers must combine electrical parameters, mechanical arrangement, safety interlocking and an </w:t>
      </w:r>
      <w:commentRangeStart w:id="5"/>
      <w:r>
        <w:rPr>
          <w:rFonts w:ascii="Arial" w:eastAsia="Arial" w:hAnsi="Arial"/>
        </w:rPr>
        <w:t>irradiation-dose model</w:t>
      </w:r>
      <w:commentRangeEnd w:id="5"/>
      <w:r w:rsidR="00743616">
        <w:rPr>
          <w:rStyle w:val="CommentReference"/>
          <w:rFonts w:ascii="Times New Roman" w:hAnsi="Times New Roman"/>
          <w:lang w:val="nb-NO" w:eastAsia="nb-NO"/>
        </w:rPr>
        <w:commentReference w:id="5"/>
      </w:r>
      <w:r>
        <w:rPr>
          <w:rFonts w:ascii="Arial" w:eastAsia="Arial" w:hAnsi="Arial"/>
        </w:rPr>
        <w:t xml:space="preserve">. The device should be compact, easy to insert into the container, safe for personnel, and compatible with existing washing and preparation operations </w:t>
      </w:r>
      <w:commentRangeStart w:id="6"/>
      <w:r>
        <w:rPr>
          <w:rFonts w:ascii="Arial" w:eastAsia="Arial" w:hAnsi="Arial"/>
        </w:rPr>
        <w:t xml:space="preserve">(International Organization for Standardization, n.d.; </w:t>
      </w:r>
      <w:commentRangeEnd w:id="6"/>
      <w:r w:rsidR="00743616">
        <w:rPr>
          <w:rStyle w:val="CommentReference"/>
          <w:rFonts w:ascii="Times New Roman" w:hAnsi="Times New Roman"/>
          <w:lang w:val="nb-NO" w:eastAsia="nb-NO"/>
        </w:rPr>
        <w:commentReference w:id="6"/>
      </w:r>
      <w:r>
        <w:rPr>
          <w:rFonts w:ascii="Arial" w:eastAsia="Arial" w:hAnsi="Arial"/>
        </w:rPr>
        <w:t>Holah et al., 2016).</w:t>
      </w:r>
    </w:p>
    <w:p w14:paraId="7CEF12C8" w14:textId="77777777" w:rsidR="00754DE1" w:rsidRDefault="00754DE1" w:rsidP="00754DE1">
      <w:pPr>
        <w:jc w:val="both"/>
      </w:pPr>
      <w:r>
        <w:rPr>
          <w:rFonts w:ascii="Arial" w:eastAsia="Arial" w:hAnsi="Arial"/>
        </w:rPr>
        <w:t xml:space="preserve">For milk-transport containers, UV-C treatment should be regarded as a finishing bactericidal stage applied to an already washed and drained internal surface. This technological position is important because ultraviolet radiation acts mainly in line-of-sight conditions: it is highly effective for open irradiated areas, but its action is reduced by residual organic films, deposits, droplets, surface roughness and shadowed zones (Sharma et al., 2023; Galie et al., 2018). Therefore, the engineering problem is not only to select a lamp of sufficient rated power, but also to provide a rational arrangement of the </w:t>
      </w:r>
      <w:commentRangeStart w:id="7"/>
      <w:r>
        <w:rPr>
          <w:rFonts w:ascii="Arial" w:eastAsia="Arial" w:hAnsi="Arial"/>
        </w:rPr>
        <w:t>UV source</w:t>
      </w:r>
      <w:commentRangeEnd w:id="7"/>
      <w:r w:rsidR="00743616">
        <w:rPr>
          <w:rStyle w:val="CommentReference"/>
          <w:rFonts w:ascii="Times New Roman" w:hAnsi="Times New Roman"/>
          <w:lang w:val="nb-NO" w:eastAsia="nb-NO"/>
        </w:rPr>
        <w:commentReference w:id="7"/>
      </w:r>
      <w:r>
        <w:rPr>
          <w:rFonts w:ascii="Arial" w:eastAsia="Arial" w:hAnsi="Arial"/>
        </w:rPr>
        <w:t>, controllable exposure time, reproducible positioning of the irradiator inside the container and safe electrical operation.</w:t>
      </w:r>
    </w:p>
    <w:p w14:paraId="7AB07A77" w14:textId="77777777" w:rsidR="00754DE1" w:rsidRDefault="00754DE1" w:rsidP="00754DE1">
      <w:pPr>
        <w:jc w:val="both"/>
      </w:pPr>
      <w:r>
        <w:rPr>
          <w:rFonts w:ascii="Arial" w:eastAsia="Arial" w:hAnsi="Arial"/>
        </w:rPr>
        <w:t xml:space="preserve">Previous studies by the authors formed the scientific and engineering basis for the present development. A comprehensive approach to the evaluation of ultraviolet disinfection systems was proposed by taking into account maintenance, spectral and operational coefficients that influence the delivered bactericidal dose during real operation (Semenov et al., 2026). The useful service life of ultraviolet lamps in electrotechnical systems was also analysed on the basis of the decrease in UV radiant flux during operation, </w:t>
      </w:r>
      <w:r w:rsidR="00085217">
        <w:rPr>
          <w:rFonts w:ascii="Arial" w:eastAsia="Arial" w:hAnsi="Arial"/>
        </w:rPr>
        <w:t>which</w:t>
      </w:r>
      <w:r>
        <w:rPr>
          <w:rFonts w:ascii="Arial" w:eastAsia="Arial" w:hAnsi="Arial"/>
        </w:rPr>
        <w:t xml:space="preserve"> is essential for selecting replacement intervals and preventing under-dosing </w:t>
      </w:r>
      <w:commentRangeStart w:id="8"/>
      <w:r>
        <w:rPr>
          <w:rFonts w:ascii="Arial" w:eastAsia="Arial" w:hAnsi="Arial"/>
        </w:rPr>
        <w:t xml:space="preserve">(Semenov et al., 2024a). </w:t>
      </w:r>
      <w:commentRangeEnd w:id="8"/>
      <w:r w:rsidR="00743616">
        <w:rPr>
          <w:rStyle w:val="CommentReference"/>
          <w:rFonts w:ascii="Times New Roman" w:hAnsi="Times New Roman"/>
          <w:lang w:val="nb-NO" w:eastAsia="nb-NO"/>
        </w:rPr>
        <w:commentReference w:id="8"/>
      </w:r>
      <w:r>
        <w:rPr>
          <w:rFonts w:ascii="Arial" w:eastAsia="Arial" w:hAnsi="Arial"/>
        </w:rPr>
        <w:t xml:space="preserve">In addition, the </w:t>
      </w:r>
      <w:r>
        <w:rPr>
          <w:rFonts w:ascii="Arial" w:eastAsia="Arial" w:hAnsi="Arial"/>
        </w:rPr>
        <w:lastRenderedPageBreak/>
        <w:t xml:space="preserve">photobiological risk associated with ultraviolet lamps in electrical systems was assessed, confirming the need for interlocks, shielding and organizational safety measures </w:t>
      </w:r>
      <w:r w:rsidR="00085217">
        <w:rPr>
          <w:rFonts w:ascii="Arial" w:eastAsia="Arial" w:hAnsi="Arial"/>
        </w:rPr>
        <w:t>when</w:t>
      </w:r>
      <w:r>
        <w:rPr>
          <w:rFonts w:ascii="Arial" w:eastAsia="Arial" w:hAnsi="Arial"/>
        </w:rPr>
        <w:t xml:space="preserve"> such devices are used in production environments </w:t>
      </w:r>
      <w:commentRangeStart w:id="9"/>
      <w:r>
        <w:rPr>
          <w:rFonts w:ascii="Arial" w:eastAsia="Arial" w:hAnsi="Arial"/>
        </w:rPr>
        <w:t>(Semenov et al., 2024b).</w:t>
      </w:r>
      <w:commentRangeEnd w:id="9"/>
      <w:r w:rsidR="00743616">
        <w:rPr>
          <w:rStyle w:val="CommentReference"/>
          <w:rFonts w:ascii="Times New Roman" w:hAnsi="Times New Roman"/>
          <w:lang w:val="nb-NO" w:eastAsia="nb-NO"/>
        </w:rPr>
        <w:commentReference w:id="9"/>
      </w:r>
    </w:p>
    <w:p w14:paraId="5F571227" w14:textId="77777777" w:rsidR="00754DE1" w:rsidRDefault="00754DE1" w:rsidP="00754DE1">
      <w:pPr>
        <w:jc w:val="both"/>
        <w:rPr>
          <w:rFonts w:ascii="Arial" w:eastAsia="Arial" w:hAnsi="Arial"/>
        </w:rPr>
      </w:pPr>
      <w:r>
        <w:rPr>
          <w:rFonts w:ascii="Arial" w:eastAsia="Arial" w:hAnsi="Arial"/>
        </w:rPr>
        <w:t xml:space="preserve">The practical applicability of ultraviolet treatment for reducing microbiological contamination was also demonstrated in the disinfection of activated carbon, </w:t>
      </w:r>
      <w:r w:rsidR="00085217">
        <w:rPr>
          <w:rFonts w:ascii="Arial" w:eastAsia="Arial" w:hAnsi="Arial"/>
        </w:rPr>
        <w:t xml:space="preserve">where </w:t>
      </w:r>
      <w:r>
        <w:rPr>
          <w:rFonts w:ascii="Arial" w:eastAsia="Arial" w:hAnsi="Arial"/>
        </w:rPr>
        <w:t>UV radiation and combined UV-ozone treatment were considered as physical methods of microbial inactivation (Semenov et al., 2019). Although the object of treatment in the present work is different, the general methodological principle is similar: the technological effect is determined by the delivered UV dose, exposure conditions, irradiation geometry and the state of the treated surface.</w:t>
      </w:r>
    </w:p>
    <w:p w14:paraId="2A6043CD" w14:textId="77777777" w:rsidR="00754DE1" w:rsidRDefault="00754DE1" w:rsidP="00754DE1">
      <w:pPr>
        <w:jc w:val="both"/>
      </w:pPr>
      <w:r>
        <w:rPr>
          <w:rFonts w:ascii="Arial" w:eastAsia="Arial" w:hAnsi="Arial"/>
        </w:rPr>
        <w:t xml:space="preserve">The relevance of the proposed </w:t>
      </w:r>
      <w:commentRangeStart w:id="10"/>
      <w:r>
        <w:rPr>
          <w:rFonts w:ascii="Arial" w:eastAsia="Arial" w:hAnsi="Arial"/>
        </w:rPr>
        <w:t xml:space="preserve">UBZTT-20 system </w:t>
      </w:r>
      <w:commentRangeEnd w:id="10"/>
      <w:r w:rsidR="00743616">
        <w:rPr>
          <w:rStyle w:val="CommentReference"/>
          <w:rFonts w:ascii="Times New Roman" w:hAnsi="Times New Roman"/>
          <w:lang w:val="nb-NO" w:eastAsia="nb-NO"/>
        </w:rPr>
        <w:commentReference w:id="10"/>
      </w:r>
      <w:r>
        <w:rPr>
          <w:rFonts w:ascii="Arial" w:eastAsia="Arial" w:hAnsi="Arial"/>
        </w:rPr>
        <w:t xml:space="preserve">is therefore determined by the need for compact, low-power and mobile equipment that can be used directly at farms, milk collection points and small food-processing facilities. Such equipment may reduce the risk of secondary contamination of milk after washing of the transport container, </w:t>
      </w:r>
      <w:r w:rsidR="00085217">
        <w:rPr>
          <w:rFonts w:ascii="Arial" w:eastAsia="Arial" w:hAnsi="Arial"/>
        </w:rPr>
        <w:t>wh</w:t>
      </w:r>
      <w:r>
        <w:rPr>
          <w:rFonts w:ascii="Arial" w:eastAsia="Arial" w:hAnsi="Arial"/>
        </w:rPr>
        <w:t>ile avoiding excessive use of chemical disinfectants. At the same time, the system must not be presented as a chemical method for neutralizing milk acidity; its role is to suppress residual microflora on container surfaces and thereby slow down microbiological processes that can contribute to acidity increase during transportation and storage.</w:t>
      </w:r>
    </w:p>
    <w:p w14:paraId="4A15DCF3" w14:textId="77777777" w:rsidR="00754DE1" w:rsidRDefault="00754DE1" w:rsidP="00882233">
      <w:pPr>
        <w:jc w:val="both"/>
      </w:pPr>
      <w:r>
        <w:rPr>
          <w:rFonts w:ascii="Arial" w:eastAsia="Arial" w:hAnsi="Arial"/>
        </w:rPr>
        <w:t>The aim of this work was to develop and substantiate a compact electrotechnical UV-C system for bactericidal sanitation of milk-transport containers using the UBZTT-20 prototype, to define its constructive and electrical-functional scheme, and to relate the design parameters of the unit to the previously substantiated maintenance, spectral, operational and safety factors of ultraviolet electrotechnical systems.</w:t>
      </w:r>
    </w:p>
    <w:p w14:paraId="43CA2913" w14:textId="77777777" w:rsidR="00754DE1" w:rsidRDefault="00754DE1" w:rsidP="00882233">
      <w:pPr>
        <w:pStyle w:val="Body"/>
        <w:spacing w:after="0"/>
        <w:rPr>
          <w:rFonts w:ascii="Arial" w:hAnsi="Arial" w:cs="Arial"/>
        </w:rPr>
      </w:pPr>
    </w:p>
    <w:p w14:paraId="3D968CBA" w14:textId="77777777" w:rsidR="007F7B32" w:rsidRDefault="00902823" w:rsidP="00882233">
      <w:pPr>
        <w:pStyle w:val="AbstHead"/>
        <w:spacing w:after="0"/>
        <w:jc w:val="both"/>
        <w:rPr>
          <w:rFonts w:ascii="Arial" w:hAnsi="Arial" w:cs="Arial"/>
        </w:rPr>
      </w:pPr>
      <w:r>
        <w:rPr>
          <w:rFonts w:ascii="Arial" w:hAnsi="Arial" w:cs="Arial"/>
        </w:rPr>
        <w:t>2. material and method</w:t>
      </w:r>
      <w:r w:rsidR="00000F8F">
        <w:rPr>
          <w:rFonts w:ascii="Arial" w:hAnsi="Arial" w:cs="Arial"/>
        </w:rPr>
        <w:t>s</w:t>
      </w:r>
    </w:p>
    <w:p w14:paraId="53A198B5" w14:textId="77777777" w:rsidR="00882233" w:rsidRDefault="00882233" w:rsidP="00882233">
      <w:pPr>
        <w:pStyle w:val="AbstHead"/>
        <w:spacing w:after="0"/>
        <w:jc w:val="both"/>
        <w:rPr>
          <w:rFonts w:ascii="Arial" w:hAnsi="Arial" w:cs="Arial"/>
        </w:rPr>
      </w:pPr>
    </w:p>
    <w:p w14:paraId="796C291F" w14:textId="77777777" w:rsidR="00887137" w:rsidRDefault="00887137" w:rsidP="00882233">
      <w:pPr>
        <w:rPr>
          <w:rFonts w:ascii="Arial" w:eastAsia="Arial" w:hAnsi="Arial"/>
          <w:b/>
          <w:sz w:val="22"/>
        </w:rPr>
      </w:pPr>
      <w:r>
        <w:rPr>
          <w:rFonts w:ascii="Arial" w:eastAsia="Arial" w:hAnsi="Arial"/>
          <w:b/>
          <w:sz w:val="22"/>
        </w:rPr>
        <w:t>2.1 Design Object and Research Approach</w:t>
      </w:r>
    </w:p>
    <w:p w14:paraId="45729481" w14:textId="77777777" w:rsidR="00882233" w:rsidRDefault="00882233" w:rsidP="00882233"/>
    <w:p w14:paraId="57B7F7A5" w14:textId="77777777" w:rsidR="00887137" w:rsidRDefault="00887137" w:rsidP="00882233">
      <w:pPr>
        <w:jc w:val="both"/>
      </w:pPr>
      <w:r>
        <w:rPr>
          <w:rFonts w:ascii="Arial" w:eastAsia="Arial" w:hAnsi="Arial"/>
        </w:rPr>
        <w:t>The object of the study was a compact electrotechnical ultraviolet-C system intended for finishing bactericidal sanitation of milk-transport containers. The developed prototype was designated as UBZTT-20. According to the technical specification, the unit is intended for the treatment of internal air volume and accessible inner surfaces of previously washed and drained containers used for milk and dairy-product transportation. The recommended treated volume is up to 5 m</w:t>
      </w:r>
      <w:r w:rsidRPr="00A44B6E">
        <w:rPr>
          <w:rFonts w:ascii="Arial" w:eastAsia="Arial" w:hAnsi="Arial"/>
          <w:vertAlign w:val="superscript"/>
        </w:rPr>
        <w:t>3</w:t>
      </w:r>
      <w:r>
        <w:rPr>
          <w:rFonts w:ascii="Arial" w:eastAsia="Arial" w:hAnsi="Arial"/>
        </w:rPr>
        <w:t>, the installed electrical power is 20 W, the overall dimensions are 550 x 160 x 160 mm, and the mass is 3 kg</w:t>
      </w:r>
      <w:commentRangeStart w:id="11"/>
      <w:r>
        <w:rPr>
          <w:rFonts w:ascii="Arial" w:eastAsia="Arial" w:hAnsi="Arial"/>
        </w:rPr>
        <w:t>.</w:t>
      </w:r>
      <w:commentRangeEnd w:id="11"/>
      <w:r w:rsidR="00743616">
        <w:rPr>
          <w:rStyle w:val="CommentReference"/>
          <w:rFonts w:ascii="Times New Roman" w:hAnsi="Times New Roman"/>
          <w:lang w:val="nb-NO" w:eastAsia="nb-NO"/>
        </w:rPr>
        <w:commentReference w:id="11"/>
      </w:r>
    </w:p>
    <w:p w14:paraId="47A46C87" w14:textId="77777777" w:rsidR="00887137" w:rsidRDefault="00887137" w:rsidP="00882233">
      <w:pPr>
        <w:jc w:val="both"/>
        <w:rPr>
          <w:rFonts w:ascii="Arial" w:eastAsia="Arial" w:hAnsi="Arial"/>
        </w:rPr>
      </w:pPr>
      <w:r>
        <w:rPr>
          <w:rFonts w:ascii="Arial" w:eastAsia="Arial" w:hAnsi="Arial"/>
        </w:rPr>
        <w:t xml:space="preserve">The methodological approach was based on the combination of engineering design analysis, UV-C dose calculation, estimation of electrical energy consumption, assessment of operating conditions, and substantiation of safety requirements. This approach corresponds to the general principles of UV application in dairy processing, </w:t>
      </w:r>
      <w:r w:rsidR="00085217">
        <w:rPr>
          <w:rFonts w:ascii="Arial" w:eastAsia="Arial" w:hAnsi="Arial"/>
        </w:rPr>
        <w:t>wh</w:t>
      </w:r>
      <w:r>
        <w:rPr>
          <w:rFonts w:ascii="Arial" w:eastAsia="Arial" w:hAnsi="Arial"/>
        </w:rPr>
        <w:t>ere ultraviolet radiation is considered suitable for air, water, packaging materials and food-contact surfaces, but its efficiency depends on dose, exposure time, surface cleanliness and irradiation geometry.</w:t>
      </w:r>
    </w:p>
    <w:p w14:paraId="09E44CFD" w14:textId="77777777" w:rsidR="00882233" w:rsidRDefault="00882233" w:rsidP="00882233">
      <w:pPr>
        <w:jc w:val="both"/>
      </w:pPr>
    </w:p>
    <w:p w14:paraId="166A4680" w14:textId="77777777" w:rsidR="00887137" w:rsidRDefault="00887137" w:rsidP="00882233">
      <w:pPr>
        <w:rPr>
          <w:rFonts w:ascii="Arial" w:eastAsia="Arial" w:hAnsi="Arial"/>
          <w:b/>
          <w:sz w:val="22"/>
        </w:rPr>
      </w:pPr>
      <w:r>
        <w:rPr>
          <w:rFonts w:ascii="Arial" w:eastAsia="Arial" w:hAnsi="Arial"/>
          <w:b/>
          <w:sz w:val="22"/>
        </w:rPr>
        <w:t>2.2 Prototype Description</w:t>
      </w:r>
    </w:p>
    <w:p w14:paraId="061F6602" w14:textId="77777777" w:rsidR="00882233" w:rsidRDefault="00882233" w:rsidP="00882233"/>
    <w:p w14:paraId="7D991578" w14:textId="77777777" w:rsidR="00887137" w:rsidRDefault="00887137" w:rsidP="000511D4">
      <w:pPr>
        <w:jc w:val="both"/>
      </w:pPr>
      <w:r>
        <w:rPr>
          <w:rFonts w:ascii="Arial" w:eastAsia="Arial" w:hAnsi="Arial"/>
        </w:rPr>
        <w:t>The UBZTT-20 unit was developed as a portable low-voltage device for use at farms, milk collection points, small dairy-processing facilities and transport-preparation areas. The unit consists of a UV-C bactericidal source, a protective quartz sleeve, a carrier frame, end caps, electrical connections, a power-supply and control unit, a timer, indication elements and safety interlocking.</w:t>
      </w:r>
    </w:p>
    <w:p w14:paraId="74D98604" w14:textId="77777777" w:rsidR="00887137" w:rsidRDefault="00887137" w:rsidP="00882233">
      <w:pPr>
        <w:jc w:val="both"/>
        <w:rPr>
          <w:rFonts w:ascii="Arial" w:eastAsia="Arial" w:hAnsi="Arial"/>
        </w:rPr>
      </w:pPr>
      <w:r>
        <w:rPr>
          <w:rFonts w:ascii="Arial" w:eastAsia="Arial" w:hAnsi="Arial"/>
        </w:rPr>
        <w:t>The device can be powered from a 12 V or 24 V DC source. At the installed electrical power of 20 W, the estimated current consumption is approximately 1.67 A at 12 V and 0.83 A at 24 V. The use of low-voltage DC power supply increases the mobility of the system and allows its use in stationary and mobile conditions</w:t>
      </w:r>
      <w:commentRangeStart w:id="12"/>
      <w:r>
        <w:rPr>
          <w:rFonts w:ascii="Arial" w:eastAsia="Arial" w:hAnsi="Arial"/>
        </w:rPr>
        <w:t>.</w:t>
      </w:r>
      <w:commentRangeEnd w:id="12"/>
      <w:r w:rsidR="00743616">
        <w:rPr>
          <w:rStyle w:val="CommentReference"/>
          <w:rFonts w:ascii="Times New Roman" w:hAnsi="Times New Roman"/>
          <w:lang w:val="nb-NO" w:eastAsia="nb-NO"/>
        </w:rPr>
        <w:commentReference w:id="12"/>
      </w:r>
    </w:p>
    <w:p w14:paraId="57F7372C" w14:textId="77777777" w:rsidR="00882233" w:rsidRDefault="00882233" w:rsidP="00882233">
      <w:pPr>
        <w:jc w:val="both"/>
      </w:pPr>
    </w:p>
    <w:p w14:paraId="420C663B" w14:textId="77777777" w:rsidR="00887137" w:rsidRDefault="00887137" w:rsidP="00882233">
      <w:pPr>
        <w:rPr>
          <w:rFonts w:ascii="Arial" w:eastAsia="Arial" w:hAnsi="Arial"/>
          <w:b/>
          <w:sz w:val="22"/>
        </w:rPr>
      </w:pPr>
      <w:r>
        <w:rPr>
          <w:rFonts w:ascii="Arial" w:eastAsia="Arial" w:hAnsi="Arial"/>
          <w:b/>
          <w:sz w:val="22"/>
        </w:rPr>
        <w:t>2.3 Sanitation Procedure</w:t>
      </w:r>
    </w:p>
    <w:p w14:paraId="70BAB7B4" w14:textId="77777777" w:rsidR="00882233" w:rsidRDefault="00882233" w:rsidP="00882233"/>
    <w:p w14:paraId="46265F2A" w14:textId="77777777" w:rsidR="00887137" w:rsidRDefault="00887137" w:rsidP="00882233">
      <w:pPr>
        <w:jc w:val="both"/>
      </w:pPr>
      <w:r>
        <w:rPr>
          <w:rFonts w:ascii="Arial" w:eastAsia="Arial" w:hAnsi="Arial"/>
        </w:rPr>
        <w:t>The proposed UV-C treatment was considered only as a finishing sanitation stage and not as a replacement for mechanical washing or detergent cleaning. Before UV-C exposure, the container must be emptied of milk residues, washed with an accepted detergent procedure, rinsed and drained. This requirement is essential because organic residues, fat films, protein deposits, water droplets and surface contamination can absorb or shield UV-C radiation and reduce the bactericidal effect</w:t>
      </w:r>
      <w:commentRangeStart w:id="13"/>
      <w:r>
        <w:rPr>
          <w:rFonts w:ascii="Arial" w:eastAsia="Arial" w:hAnsi="Arial"/>
        </w:rPr>
        <w:t>.</w:t>
      </w:r>
      <w:commentRangeEnd w:id="13"/>
      <w:r w:rsidR="00743616">
        <w:rPr>
          <w:rStyle w:val="CommentReference"/>
          <w:rFonts w:ascii="Times New Roman" w:hAnsi="Times New Roman"/>
          <w:lang w:val="nb-NO" w:eastAsia="nb-NO"/>
        </w:rPr>
        <w:commentReference w:id="13"/>
      </w:r>
    </w:p>
    <w:p w14:paraId="491DA1F4" w14:textId="77777777" w:rsidR="00887137" w:rsidRDefault="00887137" w:rsidP="000511D4">
      <w:pPr>
        <w:jc w:val="both"/>
      </w:pPr>
      <w:r>
        <w:rPr>
          <w:rFonts w:ascii="Arial" w:eastAsia="Arial" w:hAnsi="Arial"/>
        </w:rPr>
        <w:t>The recommended operating sequence was as follows: removal of residual milk from the container; mechanical washing and detergent cleaning; rinsing and draining of the container; placement of the UBZTT-20 unit inside the container; closing or shielding of the treated volume; activation of the UV-C source for the selected exposure time; automatic shutdown after the sanitation cycle; removal of the unit and preparation of the container for milk filling.</w:t>
      </w:r>
    </w:p>
    <w:p w14:paraId="10DAE35D" w14:textId="77777777" w:rsidR="00887137" w:rsidRDefault="00887137" w:rsidP="00882233">
      <w:pPr>
        <w:jc w:val="both"/>
        <w:rPr>
          <w:rFonts w:ascii="Arial" w:eastAsia="Arial" w:hAnsi="Arial"/>
        </w:rPr>
      </w:pPr>
      <w:r>
        <w:rPr>
          <w:rFonts w:ascii="Arial" w:eastAsia="Arial" w:hAnsi="Arial"/>
        </w:rPr>
        <w:t>Such an approach is consistent with studies showing that UV-C treatment can be used as an additional sanitation method after routine cleaning practices in the food industry, especially for food-contact surfaces.</w:t>
      </w:r>
    </w:p>
    <w:p w14:paraId="38511278" w14:textId="77777777" w:rsidR="00882233" w:rsidRDefault="00882233" w:rsidP="00882233">
      <w:pPr>
        <w:jc w:val="both"/>
      </w:pPr>
    </w:p>
    <w:p w14:paraId="193E5B77" w14:textId="77777777" w:rsidR="00887137" w:rsidRDefault="00887137" w:rsidP="00882233">
      <w:pPr>
        <w:rPr>
          <w:rFonts w:ascii="Arial" w:eastAsia="Arial" w:hAnsi="Arial"/>
          <w:b/>
          <w:sz w:val="22"/>
        </w:rPr>
      </w:pPr>
      <w:r>
        <w:rPr>
          <w:rFonts w:ascii="Arial" w:eastAsia="Arial" w:hAnsi="Arial"/>
          <w:b/>
          <w:sz w:val="22"/>
        </w:rPr>
        <w:t>2.4 UV-C Dose Calculation</w:t>
      </w:r>
    </w:p>
    <w:p w14:paraId="08479DDB" w14:textId="77777777" w:rsidR="00882233" w:rsidRDefault="00882233" w:rsidP="00882233"/>
    <w:p w14:paraId="3E7F81D2" w14:textId="77777777" w:rsidR="00887137" w:rsidRDefault="00887137" w:rsidP="000511D4">
      <w:pPr>
        <w:jc w:val="both"/>
      </w:pPr>
      <w:r>
        <w:rPr>
          <w:rFonts w:ascii="Arial" w:eastAsia="Arial" w:hAnsi="Arial"/>
        </w:rPr>
        <w:t>The main calculated parameter of the sanitation process was the delivered UV-C dose. For a surface element receiving average irradiance, the UV-C dose was determined by:</w:t>
      </w:r>
    </w:p>
    <w:p w14:paraId="3CA43606" w14:textId="77777777" w:rsidR="00887137" w:rsidRDefault="00682106" w:rsidP="00682106">
      <w:pPr>
        <w:spacing w:before="80" w:after="80"/>
        <w:jc w:val="right"/>
      </w:pPr>
      <w:commentRangeStart w:id="14"/>
      <m:oMath>
        <m:r>
          <w:rPr>
            <w:rFonts w:ascii="Cambria Math" w:hAnsi="Cambria Math"/>
            <w:lang w:val="en-GB"/>
          </w:rPr>
          <m:t>D=E∙t</m:t>
        </m:r>
        <w:commentRangeEnd w:id="14"/>
        <m:r>
          <m:rPr>
            <m:sty m:val="p"/>
          </m:rPr>
          <w:rPr>
            <w:rStyle w:val="CommentReference"/>
            <w:rFonts w:ascii="Times New Roman" w:hAnsi="Times New Roman"/>
            <w:lang w:val="nb-NO" w:eastAsia="nb-NO"/>
          </w:rPr>
          <w:commentReference w:id="14"/>
        </m:r>
      </m:oMath>
      <w:r>
        <w:rPr>
          <w:lang w:val="en-GB"/>
        </w:rPr>
        <w:tab/>
      </w:r>
      <w:r>
        <w:rPr>
          <w:lang w:val="en-GB"/>
        </w:rPr>
        <w:tab/>
      </w:r>
      <w:r w:rsidRPr="00861DFD">
        <w:t xml:space="preserve"> </w:t>
      </w:r>
      <w:r w:rsidR="00887137">
        <w:rPr>
          <w:rFonts w:ascii="Arial" w:eastAsia="Arial" w:hAnsi="Arial"/>
          <w:i/>
        </w:rPr>
        <w:t xml:space="preserve">       </w:t>
      </w:r>
      <w:r>
        <w:rPr>
          <w:rFonts w:ascii="Arial" w:eastAsia="Arial" w:hAnsi="Arial"/>
          <w:i/>
        </w:rPr>
        <w:tab/>
      </w:r>
      <w:r w:rsidR="00887137">
        <w:rPr>
          <w:rFonts w:ascii="Arial" w:eastAsia="Arial" w:hAnsi="Arial"/>
          <w:i/>
        </w:rPr>
        <w:t xml:space="preserve">                               (1)</w:t>
      </w:r>
    </w:p>
    <w:p w14:paraId="02B94AC4" w14:textId="77777777" w:rsidR="00887137" w:rsidRDefault="00085217" w:rsidP="000511D4">
      <w:pPr>
        <w:jc w:val="both"/>
      </w:pPr>
      <w:r>
        <w:rPr>
          <w:rFonts w:ascii="Arial" w:eastAsia="Arial" w:hAnsi="Arial"/>
        </w:rPr>
        <w:t>wh</w:t>
      </w:r>
      <w:r w:rsidR="00887137">
        <w:rPr>
          <w:rFonts w:ascii="Arial" w:eastAsia="Arial" w:hAnsi="Arial"/>
        </w:rPr>
        <w:t>ere D is the UV-C dose, J/m</w:t>
      </w:r>
      <w:r w:rsidR="00A44B6E">
        <w:rPr>
          <w:rFonts w:ascii="Arial" w:eastAsia="Arial" w:hAnsi="Arial"/>
          <w:vertAlign w:val="superscript"/>
        </w:rPr>
        <w:t>2</w:t>
      </w:r>
      <w:r w:rsidR="00887137">
        <w:rPr>
          <w:rFonts w:ascii="Arial" w:eastAsia="Arial" w:hAnsi="Arial"/>
        </w:rPr>
        <w:t>; E is the average irradiance at the target surface, W/m</w:t>
      </w:r>
      <w:r w:rsidR="00887137" w:rsidRPr="00682106">
        <w:rPr>
          <w:rFonts w:ascii="Arial" w:eastAsia="Arial" w:hAnsi="Arial"/>
          <w:vertAlign w:val="superscript"/>
        </w:rPr>
        <w:t>2</w:t>
      </w:r>
      <w:r w:rsidR="00887137">
        <w:rPr>
          <w:rFonts w:ascii="Arial" w:eastAsia="Arial" w:hAnsi="Arial"/>
        </w:rPr>
        <w:t>; and t is the exposure time, s.</w:t>
      </w:r>
    </w:p>
    <w:p w14:paraId="1975F8BA" w14:textId="77777777" w:rsidR="00887137" w:rsidRDefault="00887137" w:rsidP="00682106">
      <w:pPr>
        <w:jc w:val="both"/>
      </w:pPr>
      <w:r>
        <w:rPr>
          <w:rFonts w:ascii="Arial" w:eastAsia="Arial" w:hAnsi="Arial"/>
        </w:rPr>
        <w:t>The required exposure time is therefore:</w:t>
      </w:r>
    </w:p>
    <w:p w14:paraId="5DD3C1E6" w14:textId="77777777" w:rsidR="00887137" w:rsidRDefault="00682106" w:rsidP="000511D4">
      <w:pPr>
        <w:spacing w:before="80" w:after="80"/>
        <w:jc w:val="right"/>
      </w:pPr>
      <w:commentRangeStart w:id="15"/>
      <m:oMath>
        <m:r>
          <w:rPr>
            <w:rFonts w:ascii="Cambria Math" w:hAnsi="Cambria Math"/>
            <w:sz w:val="24"/>
            <w:szCs w:val="24"/>
          </w:rPr>
          <m:t>t</m:t>
        </m:r>
        <m:r>
          <w:rPr>
            <w:rFonts w:ascii="Cambria Math" w:hAnsi="Cambria Math"/>
            <w:sz w:val="24"/>
            <w:szCs w:val="24"/>
            <w:lang w:val="en-GB"/>
          </w:rPr>
          <m:t>=</m:t>
        </m:r>
        <m:f>
          <m:fPr>
            <m:ctrlPr>
              <w:rPr>
                <w:rFonts w:ascii="Cambria Math" w:hAnsi="Cambria Math"/>
                <w:i/>
                <w:sz w:val="24"/>
                <w:szCs w:val="24"/>
                <w:lang w:val="uk-UA"/>
              </w:rPr>
            </m:ctrlPr>
          </m:fPr>
          <m:num>
            <m:r>
              <w:rPr>
                <w:rFonts w:ascii="Cambria Math" w:hAnsi="Cambria Math"/>
                <w:sz w:val="24"/>
                <w:szCs w:val="24"/>
              </w:rPr>
              <m:t>D</m:t>
            </m:r>
          </m:num>
          <m:den>
            <m:r>
              <w:rPr>
                <w:rFonts w:ascii="Cambria Math" w:hAnsi="Cambria Math"/>
                <w:sz w:val="24"/>
                <w:szCs w:val="24"/>
                <w:lang w:val="uk-UA"/>
              </w:rPr>
              <m:t>E</m:t>
            </m:r>
          </m:den>
        </m:f>
      </m:oMath>
      <w:r>
        <w:rPr>
          <w:rFonts w:ascii="Arial" w:eastAsia="Arial" w:hAnsi="Arial"/>
          <w:i/>
          <w:sz w:val="24"/>
          <w:szCs w:val="24"/>
          <w:lang w:val="uk-UA"/>
        </w:rPr>
        <w:tab/>
      </w:r>
      <w:commentRangeEnd w:id="15"/>
      <w:r w:rsidR="00743616">
        <w:rPr>
          <w:rStyle w:val="CommentReference"/>
          <w:rFonts w:ascii="Times New Roman" w:hAnsi="Times New Roman"/>
          <w:lang w:val="nb-NO" w:eastAsia="nb-NO"/>
        </w:rPr>
        <w:commentReference w:id="15"/>
      </w:r>
      <w:r>
        <w:rPr>
          <w:rFonts w:ascii="Arial" w:eastAsia="Arial" w:hAnsi="Arial"/>
          <w:i/>
          <w:sz w:val="24"/>
          <w:szCs w:val="24"/>
          <w:lang w:val="uk-UA"/>
        </w:rPr>
        <w:tab/>
      </w:r>
      <w:r>
        <w:rPr>
          <w:rFonts w:ascii="Arial" w:eastAsia="Arial" w:hAnsi="Arial"/>
          <w:i/>
          <w:sz w:val="24"/>
          <w:szCs w:val="24"/>
          <w:lang w:val="uk-UA"/>
        </w:rPr>
        <w:tab/>
      </w:r>
      <w:r>
        <w:rPr>
          <w:rFonts w:ascii="Arial" w:eastAsia="Arial" w:hAnsi="Arial"/>
          <w:i/>
          <w:sz w:val="24"/>
          <w:szCs w:val="24"/>
          <w:lang w:val="uk-UA"/>
        </w:rPr>
        <w:tab/>
      </w:r>
      <w:r>
        <w:rPr>
          <w:rFonts w:ascii="Arial" w:eastAsia="Arial" w:hAnsi="Arial"/>
          <w:i/>
          <w:sz w:val="24"/>
          <w:szCs w:val="24"/>
          <w:lang w:val="uk-UA"/>
        </w:rPr>
        <w:tab/>
      </w:r>
      <w:r>
        <w:rPr>
          <w:rFonts w:ascii="Arial" w:eastAsia="Arial" w:hAnsi="Arial"/>
          <w:i/>
          <w:sz w:val="24"/>
          <w:szCs w:val="24"/>
          <w:lang w:val="uk-UA"/>
        </w:rPr>
        <w:tab/>
      </w:r>
      <w:r w:rsidR="00887137">
        <w:rPr>
          <w:rFonts w:ascii="Arial" w:eastAsia="Arial" w:hAnsi="Arial"/>
          <w:i/>
        </w:rPr>
        <w:t xml:space="preserve"> (2)</w:t>
      </w:r>
    </w:p>
    <w:p w14:paraId="1FC28C98" w14:textId="77777777" w:rsidR="00887137" w:rsidRDefault="00887137" w:rsidP="00682106">
      <w:pPr>
        <w:jc w:val="both"/>
      </w:pPr>
      <w:r>
        <w:rPr>
          <w:rFonts w:ascii="Arial" w:eastAsia="Arial" w:hAnsi="Arial"/>
        </w:rPr>
        <w:t>In microbiological studies, UV-C dose is often expressed in mJ/cm</w:t>
      </w:r>
      <w:r w:rsidR="00A44B6E">
        <w:rPr>
          <w:rFonts w:ascii="Arial" w:eastAsia="Arial" w:hAnsi="Arial"/>
          <w:vertAlign w:val="superscript"/>
        </w:rPr>
        <w:t>2</w:t>
      </w:r>
      <w:r>
        <w:rPr>
          <w:rFonts w:ascii="Arial" w:eastAsia="Arial" w:hAnsi="Arial"/>
        </w:rPr>
        <w:t>. The conversion used in this work was: 1 mJ/cm</w:t>
      </w:r>
      <w:r w:rsidRPr="00682106">
        <w:rPr>
          <w:rFonts w:ascii="Arial" w:eastAsia="Arial" w:hAnsi="Arial"/>
          <w:vertAlign w:val="superscript"/>
        </w:rPr>
        <w:t>2</w:t>
      </w:r>
      <w:r>
        <w:rPr>
          <w:rFonts w:ascii="Arial" w:eastAsia="Arial" w:hAnsi="Arial"/>
        </w:rPr>
        <w:t xml:space="preserve"> = 10 J/m</w:t>
      </w:r>
      <w:r w:rsidRPr="00682106">
        <w:rPr>
          <w:rFonts w:ascii="Arial" w:eastAsia="Arial" w:hAnsi="Arial"/>
          <w:vertAlign w:val="superscript"/>
        </w:rPr>
        <w:t>2</w:t>
      </w:r>
      <w:r>
        <w:rPr>
          <w:rFonts w:ascii="Arial" w:eastAsia="Arial" w:hAnsi="Arial"/>
        </w:rPr>
        <w:t>.</w:t>
      </w:r>
    </w:p>
    <w:p w14:paraId="05985640" w14:textId="77777777" w:rsidR="00887137" w:rsidRDefault="00887137" w:rsidP="00882233">
      <w:pPr>
        <w:jc w:val="both"/>
        <w:rPr>
          <w:rFonts w:ascii="Arial" w:eastAsia="Arial" w:hAnsi="Arial"/>
        </w:rPr>
      </w:pPr>
      <w:r>
        <w:rPr>
          <w:rFonts w:ascii="Arial" w:eastAsia="Arial" w:hAnsi="Arial"/>
        </w:rPr>
        <w:t>For practical application, the calculated dose should be assessed at the least-irradiated accessible surface zone of the container. This is necessary because the real irradiance inside a container is not uniform and depends on the distance from the UV-C source, lamp orientation, surface geometry, shadowed areas, reflectivity of internal surfaces and contamination of the protective sleeve.</w:t>
      </w:r>
    </w:p>
    <w:p w14:paraId="40317D1D" w14:textId="77777777" w:rsidR="00882233" w:rsidRDefault="00882233" w:rsidP="00882233">
      <w:pPr>
        <w:jc w:val="both"/>
      </w:pPr>
    </w:p>
    <w:p w14:paraId="45998D4A" w14:textId="77777777" w:rsidR="00887137" w:rsidRDefault="00887137" w:rsidP="00882233">
      <w:pPr>
        <w:rPr>
          <w:rFonts w:ascii="Arial" w:eastAsia="Arial" w:hAnsi="Arial"/>
          <w:b/>
          <w:sz w:val="22"/>
        </w:rPr>
      </w:pPr>
      <w:r>
        <w:rPr>
          <w:rFonts w:ascii="Arial" w:eastAsia="Arial" w:hAnsi="Arial"/>
          <w:b/>
          <w:sz w:val="22"/>
        </w:rPr>
        <w:t>2.5 Electrical and Energy Parameters</w:t>
      </w:r>
    </w:p>
    <w:p w14:paraId="2ECE1BDD" w14:textId="77777777" w:rsidR="00882233" w:rsidRDefault="00882233" w:rsidP="00882233"/>
    <w:p w14:paraId="340FA7CE" w14:textId="77777777" w:rsidR="00887137" w:rsidRDefault="00887137" w:rsidP="00682106">
      <w:pPr>
        <w:jc w:val="both"/>
      </w:pPr>
      <w:r>
        <w:rPr>
          <w:rFonts w:ascii="Arial" w:eastAsia="Arial" w:hAnsi="Arial"/>
        </w:rPr>
        <w:t>The specific installed power of the UBZTT-20 unit was calculated as:</w:t>
      </w:r>
    </w:p>
    <w:commentRangeStart w:id="16"/>
    <w:p w14:paraId="57A55E5B" w14:textId="77777777" w:rsidR="00887137" w:rsidRDefault="00541BED" w:rsidP="00682106">
      <w:pPr>
        <w:spacing w:before="80" w:after="80"/>
        <w:jc w:val="right"/>
      </w:pPr>
      <m:oMath>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v</m:t>
            </m:r>
          </m:sub>
        </m:sSub>
        <m:r>
          <w:rPr>
            <w:rFonts w:ascii="Cambria Math" w:hAnsi="Cambria Math"/>
            <w:lang w:val="en-GB"/>
          </w:rPr>
          <m:t>=</m:t>
        </m:r>
        <m:f>
          <m:fPr>
            <m:ctrlPr>
              <w:rPr>
                <w:rFonts w:ascii="Cambria Math" w:hAnsi="Cambria Math"/>
                <w:i/>
                <w:lang w:val="uk-UA"/>
              </w:rPr>
            </m:ctrlPr>
          </m:fPr>
          <m:num>
            <m:r>
              <w:rPr>
                <w:rFonts w:ascii="Cambria Math" w:hAnsi="Cambria Math"/>
                <w:lang w:val="uk-UA"/>
              </w:rPr>
              <m:t>P</m:t>
            </m:r>
          </m:num>
          <m:den>
            <m:r>
              <w:rPr>
                <w:rFonts w:ascii="Cambria Math" w:hAnsi="Cambria Math"/>
                <w:lang w:val="uk-UA"/>
              </w:rPr>
              <m:t>V</m:t>
            </m:r>
          </m:den>
        </m:f>
      </m:oMath>
      <w:r w:rsidR="00CE1DDC">
        <w:rPr>
          <w:rFonts w:ascii="Arial" w:eastAsia="Arial" w:hAnsi="Arial"/>
          <w:i/>
          <w:lang w:val="uk-UA"/>
        </w:rPr>
        <w:tab/>
      </w:r>
      <w:commentRangeEnd w:id="16"/>
      <w:r w:rsidR="00743616">
        <w:rPr>
          <w:rStyle w:val="CommentReference"/>
          <w:rFonts w:ascii="Times New Roman" w:hAnsi="Times New Roman"/>
          <w:lang w:val="nb-NO" w:eastAsia="nb-NO"/>
        </w:rPr>
        <w:commentReference w:id="16"/>
      </w:r>
      <w:r w:rsidR="00CE1DDC">
        <w:rPr>
          <w:rFonts w:ascii="Arial" w:eastAsia="Arial" w:hAnsi="Arial"/>
          <w:i/>
          <w:lang w:val="uk-UA"/>
        </w:rPr>
        <w:tab/>
      </w:r>
      <w:r w:rsidR="00CE1DDC">
        <w:rPr>
          <w:rFonts w:ascii="Arial" w:eastAsia="Arial" w:hAnsi="Arial"/>
          <w:i/>
          <w:lang w:val="uk-UA"/>
        </w:rPr>
        <w:tab/>
      </w:r>
      <w:r w:rsidR="00CE1DDC">
        <w:rPr>
          <w:rFonts w:ascii="Arial" w:eastAsia="Arial" w:hAnsi="Arial"/>
          <w:i/>
          <w:lang w:val="uk-UA"/>
        </w:rPr>
        <w:tab/>
      </w:r>
      <w:r w:rsidR="00CE1DDC">
        <w:rPr>
          <w:rFonts w:ascii="Arial" w:eastAsia="Arial" w:hAnsi="Arial"/>
          <w:i/>
          <w:lang w:val="uk-UA"/>
        </w:rPr>
        <w:tab/>
      </w:r>
      <w:r w:rsidR="00682106">
        <w:rPr>
          <w:rFonts w:ascii="Arial" w:eastAsia="Arial" w:hAnsi="Arial"/>
          <w:i/>
          <w:sz w:val="24"/>
          <w:szCs w:val="24"/>
          <w:lang w:val="uk-UA"/>
        </w:rPr>
        <w:tab/>
      </w:r>
      <w:r w:rsidR="00CE1DDC">
        <w:rPr>
          <w:rFonts w:ascii="Arial" w:eastAsia="Arial" w:hAnsi="Arial"/>
          <w:i/>
        </w:rPr>
        <w:t xml:space="preserve"> </w:t>
      </w:r>
      <w:r w:rsidR="00887137">
        <w:rPr>
          <w:rFonts w:ascii="Arial" w:eastAsia="Arial" w:hAnsi="Arial"/>
          <w:i/>
        </w:rPr>
        <w:t>(3)</w:t>
      </w:r>
    </w:p>
    <w:p w14:paraId="7E219EB3" w14:textId="77777777" w:rsidR="00887137" w:rsidRDefault="00085217" w:rsidP="00682106">
      <w:pPr>
        <w:jc w:val="both"/>
      </w:pPr>
      <w:r>
        <w:rPr>
          <w:rFonts w:ascii="Arial" w:eastAsia="Arial" w:hAnsi="Arial"/>
        </w:rPr>
        <w:t>wh</w:t>
      </w:r>
      <w:r w:rsidR="00887137">
        <w:rPr>
          <w:rFonts w:ascii="Arial" w:eastAsia="Arial" w:hAnsi="Arial"/>
        </w:rPr>
        <w:t xml:space="preserve">ere </w:t>
      </w:r>
      <m:oMath>
        <m:sSub>
          <m:sSubPr>
            <m:ctrlPr>
              <w:rPr>
                <w:rFonts w:ascii="Cambria Math" w:hAnsi="Cambria Math"/>
                <w:i/>
              </w:rPr>
            </m:ctrlPr>
          </m:sSubPr>
          <m:e>
            <m:r>
              <w:rPr>
                <w:rFonts w:ascii="Cambria Math" w:hAnsi="Cambria Math"/>
              </w:rPr>
              <m:t>p</m:t>
            </m:r>
          </m:e>
          <m:sub>
            <m:r>
              <w:rPr>
                <w:rFonts w:ascii="Cambria Math" w:hAnsi="Cambria Math"/>
              </w:rPr>
              <m:t>v</m:t>
            </m:r>
          </m:sub>
        </m:sSub>
      </m:oMath>
      <w:r w:rsidR="00887137">
        <w:rPr>
          <w:rFonts w:ascii="Arial" w:eastAsia="Arial" w:hAnsi="Arial"/>
        </w:rPr>
        <w:t xml:space="preserve"> is the specific installed power, W/m</w:t>
      </w:r>
      <w:r w:rsidR="00887137" w:rsidRPr="00682106">
        <w:rPr>
          <w:rFonts w:ascii="Arial" w:eastAsia="Arial" w:hAnsi="Arial"/>
          <w:vertAlign w:val="superscript"/>
        </w:rPr>
        <w:t>3</w:t>
      </w:r>
      <w:r w:rsidR="00887137">
        <w:rPr>
          <w:rFonts w:ascii="Arial" w:eastAsia="Arial" w:hAnsi="Arial"/>
        </w:rPr>
        <w:t>; P is the installed electrical power, W; and V is the recommended treated volume, m</w:t>
      </w:r>
      <w:r w:rsidR="00887137" w:rsidRPr="00682106">
        <w:rPr>
          <w:rFonts w:ascii="Arial" w:eastAsia="Arial" w:hAnsi="Arial"/>
          <w:vertAlign w:val="superscript"/>
        </w:rPr>
        <w:t>3</w:t>
      </w:r>
      <w:r w:rsidR="00887137">
        <w:rPr>
          <w:rFonts w:ascii="Arial" w:eastAsia="Arial" w:hAnsi="Arial"/>
        </w:rPr>
        <w:t>.</w:t>
      </w:r>
    </w:p>
    <w:p w14:paraId="6AD22A77" w14:textId="77777777" w:rsidR="00887137" w:rsidRDefault="00887137" w:rsidP="00682106">
      <w:pPr>
        <w:jc w:val="both"/>
      </w:pPr>
      <w:r>
        <w:rPr>
          <w:rFonts w:ascii="Arial" w:eastAsia="Arial" w:hAnsi="Arial"/>
        </w:rPr>
        <w:t xml:space="preserve">For </w:t>
      </w:r>
      <w:r w:rsidRPr="00120220">
        <w:rPr>
          <w:rFonts w:ascii="Arial" w:eastAsia="Arial" w:hAnsi="Arial"/>
          <w:i/>
          <w:iCs/>
        </w:rPr>
        <w:t>P</w:t>
      </w:r>
      <w:r>
        <w:rPr>
          <w:rFonts w:ascii="Arial" w:eastAsia="Arial" w:hAnsi="Arial"/>
        </w:rPr>
        <w:t xml:space="preserve"> = 20 W and </w:t>
      </w:r>
      <w:r w:rsidRPr="00120220">
        <w:rPr>
          <w:rFonts w:ascii="Arial" w:eastAsia="Arial" w:hAnsi="Arial"/>
          <w:i/>
          <w:iCs/>
        </w:rPr>
        <w:t xml:space="preserve">V </w:t>
      </w:r>
      <w:r>
        <w:rPr>
          <w:rFonts w:ascii="Arial" w:eastAsia="Arial" w:hAnsi="Arial"/>
        </w:rPr>
        <w:t>= 5 m</w:t>
      </w:r>
      <w:r w:rsidRPr="00682106">
        <w:rPr>
          <w:rFonts w:ascii="Arial" w:eastAsia="Arial" w:hAnsi="Arial"/>
          <w:vertAlign w:val="superscript"/>
        </w:rPr>
        <w:t>3</w:t>
      </w:r>
      <w:r>
        <w:rPr>
          <w:rFonts w:ascii="Arial" w:eastAsia="Arial" w:hAnsi="Arial"/>
        </w:rPr>
        <w:t xml:space="preserve">, </w:t>
      </w:r>
      <m:oMath>
        <m:sSub>
          <m:sSubPr>
            <m:ctrlPr>
              <w:rPr>
                <w:rFonts w:ascii="Cambria Math" w:hAnsi="Cambria Math"/>
                <w:i/>
                <w:sz w:val="24"/>
                <w:szCs w:val="24"/>
                <w:lang w:val="en-GB"/>
              </w:rPr>
            </m:ctrlPr>
          </m:sSubPr>
          <m:e>
            <m:r>
              <w:rPr>
                <w:rFonts w:ascii="Cambria Math" w:hAnsi="Cambria Math"/>
                <w:sz w:val="24"/>
                <w:szCs w:val="24"/>
                <w:lang w:val="en-GB"/>
              </w:rPr>
              <m:t>p</m:t>
            </m:r>
          </m:e>
          <m:sub>
            <m:r>
              <w:rPr>
                <w:rFonts w:ascii="Cambria Math" w:hAnsi="Cambria Math"/>
                <w:sz w:val="24"/>
                <w:szCs w:val="24"/>
                <w:lang w:val="en-GB"/>
              </w:rPr>
              <m:t>v</m:t>
            </m:r>
          </m:sub>
        </m:sSub>
      </m:oMath>
      <w:r>
        <w:rPr>
          <w:rFonts w:ascii="Arial" w:eastAsia="Arial" w:hAnsi="Arial"/>
        </w:rPr>
        <w:t xml:space="preserve"> = 4 W/m</w:t>
      </w:r>
      <w:r w:rsidRPr="00682106">
        <w:rPr>
          <w:rFonts w:ascii="Arial" w:eastAsia="Arial" w:hAnsi="Arial"/>
          <w:vertAlign w:val="superscript"/>
        </w:rPr>
        <w:t>3</w:t>
      </w:r>
      <w:r>
        <w:rPr>
          <w:rFonts w:ascii="Arial" w:eastAsia="Arial" w:hAnsi="Arial"/>
        </w:rPr>
        <w:t>.</w:t>
      </w:r>
    </w:p>
    <w:p w14:paraId="1BB417BC" w14:textId="77777777" w:rsidR="00887137" w:rsidRDefault="00887137" w:rsidP="00682106">
      <w:pPr>
        <w:jc w:val="both"/>
      </w:pPr>
      <w:r>
        <w:rPr>
          <w:rFonts w:ascii="Arial" w:eastAsia="Arial" w:hAnsi="Arial"/>
        </w:rPr>
        <w:t>The electrical energy consumption for one sanitation cycle was calculated as:</w:t>
      </w:r>
    </w:p>
    <w:p w14:paraId="66FF4E8D" w14:textId="77777777" w:rsidR="00887137" w:rsidRDefault="00682106" w:rsidP="00682106">
      <w:pPr>
        <w:spacing w:before="80" w:after="80"/>
        <w:jc w:val="right"/>
      </w:pPr>
      <w:commentRangeStart w:id="17"/>
      <m:oMath>
        <m:r>
          <w:rPr>
            <w:rFonts w:ascii="Cambria Math" w:hAnsi="Cambria Math"/>
            <w:lang w:val="en-GB"/>
          </w:rPr>
          <m:t>W=P∙τ</m:t>
        </m:r>
      </m:oMath>
      <w:r w:rsidR="00887137">
        <w:rPr>
          <w:rFonts w:ascii="Arial" w:eastAsia="Arial" w:hAnsi="Arial"/>
          <w:i/>
        </w:rPr>
        <w:t xml:space="preserve"> </w:t>
      </w:r>
      <w:commentRangeEnd w:id="17"/>
      <w:r w:rsidR="00743616">
        <w:rPr>
          <w:rStyle w:val="CommentReference"/>
          <w:rFonts w:ascii="Times New Roman" w:hAnsi="Times New Roman"/>
          <w:lang w:val="nb-NO" w:eastAsia="nb-NO"/>
        </w:rPr>
        <w:commentReference w:id="17"/>
      </w:r>
      <w:r w:rsidR="00CE1DDC">
        <w:rPr>
          <w:rFonts w:ascii="Arial" w:eastAsia="Arial" w:hAnsi="Arial"/>
          <w:i/>
        </w:rPr>
        <w:tab/>
      </w:r>
      <w:r w:rsidR="00CE1DDC">
        <w:rPr>
          <w:rFonts w:ascii="Arial" w:eastAsia="Arial" w:hAnsi="Arial"/>
          <w:i/>
        </w:rPr>
        <w:tab/>
      </w:r>
      <w:r w:rsidR="00CE1DDC">
        <w:rPr>
          <w:rFonts w:ascii="Arial" w:eastAsia="Arial" w:hAnsi="Arial"/>
          <w:i/>
        </w:rPr>
        <w:tab/>
      </w:r>
      <w:r w:rsidR="00CE1DDC">
        <w:rPr>
          <w:rFonts w:ascii="Arial" w:eastAsia="Arial" w:hAnsi="Arial"/>
          <w:i/>
        </w:rPr>
        <w:tab/>
      </w:r>
      <w:r w:rsidR="00CE1DDC">
        <w:rPr>
          <w:rFonts w:ascii="Arial" w:eastAsia="Arial" w:hAnsi="Arial"/>
          <w:i/>
        </w:rPr>
        <w:tab/>
      </w:r>
      <w:r w:rsidR="00887137">
        <w:rPr>
          <w:rFonts w:ascii="Arial" w:eastAsia="Arial" w:hAnsi="Arial"/>
          <w:i/>
        </w:rPr>
        <w:t>(4)</w:t>
      </w:r>
    </w:p>
    <w:p w14:paraId="6B756D75" w14:textId="77777777" w:rsidR="00887137" w:rsidRDefault="00085217" w:rsidP="00682106">
      <w:pPr>
        <w:jc w:val="both"/>
      </w:pPr>
      <w:r>
        <w:rPr>
          <w:rFonts w:ascii="Arial" w:eastAsia="Arial" w:hAnsi="Arial"/>
        </w:rPr>
        <w:t>wh</w:t>
      </w:r>
      <w:r w:rsidR="00887137">
        <w:rPr>
          <w:rFonts w:ascii="Arial" w:eastAsia="Arial" w:hAnsi="Arial"/>
        </w:rPr>
        <w:t xml:space="preserve">ere </w:t>
      </w:r>
      <w:r w:rsidR="00887137" w:rsidRPr="00120220">
        <w:rPr>
          <w:rFonts w:ascii="Arial" w:eastAsia="Arial" w:hAnsi="Arial"/>
          <w:i/>
          <w:iCs/>
        </w:rPr>
        <w:t>W</w:t>
      </w:r>
      <w:r w:rsidR="00887137">
        <w:rPr>
          <w:rFonts w:ascii="Arial" w:eastAsia="Arial" w:hAnsi="Arial"/>
        </w:rPr>
        <w:t xml:space="preserve"> is electrical energy, </w:t>
      </w:r>
      <w:r w:rsidR="00205771">
        <w:rPr>
          <w:rFonts w:ascii="Arial" w:eastAsia="Arial" w:hAnsi="Arial"/>
        </w:rPr>
        <w:t>Wh</w:t>
      </w:r>
      <w:r w:rsidR="00887137">
        <w:rPr>
          <w:rFonts w:ascii="Arial" w:eastAsia="Arial" w:hAnsi="Arial"/>
        </w:rPr>
        <w:t xml:space="preserve">; </w:t>
      </w:r>
      <w:r w:rsidR="00887137" w:rsidRPr="00120220">
        <w:rPr>
          <w:rFonts w:ascii="Arial" w:eastAsia="Arial" w:hAnsi="Arial"/>
          <w:i/>
          <w:iCs/>
        </w:rPr>
        <w:t>P</w:t>
      </w:r>
      <w:r w:rsidR="00887137">
        <w:rPr>
          <w:rFonts w:ascii="Arial" w:eastAsia="Arial" w:hAnsi="Arial"/>
        </w:rPr>
        <w:t xml:space="preserve"> is installed electrical power, W; and </w:t>
      </w:r>
      <w:r w:rsidR="00682106" w:rsidRPr="00C05901">
        <w:rPr>
          <w:rStyle w:val="katex-mathml"/>
          <w:rFonts w:eastAsiaTheme="majorEastAsia"/>
          <w:i/>
          <w:iCs/>
          <w:lang w:val="en-GB"/>
        </w:rPr>
        <w:t>τ</w:t>
      </w:r>
      <w:r w:rsidR="00682106" w:rsidRPr="00DC1C40">
        <w:rPr>
          <w:lang w:val="en-GB"/>
        </w:rPr>
        <w:t xml:space="preserve"> </w:t>
      </w:r>
      <w:r w:rsidR="00887137">
        <w:rPr>
          <w:rFonts w:ascii="Arial" w:eastAsia="Arial" w:hAnsi="Arial"/>
        </w:rPr>
        <w:t>is cycle duration, h.</w:t>
      </w:r>
    </w:p>
    <w:p w14:paraId="12F51379" w14:textId="77777777" w:rsidR="00887137" w:rsidRDefault="00887137" w:rsidP="00882233">
      <w:pPr>
        <w:jc w:val="both"/>
        <w:rPr>
          <w:rFonts w:ascii="Arial" w:eastAsia="Arial" w:hAnsi="Arial"/>
        </w:rPr>
      </w:pPr>
      <w:r>
        <w:rPr>
          <w:rFonts w:ascii="Arial" w:eastAsia="Arial" w:hAnsi="Arial"/>
        </w:rPr>
        <w:t xml:space="preserve">For sanitation cycles of 5, 10, 15 and 20 min, the calculated energy consumption was 1.67, 3.33, 5.00 and 6.67 </w:t>
      </w:r>
      <w:r w:rsidR="00205771">
        <w:rPr>
          <w:rFonts w:ascii="Arial" w:eastAsia="Arial" w:hAnsi="Arial"/>
        </w:rPr>
        <w:t>Wh</w:t>
      </w:r>
      <w:r>
        <w:rPr>
          <w:rFonts w:ascii="Arial" w:eastAsia="Arial" w:hAnsi="Arial"/>
        </w:rPr>
        <w:t xml:space="preserve">, respectively. These values indicate that the energy demand of the proposed system is low, </w:t>
      </w:r>
      <w:r w:rsidR="00085217">
        <w:rPr>
          <w:rFonts w:ascii="Arial" w:eastAsia="Arial" w:hAnsi="Arial"/>
        </w:rPr>
        <w:t>wh</w:t>
      </w:r>
      <w:r>
        <w:rPr>
          <w:rFonts w:ascii="Arial" w:eastAsia="Arial" w:hAnsi="Arial"/>
        </w:rPr>
        <w:t>ile the effectiveness of the treatment is primarily determined by the delivered UV-C dose, exposure geometry and surface cleanliness.</w:t>
      </w:r>
    </w:p>
    <w:p w14:paraId="5EF8C712" w14:textId="77777777" w:rsidR="00882233" w:rsidRDefault="00882233" w:rsidP="00882233">
      <w:pPr>
        <w:jc w:val="both"/>
      </w:pPr>
    </w:p>
    <w:p w14:paraId="08F9EDA3" w14:textId="77777777" w:rsidR="00887137" w:rsidRPr="00CE1DDC" w:rsidRDefault="00887137" w:rsidP="00882233">
      <w:pPr>
        <w:rPr>
          <w:rFonts w:ascii="Arial" w:eastAsia="Arial" w:hAnsi="Arial" w:cs="Arial"/>
          <w:b/>
          <w:sz w:val="22"/>
        </w:rPr>
      </w:pPr>
      <w:r>
        <w:rPr>
          <w:rFonts w:ascii="Arial" w:eastAsia="Arial" w:hAnsi="Arial"/>
          <w:b/>
          <w:sz w:val="22"/>
        </w:rPr>
        <w:t xml:space="preserve">2.6 </w:t>
      </w:r>
      <w:r w:rsidRPr="00CE1DDC">
        <w:rPr>
          <w:rFonts w:ascii="Arial" w:eastAsia="Arial" w:hAnsi="Arial" w:cs="Arial"/>
          <w:b/>
          <w:sz w:val="22"/>
        </w:rPr>
        <w:t>Microbiological Validation Procedure</w:t>
      </w:r>
    </w:p>
    <w:p w14:paraId="771E2F7F" w14:textId="77777777" w:rsidR="00882233" w:rsidRPr="00CE1DDC" w:rsidRDefault="00882233" w:rsidP="00882233">
      <w:pPr>
        <w:rPr>
          <w:rFonts w:ascii="Arial" w:hAnsi="Arial" w:cs="Arial"/>
        </w:rPr>
      </w:pPr>
    </w:p>
    <w:p w14:paraId="5C111E8F" w14:textId="77777777" w:rsidR="00887137" w:rsidRDefault="00887137" w:rsidP="00682106">
      <w:pPr>
        <w:jc w:val="both"/>
      </w:pPr>
      <w:r w:rsidRPr="00CE1DDC">
        <w:rPr>
          <w:rFonts w:ascii="Arial" w:eastAsia="Arial" w:hAnsi="Arial" w:cs="Arial"/>
        </w:rPr>
        <w:t>For further validation of the developed UBZTT-20 system, microbiological control should be carried out u</w:t>
      </w:r>
      <w:r>
        <w:rPr>
          <w:rFonts w:ascii="Arial" w:eastAsia="Arial" w:hAnsi="Arial"/>
        </w:rPr>
        <w:t>sing surface swab tests. The recommended control points are: before washing; after washing and rinsing; after UV-C treatment for 5 min; after UV-C treatment for 10 min; and after UV-C treatment for 15 min.</w:t>
      </w:r>
    </w:p>
    <w:p w14:paraId="17CE44DE" w14:textId="77777777" w:rsidR="00887137" w:rsidRDefault="00887137" w:rsidP="00682106">
      <w:pPr>
        <w:jc w:val="both"/>
      </w:pPr>
      <w:r>
        <w:rPr>
          <w:rFonts w:ascii="Arial" w:eastAsia="Arial" w:hAnsi="Arial"/>
        </w:rPr>
        <w:t>The main microbiological indicator may be the total microbial count on the inner surface of the container, expressed as CFU/cm</w:t>
      </w:r>
      <w:r w:rsidRPr="00682106">
        <w:rPr>
          <w:rFonts w:ascii="Arial" w:eastAsia="Arial" w:hAnsi="Arial"/>
          <w:vertAlign w:val="superscript"/>
        </w:rPr>
        <w:t>2</w:t>
      </w:r>
      <w:r>
        <w:rPr>
          <w:rFonts w:ascii="Arial" w:eastAsia="Arial" w:hAnsi="Arial"/>
        </w:rPr>
        <w:t>. If necessary, additional tests may include coliform bacteria, yeasts, moulds or selected indicator microorganisms relevant to dairy hygiene.</w:t>
      </w:r>
    </w:p>
    <w:p w14:paraId="5F34C839" w14:textId="77777777" w:rsidR="00887137" w:rsidRDefault="00887137" w:rsidP="00682106">
      <w:pPr>
        <w:jc w:val="both"/>
      </w:pPr>
      <w:r>
        <w:rPr>
          <w:rFonts w:ascii="Arial" w:eastAsia="Arial" w:hAnsi="Arial"/>
        </w:rPr>
        <w:t>The reduction efficiency may be calculated as:</w:t>
      </w:r>
    </w:p>
    <w:p w14:paraId="06F208CE" w14:textId="77777777" w:rsidR="00887137" w:rsidRDefault="00682106" w:rsidP="00682106">
      <w:pPr>
        <w:spacing w:before="80" w:after="80"/>
        <w:jc w:val="right"/>
      </w:pPr>
      <w:commentRangeStart w:id="18"/>
      <m:oMath>
        <m:r>
          <w:rPr>
            <w:rFonts w:ascii="Cambria Math" w:hAnsi="Cambria Math"/>
          </w:rPr>
          <m:t>R=</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-N</m:t>
            </m:r>
          </m:num>
          <m:den>
            <m:sSub>
              <m:sSubPr>
                <m:ctrlPr>
                  <w:rPr>
                    <w:rFonts w:ascii="Cambria Math" w:hAnsi="Cambria Math"/>
                    <w:i/>
                  </w:rPr>
                </m:ctrlPr>
              </m:sSubPr>
              <m:e>
                <m:r>
                  <w:rPr>
                    <w:rFonts w:ascii="Cambria Math" w:hAnsi="Cambria Math"/>
                  </w:rPr>
                  <m:t>N</m:t>
                </m:r>
              </m:e>
              <m:sub>
                <m:r>
                  <w:rPr>
                    <w:rFonts w:ascii="Cambria Math" w:hAnsi="Cambria Math"/>
                  </w:rPr>
                  <m:t>0</m:t>
                </m:r>
              </m:sub>
            </m:sSub>
          </m:den>
        </m:f>
        <m:r>
          <w:rPr>
            <w:rFonts w:ascii="Cambria Math" w:hAnsi="Cambria Math"/>
          </w:rPr>
          <m:t>∙100</m:t>
        </m:r>
      </m:oMath>
      <w:r w:rsidRPr="00B140F3">
        <w:t xml:space="preserve"> </w:t>
      </w:r>
      <w:r>
        <w:tab/>
      </w:r>
      <w:commentRangeEnd w:id="18"/>
      <w:r w:rsidR="00743616">
        <w:rPr>
          <w:rStyle w:val="CommentReference"/>
          <w:rFonts w:ascii="Times New Roman" w:hAnsi="Times New Roman"/>
          <w:lang w:val="nb-NO" w:eastAsia="nb-NO"/>
        </w:rPr>
        <w:commentReference w:id="18"/>
      </w:r>
      <w:r>
        <w:tab/>
      </w:r>
      <w:r>
        <w:tab/>
      </w:r>
      <w:r>
        <w:tab/>
      </w:r>
      <w:r>
        <w:tab/>
      </w:r>
      <w:r w:rsidR="00887137">
        <w:rPr>
          <w:rFonts w:ascii="Arial" w:eastAsia="Arial" w:hAnsi="Arial"/>
          <w:i/>
        </w:rPr>
        <w:t xml:space="preserve"> (5)</w:t>
      </w:r>
    </w:p>
    <w:p w14:paraId="0E486F00" w14:textId="77777777" w:rsidR="00887137" w:rsidRDefault="00085217" w:rsidP="00682106">
      <w:pPr>
        <w:jc w:val="both"/>
      </w:pPr>
      <w:r>
        <w:rPr>
          <w:rFonts w:ascii="Arial" w:eastAsia="Arial" w:hAnsi="Arial"/>
        </w:rPr>
        <w:t>wh</w:t>
      </w:r>
      <w:r w:rsidR="00887137">
        <w:rPr>
          <w:rFonts w:ascii="Arial" w:eastAsia="Arial" w:hAnsi="Arial"/>
        </w:rPr>
        <w:t xml:space="preserve">ere R is microbial reduction, %; </w:t>
      </w:r>
      <w:r w:rsidR="00887137" w:rsidRPr="00120220">
        <w:rPr>
          <w:rFonts w:ascii="Arial" w:eastAsia="Arial" w:hAnsi="Arial"/>
          <w:i/>
          <w:iCs/>
        </w:rPr>
        <w:t>N</w:t>
      </w:r>
      <w:r w:rsidR="00887137" w:rsidRPr="00120220">
        <w:rPr>
          <w:rFonts w:ascii="Arial" w:eastAsia="Arial" w:hAnsi="Arial"/>
          <w:i/>
          <w:iCs/>
          <w:vertAlign w:val="subscript"/>
        </w:rPr>
        <w:t>0</w:t>
      </w:r>
      <w:r w:rsidR="00887137">
        <w:rPr>
          <w:rFonts w:ascii="Arial" w:eastAsia="Arial" w:hAnsi="Arial"/>
        </w:rPr>
        <w:t xml:space="preserve"> is the initial microbial count before UV-C treatment, CFU/cm</w:t>
      </w:r>
      <w:r w:rsidR="00887137" w:rsidRPr="00682106">
        <w:rPr>
          <w:rFonts w:ascii="Arial" w:eastAsia="Arial" w:hAnsi="Arial"/>
          <w:vertAlign w:val="superscript"/>
        </w:rPr>
        <w:t>2</w:t>
      </w:r>
      <w:r w:rsidR="00887137">
        <w:rPr>
          <w:rFonts w:ascii="Arial" w:eastAsia="Arial" w:hAnsi="Arial"/>
        </w:rPr>
        <w:t xml:space="preserve">; and </w:t>
      </w:r>
      <w:r w:rsidR="00887137" w:rsidRPr="00120220">
        <w:rPr>
          <w:rFonts w:ascii="Arial" w:eastAsia="Arial" w:hAnsi="Arial"/>
          <w:i/>
          <w:iCs/>
        </w:rPr>
        <w:t xml:space="preserve">N </w:t>
      </w:r>
      <w:r w:rsidR="00887137">
        <w:rPr>
          <w:rFonts w:ascii="Arial" w:eastAsia="Arial" w:hAnsi="Arial"/>
        </w:rPr>
        <w:t>is the microbial count after UV-C treatment, CFU/cm</w:t>
      </w:r>
      <w:r w:rsidR="00887137" w:rsidRPr="00682106">
        <w:rPr>
          <w:rFonts w:ascii="Arial" w:eastAsia="Arial" w:hAnsi="Arial"/>
          <w:vertAlign w:val="superscript"/>
        </w:rPr>
        <w:t>2</w:t>
      </w:r>
      <w:r w:rsidR="00887137">
        <w:rPr>
          <w:rFonts w:ascii="Arial" w:eastAsia="Arial" w:hAnsi="Arial"/>
        </w:rPr>
        <w:t>.</w:t>
      </w:r>
    </w:p>
    <w:p w14:paraId="0BD71444" w14:textId="77777777" w:rsidR="00887137" w:rsidRDefault="00887137" w:rsidP="00682106">
      <w:pPr>
        <w:jc w:val="both"/>
      </w:pPr>
      <w:r>
        <w:rPr>
          <w:rFonts w:ascii="Arial" w:eastAsia="Arial" w:hAnsi="Arial"/>
        </w:rPr>
        <w:t>The logarithmic reduction may be calculated as:</w:t>
      </w:r>
    </w:p>
    <w:p w14:paraId="55313032" w14:textId="77777777" w:rsidR="00887137" w:rsidRDefault="00682106" w:rsidP="00682106">
      <w:pPr>
        <w:pStyle w:val="ListParagraph"/>
        <w:spacing w:before="80" w:after="80"/>
        <w:jc w:val="right"/>
      </w:pPr>
      <w:commentRangeStart w:id="19"/>
      <m:oMath>
        <m:r>
          <w:rPr>
            <w:rFonts w:ascii="Cambria Math" w:hAnsi="Cambria Math"/>
          </w:rPr>
          <m:t>LR=</m:t>
        </m:r>
        <m:sSub>
          <m:sSubPr>
            <m:ctrlPr>
              <w:rPr>
                <w:rFonts w:ascii="Cambria Math" w:hAnsi="Cambria Math"/>
                <w:i/>
              </w:rPr>
            </m:ctrlPr>
          </m:sSubPr>
          <m:e>
            <m:r>
              <w:rPr>
                <w:rFonts w:ascii="Cambria Math" w:hAnsi="Cambria Math"/>
              </w:rPr>
              <m:t>log</m:t>
            </m:r>
          </m:e>
          <m:sub>
            <m:r>
              <w:rPr>
                <w:rFonts w:ascii="Cambria Math" w:hAnsi="Cambria Math"/>
              </w:rPr>
              <m:t>10</m:t>
            </m:r>
          </m:sub>
        </m:sSub>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0</m:t>
                    </m:r>
                  </m:sub>
                </m:sSub>
              </m:num>
              <m:den>
                <m:r>
                  <w:rPr>
                    <w:rFonts w:ascii="Cambria Math" w:hAnsi="Cambria Math"/>
                  </w:rPr>
                  <m:t>N</m:t>
                </m:r>
              </m:den>
            </m:f>
          </m:e>
        </m:d>
      </m:oMath>
      <w:r w:rsidRPr="00B140F3">
        <w:t xml:space="preserve"> </w:t>
      </w:r>
      <w:r>
        <w:tab/>
      </w:r>
      <w:r>
        <w:tab/>
      </w:r>
      <w:commentRangeEnd w:id="19"/>
      <w:r w:rsidR="00743616">
        <w:rPr>
          <w:rStyle w:val="CommentReference"/>
          <w:rFonts w:ascii="Times New Roman" w:hAnsi="Times New Roman"/>
          <w:lang w:val="nb-NO" w:eastAsia="nb-NO"/>
        </w:rPr>
        <w:commentReference w:id="19"/>
      </w:r>
      <w:r>
        <w:tab/>
      </w:r>
      <w:r>
        <w:tab/>
      </w:r>
      <w:r>
        <w:tab/>
      </w:r>
      <w:r w:rsidR="00887137" w:rsidRPr="00682106">
        <w:rPr>
          <w:rFonts w:ascii="Arial" w:eastAsia="Arial" w:hAnsi="Arial"/>
          <w:i/>
        </w:rPr>
        <w:t xml:space="preserve"> (6)</w:t>
      </w:r>
    </w:p>
    <w:p w14:paraId="5B12D08B" w14:textId="77777777" w:rsidR="00887137" w:rsidRDefault="00085217" w:rsidP="00882233">
      <w:pPr>
        <w:jc w:val="both"/>
        <w:rPr>
          <w:rFonts w:ascii="Arial" w:eastAsia="Arial" w:hAnsi="Arial"/>
        </w:rPr>
      </w:pPr>
      <w:r>
        <w:rPr>
          <w:rFonts w:ascii="Arial" w:eastAsia="Arial" w:hAnsi="Arial"/>
        </w:rPr>
        <w:t>wh</w:t>
      </w:r>
      <w:r w:rsidR="00887137">
        <w:rPr>
          <w:rFonts w:ascii="Arial" w:eastAsia="Arial" w:hAnsi="Arial"/>
        </w:rPr>
        <w:t xml:space="preserve">ere </w:t>
      </w:r>
      <w:r w:rsidR="00887137" w:rsidRPr="00120220">
        <w:rPr>
          <w:rFonts w:ascii="Arial" w:eastAsia="Arial" w:hAnsi="Arial"/>
          <w:i/>
          <w:iCs/>
        </w:rPr>
        <w:t>LR</w:t>
      </w:r>
      <w:r w:rsidR="00887137">
        <w:rPr>
          <w:rFonts w:ascii="Arial" w:eastAsia="Arial" w:hAnsi="Arial"/>
        </w:rPr>
        <w:t xml:space="preserve"> is log reduction; </w:t>
      </w:r>
      <w:r w:rsidR="00887137" w:rsidRPr="00120220">
        <w:rPr>
          <w:rFonts w:ascii="Arial" w:eastAsia="Arial" w:hAnsi="Arial"/>
          <w:i/>
          <w:iCs/>
        </w:rPr>
        <w:t>N</w:t>
      </w:r>
      <w:r w:rsidR="00887137" w:rsidRPr="00120220">
        <w:rPr>
          <w:rFonts w:ascii="Arial" w:eastAsia="Arial" w:hAnsi="Arial"/>
          <w:i/>
          <w:iCs/>
          <w:vertAlign w:val="subscript"/>
        </w:rPr>
        <w:t>0</w:t>
      </w:r>
      <w:r w:rsidR="00887137">
        <w:rPr>
          <w:rFonts w:ascii="Arial" w:eastAsia="Arial" w:hAnsi="Arial"/>
        </w:rPr>
        <w:t xml:space="preserve"> is the initial microbial count before UV-C treatment, CFU/cm</w:t>
      </w:r>
      <w:r w:rsidR="00887137" w:rsidRPr="00682106">
        <w:rPr>
          <w:rFonts w:ascii="Arial" w:eastAsia="Arial" w:hAnsi="Arial"/>
          <w:vertAlign w:val="superscript"/>
        </w:rPr>
        <w:t>2</w:t>
      </w:r>
      <w:r w:rsidR="00887137">
        <w:rPr>
          <w:rFonts w:ascii="Arial" w:eastAsia="Arial" w:hAnsi="Arial"/>
        </w:rPr>
        <w:t xml:space="preserve">; and </w:t>
      </w:r>
      <w:r w:rsidR="00887137" w:rsidRPr="00120220">
        <w:rPr>
          <w:rFonts w:ascii="Arial" w:eastAsia="Arial" w:hAnsi="Arial"/>
          <w:i/>
          <w:iCs/>
        </w:rPr>
        <w:t>N</w:t>
      </w:r>
      <w:r w:rsidR="00887137">
        <w:rPr>
          <w:rFonts w:ascii="Arial" w:eastAsia="Arial" w:hAnsi="Arial"/>
        </w:rPr>
        <w:t xml:space="preserve"> is the microbial count after UV-C treatment, CFU/cm</w:t>
      </w:r>
      <w:r w:rsidR="00887137" w:rsidRPr="00682106">
        <w:rPr>
          <w:rFonts w:ascii="Arial" w:eastAsia="Arial" w:hAnsi="Arial"/>
          <w:vertAlign w:val="superscript"/>
        </w:rPr>
        <w:t>2</w:t>
      </w:r>
      <w:r w:rsidR="00887137">
        <w:rPr>
          <w:rFonts w:ascii="Arial" w:eastAsia="Arial" w:hAnsi="Arial"/>
        </w:rPr>
        <w:t>. This indicator is widely used to compare the effectiveness of disinfection methods.</w:t>
      </w:r>
    </w:p>
    <w:p w14:paraId="7BD7514A" w14:textId="77777777" w:rsidR="00882233" w:rsidRDefault="00882233" w:rsidP="00882233">
      <w:pPr>
        <w:jc w:val="both"/>
      </w:pPr>
    </w:p>
    <w:p w14:paraId="0E567A33" w14:textId="77777777" w:rsidR="00887137" w:rsidRPr="00CE1DDC" w:rsidRDefault="00887137" w:rsidP="00882233">
      <w:pPr>
        <w:jc w:val="both"/>
        <w:rPr>
          <w:rFonts w:ascii="Arial" w:eastAsia="Arial" w:hAnsi="Arial" w:cs="Arial"/>
          <w:b/>
          <w:sz w:val="22"/>
        </w:rPr>
      </w:pPr>
      <w:r>
        <w:rPr>
          <w:rFonts w:ascii="Arial" w:eastAsia="Arial" w:hAnsi="Arial"/>
          <w:b/>
          <w:sz w:val="22"/>
        </w:rPr>
        <w:t xml:space="preserve">2.7 </w:t>
      </w:r>
      <w:r w:rsidRPr="00CE1DDC">
        <w:rPr>
          <w:rFonts w:ascii="Arial" w:eastAsia="Arial" w:hAnsi="Arial" w:cs="Arial"/>
          <w:b/>
          <w:sz w:val="22"/>
        </w:rPr>
        <w:t>Safety Assessment</w:t>
      </w:r>
    </w:p>
    <w:p w14:paraId="269AA2D0" w14:textId="77777777" w:rsidR="00882233" w:rsidRPr="00CE1DDC" w:rsidRDefault="00882233" w:rsidP="00882233">
      <w:pPr>
        <w:jc w:val="both"/>
        <w:rPr>
          <w:rFonts w:ascii="Arial" w:hAnsi="Arial" w:cs="Arial"/>
        </w:rPr>
      </w:pPr>
    </w:p>
    <w:p w14:paraId="1564C674" w14:textId="77777777" w:rsidR="00887137" w:rsidRDefault="00887137" w:rsidP="00682106">
      <w:pPr>
        <w:jc w:val="both"/>
      </w:pPr>
      <w:r w:rsidRPr="00CE1DDC">
        <w:rPr>
          <w:rFonts w:ascii="Arial" w:eastAsia="Arial" w:hAnsi="Arial" w:cs="Arial"/>
        </w:rPr>
        <w:t>The</w:t>
      </w:r>
      <w:r>
        <w:rPr>
          <w:rFonts w:ascii="Arial" w:eastAsia="Arial" w:hAnsi="Arial"/>
        </w:rPr>
        <w:t xml:space="preserve"> safety assessment of the UBZTT-20 system was based on the need to prevent direct exposure of the operator to UV-C radiation. UV-C radiation can be hazardous to the eyes and skin; therefore, the unit should include technical and organizational safety measures. These include a timer, operation indicator, emergency shutdown, electrical insulation, moisture protection of connectors, overcurrent protection, reverse-polarity protection and an interlock preventing operation </w:t>
      </w:r>
      <w:r w:rsidR="00085217">
        <w:rPr>
          <w:rFonts w:ascii="Arial" w:eastAsia="Arial" w:hAnsi="Arial"/>
        </w:rPr>
        <w:t>wh</w:t>
      </w:r>
      <w:r>
        <w:rPr>
          <w:rFonts w:ascii="Arial" w:eastAsia="Arial" w:hAnsi="Arial"/>
        </w:rPr>
        <w:t xml:space="preserve">en the container is open or </w:t>
      </w:r>
      <w:r w:rsidR="00085217">
        <w:rPr>
          <w:rFonts w:ascii="Arial" w:eastAsia="Arial" w:hAnsi="Arial"/>
        </w:rPr>
        <w:t>wh</w:t>
      </w:r>
      <w:r>
        <w:rPr>
          <w:rFonts w:ascii="Arial" w:eastAsia="Arial" w:hAnsi="Arial"/>
        </w:rPr>
        <w:t>en the unit is not fixed in the correct working position.</w:t>
      </w:r>
    </w:p>
    <w:p w14:paraId="561E0F28" w14:textId="77777777" w:rsidR="00887137" w:rsidRDefault="00887137" w:rsidP="00882233">
      <w:pPr>
        <w:jc w:val="both"/>
        <w:rPr>
          <w:rFonts w:ascii="Arial" w:eastAsia="Arial" w:hAnsi="Arial"/>
        </w:rPr>
      </w:pPr>
      <w:r>
        <w:rPr>
          <w:rFonts w:ascii="Arial" w:eastAsia="Arial" w:hAnsi="Arial"/>
        </w:rPr>
        <w:t xml:space="preserve">The device should be integrated into sanitation standard operating procedures and food safety management practices. </w:t>
      </w:r>
      <w:commentRangeStart w:id="20"/>
      <w:r>
        <w:rPr>
          <w:rFonts w:ascii="Arial" w:eastAsia="Arial" w:hAnsi="Arial"/>
        </w:rPr>
        <w:t xml:space="preserve">ISO 22000 defines requirements </w:t>
      </w:r>
      <w:commentRangeEnd w:id="20"/>
      <w:r w:rsidR="00743616">
        <w:rPr>
          <w:rStyle w:val="CommentReference"/>
          <w:rFonts w:ascii="Times New Roman" w:hAnsi="Times New Roman"/>
          <w:lang w:val="nb-NO" w:eastAsia="nb-NO"/>
        </w:rPr>
        <w:commentReference w:id="20"/>
      </w:r>
      <w:r>
        <w:rPr>
          <w:rFonts w:ascii="Arial" w:eastAsia="Arial" w:hAnsi="Arial"/>
        </w:rPr>
        <w:t>for food safety management systems and is applicable to organizations in the food chain regardless of size or position in the chain.</w:t>
      </w:r>
    </w:p>
    <w:p w14:paraId="5A384227" w14:textId="77777777" w:rsidR="00882233" w:rsidRDefault="00882233" w:rsidP="00882233">
      <w:pPr>
        <w:jc w:val="both"/>
      </w:pPr>
    </w:p>
    <w:p w14:paraId="3B4EBD17" w14:textId="77777777" w:rsidR="00887137" w:rsidRPr="00CE1DDC" w:rsidRDefault="00887137" w:rsidP="00882233">
      <w:pPr>
        <w:jc w:val="both"/>
        <w:rPr>
          <w:rFonts w:ascii="Arial" w:eastAsia="Arial" w:hAnsi="Arial" w:cs="Arial"/>
          <w:b/>
          <w:sz w:val="22"/>
        </w:rPr>
      </w:pPr>
      <w:r>
        <w:rPr>
          <w:rFonts w:ascii="Arial" w:eastAsia="Arial" w:hAnsi="Arial"/>
          <w:b/>
          <w:sz w:val="22"/>
        </w:rPr>
        <w:t>2.</w:t>
      </w:r>
      <w:r w:rsidRPr="00CE1DDC">
        <w:rPr>
          <w:rFonts w:ascii="Arial" w:eastAsia="Arial" w:hAnsi="Arial" w:cs="Arial"/>
          <w:b/>
          <w:sz w:val="22"/>
        </w:rPr>
        <w:t>8 Experimental Validation Plan</w:t>
      </w:r>
    </w:p>
    <w:p w14:paraId="56B8FCE9" w14:textId="77777777" w:rsidR="00882233" w:rsidRPr="00CE1DDC" w:rsidRDefault="00882233" w:rsidP="00882233">
      <w:pPr>
        <w:jc w:val="both"/>
        <w:rPr>
          <w:rFonts w:ascii="Arial" w:hAnsi="Arial" w:cs="Arial"/>
        </w:rPr>
      </w:pPr>
    </w:p>
    <w:p w14:paraId="11CB6385" w14:textId="77777777" w:rsidR="00887137" w:rsidRDefault="00887137" w:rsidP="00682106">
      <w:pPr>
        <w:jc w:val="both"/>
      </w:pPr>
      <w:r w:rsidRPr="00CE1DDC">
        <w:rPr>
          <w:rFonts w:ascii="Arial" w:eastAsia="Arial" w:hAnsi="Arial" w:cs="Arial"/>
        </w:rPr>
        <w:t>Since the present article focuses on the engineering development and substantiation of the UBZTT</w:t>
      </w:r>
      <w:r>
        <w:rPr>
          <w:rFonts w:ascii="Arial" w:eastAsia="Arial" w:hAnsi="Arial"/>
        </w:rPr>
        <w:t>-20 prototype, microbiological validation should be considered as the next stage of the research. The proposed validation procedure includes comparative surface swab testing before washing, after washing and after UV-C treatment at different exposure times. Such testing will allow determination of the additional bactericidal effect provided specifically by the UV-C finishing stage.</w:t>
      </w:r>
    </w:p>
    <w:p w14:paraId="42B595DF" w14:textId="77777777" w:rsidR="00882233" w:rsidRDefault="00882233" w:rsidP="00441B6F">
      <w:pPr>
        <w:pStyle w:val="Head1"/>
        <w:spacing w:after="0"/>
        <w:jc w:val="both"/>
        <w:rPr>
          <w:rFonts w:ascii="Arial" w:hAnsi="Arial" w:cs="Arial"/>
        </w:rPr>
      </w:pPr>
    </w:p>
    <w:p w14:paraId="4B435A76"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71F24186" w14:textId="77777777" w:rsidR="00790ADA" w:rsidRPr="00FB3A86" w:rsidRDefault="00790ADA" w:rsidP="00441B6F">
      <w:pPr>
        <w:pStyle w:val="Head1"/>
        <w:spacing w:after="0"/>
        <w:jc w:val="both"/>
        <w:rPr>
          <w:rFonts w:ascii="Arial" w:hAnsi="Arial" w:cs="Arial"/>
        </w:rPr>
      </w:pPr>
    </w:p>
    <w:p w14:paraId="75C897A7" w14:textId="77777777" w:rsidR="00B478A6" w:rsidRDefault="00B478A6" w:rsidP="00B478A6">
      <w:pPr>
        <w:pStyle w:val="Heading2"/>
        <w:spacing w:before="0" w:line="288" w:lineRule="auto"/>
        <w:jc w:val="both"/>
        <w:rPr>
          <w:rFonts w:ascii="Arial" w:hAnsi="Arial" w:cs="Arial"/>
          <w:b/>
          <w:bCs/>
          <w:color w:val="auto"/>
          <w:sz w:val="22"/>
          <w:szCs w:val="22"/>
          <w:lang w:val="en-GB"/>
        </w:rPr>
      </w:pPr>
      <w:r w:rsidRPr="00B478A6">
        <w:rPr>
          <w:rFonts w:ascii="Arial" w:hAnsi="Arial" w:cs="Arial"/>
          <w:b/>
          <w:bCs/>
          <w:color w:val="auto"/>
          <w:sz w:val="22"/>
          <w:szCs w:val="22"/>
        </w:rPr>
        <w:t xml:space="preserve">3.1 </w:t>
      </w:r>
      <w:r w:rsidRPr="00B478A6">
        <w:rPr>
          <w:rFonts w:ascii="Arial" w:hAnsi="Arial" w:cs="Arial"/>
          <w:b/>
          <w:bCs/>
          <w:color w:val="auto"/>
          <w:sz w:val="22"/>
          <w:szCs w:val="22"/>
          <w:lang w:val="en-GB"/>
        </w:rPr>
        <w:t>Design concept of the UBZTT-20 unit</w:t>
      </w:r>
    </w:p>
    <w:p w14:paraId="2B6EEA1D" w14:textId="77777777" w:rsidR="00882233" w:rsidRPr="00882233" w:rsidRDefault="00882233" w:rsidP="00882233">
      <w:pPr>
        <w:rPr>
          <w:lang w:val="en-GB"/>
        </w:rPr>
      </w:pPr>
    </w:p>
    <w:p w14:paraId="59182B88" w14:textId="77777777" w:rsidR="00CE1DDC" w:rsidRPr="00CE1DDC" w:rsidRDefault="00CE1DDC" w:rsidP="00661ED9">
      <w:pPr>
        <w:jc w:val="both"/>
        <w:rPr>
          <w:rFonts w:ascii="Arial" w:hAnsi="Arial" w:cs="Arial"/>
          <w:lang w:eastAsia="uk-UA"/>
        </w:rPr>
      </w:pPr>
      <w:r w:rsidRPr="00CE1DDC">
        <w:rPr>
          <w:rFonts w:ascii="Arial" w:hAnsi="Arial" w:cs="Arial"/>
          <w:lang w:eastAsia="uk-UA"/>
        </w:rPr>
        <w:t xml:space="preserve">A prototype unit for bactericidal sanitation of transport containers, designated UBZTT-20, was developed for use in the food industry during the transportation of milk and dairy products. The device is intended to reduce residual microbial contamination of milk-transport containers </w:t>
      </w:r>
      <w:r w:rsidRPr="00CE1DDC">
        <w:rPr>
          <w:rFonts w:ascii="Arial" w:hAnsi="Arial" w:cs="Arial"/>
          <w:lang w:eastAsia="uk-UA"/>
        </w:rPr>
        <w:lastRenderedPageBreak/>
        <w:t>after routine washing and before filling. This is important because microorganisms may remain on internal surfaces, in joints, seals, scratches, and poorly drained areas of containers. These residual contamination sources can contribute to secondary microbial contamination of milk and may accelerate the increase in acidity during transportation and short-term storage.</w:t>
      </w:r>
    </w:p>
    <w:p w14:paraId="0F4AE7D0" w14:textId="77777777" w:rsidR="00CE1DDC" w:rsidRPr="00CE1DDC" w:rsidRDefault="00CE1DDC" w:rsidP="00661ED9">
      <w:pPr>
        <w:jc w:val="both"/>
        <w:rPr>
          <w:rFonts w:ascii="Arial" w:hAnsi="Arial" w:cs="Arial"/>
          <w:lang w:eastAsia="uk-UA"/>
        </w:rPr>
      </w:pPr>
      <w:r w:rsidRPr="00CE1DDC">
        <w:rPr>
          <w:rFonts w:ascii="Arial" w:hAnsi="Arial" w:cs="Arial"/>
          <w:lang w:eastAsia="uk-UA"/>
        </w:rPr>
        <w:t>The UBZTT-20 unit is a compact mobile electrotechnical device designed for finishing UV-C sanitation of the internal air volume and accessible inner surfaces of transport containers. According to the prototype specification, the recommended treated volume is up to 5 m³, the overall dimensions are 550 × 160 × 160 mm, the mass is 3 kg, and the installed electrical power is 20 W. The unit can be powered from a low-voltage 12 V or 24 V DC source. At the installed electrical power of 20 W, the estimated current consumption is approximately 1.67 A at 12 V and 0.83 A at 24 V. This low-voltage supply option increases the mobility of the system and allows its use in stationary food-processing facilities, farms, milk-collection points, and transport conditions where a standard industrial power supply may not be available.</w:t>
      </w:r>
    </w:p>
    <w:p w14:paraId="47ABBD27" w14:textId="77777777" w:rsidR="00CE1DDC" w:rsidRPr="00CE1DDC" w:rsidRDefault="00CE1DDC" w:rsidP="00661ED9">
      <w:pPr>
        <w:jc w:val="both"/>
        <w:rPr>
          <w:rFonts w:ascii="Arial" w:hAnsi="Arial" w:cs="Arial"/>
          <w:lang w:eastAsia="uk-UA"/>
        </w:rPr>
      </w:pPr>
      <w:r w:rsidRPr="00CE1DDC">
        <w:rPr>
          <w:rFonts w:ascii="Arial" w:hAnsi="Arial" w:cs="Arial"/>
          <w:lang w:eastAsia="uk-UA"/>
        </w:rPr>
        <w:t>The general view of the developed prototype is shown in Fig. 1. The device has an elongated configuration that enables its placement inside milk cans, tanks, or other transport containers, provided that the UV-C source is positioned without direct contact with the product. Such a design makes it possible to irradiate the accessible internal volume and open inner surfaces of the container after washing and draining.</w:t>
      </w:r>
    </w:p>
    <w:p w14:paraId="2284498D" w14:textId="77777777" w:rsidR="00CE1DDC" w:rsidRPr="00B478A6" w:rsidRDefault="00CE1DDC" w:rsidP="00B478A6">
      <w:pPr>
        <w:pStyle w:val="NormalWeb"/>
        <w:spacing w:before="0" w:beforeAutospacing="0" w:after="0" w:afterAutospacing="0" w:line="288" w:lineRule="auto"/>
        <w:jc w:val="both"/>
        <w:rPr>
          <w:rFonts w:ascii="Arial" w:hAnsi="Arial" w:cs="Arial"/>
          <w:sz w:val="20"/>
          <w:szCs w:val="20"/>
          <w:lang w:val="en-GB"/>
        </w:rPr>
      </w:pPr>
    </w:p>
    <w:p w14:paraId="48066B88" w14:textId="77777777" w:rsidR="00B478A6" w:rsidRPr="00B478A6" w:rsidRDefault="00B478A6" w:rsidP="00B478A6">
      <w:pPr>
        <w:pStyle w:val="NormalWeb"/>
        <w:spacing w:before="0" w:beforeAutospacing="0" w:after="0" w:afterAutospacing="0" w:line="288" w:lineRule="auto"/>
        <w:ind w:firstLine="720"/>
        <w:jc w:val="center"/>
        <w:rPr>
          <w:rFonts w:ascii="Arial" w:hAnsi="Arial" w:cs="Arial"/>
          <w:sz w:val="20"/>
          <w:szCs w:val="20"/>
          <w:lang w:val="en-GB"/>
        </w:rPr>
      </w:pPr>
      <w:commentRangeStart w:id="21"/>
      <w:r w:rsidRPr="00B478A6">
        <w:rPr>
          <w:rFonts w:ascii="Arial" w:hAnsi="Arial" w:cs="Arial"/>
          <w:noProof/>
          <w:sz w:val="20"/>
          <w:szCs w:val="20"/>
          <w:lang w:val="en-GB"/>
        </w:rPr>
        <w:drawing>
          <wp:inline distT="0" distB="0" distL="0" distR="0" wp14:anchorId="012B9D30" wp14:editId="0139D843">
            <wp:extent cx="1817605" cy="25380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62510" cy="2600800"/>
                    </a:xfrm>
                    <a:prstGeom prst="rect">
                      <a:avLst/>
                    </a:prstGeom>
                    <a:noFill/>
                    <a:ln>
                      <a:noFill/>
                    </a:ln>
                  </pic:spPr>
                </pic:pic>
              </a:graphicData>
            </a:graphic>
          </wp:inline>
        </w:drawing>
      </w:r>
      <w:commentRangeEnd w:id="21"/>
      <w:r w:rsidR="00743616">
        <w:rPr>
          <w:rStyle w:val="CommentReference"/>
          <w:lang w:val="nb-NO" w:eastAsia="nb-NO"/>
        </w:rPr>
        <w:commentReference w:id="21"/>
      </w:r>
    </w:p>
    <w:p w14:paraId="39581AEC" w14:textId="77777777" w:rsidR="00586F9A" w:rsidRDefault="00586F9A" w:rsidP="00B478A6">
      <w:pPr>
        <w:pStyle w:val="NormalWeb"/>
        <w:spacing w:before="0" w:beforeAutospacing="0" w:after="0" w:afterAutospacing="0" w:line="288" w:lineRule="auto"/>
        <w:jc w:val="center"/>
        <w:rPr>
          <w:rStyle w:val="Strong"/>
          <w:rFonts w:ascii="Arial" w:hAnsi="Arial" w:cs="Arial"/>
          <w:b w:val="0"/>
          <w:bCs w:val="0"/>
          <w:sz w:val="20"/>
          <w:szCs w:val="20"/>
          <w:lang w:val="en-GB"/>
        </w:rPr>
      </w:pPr>
    </w:p>
    <w:p w14:paraId="040D9366" w14:textId="77777777" w:rsidR="00B478A6" w:rsidRDefault="00B478A6" w:rsidP="00B478A6">
      <w:pPr>
        <w:pStyle w:val="NormalWeb"/>
        <w:spacing w:before="0" w:beforeAutospacing="0" w:after="0" w:afterAutospacing="0" w:line="288" w:lineRule="auto"/>
        <w:jc w:val="center"/>
        <w:rPr>
          <w:rStyle w:val="Strong"/>
          <w:rFonts w:ascii="Arial" w:hAnsi="Arial" w:cs="Arial"/>
          <w:b w:val="0"/>
          <w:bCs w:val="0"/>
          <w:sz w:val="20"/>
          <w:szCs w:val="20"/>
          <w:lang w:val="en-GB"/>
        </w:rPr>
      </w:pPr>
      <w:r w:rsidRPr="00B478A6">
        <w:rPr>
          <w:rStyle w:val="Strong"/>
          <w:rFonts w:ascii="Arial" w:hAnsi="Arial" w:cs="Arial"/>
          <w:b w:val="0"/>
          <w:bCs w:val="0"/>
          <w:sz w:val="20"/>
          <w:szCs w:val="20"/>
          <w:lang w:val="en-GB"/>
        </w:rPr>
        <w:t>Fig. 1. General view of the UBZTT-20 bactericidal sanitation unit for transport containers.</w:t>
      </w:r>
    </w:p>
    <w:p w14:paraId="17DC645B" w14:textId="77777777" w:rsidR="00661ED9" w:rsidRDefault="00661ED9" w:rsidP="00B478A6">
      <w:pPr>
        <w:pStyle w:val="NormalWeb"/>
        <w:spacing w:before="0" w:beforeAutospacing="0" w:after="0" w:afterAutospacing="0" w:line="288" w:lineRule="auto"/>
        <w:jc w:val="center"/>
        <w:rPr>
          <w:rStyle w:val="Strong"/>
          <w:rFonts w:ascii="Arial" w:hAnsi="Arial" w:cs="Arial"/>
          <w:b w:val="0"/>
          <w:bCs w:val="0"/>
          <w:sz w:val="20"/>
          <w:szCs w:val="20"/>
          <w:lang w:val="en-GB"/>
        </w:rPr>
      </w:pPr>
    </w:p>
    <w:p w14:paraId="7D02C8A7" w14:textId="77777777" w:rsidR="00661ED9" w:rsidRPr="00CE1DDC" w:rsidRDefault="00661ED9" w:rsidP="00661ED9">
      <w:pPr>
        <w:jc w:val="both"/>
        <w:rPr>
          <w:rFonts w:ascii="Arial" w:hAnsi="Arial" w:cs="Arial"/>
          <w:lang w:eastAsia="uk-UA"/>
        </w:rPr>
      </w:pPr>
      <w:r w:rsidRPr="00CE1DDC">
        <w:rPr>
          <w:rFonts w:ascii="Arial" w:hAnsi="Arial" w:cs="Arial"/>
          <w:lang w:eastAsia="uk-UA"/>
        </w:rPr>
        <w:t>The constructive and electrical-functional arrangement of the UBZTT-20 unit is presented in Scheme 1. The scheme reflects the main components of the system, including the UV-C bactericidal source, protective quartz sleeve, carrier frame, low-voltage power-supply unit, control elements, timer, operation indicator, and safety interlock. The proposed arrangement is aimed at ensuring stable exposure conditions, reproducible positioning of the UV-C source, and safe operation during sanitation cycles.</w:t>
      </w:r>
    </w:p>
    <w:p w14:paraId="6ED8A773" w14:textId="77777777" w:rsidR="00661ED9" w:rsidRPr="00661ED9" w:rsidRDefault="00661ED9" w:rsidP="00B478A6">
      <w:pPr>
        <w:pStyle w:val="NormalWeb"/>
        <w:spacing w:before="0" w:beforeAutospacing="0" w:after="0" w:afterAutospacing="0" w:line="288" w:lineRule="auto"/>
        <w:jc w:val="center"/>
        <w:rPr>
          <w:rStyle w:val="Strong"/>
          <w:rFonts w:ascii="Arial" w:hAnsi="Arial" w:cs="Arial"/>
          <w:b w:val="0"/>
          <w:bCs w:val="0"/>
          <w:sz w:val="20"/>
          <w:szCs w:val="20"/>
          <w:lang w:val="en-US"/>
        </w:rPr>
      </w:pPr>
    </w:p>
    <w:p w14:paraId="089CDF7E" w14:textId="77777777" w:rsidR="00790ADA" w:rsidRPr="00B478A6" w:rsidRDefault="00620466" w:rsidP="00620466">
      <w:pPr>
        <w:pStyle w:val="Body"/>
        <w:spacing w:after="0"/>
        <w:jc w:val="center"/>
        <w:rPr>
          <w:rFonts w:ascii="Arial" w:hAnsi="Arial" w:cs="Arial"/>
          <w:lang w:val="en-GB"/>
        </w:rPr>
      </w:pPr>
      <w:r>
        <w:rPr>
          <w:rStyle w:val="Strong"/>
          <w:noProof/>
          <w:lang w:val="en-GB"/>
        </w:rPr>
        <w:lastRenderedPageBreak/>
        <w:drawing>
          <wp:inline distT="0" distB="0" distL="0" distR="0" wp14:anchorId="4E972721" wp14:editId="17C4ED9D">
            <wp:extent cx="4526544" cy="3114136"/>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57801" cy="3135640"/>
                    </a:xfrm>
                    <a:prstGeom prst="rect">
                      <a:avLst/>
                    </a:prstGeom>
                    <a:noFill/>
                    <a:ln>
                      <a:noFill/>
                    </a:ln>
                  </pic:spPr>
                </pic:pic>
              </a:graphicData>
            </a:graphic>
          </wp:inline>
        </w:drawing>
      </w:r>
    </w:p>
    <w:p w14:paraId="053689DE" w14:textId="77777777" w:rsidR="00620466" w:rsidRDefault="00620466" w:rsidP="00441B6F">
      <w:pPr>
        <w:tabs>
          <w:tab w:val="left" w:pos="1080"/>
        </w:tabs>
        <w:jc w:val="both"/>
        <w:rPr>
          <w:rFonts w:ascii="Arial" w:hAnsi="Arial"/>
          <w:b/>
        </w:rPr>
      </w:pPr>
    </w:p>
    <w:p w14:paraId="1853B9C1" w14:textId="77777777" w:rsidR="00620466" w:rsidRPr="00F2299C" w:rsidRDefault="00620466" w:rsidP="00586F9A">
      <w:pPr>
        <w:pStyle w:val="NormalWeb"/>
        <w:spacing w:before="0" w:beforeAutospacing="0" w:after="0" w:afterAutospacing="0" w:line="288" w:lineRule="auto"/>
        <w:jc w:val="center"/>
        <w:rPr>
          <w:rStyle w:val="Strong"/>
          <w:rFonts w:ascii="Arial" w:hAnsi="Arial" w:cs="Arial"/>
          <w:b w:val="0"/>
          <w:bCs w:val="0"/>
          <w:sz w:val="20"/>
          <w:szCs w:val="20"/>
          <w:lang w:val="en-GB"/>
        </w:rPr>
      </w:pPr>
      <w:r w:rsidRPr="00F2299C">
        <w:rPr>
          <w:rStyle w:val="Strong"/>
          <w:rFonts w:ascii="Arial" w:hAnsi="Arial" w:cs="Arial"/>
          <w:b w:val="0"/>
          <w:bCs w:val="0"/>
          <w:sz w:val="20"/>
          <w:szCs w:val="20"/>
          <w:lang w:val="en-GB"/>
        </w:rPr>
        <w:t>Scheme 1. Constructive and electrical-functional scheme of the UBZTT-20 unit</w:t>
      </w:r>
    </w:p>
    <w:p w14:paraId="5F09EC1D" w14:textId="77777777" w:rsidR="00F2299C" w:rsidRPr="00620466" w:rsidRDefault="00F2299C" w:rsidP="00586F9A">
      <w:pPr>
        <w:pStyle w:val="NormalWeb"/>
        <w:spacing w:before="0" w:beforeAutospacing="0" w:after="0" w:afterAutospacing="0" w:line="288" w:lineRule="auto"/>
        <w:jc w:val="center"/>
        <w:rPr>
          <w:rStyle w:val="Strong"/>
          <w:b w:val="0"/>
          <w:bCs w:val="0"/>
          <w:lang w:val="en-GB"/>
        </w:rPr>
      </w:pPr>
    </w:p>
    <w:p w14:paraId="1AB40DEC" w14:textId="77777777" w:rsidR="00620466" w:rsidRPr="00620466" w:rsidRDefault="00620466" w:rsidP="00586F9A">
      <w:pPr>
        <w:pStyle w:val="NormalWeb"/>
        <w:spacing w:before="0" w:beforeAutospacing="0" w:after="0" w:afterAutospacing="0" w:line="288" w:lineRule="auto"/>
        <w:jc w:val="both"/>
        <w:rPr>
          <w:rFonts w:ascii="Arial" w:hAnsi="Arial" w:cs="Arial"/>
          <w:sz w:val="20"/>
          <w:szCs w:val="20"/>
          <w:lang w:val="en-GB"/>
        </w:rPr>
      </w:pPr>
      <w:r w:rsidRPr="00620466">
        <w:rPr>
          <w:rFonts w:ascii="Arial" w:hAnsi="Arial" w:cs="Arial"/>
          <w:sz w:val="20"/>
          <w:szCs w:val="20"/>
          <w:lang w:val="en-GB"/>
        </w:rPr>
        <w:t>The principal technical characteristics of the prototype are summarized in Table 1.</w:t>
      </w:r>
    </w:p>
    <w:p w14:paraId="0886D41B" w14:textId="77777777" w:rsidR="00620466" w:rsidRPr="00620466" w:rsidRDefault="00620466" w:rsidP="00620466">
      <w:pPr>
        <w:spacing w:line="288" w:lineRule="auto"/>
        <w:ind w:firstLine="720"/>
        <w:jc w:val="both"/>
        <w:rPr>
          <w:rFonts w:ascii="Arial" w:hAnsi="Arial" w:cs="Arial"/>
          <w:lang w:val="en-GB"/>
        </w:rPr>
      </w:pPr>
    </w:p>
    <w:p w14:paraId="3783BA38" w14:textId="77777777" w:rsidR="00620466" w:rsidRDefault="00620466" w:rsidP="00620466">
      <w:pPr>
        <w:pStyle w:val="NormalWeb"/>
        <w:spacing w:before="0" w:beforeAutospacing="0" w:after="0" w:afterAutospacing="0" w:line="288" w:lineRule="auto"/>
        <w:jc w:val="both"/>
        <w:rPr>
          <w:rStyle w:val="Strong"/>
          <w:rFonts w:ascii="Arial" w:hAnsi="Arial" w:cs="Arial"/>
          <w:sz w:val="20"/>
          <w:szCs w:val="20"/>
          <w:lang w:val="en-GB"/>
        </w:rPr>
      </w:pPr>
      <w:r w:rsidRPr="00620466">
        <w:rPr>
          <w:rFonts w:ascii="Arial" w:hAnsi="Arial"/>
          <w:b/>
          <w:sz w:val="20"/>
          <w:szCs w:val="20"/>
        </w:rPr>
        <w:t>Table 1.</w:t>
      </w:r>
      <w:r w:rsidR="00864054">
        <w:rPr>
          <w:rFonts w:ascii="Arial" w:hAnsi="Arial"/>
          <w:b/>
          <w:sz w:val="20"/>
          <w:szCs w:val="20"/>
        </w:rPr>
        <w:t xml:space="preserve"> </w:t>
      </w:r>
      <w:r w:rsidRPr="00620466">
        <w:rPr>
          <w:rStyle w:val="Strong"/>
          <w:rFonts w:ascii="Arial" w:hAnsi="Arial" w:cs="Arial"/>
          <w:sz w:val="20"/>
          <w:szCs w:val="20"/>
          <w:lang w:val="en-GB"/>
        </w:rPr>
        <w:t>Technical characteristics of the UBZTT-20 unit</w:t>
      </w:r>
    </w:p>
    <w:p w14:paraId="538BC8D7" w14:textId="77777777" w:rsidR="00ED39DB" w:rsidRPr="00620466" w:rsidRDefault="00ED39DB" w:rsidP="00620466">
      <w:pPr>
        <w:pStyle w:val="NormalWeb"/>
        <w:spacing w:before="0" w:beforeAutospacing="0" w:after="0" w:afterAutospacing="0" w:line="288" w:lineRule="auto"/>
        <w:jc w:val="both"/>
        <w:rPr>
          <w:rStyle w:val="Strong"/>
          <w:rFonts w:ascii="Arial" w:hAnsi="Arial" w:cs="Arial"/>
          <w:b w:val="0"/>
          <w:bCs w:val="0"/>
          <w:sz w:val="20"/>
          <w:szCs w:val="20"/>
          <w:lang w:val="en-GB"/>
        </w:rPr>
      </w:pPr>
    </w:p>
    <w:tbl>
      <w:tblPr>
        <w:tblStyle w:val="TableGrid"/>
        <w:tblW w:w="0" w:type="auto"/>
        <w:tblLook w:val="04A0" w:firstRow="1" w:lastRow="0" w:firstColumn="1" w:lastColumn="0" w:noHBand="0" w:noVBand="1"/>
      </w:tblPr>
      <w:tblGrid>
        <w:gridCol w:w="4114"/>
        <w:gridCol w:w="4094"/>
      </w:tblGrid>
      <w:tr w:rsidR="00620466" w:rsidRPr="00620466" w14:paraId="3A1350A6" w14:textId="77777777" w:rsidTr="00620466">
        <w:tc>
          <w:tcPr>
            <w:tcW w:w="4701" w:type="dxa"/>
            <w:tcBorders>
              <w:top w:val="single" w:sz="4" w:space="0" w:color="auto"/>
              <w:left w:val="nil"/>
              <w:bottom w:val="single" w:sz="4" w:space="0" w:color="000000"/>
              <w:right w:val="nil"/>
            </w:tcBorders>
            <w:vAlign w:val="center"/>
          </w:tcPr>
          <w:p w14:paraId="34A4B96C" w14:textId="77777777" w:rsidR="00620466" w:rsidRPr="00ED39DB" w:rsidRDefault="00620466" w:rsidP="00620466">
            <w:pPr>
              <w:rPr>
                <w:rFonts w:ascii="Arial" w:hAnsi="Arial" w:cs="Arial"/>
                <w:b/>
                <w:bCs/>
                <w:sz w:val="20"/>
                <w:szCs w:val="20"/>
                <w:lang w:val="en-GB"/>
              </w:rPr>
            </w:pPr>
            <w:r w:rsidRPr="00ED39DB">
              <w:rPr>
                <w:rFonts w:ascii="Arial" w:hAnsi="Arial" w:cs="Arial"/>
                <w:b/>
                <w:bCs/>
                <w:sz w:val="20"/>
                <w:szCs w:val="20"/>
                <w:lang w:val="en-GB"/>
              </w:rPr>
              <w:t>Parameter</w:t>
            </w:r>
          </w:p>
        </w:tc>
        <w:tc>
          <w:tcPr>
            <w:tcW w:w="4701" w:type="dxa"/>
            <w:tcBorders>
              <w:top w:val="single" w:sz="4" w:space="0" w:color="auto"/>
              <w:left w:val="nil"/>
              <w:bottom w:val="single" w:sz="4" w:space="0" w:color="000000"/>
              <w:right w:val="nil"/>
            </w:tcBorders>
            <w:vAlign w:val="center"/>
          </w:tcPr>
          <w:p w14:paraId="2E6A2B7E" w14:textId="77777777" w:rsidR="00620466" w:rsidRPr="00ED39DB" w:rsidRDefault="00620466" w:rsidP="00620466">
            <w:pPr>
              <w:rPr>
                <w:rFonts w:ascii="Arial" w:hAnsi="Arial" w:cs="Arial"/>
                <w:b/>
                <w:bCs/>
                <w:sz w:val="20"/>
                <w:szCs w:val="20"/>
                <w:lang w:val="en-GB"/>
              </w:rPr>
            </w:pPr>
            <w:r w:rsidRPr="00ED39DB">
              <w:rPr>
                <w:rFonts w:ascii="Arial" w:hAnsi="Arial" w:cs="Arial"/>
                <w:b/>
                <w:bCs/>
                <w:sz w:val="20"/>
                <w:szCs w:val="20"/>
                <w:lang w:val="en-GB"/>
              </w:rPr>
              <w:t>Value</w:t>
            </w:r>
          </w:p>
        </w:tc>
      </w:tr>
      <w:tr w:rsidR="00620466" w:rsidRPr="00620466" w14:paraId="6C19FDB2" w14:textId="77777777" w:rsidTr="00620466">
        <w:tc>
          <w:tcPr>
            <w:tcW w:w="4701" w:type="dxa"/>
            <w:tcBorders>
              <w:left w:val="nil"/>
              <w:bottom w:val="nil"/>
              <w:right w:val="nil"/>
            </w:tcBorders>
            <w:vAlign w:val="center"/>
          </w:tcPr>
          <w:p w14:paraId="1209BBE9"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Type designation</w:t>
            </w:r>
          </w:p>
        </w:tc>
        <w:tc>
          <w:tcPr>
            <w:tcW w:w="4701" w:type="dxa"/>
            <w:tcBorders>
              <w:left w:val="nil"/>
              <w:bottom w:val="nil"/>
              <w:right w:val="nil"/>
            </w:tcBorders>
            <w:vAlign w:val="center"/>
          </w:tcPr>
          <w:p w14:paraId="1A7A97B0"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UBZTT-20</w:t>
            </w:r>
          </w:p>
        </w:tc>
      </w:tr>
      <w:tr w:rsidR="00620466" w:rsidRPr="00620466" w14:paraId="4F255CC7" w14:textId="77777777" w:rsidTr="00620466">
        <w:tc>
          <w:tcPr>
            <w:tcW w:w="4701" w:type="dxa"/>
            <w:tcBorders>
              <w:top w:val="nil"/>
              <w:left w:val="nil"/>
              <w:bottom w:val="nil"/>
              <w:right w:val="nil"/>
            </w:tcBorders>
            <w:vAlign w:val="center"/>
          </w:tcPr>
          <w:p w14:paraId="3C268FCC"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Functional purpose</w:t>
            </w:r>
          </w:p>
        </w:tc>
        <w:tc>
          <w:tcPr>
            <w:tcW w:w="4701" w:type="dxa"/>
            <w:tcBorders>
              <w:top w:val="nil"/>
              <w:left w:val="nil"/>
              <w:bottom w:val="nil"/>
              <w:right w:val="nil"/>
            </w:tcBorders>
            <w:vAlign w:val="center"/>
          </w:tcPr>
          <w:p w14:paraId="2E6761F2"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Bactericidal sanitation of transport containers</w:t>
            </w:r>
          </w:p>
        </w:tc>
      </w:tr>
      <w:tr w:rsidR="00620466" w:rsidRPr="00620466" w14:paraId="42EE3ED8" w14:textId="77777777" w:rsidTr="00620466">
        <w:tc>
          <w:tcPr>
            <w:tcW w:w="4701" w:type="dxa"/>
            <w:tcBorders>
              <w:top w:val="nil"/>
              <w:left w:val="nil"/>
              <w:bottom w:val="nil"/>
              <w:right w:val="nil"/>
            </w:tcBorders>
            <w:vAlign w:val="center"/>
          </w:tcPr>
          <w:p w14:paraId="67650C4B"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Recommended treated volume</w:t>
            </w:r>
          </w:p>
        </w:tc>
        <w:tc>
          <w:tcPr>
            <w:tcW w:w="4701" w:type="dxa"/>
            <w:tcBorders>
              <w:top w:val="nil"/>
              <w:left w:val="nil"/>
              <w:bottom w:val="nil"/>
              <w:right w:val="nil"/>
            </w:tcBorders>
            <w:vAlign w:val="center"/>
          </w:tcPr>
          <w:p w14:paraId="2A957675"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up to 5 m³</w:t>
            </w:r>
          </w:p>
        </w:tc>
      </w:tr>
      <w:tr w:rsidR="00620466" w:rsidRPr="00620466" w14:paraId="2DAAF944" w14:textId="77777777" w:rsidTr="00620466">
        <w:tc>
          <w:tcPr>
            <w:tcW w:w="4701" w:type="dxa"/>
            <w:tcBorders>
              <w:top w:val="nil"/>
              <w:left w:val="nil"/>
              <w:bottom w:val="nil"/>
              <w:right w:val="nil"/>
            </w:tcBorders>
            <w:vAlign w:val="center"/>
          </w:tcPr>
          <w:p w14:paraId="48EDC43A"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Overall dimensions</w:t>
            </w:r>
          </w:p>
        </w:tc>
        <w:tc>
          <w:tcPr>
            <w:tcW w:w="4701" w:type="dxa"/>
            <w:tcBorders>
              <w:top w:val="nil"/>
              <w:left w:val="nil"/>
              <w:bottom w:val="nil"/>
              <w:right w:val="nil"/>
            </w:tcBorders>
            <w:vAlign w:val="center"/>
          </w:tcPr>
          <w:p w14:paraId="648DC427"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550×160×160 mm</w:t>
            </w:r>
          </w:p>
        </w:tc>
      </w:tr>
      <w:tr w:rsidR="00620466" w:rsidRPr="00620466" w14:paraId="3977CDC0" w14:textId="77777777" w:rsidTr="00620466">
        <w:tc>
          <w:tcPr>
            <w:tcW w:w="4701" w:type="dxa"/>
            <w:tcBorders>
              <w:top w:val="nil"/>
              <w:left w:val="nil"/>
              <w:bottom w:val="nil"/>
              <w:right w:val="nil"/>
            </w:tcBorders>
            <w:vAlign w:val="center"/>
          </w:tcPr>
          <w:p w14:paraId="13296B2A"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Mass</w:t>
            </w:r>
          </w:p>
        </w:tc>
        <w:tc>
          <w:tcPr>
            <w:tcW w:w="4701" w:type="dxa"/>
            <w:tcBorders>
              <w:top w:val="nil"/>
              <w:left w:val="nil"/>
              <w:bottom w:val="nil"/>
              <w:right w:val="nil"/>
            </w:tcBorders>
            <w:vAlign w:val="center"/>
          </w:tcPr>
          <w:p w14:paraId="3700EC58"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3 kg</w:t>
            </w:r>
          </w:p>
        </w:tc>
      </w:tr>
      <w:tr w:rsidR="00620466" w:rsidRPr="00620466" w14:paraId="23440623" w14:textId="77777777" w:rsidTr="00620466">
        <w:tc>
          <w:tcPr>
            <w:tcW w:w="4701" w:type="dxa"/>
            <w:tcBorders>
              <w:top w:val="nil"/>
              <w:left w:val="nil"/>
              <w:bottom w:val="nil"/>
              <w:right w:val="nil"/>
            </w:tcBorders>
            <w:vAlign w:val="center"/>
          </w:tcPr>
          <w:p w14:paraId="441D1A2A"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Installed electrical power</w:t>
            </w:r>
          </w:p>
        </w:tc>
        <w:tc>
          <w:tcPr>
            <w:tcW w:w="4701" w:type="dxa"/>
            <w:tcBorders>
              <w:top w:val="nil"/>
              <w:left w:val="nil"/>
              <w:bottom w:val="nil"/>
              <w:right w:val="nil"/>
            </w:tcBorders>
            <w:vAlign w:val="center"/>
          </w:tcPr>
          <w:p w14:paraId="2B8187D0"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20 W</w:t>
            </w:r>
          </w:p>
        </w:tc>
      </w:tr>
      <w:tr w:rsidR="00620466" w:rsidRPr="00620466" w14:paraId="486019D5" w14:textId="77777777" w:rsidTr="00620466">
        <w:tc>
          <w:tcPr>
            <w:tcW w:w="4701" w:type="dxa"/>
            <w:tcBorders>
              <w:top w:val="nil"/>
              <w:left w:val="nil"/>
              <w:bottom w:val="nil"/>
              <w:right w:val="nil"/>
            </w:tcBorders>
            <w:vAlign w:val="center"/>
          </w:tcPr>
          <w:p w14:paraId="03AC42D0"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Supply voltage</w:t>
            </w:r>
          </w:p>
        </w:tc>
        <w:tc>
          <w:tcPr>
            <w:tcW w:w="4701" w:type="dxa"/>
            <w:tcBorders>
              <w:top w:val="nil"/>
              <w:left w:val="nil"/>
              <w:bottom w:val="nil"/>
              <w:right w:val="nil"/>
            </w:tcBorders>
            <w:vAlign w:val="center"/>
          </w:tcPr>
          <w:p w14:paraId="028BCDBA"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12 or 24 V DC</w:t>
            </w:r>
          </w:p>
        </w:tc>
      </w:tr>
      <w:tr w:rsidR="00620466" w:rsidRPr="00620466" w14:paraId="29A6F571" w14:textId="77777777" w:rsidTr="00620466">
        <w:tc>
          <w:tcPr>
            <w:tcW w:w="4701" w:type="dxa"/>
            <w:tcBorders>
              <w:top w:val="nil"/>
              <w:left w:val="nil"/>
              <w:bottom w:val="nil"/>
              <w:right w:val="nil"/>
            </w:tcBorders>
            <w:vAlign w:val="center"/>
          </w:tcPr>
          <w:p w14:paraId="29CBE23D"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Estimated current at 12 V</w:t>
            </w:r>
          </w:p>
        </w:tc>
        <w:tc>
          <w:tcPr>
            <w:tcW w:w="4701" w:type="dxa"/>
            <w:tcBorders>
              <w:top w:val="nil"/>
              <w:left w:val="nil"/>
              <w:bottom w:val="nil"/>
              <w:right w:val="nil"/>
            </w:tcBorders>
            <w:vAlign w:val="center"/>
          </w:tcPr>
          <w:p w14:paraId="0DB3112F"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approximately 1.67 A</w:t>
            </w:r>
          </w:p>
        </w:tc>
      </w:tr>
      <w:tr w:rsidR="00620466" w:rsidRPr="00620466" w14:paraId="03065820" w14:textId="77777777" w:rsidTr="00620466">
        <w:tc>
          <w:tcPr>
            <w:tcW w:w="4701" w:type="dxa"/>
            <w:tcBorders>
              <w:top w:val="nil"/>
              <w:left w:val="nil"/>
              <w:right w:val="nil"/>
            </w:tcBorders>
            <w:vAlign w:val="center"/>
          </w:tcPr>
          <w:p w14:paraId="0522C0D4"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Estimated current at 24 V</w:t>
            </w:r>
          </w:p>
        </w:tc>
        <w:tc>
          <w:tcPr>
            <w:tcW w:w="4701" w:type="dxa"/>
            <w:tcBorders>
              <w:top w:val="nil"/>
              <w:left w:val="nil"/>
              <w:right w:val="nil"/>
            </w:tcBorders>
            <w:vAlign w:val="center"/>
          </w:tcPr>
          <w:p w14:paraId="214C3127" w14:textId="77777777" w:rsidR="00620466" w:rsidRPr="00620466" w:rsidRDefault="00620466" w:rsidP="00620466">
            <w:pPr>
              <w:rPr>
                <w:rFonts w:ascii="Arial" w:hAnsi="Arial" w:cs="Arial"/>
                <w:sz w:val="20"/>
                <w:szCs w:val="20"/>
                <w:lang w:val="en-GB"/>
              </w:rPr>
            </w:pPr>
            <w:r w:rsidRPr="00620466">
              <w:rPr>
                <w:rFonts w:ascii="Arial" w:hAnsi="Arial" w:cs="Arial"/>
                <w:sz w:val="20"/>
                <w:szCs w:val="20"/>
                <w:lang w:val="en-GB"/>
              </w:rPr>
              <w:t>approximately 0.83 A</w:t>
            </w:r>
          </w:p>
        </w:tc>
      </w:tr>
    </w:tbl>
    <w:p w14:paraId="256F6485" w14:textId="77777777" w:rsidR="00620466" w:rsidRPr="00620466" w:rsidRDefault="00620466" w:rsidP="00620466">
      <w:pPr>
        <w:pStyle w:val="NormalWeb"/>
        <w:spacing w:before="0" w:beforeAutospacing="0" w:after="0" w:afterAutospacing="0" w:line="288" w:lineRule="auto"/>
        <w:ind w:firstLine="720"/>
        <w:jc w:val="center"/>
        <w:rPr>
          <w:rFonts w:ascii="Arial" w:hAnsi="Arial" w:cs="Arial"/>
          <w:b/>
          <w:bCs/>
          <w:sz w:val="20"/>
          <w:szCs w:val="20"/>
          <w:lang w:val="en-GB"/>
        </w:rPr>
      </w:pPr>
    </w:p>
    <w:p w14:paraId="3D701231" w14:textId="77777777" w:rsidR="00620466" w:rsidRPr="00620466" w:rsidRDefault="00620466" w:rsidP="00620466">
      <w:pPr>
        <w:jc w:val="both"/>
        <w:rPr>
          <w:rFonts w:ascii="Arial" w:hAnsi="Arial" w:cs="Arial"/>
        </w:rPr>
      </w:pPr>
      <w:r w:rsidRPr="00620466">
        <w:rPr>
          <w:rFonts w:ascii="Arial" w:eastAsia="Arial" w:hAnsi="Arial" w:cs="Arial"/>
        </w:rPr>
        <w:t>Structurally, the unit includes a UV-C bactericidal source positioned inside a protective tubular zone, carrier elements, end caps, electrical connections, and a power-supply/control unit. The longitudinal arrangement of the radiation source is suitable for insertion into elongated tanks, milk cans or container necks, provided that the lamp can irradiate the internal volume without mechanical contact with the product. The mass of 3 kg makes the system suitable for portable use.</w:t>
      </w:r>
    </w:p>
    <w:p w14:paraId="0F76C469" w14:textId="77777777" w:rsidR="00620466" w:rsidRPr="00620466" w:rsidRDefault="00620466" w:rsidP="00620466">
      <w:pPr>
        <w:jc w:val="both"/>
        <w:rPr>
          <w:rFonts w:ascii="Arial" w:hAnsi="Arial" w:cs="Arial"/>
        </w:rPr>
      </w:pPr>
      <w:r w:rsidRPr="00620466">
        <w:rPr>
          <w:rFonts w:ascii="Arial" w:eastAsia="Arial" w:hAnsi="Arial" w:cs="Arial"/>
        </w:rPr>
        <w:t xml:space="preserve">From the process viewpoint, the UBZTT-20 unit should be applied only after the container has been cleaned of milk residues, washed and drained. This requirement is important because dirt, fat, protein films and milk stone can absorb or block UV-C photons and protect microorganisms. Literature on UV applications in dairy processing emphasizes that the effectiveness of ultraviolet treatment depends on direct exposure, surface cleanliness, </w:t>
      </w:r>
      <w:r w:rsidRPr="00620466">
        <w:rPr>
          <w:rFonts w:ascii="Arial" w:eastAsia="Arial" w:hAnsi="Arial" w:cs="Arial"/>
        </w:rPr>
        <w:lastRenderedPageBreak/>
        <w:t>irradiation dose, exposure time and the absence of obstacles between the source and the treated surface (Koca et al., 2018; Chawla et al., 2021). Therefore, the developed unit should be considered an additional finishing bactericidal stage after washing, not a substitute for mechanical cleaning or detergent sanitation.</w:t>
      </w:r>
    </w:p>
    <w:p w14:paraId="5A59A51E" w14:textId="77777777" w:rsidR="00620466" w:rsidRPr="00620466" w:rsidRDefault="00620466" w:rsidP="00620466">
      <w:pPr>
        <w:jc w:val="both"/>
        <w:rPr>
          <w:rFonts w:ascii="Arial" w:hAnsi="Arial" w:cs="Arial"/>
        </w:rPr>
      </w:pPr>
      <w:r w:rsidRPr="00620466">
        <w:rPr>
          <w:rFonts w:ascii="Arial" w:eastAsia="Arial" w:hAnsi="Arial" w:cs="Arial"/>
        </w:rPr>
        <w:t xml:space="preserve">UV-C radiation is widely discussed as a non-thermal method for microbial inactivation in the food and dairy industries. It can be used for the treatment of air, water, packaging materials and food-contact surfaces (Koca et al., 2018; Chawla et al., 2021). For food-contact surfaces, UV-C LED devices have also been shown to provide microbial reduction, but the achieved result strongly depends on dose, surface condition and exposure geometry (Sharma et al., 2023). This is consistent with the technological role of the UBZTT-20 unit, </w:t>
      </w:r>
      <w:r w:rsidR="00085217">
        <w:rPr>
          <w:rFonts w:ascii="Arial" w:eastAsia="Arial" w:hAnsi="Arial" w:cs="Arial"/>
        </w:rPr>
        <w:t>wh</w:t>
      </w:r>
      <w:r w:rsidRPr="00620466">
        <w:rPr>
          <w:rFonts w:ascii="Arial" w:eastAsia="Arial" w:hAnsi="Arial" w:cs="Arial"/>
        </w:rPr>
        <w:t>ich is aimed at sanitation of empty containers rather than direct irradiation of milk.</w:t>
      </w:r>
    </w:p>
    <w:p w14:paraId="3C2059D9" w14:textId="77777777" w:rsidR="00620466" w:rsidRPr="00620466" w:rsidRDefault="00620466" w:rsidP="00620466">
      <w:pPr>
        <w:jc w:val="both"/>
        <w:rPr>
          <w:rFonts w:ascii="Arial" w:hAnsi="Arial" w:cs="Arial"/>
        </w:rPr>
      </w:pPr>
      <w:r w:rsidRPr="00620466">
        <w:rPr>
          <w:rFonts w:ascii="Arial" w:eastAsia="Arial" w:hAnsi="Arial" w:cs="Arial"/>
        </w:rPr>
        <w:t xml:space="preserve">The use of UV-C treatment for empty milk-transport containers differs from direct UV treatment of milk. In liquids such as milk, low penetration depth, turbidity and possible changes in product quality must be considered (Chawla et al., 2021; </w:t>
      </w:r>
      <w:commentRangeStart w:id="22"/>
      <w:r w:rsidRPr="00620466">
        <w:rPr>
          <w:rFonts w:ascii="Arial" w:eastAsia="Arial" w:hAnsi="Arial" w:cs="Arial"/>
        </w:rPr>
        <w:t>Matak et al., 2005</w:t>
      </w:r>
      <w:commentRangeEnd w:id="22"/>
      <w:r w:rsidR="00743616">
        <w:rPr>
          <w:rStyle w:val="CommentReference"/>
          <w:rFonts w:ascii="Times New Roman" w:hAnsi="Times New Roman"/>
          <w:lang w:val="nb-NO" w:eastAsia="nb-NO"/>
        </w:rPr>
        <w:commentReference w:id="22"/>
      </w:r>
      <w:r w:rsidRPr="00620466">
        <w:rPr>
          <w:rFonts w:ascii="Arial" w:eastAsia="Arial" w:hAnsi="Arial" w:cs="Arial"/>
        </w:rPr>
        <w:t>; Vashisht et al., 2022). In the present design, the product itself is not irradiated. The target is the internal air volume and accessible surfaces of the container before filling. This approach is technologically safer because it avoids direct photo-oxidative action on milk and focuses on preventing post-washing contamination from the container.</w:t>
      </w:r>
    </w:p>
    <w:p w14:paraId="4023AD87" w14:textId="77777777" w:rsidR="00620466" w:rsidRDefault="00620466" w:rsidP="00ED39DB">
      <w:pPr>
        <w:jc w:val="both"/>
        <w:rPr>
          <w:rFonts w:ascii="Arial" w:eastAsia="Arial" w:hAnsi="Arial" w:cs="Arial"/>
        </w:rPr>
      </w:pPr>
      <w:r w:rsidRPr="00620466">
        <w:rPr>
          <w:rFonts w:ascii="Arial" w:eastAsia="Arial" w:hAnsi="Arial" w:cs="Arial"/>
        </w:rPr>
        <w:t xml:space="preserve">Thus, the proposed UBZTT-20 unit is positioned as a compact, low-power and mobile electrotechnical system for finishing sanitation of milk-transport containers. Its application may reduce the risk of secondary contamination of milk after washing of the container, </w:t>
      </w:r>
      <w:r w:rsidR="00085217">
        <w:rPr>
          <w:rFonts w:ascii="Arial" w:eastAsia="Arial" w:hAnsi="Arial" w:cs="Arial"/>
        </w:rPr>
        <w:t>wh</w:t>
      </w:r>
      <w:r w:rsidRPr="00620466">
        <w:rPr>
          <w:rFonts w:ascii="Arial" w:eastAsia="Arial" w:hAnsi="Arial" w:cs="Arial"/>
        </w:rPr>
        <w:t>ile avoiding excessive use of chemical disinfectants. At the same time, the system should not be considered a chemical method for neutralizing milk acidity. Its role is preventive: it suppresses residual microflora on container surfaces and may therefore slow microbiological processes that contribute to acidity increase during transportation and storage.</w:t>
      </w:r>
    </w:p>
    <w:p w14:paraId="33C4E9C3" w14:textId="77777777" w:rsidR="00ED39DB" w:rsidRPr="00620466" w:rsidRDefault="00ED39DB" w:rsidP="00ED39DB">
      <w:pPr>
        <w:jc w:val="both"/>
        <w:rPr>
          <w:rFonts w:ascii="Arial" w:hAnsi="Arial" w:cs="Arial"/>
        </w:rPr>
      </w:pPr>
    </w:p>
    <w:p w14:paraId="2448AFE3" w14:textId="77777777" w:rsidR="00620466" w:rsidRDefault="00620466" w:rsidP="00ED39DB">
      <w:pPr>
        <w:jc w:val="both"/>
        <w:rPr>
          <w:rFonts w:ascii="Arial" w:eastAsia="Arial" w:hAnsi="Arial" w:cs="Arial"/>
          <w:b/>
          <w:sz w:val="22"/>
          <w:szCs w:val="22"/>
        </w:rPr>
      </w:pPr>
      <w:r w:rsidRPr="00620466">
        <w:rPr>
          <w:rFonts w:ascii="Arial" w:eastAsia="Arial" w:hAnsi="Arial" w:cs="Arial"/>
          <w:b/>
          <w:sz w:val="22"/>
          <w:szCs w:val="22"/>
        </w:rPr>
        <w:t>3.2 Irradiation-Dose Model</w:t>
      </w:r>
    </w:p>
    <w:p w14:paraId="13906D56" w14:textId="77777777" w:rsidR="00ED39DB" w:rsidRPr="00620466" w:rsidRDefault="00ED39DB" w:rsidP="00ED39DB">
      <w:pPr>
        <w:jc w:val="both"/>
        <w:rPr>
          <w:rFonts w:ascii="Arial" w:hAnsi="Arial" w:cs="Arial"/>
          <w:sz w:val="22"/>
          <w:szCs w:val="22"/>
        </w:rPr>
      </w:pPr>
    </w:p>
    <w:p w14:paraId="26BF35DD" w14:textId="77777777" w:rsidR="0000282E" w:rsidRPr="0000282E" w:rsidRDefault="0000282E" w:rsidP="00ED39DB">
      <w:pPr>
        <w:jc w:val="both"/>
        <w:rPr>
          <w:rFonts w:ascii="Arial" w:hAnsi="Arial" w:cs="Arial"/>
          <w:lang w:val="en-GB" w:eastAsia="uk-UA"/>
        </w:rPr>
      </w:pPr>
      <w:r w:rsidRPr="0000282E">
        <w:rPr>
          <w:rFonts w:ascii="Arial" w:hAnsi="Arial" w:cs="Arial"/>
          <w:lang w:val="en-GB" w:eastAsia="uk-UA"/>
        </w:rPr>
        <w:t>The delivered UV-C dose is the key parameter used to characterize the sanitation effect of the proposed system. For an elementary surface area exposed to average irradiance E, the accumulated dose D is determined according to Eq. (1). Accordingly, the exposure time required to obtain a specified target dose can be calculated using Eq. (2).</w:t>
      </w:r>
    </w:p>
    <w:p w14:paraId="10822CEA" w14:textId="77777777" w:rsidR="0000282E" w:rsidRPr="0000282E" w:rsidRDefault="0000282E" w:rsidP="0000282E">
      <w:pPr>
        <w:jc w:val="both"/>
        <w:rPr>
          <w:rFonts w:ascii="Arial" w:hAnsi="Arial" w:cs="Arial"/>
          <w:lang w:val="en-GB" w:eastAsia="uk-UA"/>
        </w:rPr>
      </w:pPr>
      <w:r w:rsidRPr="0000282E">
        <w:rPr>
          <w:rFonts w:ascii="Arial" w:hAnsi="Arial" w:cs="Arial"/>
          <w:lang w:val="en-GB" w:eastAsia="uk-UA"/>
        </w:rPr>
        <w:t xml:space="preserve">These equations provide a convenient basis for preliminary engineering calculations; however, their direct application requires consideration of the actual geometry of the treated container. Under real operating conditions, irradiance is distributed unevenly over the internal surfaces. It decreases with increasing distance from the radiation source and is affected by the orientation of the UV-C lamp, the shape of the container, shadowing from structural elements, necks, handles, joints, or internal fittings. Therefore, </w:t>
      </w:r>
      <w:r w:rsidR="00085217">
        <w:rPr>
          <w:rFonts w:ascii="Arial" w:hAnsi="Arial" w:cs="Arial"/>
          <w:lang w:val="en-GB" w:eastAsia="uk-UA"/>
        </w:rPr>
        <w:t>wh</w:t>
      </w:r>
      <w:r w:rsidRPr="0000282E">
        <w:rPr>
          <w:rFonts w:ascii="Arial" w:hAnsi="Arial" w:cs="Arial"/>
          <w:lang w:val="en-GB" w:eastAsia="uk-UA"/>
        </w:rPr>
        <w:t>en selecting the sanitation mode, the delivered dose should be evaluated for the least-irradiated accessible surface area. If this zone receives lower irradiance than the average design value, the exposure time calculated by Eq. (2) must be increased accordingly.</w:t>
      </w:r>
    </w:p>
    <w:p w14:paraId="6D01C760" w14:textId="77777777" w:rsidR="0000282E" w:rsidRPr="0000282E" w:rsidRDefault="0000282E" w:rsidP="0000282E">
      <w:pPr>
        <w:jc w:val="both"/>
        <w:rPr>
          <w:rFonts w:ascii="Arial" w:hAnsi="Arial" w:cs="Arial"/>
          <w:lang w:val="en-GB" w:eastAsia="uk-UA"/>
        </w:rPr>
      </w:pPr>
      <w:r w:rsidRPr="0000282E">
        <w:rPr>
          <w:rFonts w:ascii="Arial" w:hAnsi="Arial" w:cs="Arial"/>
          <w:lang w:val="en-GB" w:eastAsia="uk-UA"/>
        </w:rPr>
        <w:t>In the proposed design, such correction is associated with the maintenance, spectral and operational coefficients used for the comprehensive assessment of ultraviolet disinfection systems (Semenov et al., 2026). Therefore, the rated electrical power of the UV-C source alone cannot be considered a sufficient indicator of bactericidal efficiency. The actual irradiance should be periodically monitored during operation, especially after prolonged lamp use, contamination of the protective quartz sleeve, or changes in the reflective properties of the internal container surfaces.</w:t>
      </w:r>
    </w:p>
    <w:p w14:paraId="784A9AD1" w14:textId="77777777" w:rsidR="0000282E" w:rsidRPr="0000282E" w:rsidRDefault="0000282E" w:rsidP="0000282E">
      <w:pPr>
        <w:jc w:val="both"/>
        <w:rPr>
          <w:rFonts w:ascii="Arial" w:hAnsi="Arial" w:cs="Arial"/>
          <w:lang w:val="en-GB" w:eastAsia="uk-UA"/>
        </w:rPr>
      </w:pPr>
      <w:r w:rsidRPr="0000282E">
        <w:rPr>
          <w:rFonts w:ascii="Arial" w:hAnsi="Arial" w:cs="Arial"/>
          <w:lang w:val="en-GB" w:eastAsia="uk-UA"/>
        </w:rPr>
        <w:t xml:space="preserve">For the UBZTT-20 prototype, the specific installed power was calculated using Eq. (3). At a rated electrical power of P = 20 W and a maximum recommended treated volume of V = 5 m³, the value of </w:t>
      </w:r>
      <m:oMath>
        <m:sSub>
          <m:sSubPr>
            <m:ctrlPr>
              <w:rPr>
                <w:rFonts w:ascii="Cambria Math" w:hAnsi="Cambria Math"/>
                <w:i/>
              </w:rPr>
            </m:ctrlPr>
          </m:sSubPr>
          <m:e>
            <m:r>
              <w:rPr>
                <w:rFonts w:ascii="Cambria Math" w:hAnsi="Cambria Math"/>
              </w:rPr>
              <m:t>p</m:t>
            </m:r>
          </m:e>
          <m:sub>
            <m:r>
              <w:rPr>
                <w:rFonts w:ascii="Cambria Math" w:hAnsi="Cambria Math"/>
              </w:rPr>
              <m:t>v</m:t>
            </m:r>
          </m:sub>
        </m:sSub>
      </m:oMath>
      <w:r w:rsidRPr="0000282E">
        <w:rPr>
          <w:rFonts w:ascii="Arial" w:hAnsi="Arial" w:cs="Arial"/>
          <w:lang w:val="en-GB" w:eastAsia="uk-UA"/>
        </w:rPr>
        <w:t xml:space="preserve"> is 4 W/m</w:t>
      </w:r>
      <w:r w:rsidR="00085217" w:rsidRPr="00085217">
        <w:rPr>
          <w:rFonts w:ascii="Arial" w:hAnsi="Arial" w:cs="Arial"/>
          <w:vertAlign w:val="superscript"/>
          <w:lang w:eastAsia="uk-UA"/>
        </w:rPr>
        <w:t>3</w:t>
      </w:r>
      <w:r w:rsidRPr="0000282E">
        <w:rPr>
          <w:rFonts w:ascii="Arial" w:hAnsi="Arial" w:cs="Arial"/>
          <w:lang w:val="en-GB" w:eastAsia="uk-UA"/>
        </w:rPr>
        <w:t>. This parameter does not describe the real UV-C fluence at each point inside the container, but it is useful for comparing devices designed for different treated volumes.</w:t>
      </w:r>
    </w:p>
    <w:p w14:paraId="61224853" w14:textId="77777777" w:rsidR="0000282E" w:rsidRPr="0000282E" w:rsidRDefault="0000282E" w:rsidP="00ED39DB">
      <w:pPr>
        <w:jc w:val="both"/>
        <w:rPr>
          <w:rFonts w:ascii="Arial" w:hAnsi="Arial" w:cs="Arial"/>
          <w:lang w:eastAsia="uk-UA"/>
        </w:rPr>
      </w:pPr>
      <w:r w:rsidRPr="0000282E">
        <w:rPr>
          <w:rFonts w:ascii="Arial" w:hAnsi="Arial" w:cs="Arial"/>
          <w:lang w:val="en-GB" w:eastAsia="uk-UA"/>
        </w:rPr>
        <w:lastRenderedPageBreak/>
        <w:t>The electrical energy consumption for one sanitation cycle was determined according to Eq. (4).</w:t>
      </w:r>
      <w:r w:rsidR="00E153A4">
        <w:rPr>
          <w:rFonts w:ascii="Arial" w:hAnsi="Arial" w:cs="Arial"/>
          <w:lang w:val="ru-RU" w:eastAsia="uk-UA"/>
        </w:rPr>
        <w:t xml:space="preserve"> </w:t>
      </w:r>
      <w:r w:rsidR="00E153A4">
        <w:t>The calculated values of electrical energy consumption for different sanitation cycle durations are presented in Table 2.</w:t>
      </w:r>
    </w:p>
    <w:p w14:paraId="7B3D707D" w14:textId="77777777" w:rsidR="0000282E" w:rsidRDefault="0000282E" w:rsidP="00ED39DB">
      <w:pPr>
        <w:jc w:val="both"/>
        <w:rPr>
          <w:rFonts w:ascii="Arial" w:eastAsia="Arial" w:hAnsi="Arial" w:cs="Arial"/>
          <w:lang w:val="uk-UA"/>
        </w:rPr>
      </w:pPr>
    </w:p>
    <w:p w14:paraId="7F117187" w14:textId="77777777" w:rsidR="00620466" w:rsidRDefault="00620466" w:rsidP="00ED39DB">
      <w:pPr>
        <w:jc w:val="both"/>
        <w:rPr>
          <w:rFonts w:ascii="Arial" w:eastAsia="Arial" w:hAnsi="Arial" w:cs="Arial"/>
          <w:b/>
        </w:rPr>
      </w:pPr>
      <w:commentRangeStart w:id="23"/>
      <w:r w:rsidRPr="00620466">
        <w:rPr>
          <w:rFonts w:ascii="Arial" w:eastAsia="Arial" w:hAnsi="Arial" w:cs="Arial"/>
          <w:b/>
        </w:rPr>
        <w:t>Table 2.</w:t>
      </w:r>
      <w:r w:rsidR="00864054">
        <w:rPr>
          <w:rFonts w:ascii="Arial" w:eastAsia="Arial" w:hAnsi="Arial" w:cs="Arial"/>
          <w:b/>
          <w:lang w:val="uk-UA"/>
        </w:rPr>
        <w:t xml:space="preserve"> </w:t>
      </w:r>
      <w:r w:rsidRPr="00620466">
        <w:rPr>
          <w:rFonts w:ascii="Arial" w:eastAsia="Arial" w:hAnsi="Arial" w:cs="Arial"/>
          <w:b/>
        </w:rPr>
        <w:t>Calculated electrical energy consumption of one UBZTT-20 sanitation cycle</w:t>
      </w:r>
      <w:commentRangeEnd w:id="23"/>
      <w:r w:rsidR="00743616">
        <w:rPr>
          <w:rStyle w:val="CommentReference"/>
          <w:rFonts w:ascii="Times New Roman" w:hAnsi="Times New Roman"/>
          <w:lang w:val="nb-NO" w:eastAsia="nb-NO"/>
        </w:rPr>
        <w:commentReference w:id="23"/>
      </w:r>
    </w:p>
    <w:p w14:paraId="5B3D4DA4" w14:textId="77777777" w:rsidR="00ED39DB" w:rsidRPr="00620466" w:rsidRDefault="00ED39DB" w:rsidP="00ED39DB">
      <w:pPr>
        <w:jc w:val="both"/>
        <w:rPr>
          <w:rFonts w:ascii="Arial" w:hAnsi="Arial" w:cs="Arial"/>
        </w:rPr>
      </w:pPr>
    </w:p>
    <w:tbl>
      <w:tblPr>
        <w:tblW w:w="0" w:type="auto"/>
        <w:jc w:val="center"/>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2074"/>
        <w:gridCol w:w="2073"/>
        <w:gridCol w:w="2014"/>
        <w:gridCol w:w="2037"/>
      </w:tblGrid>
      <w:tr w:rsidR="0000282E" w:rsidRPr="00620466" w14:paraId="535BC3F6" w14:textId="77777777" w:rsidTr="00864054">
        <w:trPr>
          <w:jc w:val="center"/>
        </w:trPr>
        <w:tc>
          <w:tcPr>
            <w:tcW w:w="2074" w:type="dxa"/>
            <w:tcBorders>
              <w:top w:val="single" w:sz="4" w:space="0" w:color="808080"/>
              <w:left w:val="nil"/>
              <w:bottom w:val="single" w:sz="4" w:space="0" w:color="auto"/>
            </w:tcBorders>
          </w:tcPr>
          <w:p w14:paraId="59D86152" w14:textId="77777777" w:rsidR="0000282E" w:rsidRPr="00ED39DB" w:rsidRDefault="0000282E" w:rsidP="0000282E">
            <w:pPr>
              <w:jc w:val="both"/>
              <w:rPr>
                <w:rFonts w:ascii="Arial" w:hAnsi="Arial" w:cs="Arial"/>
                <w:b/>
              </w:rPr>
            </w:pPr>
            <w:r w:rsidRPr="00ED39DB">
              <w:rPr>
                <w:rFonts w:ascii="Arial" w:eastAsia="Arial" w:hAnsi="Arial" w:cs="Arial"/>
                <w:b/>
              </w:rPr>
              <w:t>Cycle duration, min</w:t>
            </w:r>
          </w:p>
        </w:tc>
        <w:tc>
          <w:tcPr>
            <w:tcW w:w="2073" w:type="dxa"/>
            <w:tcBorders>
              <w:top w:val="single" w:sz="4" w:space="0" w:color="808080"/>
              <w:bottom w:val="single" w:sz="4" w:space="0" w:color="auto"/>
            </w:tcBorders>
          </w:tcPr>
          <w:p w14:paraId="5D1A7156" w14:textId="77777777" w:rsidR="0000282E" w:rsidRPr="00ED39DB" w:rsidRDefault="0000282E" w:rsidP="0000282E">
            <w:pPr>
              <w:jc w:val="both"/>
              <w:rPr>
                <w:rFonts w:ascii="Arial" w:hAnsi="Arial" w:cs="Arial"/>
                <w:b/>
              </w:rPr>
            </w:pPr>
            <w:r w:rsidRPr="00ED39DB">
              <w:rPr>
                <w:rFonts w:ascii="Arial" w:eastAsia="Arial" w:hAnsi="Arial" w:cs="Arial"/>
                <w:b/>
              </w:rPr>
              <w:t>Cycle duration, h</w:t>
            </w:r>
          </w:p>
        </w:tc>
        <w:tc>
          <w:tcPr>
            <w:tcW w:w="2014" w:type="dxa"/>
            <w:tcBorders>
              <w:top w:val="single" w:sz="4" w:space="0" w:color="808080"/>
              <w:bottom w:val="single" w:sz="4" w:space="0" w:color="auto"/>
            </w:tcBorders>
          </w:tcPr>
          <w:p w14:paraId="5A7AD552" w14:textId="77777777" w:rsidR="0000282E" w:rsidRPr="00ED39DB" w:rsidRDefault="0000282E" w:rsidP="0000282E">
            <w:pPr>
              <w:jc w:val="both"/>
              <w:rPr>
                <w:rFonts w:ascii="Arial" w:hAnsi="Arial" w:cs="Arial"/>
                <w:b/>
              </w:rPr>
            </w:pPr>
            <w:r w:rsidRPr="00ED39DB">
              <w:rPr>
                <w:rFonts w:ascii="Arial" w:eastAsia="Arial" w:hAnsi="Arial" w:cs="Arial"/>
                <w:b/>
              </w:rPr>
              <w:t>Power, W</w:t>
            </w:r>
          </w:p>
        </w:tc>
        <w:tc>
          <w:tcPr>
            <w:tcW w:w="2037" w:type="dxa"/>
            <w:tcBorders>
              <w:top w:val="single" w:sz="4" w:space="0" w:color="808080"/>
              <w:bottom w:val="single" w:sz="4" w:space="0" w:color="auto"/>
              <w:right w:val="nil"/>
            </w:tcBorders>
          </w:tcPr>
          <w:p w14:paraId="355685E7" w14:textId="77777777" w:rsidR="0000282E" w:rsidRPr="00ED39DB" w:rsidRDefault="0000282E" w:rsidP="0000282E">
            <w:pPr>
              <w:jc w:val="both"/>
              <w:rPr>
                <w:rFonts w:ascii="Arial" w:hAnsi="Arial" w:cs="Arial"/>
                <w:b/>
              </w:rPr>
            </w:pPr>
            <w:r w:rsidRPr="00ED39DB">
              <w:rPr>
                <w:rFonts w:ascii="Arial" w:eastAsia="Arial" w:hAnsi="Arial" w:cs="Arial"/>
                <w:b/>
              </w:rPr>
              <w:t xml:space="preserve">Energy, </w:t>
            </w:r>
            <w:r w:rsidR="00205771">
              <w:rPr>
                <w:rFonts w:ascii="Arial" w:eastAsia="Arial" w:hAnsi="Arial" w:cs="Arial"/>
                <w:b/>
              </w:rPr>
              <w:t>Wh</w:t>
            </w:r>
          </w:p>
        </w:tc>
      </w:tr>
      <w:tr w:rsidR="0000282E" w:rsidRPr="00620466" w14:paraId="1080AAE2" w14:textId="77777777" w:rsidTr="00864054">
        <w:trPr>
          <w:jc w:val="center"/>
        </w:trPr>
        <w:tc>
          <w:tcPr>
            <w:tcW w:w="2074" w:type="dxa"/>
            <w:tcBorders>
              <w:top w:val="single" w:sz="4" w:space="0" w:color="auto"/>
              <w:left w:val="nil"/>
            </w:tcBorders>
          </w:tcPr>
          <w:p w14:paraId="0279946E" w14:textId="77777777" w:rsidR="0000282E" w:rsidRPr="00620466" w:rsidRDefault="0000282E" w:rsidP="0000282E">
            <w:pPr>
              <w:jc w:val="both"/>
              <w:rPr>
                <w:rFonts w:ascii="Arial" w:hAnsi="Arial" w:cs="Arial"/>
              </w:rPr>
            </w:pPr>
            <w:r w:rsidRPr="00620466">
              <w:rPr>
                <w:rFonts w:ascii="Arial" w:eastAsia="Arial" w:hAnsi="Arial" w:cs="Arial"/>
              </w:rPr>
              <w:t>5</w:t>
            </w:r>
          </w:p>
        </w:tc>
        <w:tc>
          <w:tcPr>
            <w:tcW w:w="2073" w:type="dxa"/>
            <w:tcBorders>
              <w:top w:val="single" w:sz="4" w:space="0" w:color="auto"/>
            </w:tcBorders>
          </w:tcPr>
          <w:p w14:paraId="0D3FEE32" w14:textId="77777777" w:rsidR="0000282E" w:rsidRPr="00620466" w:rsidRDefault="0000282E" w:rsidP="0000282E">
            <w:pPr>
              <w:jc w:val="both"/>
              <w:rPr>
                <w:rFonts w:ascii="Arial" w:hAnsi="Arial" w:cs="Arial"/>
              </w:rPr>
            </w:pPr>
            <w:r w:rsidRPr="00620466">
              <w:rPr>
                <w:rFonts w:ascii="Arial" w:eastAsia="Arial" w:hAnsi="Arial" w:cs="Arial"/>
              </w:rPr>
              <w:t>0.083</w:t>
            </w:r>
          </w:p>
        </w:tc>
        <w:tc>
          <w:tcPr>
            <w:tcW w:w="2014" w:type="dxa"/>
            <w:tcBorders>
              <w:top w:val="single" w:sz="4" w:space="0" w:color="auto"/>
            </w:tcBorders>
          </w:tcPr>
          <w:p w14:paraId="68A1AA6A" w14:textId="77777777" w:rsidR="0000282E" w:rsidRPr="00620466" w:rsidRDefault="0000282E" w:rsidP="0000282E">
            <w:pPr>
              <w:jc w:val="both"/>
              <w:rPr>
                <w:rFonts w:ascii="Arial" w:hAnsi="Arial" w:cs="Arial"/>
              </w:rPr>
            </w:pPr>
            <w:r w:rsidRPr="00620466">
              <w:rPr>
                <w:rFonts w:ascii="Arial" w:eastAsia="Arial" w:hAnsi="Arial" w:cs="Arial"/>
              </w:rPr>
              <w:t>20</w:t>
            </w:r>
          </w:p>
        </w:tc>
        <w:tc>
          <w:tcPr>
            <w:tcW w:w="2037" w:type="dxa"/>
            <w:tcBorders>
              <w:top w:val="single" w:sz="4" w:space="0" w:color="auto"/>
              <w:right w:val="nil"/>
            </w:tcBorders>
          </w:tcPr>
          <w:p w14:paraId="1D138276" w14:textId="77777777" w:rsidR="0000282E" w:rsidRPr="00620466" w:rsidRDefault="0000282E" w:rsidP="0000282E">
            <w:pPr>
              <w:jc w:val="both"/>
              <w:rPr>
                <w:rFonts w:ascii="Arial" w:hAnsi="Arial" w:cs="Arial"/>
              </w:rPr>
            </w:pPr>
            <w:r w:rsidRPr="00620466">
              <w:rPr>
                <w:rFonts w:ascii="Arial" w:eastAsia="Arial" w:hAnsi="Arial" w:cs="Arial"/>
              </w:rPr>
              <w:t>1.67</w:t>
            </w:r>
          </w:p>
        </w:tc>
      </w:tr>
      <w:tr w:rsidR="0000282E" w:rsidRPr="00620466" w14:paraId="108C0653" w14:textId="77777777" w:rsidTr="00864054">
        <w:trPr>
          <w:jc w:val="center"/>
        </w:trPr>
        <w:tc>
          <w:tcPr>
            <w:tcW w:w="2074" w:type="dxa"/>
            <w:tcBorders>
              <w:left w:val="nil"/>
            </w:tcBorders>
          </w:tcPr>
          <w:p w14:paraId="3328548D" w14:textId="77777777" w:rsidR="0000282E" w:rsidRPr="00620466" w:rsidRDefault="0000282E" w:rsidP="0000282E">
            <w:pPr>
              <w:jc w:val="both"/>
              <w:rPr>
                <w:rFonts w:ascii="Arial" w:hAnsi="Arial" w:cs="Arial"/>
              </w:rPr>
            </w:pPr>
            <w:r w:rsidRPr="00620466">
              <w:rPr>
                <w:rFonts w:ascii="Arial" w:eastAsia="Arial" w:hAnsi="Arial" w:cs="Arial"/>
              </w:rPr>
              <w:t>10</w:t>
            </w:r>
          </w:p>
        </w:tc>
        <w:tc>
          <w:tcPr>
            <w:tcW w:w="2073" w:type="dxa"/>
          </w:tcPr>
          <w:p w14:paraId="2D4084C2" w14:textId="77777777" w:rsidR="0000282E" w:rsidRPr="00620466" w:rsidRDefault="0000282E" w:rsidP="0000282E">
            <w:pPr>
              <w:jc w:val="both"/>
              <w:rPr>
                <w:rFonts w:ascii="Arial" w:hAnsi="Arial" w:cs="Arial"/>
              </w:rPr>
            </w:pPr>
            <w:r w:rsidRPr="00620466">
              <w:rPr>
                <w:rFonts w:ascii="Arial" w:eastAsia="Arial" w:hAnsi="Arial" w:cs="Arial"/>
              </w:rPr>
              <w:t>0.167</w:t>
            </w:r>
          </w:p>
        </w:tc>
        <w:tc>
          <w:tcPr>
            <w:tcW w:w="2014" w:type="dxa"/>
          </w:tcPr>
          <w:p w14:paraId="1F31D0A8" w14:textId="77777777" w:rsidR="0000282E" w:rsidRPr="00620466" w:rsidRDefault="0000282E" w:rsidP="0000282E">
            <w:pPr>
              <w:jc w:val="both"/>
              <w:rPr>
                <w:rFonts w:ascii="Arial" w:hAnsi="Arial" w:cs="Arial"/>
              </w:rPr>
            </w:pPr>
            <w:r w:rsidRPr="00620466">
              <w:rPr>
                <w:rFonts w:ascii="Arial" w:eastAsia="Arial" w:hAnsi="Arial" w:cs="Arial"/>
              </w:rPr>
              <w:t>20</w:t>
            </w:r>
          </w:p>
        </w:tc>
        <w:tc>
          <w:tcPr>
            <w:tcW w:w="2037" w:type="dxa"/>
            <w:tcBorders>
              <w:right w:val="nil"/>
            </w:tcBorders>
          </w:tcPr>
          <w:p w14:paraId="551E9020" w14:textId="77777777" w:rsidR="0000282E" w:rsidRPr="00620466" w:rsidRDefault="0000282E" w:rsidP="0000282E">
            <w:pPr>
              <w:jc w:val="both"/>
              <w:rPr>
                <w:rFonts w:ascii="Arial" w:hAnsi="Arial" w:cs="Arial"/>
              </w:rPr>
            </w:pPr>
            <w:r w:rsidRPr="00620466">
              <w:rPr>
                <w:rFonts w:ascii="Arial" w:eastAsia="Arial" w:hAnsi="Arial" w:cs="Arial"/>
              </w:rPr>
              <w:t>3.33</w:t>
            </w:r>
          </w:p>
        </w:tc>
      </w:tr>
      <w:tr w:rsidR="0000282E" w:rsidRPr="00620466" w14:paraId="26F46620" w14:textId="77777777" w:rsidTr="00864054">
        <w:trPr>
          <w:jc w:val="center"/>
        </w:trPr>
        <w:tc>
          <w:tcPr>
            <w:tcW w:w="2074" w:type="dxa"/>
            <w:tcBorders>
              <w:left w:val="nil"/>
            </w:tcBorders>
          </w:tcPr>
          <w:p w14:paraId="66DB6ACD" w14:textId="77777777" w:rsidR="0000282E" w:rsidRPr="00620466" w:rsidRDefault="0000282E" w:rsidP="0000282E">
            <w:pPr>
              <w:jc w:val="both"/>
              <w:rPr>
                <w:rFonts w:ascii="Arial" w:hAnsi="Arial" w:cs="Arial"/>
              </w:rPr>
            </w:pPr>
            <w:r w:rsidRPr="00620466">
              <w:rPr>
                <w:rFonts w:ascii="Arial" w:eastAsia="Arial" w:hAnsi="Arial" w:cs="Arial"/>
              </w:rPr>
              <w:t>15</w:t>
            </w:r>
          </w:p>
        </w:tc>
        <w:tc>
          <w:tcPr>
            <w:tcW w:w="2073" w:type="dxa"/>
          </w:tcPr>
          <w:p w14:paraId="0A9D33B6" w14:textId="77777777" w:rsidR="0000282E" w:rsidRPr="00620466" w:rsidRDefault="0000282E" w:rsidP="0000282E">
            <w:pPr>
              <w:jc w:val="both"/>
              <w:rPr>
                <w:rFonts w:ascii="Arial" w:hAnsi="Arial" w:cs="Arial"/>
              </w:rPr>
            </w:pPr>
            <w:r w:rsidRPr="00620466">
              <w:rPr>
                <w:rFonts w:ascii="Arial" w:eastAsia="Arial" w:hAnsi="Arial" w:cs="Arial"/>
              </w:rPr>
              <w:t>0.250</w:t>
            </w:r>
          </w:p>
        </w:tc>
        <w:tc>
          <w:tcPr>
            <w:tcW w:w="2014" w:type="dxa"/>
          </w:tcPr>
          <w:p w14:paraId="4BD57C8C" w14:textId="77777777" w:rsidR="0000282E" w:rsidRPr="00620466" w:rsidRDefault="0000282E" w:rsidP="0000282E">
            <w:pPr>
              <w:jc w:val="both"/>
              <w:rPr>
                <w:rFonts w:ascii="Arial" w:hAnsi="Arial" w:cs="Arial"/>
              </w:rPr>
            </w:pPr>
            <w:r w:rsidRPr="00620466">
              <w:rPr>
                <w:rFonts w:ascii="Arial" w:eastAsia="Arial" w:hAnsi="Arial" w:cs="Arial"/>
              </w:rPr>
              <w:t>20</w:t>
            </w:r>
          </w:p>
        </w:tc>
        <w:tc>
          <w:tcPr>
            <w:tcW w:w="2037" w:type="dxa"/>
            <w:tcBorders>
              <w:right w:val="nil"/>
            </w:tcBorders>
          </w:tcPr>
          <w:p w14:paraId="5817DFDF" w14:textId="77777777" w:rsidR="0000282E" w:rsidRPr="00620466" w:rsidRDefault="0000282E" w:rsidP="0000282E">
            <w:pPr>
              <w:jc w:val="both"/>
              <w:rPr>
                <w:rFonts w:ascii="Arial" w:hAnsi="Arial" w:cs="Arial"/>
              </w:rPr>
            </w:pPr>
            <w:r w:rsidRPr="00620466">
              <w:rPr>
                <w:rFonts w:ascii="Arial" w:eastAsia="Arial" w:hAnsi="Arial" w:cs="Arial"/>
              </w:rPr>
              <w:t>5.00</w:t>
            </w:r>
          </w:p>
        </w:tc>
      </w:tr>
      <w:tr w:rsidR="0000282E" w:rsidRPr="00620466" w14:paraId="43D42807" w14:textId="77777777" w:rsidTr="00864054">
        <w:trPr>
          <w:jc w:val="center"/>
        </w:trPr>
        <w:tc>
          <w:tcPr>
            <w:tcW w:w="2074" w:type="dxa"/>
            <w:tcBorders>
              <w:left w:val="nil"/>
              <w:bottom w:val="single" w:sz="4" w:space="0" w:color="808080"/>
            </w:tcBorders>
          </w:tcPr>
          <w:p w14:paraId="08FE93A0" w14:textId="77777777" w:rsidR="0000282E" w:rsidRPr="00620466" w:rsidRDefault="0000282E" w:rsidP="0000282E">
            <w:pPr>
              <w:jc w:val="both"/>
              <w:rPr>
                <w:rFonts w:ascii="Arial" w:hAnsi="Arial" w:cs="Arial"/>
              </w:rPr>
            </w:pPr>
            <w:r w:rsidRPr="00620466">
              <w:rPr>
                <w:rFonts w:ascii="Arial" w:eastAsia="Arial" w:hAnsi="Arial" w:cs="Arial"/>
              </w:rPr>
              <w:t>20</w:t>
            </w:r>
          </w:p>
        </w:tc>
        <w:tc>
          <w:tcPr>
            <w:tcW w:w="2073" w:type="dxa"/>
          </w:tcPr>
          <w:p w14:paraId="297204DE" w14:textId="77777777" w:rsidR="0000282E" w:rsidRPr="00620466" w:rsidRDefault="0000282E" w:rsidP="0000282E">
            <w:pPr>
              <w:jc w:val="both"/>
              <w:rPr>
                <w:rFonts w:ascii="Arial" w:hAnsi="Arial" w:cs="Arial"/>
              </w:rPr>
            </w:pPr>
            <w:r w:rsidRPr="00620466">
              <w:rPr>
                <w:rFonts w:ascii="Arial" w:eastAsia="Arial" w:hAnsi="Arial" w:cs="Arial"/>
              </w:rPr>
              <w:t>0.333</w:t>
            </w:r>
          </w:p>
        </w:tc>
        <w:tc>
          <w:tcPr>
            <w:tcW w:w="2014" w:type="dxa"/>
          </w:tcPr>
          <w:p w14:paraId="163184C7" w14:textId="77777777" w:rsidR="0000282E" w:rsidRPr="00620466" w:rsidRDefault="0000282E" w:rsidP="0000282E">
            <w:pPr>
              <w:jc w:val="both"/>
              <w:rPr>
                <w:rFonts w:ascii="Arial" w:hAnsi="Arial" w:cs="Arial"/>
              </w:rPr>
            </w:pPr>
            <w:r w:rsidRPr="00620466">
              <w:rPr>
                <w:rFonts w:ascii="Arial" w:eastAsia="Arial" w:hAnsi="Arial" w:cs="Arial"/>
              </w:rPr>
              <w:t>20</w:t>
            </w:r>
          </w:p>
        </w:tc>
        <w:tc>
          <w:tcPr>
            <w:tcW w:w="2037" w:type="dxa"/>
            <w:tcBorders>
              <w:bottom w:val="single" w:sz="4" w:space="0" w:color="808080"/>
              <w:right w:val="nil"/>
            </w:tcBorders>
          </w:tcPr>
          <w:p w14:paraId="04BF8EC1" w14:textId="77777777" w:rsidR="0000282E" w:rsidRPr="00620466" w:rsidRDefault="0000282E" w:rsidP="0000282E">
            <w:pPr>
              <w:jc w:val="both"/>
              <w:rPr>
                <w:rFonts w:ascii="Arial" w:hAnsi="Arial" w:cs="Arial"/>
              </w:rPr>
            </w:pPr>
            <w:r w:rsidRPr="00620466">
              <w:rPr>
                <w:rFonts w:ascii="Arial" w:eastAsia="Arial" w:hAnsi="Arial" w:cs="Arial"/>
              </w:rPr>
              <w:t>6.67</w:t>
            </w:r>
          </w:p>
        </w:tc>
      </w:tr>
    </w:tbl>
    <w:p w14:paraId="3D106AF0" w14:textId="77777777" w:rsidR="00620466" w:rsidRDefault="00620466" w:rsidP="00620466">
      <w:pPr>
        <w:ind w:firstLine="283"/>
        <w:jc w:val="both"/>
        <w:rPr>
          <w:rFonts w:ascii="Arial" w:eastAsia="Arial" w:hAnsi="Arial" w:cs="Arial"/>
        </w:rPr>
      </w:pPr>
    </w:p>
    <w:p w14:paraId="39E33D39" w14:textId="77777777" w:rsidR="00620466" w:rsidRPr="00620466" w:rsidRDefault="00620466" w:rsidP="00ED39DB">
      <w:pPr>
        <w:jc w:val="both"/>
        <w:rPr>
          <w:rFonts w:ascii="Arial" w:hAnsi="Arial" w:cs="Arial"/>
        </w:rPr>
      </w:pPr>
      <w:r w:rsidRPr="00620466">
        <w:rPr>
          <w:rFonts w:ascii="Arial" w:eastAsia="Arial" w:hAnsi="Arial" w:cs="Arial"/>
        </w:rPr>
        <w:t xml:space="preserve">The results show that the proposed device is highly energy-efficient in terms of electrical consumption: even a 15 min sanitation cycle requires only approximately 5 </w:t>
      </w:r>
      <w:r w:rsidR="00205771">
        <w:rPr>
          <w:rFonts w:ascii="Arial" w:eastAsia="Arial" w:hAnsi="Arial" w:cs="Arial"/>
        </w:rPr>
        <w:t>Wh</w:t>
      </w:r>
      <w:r w:rsidRPr="00620466">
        <w:rPr>
          <w:rFonts w:ascii="Arial" w:eastAsia="Arial" w:hAnsi="Arial" w:cs="Arial"/>
        </w:rPr>
        <w:t>. The technological effect is therefore not limited by energy cost; rather, it is determined by correct positioning of the source, sufficient dose, absence of shadow zones and stable operating procedures.</w:t>
      </w:r>
    </w:p>
    <w:p w14:paraId="5DB08AD9" w14:textId="77777777" w:rsidR="00620466" w:rsidRPr="00620466" w:rsidRDefault="00620466" w:rsidP="00ED39DB">
      <w:pPr>
        <w:jc w:val="both"/>
        <w:rPr>
          <w:rFonts w:ascii="Arial" w:hAnsi="Arial" w:cs="Arial"/>
        </w:rPr>
      </w:pPr>
      <w:r w:rsidRPr="00620466">
        <w:rPr>
          <w:rFonts w:ascii="Arial" w:eastAsia="Arial" w:hAnsi="Arial" w:cs="Arial"/>
        </w:rPr>
        <w:t>For engineering design, the exposure time can be selected using the target dose and measured irradiance. For example, if the minimum measured irradiance at the least illuminated inner surface is 2.0 W/m</w:t>
      </w:r>
      <w:r w:rsidR="00A44B6E" w:rsidRPr="00A44B6E">
        <w:rPr>
          <w:rFonts w:ascii="Arial" w:eastAsia="Arial" w:hAnsi="Arial" w:cs="Arial"/>
          <w:vertAlign w:val="superscript"/>
        </w:rPr>
        <w:t>2</w:t>
      </w:r>
      <w:r w:rsidRPr="00620466">
        <w:rPr>
          <w:rFonts w:ascii="Arial" w:eastAsia="Arial" w:hAnsi="Arial" w:cs="Arial"/>
        </w:rPr>
        <w:t xml:space="preserve"> and the target finishing dose is 400 J/m</w:t>
      </w:r>
      <w:r w:rsidR="00A44B6E" w:rsidRPr="00A44B6E">
        <w:rPr>
          <w:rFonts w:ascii="Arial" w:eastAsia="Arial" w:hAnsi="Arial" w:cs="Arial"/>
          <w:vertAlign w:val="superscript"/>
        </w:rPr>
        <w:t>2</w:t>
      </w:r>
      <w:r w:rsidRPr="00620466">
        <w:rPr>
          <w:rFonts w:ascii="Arial" w:eastAsia="Arial" w:hAnsi="Arial" w:cs="Arial"/>
        </w:rPr>
        <w:t>, the exposure time should be 200 s. If the minimum irradiance decreases to 1.0 W/m</w:t>
      </w:r>
      <w:r w:rsidR="00A44B6E" w:rsidRPr="00A44B6E">
        <w:rPr>
          <w:rFonts w:ascii="Arial" w:eastAsia="Arial" w:hAnsi="Arial" w:cs="Arial"/>
          <w:vertAlign w:val="superscript"/>
        </w:rPr>
        <w:t>2</w:t>
      </w:r>
      <w:r w:rsidRPr="00620466">
        <w:rPr>
          <w:rFonts w:ascii="Arial" w:eastAsia="Arial" w:hAnsi="Arial" w:cs="Arial"/>
        </w:rPr>
        <w:t xml:space="preserve"> because of increased distance or shadowing, the exposure time must be increased to 400 s. This illustrates </w:t>
      </w:r>
      <w:r w:rsidR="00085217">
        <w:rPr>
          <w:rFonts w:ascii="Arial" w:eastAsia="Arial" w:hAnsi="Arial" w:cs="Arial"/>
        </w:rPr>
        <w:t>wh</w:t>
      </w:r>
      <w:r w:rsidRPr="00620466">
        <w:rPr>
          <w:rFonts w:ascii="Arial" w:eastAsia="Arial" w:hAnsi="Arial" w:cs="Arial"/>
        </w:rPr>
        <w:t>y fixed nominal power alone is insufficient for validating a UV-C sanitation process.</w:t>
      </w:r>
    </w:p>
    <w:p w14:paraId="58CB8A30" w14:textId="77777777" w:rsidR="00620466" w:rsidRDefault="00620466" w:rsidP="00ED39DB">
      <w:pPr>
        <w:jc w:val="both"/>
        <w:rPr>
          <w:rFonts w:ascii="Arial" w:eastAsia="Arial" w:hAnsi="Arial" w:cs="Arial"/>
        </w:rPr>
      </w:pPr>
      <w:r w:rsidRPr="00620466">
        <w:rPr>
          <w:rFonts w:ascii="Arial" w:eastAsia="Arial" w:hAnsi="Arial" w:cs="Arial"/>
        </w:rPr>
        <w:t>Food-contact surface studies demonstrate that UV-C devices can provide substantial microbial reductions, but the achieved result strongly depends on dose and surface conditions (Sharma et al., 2023; Galie et al., 2018). Therefore, for industrial implementation of UBZTT-20, a validation protocol should include microbiological swab tests before washing, after washing and after UV-C treatment. This will allow determination of the additional log reduction attributable specifically to the UV-C finishing step.</w:t>
      </w:r>
    </w:p>
    <w:p w14:paraId="138127BC" w14:textId="77777777" w:rsidR="00ED39DB" w:rsidRPr="00620466" w:rsidRDefault="00ED39DB" w:rsidP="00ED39DB">
      <w:pPr>
        <w:jc w:val="both"/>
        <w:rPr>
          <w:rFonts w:ascii="Arial" w:hAnsi="Arial" w:cs="Arial"/>
        </w:rPr>
      </w:pPr>
    </w:p>
    <w:p w14:paraId="5CDE1809" w14:textId="77777777" w:rsidR="00620466" w:rsidRDefault="00620466" w:rsidP="00ED39DB">
      <w:pPr>
        <w:jc w:val="both"/>
        <w:rPr>
          <w:rFonts w:ascii="Arial" w:eastAsia="Arial" w:hAnsi="Arial" w:cs="Arial"/>
          <w:b/>
          <w:sz w:val="22"/>
          <w:szCs w:val="22"/>
        </w:rPr>
      </w:pPr>
      <w:r w:rsidRPr="00620466">
        <w:rPr>
          <w:rFonts w:ascii="Arial" w:eastAsia="Arial" w:hAnsi="Arial" w:cs="Arial"/>
          <w:b/>
          <w:sz w:val="22"/>
          <w:szCs w:val="22"/>
        </w:rPr>
        <w:t>3.3 Operating Algorithm and Safety Requirements</w:t>
      </w:r>
    </w:p>
    <w:p w14:paraId="4F4CE8B6" w14:textId="77777777" w:rsidR="00ED39DB" w:rsidRDefault="00ED39DB" w:rsidP="00ED39DB">
      <w:pPr>
        <w:jc w:val="both"/>
        <w:rPr>
          <w:rFonts w:ascii="Arial" w:eastAsia="Arial" w:hAnsi="Arial" w:cs="Arial"/>
          <w:b/>
          <w:sz w:val="22"/>
          <w:szCs w:val="22"/>
        </w:rPr>
      </w:pPr>
    </w:p>
    <w:p w14:paraId="548866FB" w14:textId="77777777" w:rsidR="00620466" w:rsidRPr="00620466" w:rsidRDefault="00620466" w:rsidP="00ED39DB">
      <w:pPr>
        <w:ind w:firstLine="283"/>
        <w:jc w:val="both"/>
        <w:rPr>
          <w:rFonts w:ascii="Arial" w:hAnsi="Arial" w:cs="Arial"/>
        </w:rPr>
      </w:pPr>
      <w:r w:rsidRPr="00620466">
        <w:rPr>
          <w:rFonts w:ascii="Arial" w:eastAsia="Arial" w:hAnsi="Arial" w:cs="Arial"/>
        </w:rPr>
        <w:t>The recommended sanitation algorithm is as follows: 1 - remove residual milk from the container; 2 - wash the internal surfaces using an accepted detergent procedure; 3 - rinse and drain the container; 4 - place the UBZTT-20 unit in the working position; 5 - close or shield the treated volume; 6 - activate the UV-C source for the selected exposure time; 7 - automatically switch off the source after the cycle; 8 - remove the device and use the container for milk transportation.</w:t>
      </w:r>
    </w:p>
    <w:p w14:paraId="0FE3955C" w14:textId="77777777" w:rsidR="00620466" w:rsidRPr="00620466" w:rsidRDefault="00620466" w:rsidP="00620466">
      <w:pPr>
        <w:ind w:firstLine="283"/>
        <w:jc w:val="both"/>
        <w:rPr>
          <w:rFonts w:ascii="Arial" w:hAnsi="Arial" w:cs="Arial"/>
        </w:rPr>
      </w:pPr>
      <w:r w:rsidRPr="00620466">
        <w:rPr>
          <w:rFonts w:ascii="Arial" w:eastAsia="Arial" w:hAnsi="Arial" w:cs="Arial"/>
        </w:rPr>
        <w:t>The possibility of operation from 12 V or 24 V DC power sources increases the practical applicability of the UBZTT-20 unit. In stationary operation, the unit may be connected through a stabilized low-voltage power supply. In mobile conditions, it may be powered from an autonomous battery or the electrical system of a vehicle, provided that the voltage, current and protection requirements of the UV-C module are met.</w:t>
      </w:r>
    </w:p>
    <w:p w14:paraId="28E5ACA9" w14:textId="77777777" w:rsidR="00620466" w:rsidRPr="00620466" w:rsidRDefault="00620466" w:rsidP="00620466">
      <w:pPr>
        <w:ind w:firstLine="283"/>
        <w:jc w:val="both"/>
        <w:rPr>
          <w:rFonts w:ascii="Arial" w:hAnsi="Arial" w:cs="Arial"/>
        </w:rPr>
      </w:pPr>
      <w:r w:rsidRPr="00620466">
        <w:rPr>
          <w:rFonts w:ascii="Arial" w:eastAsia="Arial" w:hAnsi="Arial" w:cs="Arial"/>
        </w:rPr>
        <w:t xml:space="preserve">For safe operation, the low-voltage supply circuit should include overcurrent protection, reverse-polarity protection and reliable insulation of electrical connections. </w:t>
      </w:r>
      <w:r w:rsidR="00085217">
        <w:rPr>
          <w:rFonts w:ascii="Arial" w:eastAsia="Arial" w:hAnsi="Arial" w:cs="Arial"/>
        </w:rPr>
        <w:t>Wh</w:t>
      </w:r>
      <w:r w:rsidRPr="00620466">
        <w:rPr>
          <w:rFonts w:ascii="Arial" w:eastAsia="Arial" w:hAnsi="Arial" w:cs="Arial"/>
        </w:rPr>
        <w:t xml:space="preserve">en the device is used in humid environments after washing of containers, all electrical connectors should be protected against moisture ingress, and the control unit should be placed outside the direct wet zone. The use of </w:t>
      </w:r>
      <w:commentRangeStart w:id="24"/>
      <w:r w:rsidRPr="00620466">
        <w:rPr>
          <w:rFonts w:ascii="Arial" w:eastAsia="Arial" w:hAnsi="Arial" w:cs="Arial"/>
        </w:rPr>
        <w:t>12 V or 24 V supply reduces electrical risk for the operator, but it does not eliminate the need for protection against UV-C exposure</w:t>
      </w:r>
      <w:commentRangeEnd w:id="24"/>
      <w:r w:rsidR="00743616">
        <w:rPr>
          <w:rStyle w:val="CommentReference"/>
          <w:rFonts w:ascii="Times New Roman" w:hAnsi="Times New Roman"/>
          <w:lang w:val="nb-NO" w:eastAsia="nb-NO"/>
        </w:rPr>
        <w:commentReference w:id="24"/>
      </w:r>
      <w:r w:rsidRPr="00620466">
        <w:rPr>
          <w:rFonts w:ascii="Arial" w:eastAsia="Arial" w:hAnsi="Arial" w:cs="Arial"/>
        </w:rPr>
        <w:t>.</w:t>
      </w:r>
    </w:p>
    <w:p w14:paraId="0E1D98C1" w14:textId="77777777" w:rsidR="00620466" w:rsidRPr="00620466" w:rsidRDefault="00620466" w:rsidP="00620466">
      <w:pPr>
        <w:ind w:firstLine="283"/>
        <w:jc w:val="both"/>
        <w:rPr>
          <w:rFonts w:ascii="Arial" w:hAnsi="Arial" w:cs="Arial"/>
        </w:rPr>
      </w:pPr>
      <w:r w:rsidRPr="00620466">
        <w:rPr>
          <w:rFonts w:ascii="Arial" w:eastAsia="Arial" w:hAnsi="Arial" w:cs="Arial"/>
        </w:rPr>
        <w:t xml:space="preserve">Because UV-C radiation is hazardous for eyes and skin, the system must include engineering controls preventing direct exposure of the operator. The control circuit should include an interlock preventing lamp operation </w:t>
      </w:r>
      <w:r w:rsidR="00085217">
        <w:rPr>
          <w:rFonts w:ascii="Arial" w:eastAsia="Arial" w:hAnsi="Arial" w:cs="Arial"/>
        </w:rPr>
        <w:t>wh</w:t>
      </w:r>
      <w:r w:rsidRPr="00620466">
        <w:rPr>
          <w:rFonts w:ascii="Arial" w:eastAsia="Arial" w:hAnsi="Arial" w:cs="Arial"/>
        </w:rPr>
        <w:t xml:space="preserve">en the container is open or the device is not fixed in the correct position, a timer, clear operation indication and emergency shutdown. </w:t>
      </w:r>
      <w:r w:rsidRPr="00620466">
        <w:rPr>
          <w:rFonts w:ascii="Arial" w:eastAsia="Arial" w:hAnsi="Arial" w:cs="Arial"/>
        </w:rPr>
        <w:lastRenderedPageBreak/>
        <w:t xml:space="preserve">These requirements are consistent with the previously analysed danger of using ultraviolet lamps in electrical systems, </w:t>
      </w:r>
      <w:r w:rsidR="00085217">
        <w:rPr>
          <w:rFonts w:ascii="Arial" w:eastAsia="Arial" w:hAnsi="Arial" w:cs="Arial"/>
        </w:rPr>
        <w:t>wh</w:t>
      </w:r>
      <w:r w:rsidRPr="00620466">
        <w:rPr>
          <w:rFonts w:ascii="Arial" w:eastAsia="Arial" w:hAnsi="Arial" w:cs="Arial"/>
        </w:rPr>
        <w:t>ere photobiological safety was shown to be a key condition for practical application of UV equipment (Semenov et al., 2024b).</w:t>
      </w:r>
    </w:p>
    <w:p w14:paraId="2079D0EC" w14:textId="77777777" w:rsidR="00E053D0" w:rsidRDefault="00620466" w:rsidP="00ED39DB">
      <w:pPr>
        <w:pStyle w:val="Body"/>
        <w:spacing w:after="0"/>
        <w:rPr>
          <w:rFonts w:ascii="Arial" w:hAnsi="Arial" w:cs="Arial"/>
        </w:rPr>
      </w:pPr>
      <w:r w:rsidRPr="00620466">
        <w:rPr>
          <w:rFonts w:ascii="Arial" w:eastAsia="Arial" w:hAnsi="Arial" w:cs="Arial"/>
        </w:rPr>
        <w:t xml:space="preserve">In the context of food safety management, the UBZTT-20 unit can be integrated into prerequisite </w:t>
      </w:r>
      <w:r w:rsidR="00085217" w:rsidRPr="00620466">
        <w:rPr>
          <w:rFonts w:ascii="Arial" w:eastAsia="Arial" w:hAnsi="Arial" w:cs="Arial"/>
        </w:rPr>
        <w:t>programmes</w:t>
      </w:r>
      <w:r w:rsidRPr="00620466">
        <w:rPr>
          <w:rFonts w:ascii="Arial" w:eastAsia="Arial" w:hAnsi="Arial" w:cs="Arial"/>
        </w:rPr>
        <w:t xml:space="preserve"> and sanitation standard operating procedures. ISO 22000 specifies food safety management system requirements for organizations in the food chain and requires the control of food safety hazards (International Organization for Standardization, n.d.). The developed UV-C device can therefore be considered a technical measure within the sanitation-control</w:t>
      </w:r>
      <w:r>
        <w:rPr>
          <w:rFonts w:ascii="Arial" w:eastAsia="Arial" w:hAnsi="Arial"/>
        </w:rPr>
        <w:t xml:space="preserve"> system, provided that it is validated, documented and periodically monitored.</w:t>
      </w:r>
    </w:p>
    <w:p w14:paraId="7C50B909" w14:textId="77777777" w:rsidR="00790ADA" w:rsidRPr="00FB3A86" w:rsidRDefault="00790ADA" w:rsidP="00ED39DB">
      <w:pPr>
        <w:pStyle w:val="Body"/>
        <w:spacing w:after="0"/>
        <w:rPr>
          <w:rFonts w:ascii="Arial" w:hAnsi="Arial" w:cs="Arial"/>
        </w:rPr>
      </w:pPr>
    </w:p>
    <w:p w14:paraId="7C7058FC" w14:textId="77777777" w:rsidR="00807324" w:rsidRPr="00AC65EB" w:rsidRDefault="00807324" w:rsidP="00807324">
      <w:pPr>
        <w:spacing w:before="100" w:beforeAutospacing="1" w:after="100" w:afterAutospacing="1"/>
        <w:rPr>
          <w:rFonts w:ascii="Times New Roman" w:hAnsi="Times New Roman"/>
          <w:sz w:val="24"/>
          <w:szCs w:val="24"/>
        </w:rPr>
      </w:pPr>
      <w:r w:rsidRPr="00AC65EB">
        <w:rPr>
          <w:rFonts w:ascii="Times New Roman" w:hAnsi="Times New Roman"/>
          <w:b/>
          <w:bCs/>
          <w:sz w:val="24"/>
          <w:szCs w:val="24"/>
        </w:rPr>
        <w:t>Conclusions</w:t>
      </w:r>
    </w:p>
    <w:p w14:paraId="7D12B604" w14:textId="77777777" w:rsidR="00807324" w:rsidRPr="00AC65EB" w:rsidRDefault="00807324" w:rsidP="00807324">
      <w:pPr>
        <w:spacing w:before="100" w:beforeAutospacing="1" w:after="100" w:afterAutospacing="1"/>
        <w:rPr>
          <w:rFonts w:ascii="Times New Roman" w:hAnsi="Times New Roman"/>
          <w:sz w:val="24"/>
          <w:szCs w:val="24"/>
        </w:rPr>
      </w:pPr>
      <w:r w:rsidRPr="00AC65EB">
        <w:rPr>
          <w:rFonts w:ascii="Times New Roman" w:hAnsi="Times New Roman"/>
          <w:sz w:val="24"/>
          <w:szCs w:val="24"/>
        </w:rPr>
        <w:t>A compact low-voltage ultraviolet-C electrotechnical system for finishing sanitation of milk-transport containers was developed and analytically substantiated. The UBZTT-20 prototype is intended for use after mechanical washing, detergent cleaning, rinsing and draining, and is not proposed as a replacement for standard sanitation procedures. The unit has an installed electrical power of 20 W, dimensions of 550 × 160 × 160 mm, a mass of 3 kg and a recommended treated volume of up to 5 m³. Operation from 12 V or 24 V direct-current sources supports use in stationary and mobile conditions. The calculated specific installed power is 4 W/m³, and the estimated energy consumption ranges from 1.67 Wh for a 5 min cycle to 6.67 Wh for a 20 min cycle. The engineering analysis confirms low electrical-energy demand and practical portability of the system. However, the sanitation effect depends on delivered ultraviolet-C dose, exposure time, surface cleanliness, source position, container geometry and absence of shadowed zones. Before practical implementation, microbiological validation using surface swab tests is required to determine the additional microbial reduction provided by the ultraviolet-C finishing stage</w:t>
      </w:r>
      <w:commentRangeStart w:id="25"/>
      <w:r w:rsidRPr="00AC65EB">
        <w:rPr>
          <w:rFonts w:ascii="Times New Roman" w:hAnsi="Times New Roman"/>
          <w:sz w:val="24"/>
          <w:szCs w:val="24"/>
        </w:rPr>
        <w:t>.</w:t>
      </w:r>
      <w:commentRangeEnd w:id="25"/>
      <w:r w:rsidR="00743616">
        <w:rPr>
          <w:rStyle w:val="CommentReference"/>
          <w:rFonts w:ascii="Times New Roman" w:hAnsi="Times New Roman"/>
          <w:lang w:val="nb-NO" w:eastAsia="nb-NO"/>
        </w:rPr>
        <w:commentReference w:id="25"/>
      </w:r>
    </w:p>
    <w:p w14:paraId="51DDA06D" w14:textId="77777777" w:rsidR="00807324" w:rsidRPr="00AC65EB" w:rsidRDefault="00807324" w:rsidP="00807324">
      <w:pPr>
        <w:spacing w:before="100" w:beforeAutospacing="1" w:after="100" w:afterAutospacing="1"/>
        <w:rPr>
          <w:rFonts w:ascii="Times New Roman" w:hAnsi="Times New Roman"/>
          <w:sz w:val="24"/>
          <w:szCs w:val="24"/>
        </w:rPr>
      </w:pPr>
      <w:r w:rsidRPr="00AC65EB">
        <w:rPr>
          <w:rFonts w:ascii="Times New Roman" w:hAnsi="Times New Roman"/>
          <w:b/>
          <w:bCs/>
          <w:sz w:val="24"/>
          <w:szCs w:val="24"/>
        </w:rPr>
        <w:t>Limitations</w:t>
      </w:r>
    </w:p>
    <w:p w14:paraId="3E6061DF" w14:textId="77777777" w:rsidR="00807324" w:rsidRPr="00AC65EB" w:rsidRDefault="00807324" w:rsidP="00807324">
      <w:pPr>
        <w:spacing w:before="100" w:beforeAutospacing="1" w:after="100" w:afterAutospacing="1"/>
        <w:rPr>
          <w:rFonts w:ascii="Times New Roman" w:hAnsi="Times New Roman"/>
          <w:sz w:val="24"/>
          <w:szCs w:val="24"/>
        </w:rPr>
      </w:pPr>
      <w:r w:rsidRPr="00AC65EB">
        <w:rPr>
          <w:rFonts w:ascii="Times New Roman" w:hAnsi="Times New Roman"/>
          <w:sz w:val="24"/>
          <w:szCs w:val="24"/>
        </w:rPr>
        <w:t>This study was limited to engineering development and analytical substantiation of the UBZTT-20 prototype. No direct microbiological experiment was performed, and therefore the actual reduction of microorganisms on milk-transport container surfaces was not determined. The ultraviolet-C dose was considered using a simplified irradiance–time relationship, while real container geometry may create uneven exposure, shadowed areas and surface zones receiving lower irradiance. The study did not include measured irradiance distribution inside different container types, nor did it evaluate the influence of surface roughness, residual moisture, organic deposits or protective sleeve contamination on bactericidal performance. The useful life of the ultraviolet-C source and long-term stability of the delivered dose were not experimentally assessed. Further work should include surface swab testing before washing, after washing and after ultraviolet-C treatment at selected exposure times, together with irradiance measurements at the least-exposed accessible surface zones.</w:t>
      </w:r>
    </w:p>
    <w:p w14:paraId="12976D8C" w14:textId="77777777" w:rsidR="00807324" w:rsidRDefault="00807324" w:rsidP="00807324"/>
    <w:p w14:paraId="52AF5FB5" w14:textId="77777777" w:rsidR="00807324" w:rsidRPr="000839CE" w:rsidRDefault="00807324" w:rsidP="00807324">
      <w:pPr>
        <w:rPr>
          <w:rFonts w:ascii="Times New Roman" w:hAnsi="Times New Roman"/>
          <w:b/>
        </w:rPr>
      </w:pPr>
      <w:r w:rsidRPr="000839CE">
        <w:rPr>
          <w:rFonts w:ascii="Times New Roman" w:hAnsi="Times New Roman"/>
          <w:b/>
        </w:rPr>
        <w:t>Declaration of AI Use</w:t>
      </w:r>
    </w:p>
    <w:p w14:paraId="2CF772A1" w14:textId="77777777" w:rsidR="00807324" w:rsidRPr="000839CE" w:rsidRDefault="00807324" w:rsidP="00807324">
      <w:pPr>
        <w:rPr>
          <w:rFonts w:ascii="Times New Roman" w:hAnsi="Times New Roman"/>
        </w:rPr>
      </w:pPr>
    </w:p>
    <w:p w14:paraId="2BF55618" w14:textId="77777777" w:rsidR="00807324" w:rsidRPr="000839CE" w:rsidRDefault="00807324" w:rsidP="00807324">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DF12B3E" w14:textId="77777777" w:rsidR="0000282E" w:rsidRPr="0000282E" w:rsidRDefault="0000282E" w:rsidP="00441B6F">
      <w:pPr>
        <w:pStyle w:val="Body"/>
        <w:spacing w:after="0"/>
        <w:rPr>
          <w:rFonts w:ascii="Arial" w:hAnsi="Arial" w:cs="Arial"/>
          <w:lang w:val="en-GB"/>
        </w:rPr>
      </w:pPr>
    </w:p>
    <w:p w14:paraId="791E03FF" w14:textId="77777777" w:rsidR="00ED39DB" w:rsidRDefault="00ED39DB" w:rsidP="00441B6F">
      <w:pPr>
        <w:pStyle w:val="ReferHead"/>
        <w:spacing w:after="0"/>
        <w:jc w:val="both"/>
        <w:rPr>
          <w:rFonts w:ascii="Arial" w:hAnsi="Arial" w:cs="Arial"/>
          <w:b w:val="0"/>
          <w:caps w:val="0"/>
          <w:sz w:val="20"/>
        </w:rPr>
      </w:pPr>
    </w:p>
    <w:p w14:paraId="0F8C41A1"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12BE77DC" w14:textId="77777777" w:rsidR="00790ADA" w:rsidRPr="00FB3A86" w:rsidRDefault="00790ADA" w:rsidP="00441B6F">
      <w:pPr>
        <w:pStyle w:val="ReferHead"/>
        <w:spacing w:after="0"/>
        <w:jc w:val="both"/>
        <w:rPr>
          <w:rFonts w:ascii="Arial" w:hAnsi="Arial" w:cs="Arial"/>
        </w:rPr>
      </w:pPr>
    </w:p>
    <w:p w14:paraId="3008F981"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Koca, N., Urgu, M., &amp; Saatli, T. E. (2018). Ultraviolet light applications in dairy processing. In </w:t>
      </w:r>
      <w:r w:rsidRPr="002D314D">
        <w:rPr>
          <w:rStyle w:val="Emphasis"/>
          <w:rFonts w:ascii="Arial" w:hAnsi="Arial" w:cs="Arial"/>
          <w:sz w:val="20"/>
          <w:szCs w:val="20"/>
          <w:lang w:val="en-GB"/>
        </w:rPr>
        <w:t>Dairy in Human Health and Disease across the Lifespan</w:t>
      </w:r>
      <w:r w:rsidRPr="002D314D">
        <w:rPr>
          <w:rFonts w:ascii="Arial" w:hAnsi="Arial" w:cs="Arial"/>
          <w:sz w:val="20"/>
          <w:szCs w:val="20"/>
          <w:lang w:val="en-GB"/>
        </w:rPr>
        <w:t xml:space="preserve">. IntechOpen. </w:t>
      </w:r>
      <w:hyperlink r:id="rId20" w:history="1">
        <w:r w:rsidRPr="002D314D">
          <w:rPr>
            <w:rStyle w:val="Hyperlink"/>
            <w:rFonts w:ascii="Arial" w:hAnsi="Arial" w:cs="Arial"/>
            <w:color w:val="auto"/>
            <w:sz w:val="20"/>
            <w:szCs w:val="20"/>
            <w:lang w:val="en-GB"/>
          </w:rPr>
          <w:t>https://doi.org/10.5772/intechopen.74291</w:t>
        </w:r>
      </w:hyperlink>
    </w:p>
    <w:p w14:paraId="6358A7BF"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Chawla, A., Lobacz, A., Tarapata, J., &amp; Zulewska, J. (2021). UV light application as a mean for disinfection applied in the dairy industry. </w:t>
      </w:r>
      <w:r w:rsidRPr="002D314D">
        <w:rPr>
          <w:rStyle w:val="Emphasis"/>
          <w:rFonts w:ascii="Arial" w:hAnsi="Arial" w:cs="Arial"/>
          <w:sz w:val="20"/>
          <w:szCs w:val="20"/>
          <w:lang w:val="en-GB"/>
        </w:rPr>
        <w:t>Applied Sciences, 11</w:t>
      </w:r>
      <w:r w:rsidRPr="002D314D">
        <w:rPr>
          <w:rFonts w:ascii="Arial" w:hAnsi="Arial" w:cs="Arial"/>
          <w:sz w:val="20"/>
          <w:szCs w:val="20"/>
          <w:lang w:val="en-GB"/>
        </w:rPr>
        <w:t xml:space="preserve">, 7285. </w:t>
      </w:r>
      <w:hyperlink r:id="rId21" w:history="1">
        <w:r w:rsidRPr="002D314D">
          <w:rPr>
            <w:rStyle w:val="Hyperlink"/>
            <w:rFonts w:ascii="Arial" w:hAnsi="Arial" w:cs="Arial"/>
            <w:color w:val="auto"/>
            <w:sz w:val="20"/>
            <w:szCs w:val="20"/>
            <w:lang w:val="en-GB"/>
          </w:rPr>
          <w:t>https://doi.org/10.3390/app11167285</w:t>
        </w:r>
      </w:hyperlink>
    </w:p>
    <w:p w14:paraId="5B283B14"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Sharma, A., Mahmoud, H., Pendyala, B., Balamurugan, S., &amp; Patras, A. (2023). UV-C inactivation of microorganisms in droplets on food contact surfaces using UV-C light-emitting diode devices. </w:t>
      </w:r>
      <w:r w:rsidRPr="002D314D">
        <w:rPr>
          <w:rStyle w:val="Emphasis"/>
          <w:rFonts w:ascii="Arial" w:hAnsi="Arial" w:cs="Arial"/>
          <w:sz w:val="20"/>
          <w:szCs w:val="20"/>
          <w:lang w:val="en-GB"/>
        </w:rPr>
        <w:t>Frontiers in Food Science and Technology, 3</w:t>
      </w:r>
      <w:r w:rsidRPr="002D314D">
        <w:rPr>
          <w:rFonts w:ascii="Arial" w:hAnsi="Arial" w:cs="Arial"/>
          <w:sz w:val="20"/>
          <w:szCs w:val="20"/>
          <w:lang w:val="en-GB"/>
        </w:rPr>
        <w:t xml:space="preserve">, 1182765. </w:t>
      </w:r>
      <w:hyperlink r:id="rId22" w:history="1">
        <w:r w:rsidRPr="002D314D">
          <w:rPr>
            <w:rStyle w:val="Hyperlink"/>
            <w:rFonts w:ascii="Arial" w:hAnsi="Arial" w:cs="Arial"/>
            <w:color w:val="auto"/>
            <w:sz w:val="20"/>
            <w:szCs w:val="20"/>
            <w:lang w:val="en-GB"/>
          </w:rPr>
          <w:t>https://doi.org/10.3389/frfst.2023.1182765</w:t>
        </w:r>
      </w:hyperlink>
    </w:p>
    <w:p w14:paraId="316F4F4D"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Matak, K. E., Churey, J. J., Worobo, R. W., Sumner, S. S., Hovingh, E., Hackney, C. R., et al. (2005). Efficacy of UV light for the reduction of </w:t>
      </w:r>
      <w:r w:rsidRPr="002D314D">
        <w:rPr>
          <w:rStyle w:val="Emphasis"/>
          <w:rFonts w:ascii="Arial" w:hAnsi="Arial" w:cs="Arial"/>
          <w:sz w:val="20"/>
          <w:szCs w:val="20"/>
          <w:lang w:val="en-GB"/>
        </w:rPr>
        <w:t>Listeria monocytogenes</w:t>
      </w:r>
      <w:r w:rsidRPr="002D314D">
        <w:rPr>
          <w:rFonts w:ascii="Arial" w:hAnsi="Arial" w:cs="Arial"/>
          <w:sz w:val="20"/>
          <w:szCs w:val="20"/>
          <w:lang w:val="en-GB"/>
        </w:rPr>
        <w:t xml:space="preserve"> in goat’s milk. </w:t>
      </w:r>
      <w:r w:rsidRPr="002D314D">
        <w:rPr>
          <w:rStyle w:val="Emphasis"/>
          <w:rFonts w:ascii="Arial" w:hAnsi="Arial" w:cs="Arial"/>
          <w:sz w:val="20"/>
          <w:szCs w:val="20"/>
          <w:lang w:val="en-GB"/>
        </w:rPr>
        <w:t>Journal of Food Protection, 68</w:t>
      </w:r>
      <w:r w:rsidRPr="002D314D">
        <w:rPr>
          <w:rFonts w:ascii="Arial" w:hAnsi="Arial" w:cs="Arial"/>
          <w:sz w:val="20"/>
          <w:szCs w:val="20"/>
          <w:lang w:val="en-GB"/>
        </w:rPr>
        <w:t xml:space="preserve">(10), 2212–2216. </w:t>
      </w:r>
      <w:hyperlink r:id="rId23" w:history="1">
        <w:r w:rsidRPr="002D314D">
          <w:rPr>
            <w:rStyle w:val="Hyperlink"/>
            <w:rFonts w:ascii="Arial" w:hAnsi="Arial" w:cs="Arial"/>
            <w:color w:val="auto"/>
            <w:sz w:val="20"/>
            <w:szCs w:val="20"/>
            <w:lang w:val="en-GB"/>
          </w:rPr>
          <w:t>https://doi.org/10.4315/0362-028X-68.10.2212</w:t>
        </w:r>
      </w:hyperlink>
    </w:p>
    <w:p w14:paraId="1641F911"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Galié, S., García-Gutiérrez, C., Miguélez, E. M., Villar, C. J., &amp; Lombó, F. (2018). Biofilms in the food industry: Health aspects and control methods. </w:t>
      </w:r>
      <w:r w:rsidRPr="002D314D">
        <w:rPr>
          <w:rStyle w:val="Emphasis"/>
          <w:rFonts w:ascii="Arial" w:hAnsi="Arial" w:cs="Arial"/>
          <w:sz w:val="20"/>
          <w:szCs w:val="20"/>
          <w:lang w:val="en-GB"/>
        </w:rPr>
        <w:t>Frontiers in Microbiology, 9</w:t>
      </w:r>
      <w:r w:rsidRPr="002D314D">
        <w:rPr>
          <w:rFonts w:ascii="Arial" w:hAnsi="Arial" w:cs="Arial"/>
          <w:sz w:val="20"/>
          <w:szCs w:val="20"/>
          <w:lang w:val="en-GB"/>
        </w:rPr>
        <w:t xml:space="preserve">, 898. </w:t>
      </w:r>
      <w:hyperlink r:id="rId24" w:history="1">
        <w:r w:rsidRPr="002D314D">
          <w:rPr>
            <w:rStyle w:val="Hyperlink"/>
            <w:rFonts w:ascii="Arial" w:hAnsi="Arial" w:cs="Arial"/>
            <w:color w:val="auto"/>
            <w:sz w:val="20"/>
            <w:szCs w:val="20"/>
            <w:lang w:val="en-GB"/>
          </w:rPr>
          <w:t>https://doi.org/10.3389/fmicb.2018.00898</w:t>
        </w:r>
      </w:hyperlink>
    </w:p>
    <w:p w14:paraId="7BFCCE93"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International Organization for Standardization. (n.d.). </w:t>
      </w:r>
      <w:r w:rsidRPr="002D314D">
        <w:rPr>
          <w:rStyle w:val="Emphasis"/>
          <w:rFonts w:ascii="Arial" w:hAnsi="Arial" w:cs="Arial"/>
          <w:sz w:val="20"/>
          <w:szCs w:val="20"/>
          <w:lang w:val="en-GB"/>
        </w:rPr>
        <w:t>ISO 22000 — Food safety management</w:t>
      </w:r>
      <w:r w:rsidRPr="002D314D">
        <w:rPr>
          <w:rFonts w:ascii="Arial" w:hAnsi="Arial" w:cs="Arial"/>
          <w:sz w:val="20"/>
          <w:szCs w:val="20"/>
          <w:lang w:val="en-GB"/>
        </w:rPr>
        <w:t xml:space="preserve">. ISO, Geneva. Available online: </w:t>
      </w:r>
      <w:hyperlink r:id="rId25" w:history="1">
        <w:r w:rsidRPr="002D314D">
          <w:rPr>
            <w:rStyle w:val="Hyperlink"/>
            <w:rFonts w:ascii="Arial" w:hAnsi="Arial" w:cs="Arial"/>
            <w:color w:val="auto"/>
            <w:sz w:val="20"/>
            <w:szCs w:val="20"/>
            <w:lang w:val="en-GB"/>
          </w:rPr>
          <w:t>https://www.iso.org/iso-22000-food-safety-management.html</w:t>
        </w:r>
      </w:hyperlink>
    </w:p>
    <w:p w14:paraId="2C8DCF98"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Holah, J., Lelieveld, H., &amp; Gabric, D. (2016). </w:t>
      </w:r>
      <w:r w:rsidRPr="002D314D">
        <w:rPr>
          <w:rStyle w:val="Emphasis"/>
          <w:rFonts w:ascii="Arial" w:hAnsi="Arial" w:cs="Arial"/>
          <w:sz w:val="20"/>
          <w:szCs w:val="20"/>
          <w:lang w:val="en-GB"/>
        </w:rPr>
        <w:t>Handbook of Hygiene Control in the Food Industry</w:t>
      </w:r>
      <w:r w:rsidRPr="002D314D">
        <w:rPr>
          <w:rFonts w:ascii="Arial" w:hAnsi="Arial" w:cs="Arial"/>
          <w:sz w:val="20"/>
          <w:szCs w:val="20"/>
          <w:lang w:val="en-GB"/>
        </w:rPr>
        <w:t xml:space="preserve"> (2nd ed.). Woodhead Publishing. </w:t>
      </w:r>
      <w:hyperlink r:id="rId26" w:history="1">
        <w:r w:rsidRPr="002D314D">
          <w:rPr>
            <w:rStyle w:val="Hyperlink"/>
            <w:rFonts w:ascii="Arial" w:hAnsi="Arial" w:cs="Arial"/>
            <w:color w:val="auto"/>
            <w:sz w:val="20"/>
            <w:szCs w:val="20"/>
            <w:lang w:val="en-GB"/>
          </w:rPr>
          <w:t>https://doi.org/10.1016/C2014-0-01825-4</w:t>
        </w:r>
      </w:hyperlink>
    </w:p>
    <w:p w14:paraId="5761CD2A"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Vashisht, P., Pendyala, B., Patras, A., &amp; Ravi, R. (2022). Design and efficiency evaluation of a mid-size serpentine Dean flow UV-C system for the processing of </w:t>
      </w:r>
      <w:r w:rsidR="00205771">
        <w:rPr>
          <w:rFonts w:ascii="Arial" w:hAnsi="Arial" w:cs="Arial"/>
          <w:sz w:val="20"/>
          <w:szCs w:val="20"/>
          <w:lang w:val="en-US"/>
        </w:rPr>
        <w:t>w</w:t>
      </w:r>
      <w:r w:rsidR="00205771">
        <w:rPr>
          <w:rFonts w:ascii="Arial" w:hAnsi="Arial" w:cs="Arial"/>
          <w:sz w:val="20"/>
          <w:szCs w:val="20"/>
          <w:lang w:val="en-GB"/>
        </w:rPr>
        <w:t>h</w:t>
      </w:r>
      <w:r w:rsidRPr="002D314D">
        <w:rPr>
          <w:rFonts w:ascii="Arial" w:hAnsi="Arial" w:cs="Arial"/>
          <w:sz w:val="20"/>
          <w:szCs w:val="20"/>
          <w:lang w:val="en-GB"/>
        </w:rPr>
        <w:t xml:space="preserve">ole milk using computational fluid dynamics and biodosimetry. </w:t>
      </w:r>
      <w:r w:rsidRPr="002D314D">
        <w:rPr>
          <w:rStyle w:val="Emphasis"/>
          <w:rFonts w:ascii="Arial" w:hAnsi="Arial" w:cs="Arial"/>
          <w:sz w:val="20"/>
          <w:szCs w:val="20"/>
          <w:lang w:val="en-GB"/>
        </w:rPr>
        <w:t>Journal of Food Engineering, 335</w:t>
      </w:r>
      <w:r w:rsidRPr="002D314D">
        <w:rPr>
          <w:rFonts w:ascii="Arial" w:hAnsi="Arial" w:cs="Arial"/>
          <w:sz w:val="20"/>
          <w:szCs w:val="20"/>
          <w:lang w:val="en-GB"/>
        </w:rPr>
        <w:t xml:space="preserve">, 111168. </w:t>
      </w:r>
      <w:hyperlink r:id="rId27" w:history="1">
        <w:r w:rsidRPr="002D314D">
          <w:rPr>
            <w:rStyle w:val="Hyperlink"/>
            <w:rFonts w:ascii="Arial" w:hAnsi="Arial" w:cs="Arial"/>
            <w:color w:val="auto"/>
            <w:sz w:val="20"/>
            <w:szCs w:val="20"/>
            <w:lang w:val="en-GB"/>
          </w:rPr>
          <w:t>https://doi.org/10.1016/j.jfoodeng.2022.111168</w:t>
        </w:r>
      </w:hyperlink>
    </w:p>
    <w:p w14:paraId="5E08A104"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Semenov, A., Skrypnyk, V., Farisieiev, A., Kelemesh, A., Dudnyk, V., Ivankova, O., et al. (2026). Comprehensive evaluation of ultraviolet disinfection systems considering maintenance, spectral, and operational coefficients. </w:t>
      </w:r>
      <w:r w:rsidRPr="002D314D">
        <w:rPr>
          <w:rStyle w:val="Emphasis"/>
          <w:rFonts w:ascii="Arial" w:hAnsi="Arial" w:cs="Arial"/>
          <w:sz w:val="20"/>
          <w:szCs w:val="20"/>
          <w:lang w:val="en-GB"/>
        </w:rPr>
        <w:t>Journal of Chemistry and Technologies, 34</w:t>
      </w:r>
      <w:r w:rsidRPr="002D314D">
        <w:rPr>
          <w:rFonts w:ascii="Arial" w:hAnsi="Arial" w:cs="Arial"/>
          <w:sz w:val="20"/>
          <w:szCs w:val="20"/>
          <w:lang w:val="en-GB"/>
        </w:rPr>
        <w:t xml:space="preserve">(1), 259–265. </w:t>
      </w:r>
      <w:hyperlink r:id="rId28" w:history="1">
        <w:r w:rsidRPr="002D314D">
          <w:rPr>
            <w:rStyle w:val="Hyperlink"/>
            <w:rFonts w:ascii="Arial" w:hAnsi="Arial" w:cs="Arial"/>
            <w:color w:val="auto"/>
            <w:sz w:val="20"/>
            <w:szCs w:val="20"/>
            <w:lang w:val="en-GB"/>
          </w:rPr>
          <w:t>https://doi.org/10.15421/jchemtech.v34i1.342827</w:t>
        </w:r>
      </w:hyperlink>
    </w:p>
    <w:p w14:paraId="0C1611B7"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Semenov, A., Kharak, R., Bychkov, Y., Dudnyk, V., &amp; Yeleussinov, B. (2024). Method of predicting the useful life of ultraviolet lamps in electrotechnical systems under UV radiation. </w:t>
      </w:r>
      <w:r w:rsidRPr="002D314D">
        <w:rPr>
          <w:rStyle w:val="Emphasis"/>
          <w:rFonts w:ascii="Arial" w:hAnsi="Arial" w:cs="Arial"/>
          <w:sz w:val="20"/>
          <w:szCs w:val="20"/>
          <w:lang w:val="en-GB"/>
        </w:rPr>
        <w:t>Przegląd Elektrotechniczny, 100</w:t>
      </w:r>
      <w:r w:rsidRPr="002D314D">
        <w:rPr>
          <w:rFonts w:ascii="Arial" w:hAnsi="Arial" w:cs="Arial"/>
          <w:sz w:val="20"/>
          <w:szCs w:val="20"/>
          <w:lang w:val="en-GB"/>
        </w:rPr>
        <w:t xml:space="preserve">(8), 280–283. </w:t>
      </w:r>
      <w:hyperlink r:id="rId29" w:history="1">
        <w:r w:rsidRPr="002D314D">
          <w:rPr>
            <w:rStyle w:val="Hyperlink"/>
            <w:rFonts w:ascii="Arial" w:hAnsi="Arial" w:cs="Arial"/>
            <w:color w:val="auto"/>
            <w:sz w:val="20"/>
            <w:szCs w:val="20"/>
            <w:lang w:val="en-GB"/>
          </w:rPr>
          <w:t>https://doi.org/10.15199/48.2024.08.556</w:t>
        </w:r>
      </w:hyperlink>
    </w:p>
    <w:p w14:paraId="45B2453D" w14:textId="77777777" w:rsidR="009651B2" w:rsidRPr="002D314D" w:rsidRDefault="009651B2" w:rsidP="009651B2">
      <w:pPr>
        <w:pStyle w:val="isselectedend"/>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Semenov, A., Popov, S., Yakhin, S., Yeleussinov, B., &amp; Sakhno, T. (2024). Assessment of the danger of using ultraviolet lamps in electrical systems. </w:t>
      </w:r>
      <w:r w:rsidRPr="002D314D">
        <w:rPr>
          <w:rStyle w:val="Emphasis"/>
          <w:rFonts w:ascii="Arial" w:hAnsi="Arial" w:cs="Arial"/>
          <w:sz w:val="20"/>
          <w:szCs w:val="20"/>
          <w:lang w:val="en-GB"/>
        </w:rPr>
        <w:t>Przegląd Elektrotechniczny, 100</w:t>
      </w:r>
      <w:r w:rsidRPr="002D314D">
        <w:rPr>
          <w:rFonts w:ascii="Arial" w:hAnsi="Arial" w:cs="Arial"/>
          <w:sz w:val="20"/>
          <w:szCs w:val="20"/>
          <w:lang w:val="en-GB"/>
        </w:rPr>
        <w:t xml:space="preserve">(2), 152–155. </w:t>
      </w:r>
      <w:hyperlink r:id="rId30" w:history="1">
        <w:r w:rsidRPr="002D314D">
          <w:rPr>
            <w:rStyle w:val="Hyperlink"/>
            <w:rFonts w:ascii="Arial" w:hAnsi="Arial" w:cs="Arial"/>
            <w:color w:val="auto"/>
            <w:sz w:val="20"/>
            <w:szCs w:val="20"/>
            <w:lang w:val="en-GB"/>
          </w:rPr>
          <w:t>https://doi.org/10.15199/48.2024.02.31</w:t>
        </w:r>
      </w:hyperlink>
    </w:p>
    <w:p w14:paraId="631711FF" w14:textId="77777777" w:rsidR="009651B2" w:rsidRPr="002D314D" w:rsidRDefault="009651B2" w:rsidP="009651B2">
      <w:pPr>
        <w:pStyle w:val="NormalWeb"/>
        <w:spacing w:before="0" w:beforeAutospacing="0" w:after="0" w:afterAutospacing="0"/>
        <w:jc w:val="both"/>
        <w:rPr>
          <w:rFonts w:ascii="Arial" w:hAnsi="Arial" w:cs="Arial"/>
          <w:sz w:val="20"/>
          <w:szCs w:val="20"/>
          <w:lang w:val="en-GB"/>
        </w:rPr>
      </w:pPr>
      <w:r w:rsidRPr="002D314D">
        <w:rPr>
          <w:rFonts w:ascii="Arial" w:hAnsi="Arial" w:cs="Arial"/>
          <w:sz w:val="20"/>
          <w:szCs w:val="20"/>
          <w:lang w:val="en-GB"/>
        </w:rPr>
        <w:t xml:space="preserve">Semenov, A., Sakhno, T., &amp; Barashkov, N. (2019). Ultraviolet disinfection of activated carbon and its use for microbiological decontamination. In </w:t>
      </w:r>
      <w:r w:rsidRPr="002D314D">
        <w:rPr>
          <w:rStyle w:val="Emphasis"/>
          <w:rFonts w:ascii="Arial" w:hAnsi="Arial" w:cs="Arial"/>
          <w:sz w:val="20"/>
          <w:szCs w:val="20"/>
          <w:lang w:val="en-GB"/>
        </w:rPr>
        <w:t>257th American Chemical Society National Meeting, “Green Chemistry &amp; the Environmental”, March 31–April 4, 2019, Orlando, Florida</w:t>
      </w:r>
      <w:r w:rsidRPr="002D314D">
        <w:rPr>
          <w:rFonts w:ascii="Arial" w:hAnsi="Arial" w:cs="Arial"/>
          <w:sz w:val="20"/>
          <w:szCs w:val="20"/>
          <w:lang w:val="en-GB"/>
        </w:rPr>
        <w:t xml:space="preserve"> </w:t>
      </w:r>
      <w:r w:rsidRPr="002D314D">
        <w:rPr>
          <w:rFonts w:ascii="Arial" w:hAnsi="Arial" w:cs="Arial"/>
          <w:sz w:val="20"/>
          <w:szCs w:val="20"/>
          <w:lang w:val="en-GB"/>
        </w:rPr>
        <w:lastRenderedPageBreak/>
        <w:t xml:space="preserve">(Vol. 257, ENVR 409). </w:t>
      </w:r>
      <w:hyperlink r:id="rId31" w:history="1">
        <w:r w:rsidRPr="002D314D">
          <w:rPr>
            <w:rStyle w:val="Hyperlink"/>
            <w:rFonts w:ascii="Arial" w:hAnsi="Arial" w:cs="Arial"/>
            <w:color w:val="auto"/>
            <w:sz w:val="20"/>
            <w:szCs w:val="20"/>
            <w:lang w:val="en-GB"/>
          </w:rPr>
          <w:t>https://plan.core-apps.com/acsorlando2019/abstract/d7818db9-b33d-4297-8030-852c9bcbb2e6</w:t>
        </w:r>
      </w:hyperlink>
    </w:p>
    <w:p w14:paraId="071A3F81" w14:textId="77777777" w:rsidR="00441B6F" w:rsidRPr="002D314D" w:rsidRDefault="00441B6F" w:rsidP="00441B6F">
      <w:pPr>
        <w:pStyle w:val="Body"/>
        <w:spacing w:after="0"/>
        <w:jc w:val="left"/>
        <w:rPr>
          <w:lang w:val="en-GB"/>
        </w:rPr>
      </w:pPr>
    </w:p>
    <w:p w14:paraId="1502DF81" w14:textId="77777777" w:rsidR="004D4277" w:rsidRPr="00FB3A86" w:rsidRDefault="004D4277" w:rsidP="00441B6F">
      <w:pPr>
        <w:pStyle w:val="Appendix"/>
        <w:spacing w:after="0"/>
        <w:jc w:val="both"/>
        <w:rPr>
          <w:rFonts w:ascii="Arial" w:hAnsi="Arial" w:cs="Arial"/>
          <w:b w:val="0"/>
        </w:rPr>
        <w:sectPr w:rsidR="004D4277" w:rsidRPr="00FB3A86" w:rsidSect="00841E59">
          <w:headerReference w:type="even" r:id="rId32"/>
          <w:headerReference w:type="default" r:id="rId33"/>
          <w:footerReference w:type="default" r:id="rId34"/>
          <w:headerReference w:type="first" r:id="rId35"/>
          <w:type w:val="continuous"/>
          <w:pgSz w:w="12240" w:h="15840"/>
          <w:pgMar w:top="1440" w:right="2016" w:bottom="2016" w:left="2016" w:header="720" w:footer="1123" w:gutter="0"/>
          <w:cols w:space="720"/>
          <w:docGrid w:linePitch="272"/>
        </w:sectPr>
      </w:pPr>
    </w:p>
    <w:p w14:paraId="2A450EB6" w14:textId="77777777" w:rsidR="00B01FCD" w:rsidRPr="00FB3A86" w:rsidRDefault="00B01FCD" w:rsidP="00441B6F">
      <w:pPr>
        <w:pStyle w:val="Appendix"/>
        <w:spacing w:after="0"/>
        <w:jc w:val="both"/>
        <w:rPr>
          <w:rFonts w:ascii="Arial" w:hAnsi="Arial" w:cs="Arial"/>
          <w:b w:val="0"/>
        </w:rPr>
      </w:pPr>
    </w:p>
    <w:sectPr w:rsidR="00B01FCD" w:rsidRPr="00FB3A86" w:rsidSect="00841E59">
      <w:type w:val="continuous"/>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fahad rahul" w:date="2026-06-27T21:18:00Z" w:initials="fr">
    <w:p w14:paraId="0C1725F3" w14:textId="3A0D6B8D" w:rsidR="00743616" w:rsidRDefault="00743616">
      <w:pPr>
        <w:pStyle w:val="CommentText"/>
      </w:pPr>
      <w:r>
        <w:rPr>
          <w:rStyle w:val="CommentReference"/>
        </w:rPr>
        <w:annotationRef/>
      </w:r>
      <w:r>
        <w:t>Can not direct say this.</w:t>
      </w:r>
    </w:p>
  </w:comment>
  <w:comment w:id="1" w:author="fahad rahul" w:date="2026-06-27T21:18:00Z" w:initials="fr">
    <w:p w14:paraId="2FE3D4E5" w14:textId="5F1D4C2A" w:rsidR="00743616" w:rsidRDefault="00743616">
      <w:pPr>
        <w:pStyle w:val="CommentText"/>
      </w:pPr>
      <w:r>
        <w:rPr>
          <w:rStyle w:val="CommentReference"/>
        </w:rPr>
        <w:annotationRef/>
      </w:r>
      <w:r>
        <w:t>pH level?</w:t>
      </w:r>
    </w:p>
  </w:comment>
  <w:comment w:id="2" w:author="fahad rahul" w:date="2026-06-27T21:19:00Z" w:initials="fr">
    <w:p w14:paraId="01FFBD81" w14:textId="494E5A99" w:rsidR="00743616" w:rsidRDefault="00743616">
      <w:pPr>
        <w:pStyle w:val="CommentText"/>
      </w:pPr>
      <w:r>
        <w:rPr>
          <w:rStyle w:val="CommentReference"/>
        </w:rPr>
        <w:annotationRef/>
      </w:r>
      <w:r>
        <w:t>soure</w:t>
      </w:r>
    </w:p>
  </w:comment>
  <w:comment w:id="3" w:author="fahad rahul" w:date="2026-06-27T21:19:00Z" w:initials="fr">
    <w:p w14:paraId="5DF6754C" w14:textId="0B16E278" w:rsidR="00743616" w:rsidRDefault="00743616">
      <w:pPr>
        <w:pStyle w:val="CommentText"/>
      </w:pPr>
      <w:r>
        <w:rPr>
          <w:rStyle w:val="CommentReference"/>
        </w:rPr>
        <w:annotationRef/>
      </w:r>
      <w:r>
        <w:t>too old</w:t>
      </w:r>
    </w:p>
  </w:comment>
  <w:comment w:id="4" w:author="fahad rahul" w:date="2026-06-27T21:19:00Z" w:initials="fr">
    <w:p w14:paraId="07FAD045" w14:textId="6B36DF29" w:rsidR="00743616" w:rsidRDefault="00743616">
      <w:pPr>
        <w:pStyle w:val="CommentText"/>
      </w:pPr>
      <w:r>
        <w:rPr>
          <w:rStyle w:val="CommentReference"/>
        </w:rPr>
        <w:annotationRef/>
      </w:r>
      <w:r>
        <w:t xml:space="preserve">explain detailes </w:t>
      </w:r>
    </w:p>
  </w:comment>
  <w:comment w:id="5" w:author="fahad rahul" w:date="2026-06-27T21:20:00Z" w:initials="fr">
    <w:p w14:paraId="331C16FA" w14:textId="70755698" w:rsidR="00743616" w:rsidRDefault="00743616">
      <w:pPr>
        <w:pStyle w:val="CommentText"/>
      </w:pPr>
      <w:r>
        <w:rPr>
          <w:rStyle w:val="CommentReference"/>
        </w:rPr>
        <w:annotationRef/>
      </w:r>
      <w:r>
        <w:t xml:space="preserve">explain detailes </w:t>
      </w:r>
    </w:p>
  </w:comment>
  <w:comment w:id="6" w:author="fahad rahul" w:date="2026-06-27T21:20:00Z" w:initials="fr">
    <w:p w14:paraId="43FE01B7" w14:textId="4A9ADCFC" w:rsidR="00743616" w:rsidRDefault="00743616">
      <w:pPr>
        <w:pStyle w:val="CommentText"/>
      </w:pPr>
      <w:r>
        <w:rPr>
          <w:rStyle w:val="CommentReference"/>
        </w:rPr>
        <w:annotationRef/>
      </w:r>
      <w:r>
        <w:t>year?</w:t>
      </w:r>
    </w:p>
  </w:comment>
  <w:comment w:id="7" w:author="fahad rahul" w:date="2026-06-27T21:20:00Z" w:initials="fr">
    <w:p w14:paraId="321C9D2B" w14:textId="19BFA60A" w:rsidR="00743616" w:rsidRDefault="00743616">
      <w:pPr>
        <w:pStyle w:val="CommentText"/>
      </w:pPr>
      <w:r>
        <w:rPr>
          <w:rStyle w:val="CommentReference"/>
        </w:rPr>
        <w:annotationRef/>
      </w:r>
      <w:r>
        <w:t xml:space="preserve">Example practical way </w:t>
      </w:r>
    </w:p>
  </w:comment>
  <w:comment w:id="8" w:author="fahad rahul" w:date="2026-06-27T21:21:00Z" w:initials="fr">
    <w:p w14:paraId="68519A48" w14:textId="5F476851" w:rsidR="00743616" w:rsidRDefault="00743616">
      <w:pPr>
        <w:pStyle w:val="CommentText"/>
      </w:pPr>
      <w:r>
        <w:rPr>
          <w:rStyle w:val="CommentReference"/>
        </w:rPr>
        <w:annotationRef/>
      </w:r>
      <w:r>
        <w:t xml:space="preserve">Avoied this </w:t>
      </w:r>
    </w:p>
  </w:comment>
  <w:comment w:id="9" w:author="fahad rahul" w:date="2026-06-27T21:21:00Z" w:initials="fr">
    <w:p w14:paraId="486A8537" w14:textId="511F6643" w:rsidR="00743616" w:rsidRDefault="00743616">
      <w:pPr>
        <w:pStyle w:val="CommentText"/>
      </w:pPr>
      <w:r>
        <w:rPr>
          <w:rStyle w:val="CommentReference"/>
        </w:rPr>
        <w:annotationRef/>
      </w:r>
      <w:r>
        <w:t xml:space="preserve">Avoied this </w:t>
      </w:r>
    </w:p>
  </w:comment>
  <w:comment w:id="10" w:author="fahad rahul" w:date="2026-06-27T21:21:00Z" w:initials="fr">
    <w:p w14:paraId="2FBB8859" w14:textId="77777777" w:rsidR="00743616" w:rsidRDefault="00743616">
      <w:pPr>
        <w:pStyle w:val="CommentText"/>
      </w:pPr>
      <w:r>
        <w:rPr>
          <w:rStyle w:val="CommentReference"/>
        </w:rPr>
        <w:annotationRef/>
      </w:r>
      <w:r>
        <w:t>Why you use this?</w:t>
      </w:r>
    </w:p>
    <w:p w14:paraId="5179C198" w14:textId="567DB5FD" w:rsidR="00743616" w:rsidRDefault="00743616">
      <w:pPr>
        <w:pStyle w:val="CommentText"/>
      </w:pPr>
    </w:p>
  </w:comment>
  <w:comment w:id="11" w:author="fahad rahul" w:date="2026-06-27T21:22:00Z" w:initials="fr">
    <w:p w14:paraId="23265779" w14:textId="23C58D80" w:rsidR="00743616" w:rsidRDefault="00743616">
      <w:pPr>
        <w:pStyle w:val="CommentText"/>
      </w:pPr>
      <w:r>
        <w:rPr>
          <w:rStyle w:val="CommentReference"/>
        </w:rPr>
        <w:annotationRef/>
      </w:r>
      <w:r>
        <w:t>source</w:t>
      </w:r>
    </w:p>
  </w:comment>
  <w:comment w:id="12" w:author="fahad rahul" w:date="2026-06-27T21:22:00Z" w:initials="fr">
    <w:p w14:paraId="6CD2295D" w14:textId="6B616238" w:rsidR="00743616" w:rsidRDefault="00743616">
      <w:pPr>
        <w:pStyle w:val="CommentText"/>
      </w:pPr>
      <w:r>
        <w:rPr>
          <w:rStyle w:val="CommentReference"/>
        </w:rPr>
        <w:annotationRef/>
      </w:r>
      <w:r>
        <w:t>is it practical and source?</w:t>
      </w:r>
    </w:p>
  </w:comment>
  <w:comment w:id="13" w:author="fahad rahul" w:date="2026-06-27T21:22:00Z" w:initials="fr">
    <w:p w14:paraId="1201FC27" w14:textId="2738FDBF" w:rsidR="00743616" w:rsidRDefault="00743616">
      <w:pPr>
        <w:pStyle w:val="CommentText"/>
      </w:pPr>
      <w:r>
        <w:rPr>
          <w:rStyle w:val="CommentReference"/>
        </w:rPr>
        <w:annotationRef/>
      </w:r>
      <w:r>
        <w:t>Need source.</w:t>
      </w:r>
    </w:p>
  </w:comment>
  <w:comment w:id="14" w:author="fahad rahul" w:date="2026-06-27T21:23:00Z" w:initials="fr">
    <w:p w14:paraId="3F44A60F" w14:textId="5FF293C1" w:rsidR="00743616" w:rsidRDefault="00743616">
      <w:pPr>
        <w:pStyle w:val="CommentText"/>
      </w:pPr>
      <w:r>
        <w:rPr>
          <w:rStyle w:val="CommentReference"/>
        </w:rPr>
        <w:annotationRef/>
      </w:r>
      <w:r>
        <w:t>Need source.</w:t>
      </w:r>
    </w:p>
  </w:comment>
  <w:comment w:id="15" w:author="fahad rahul" w:date="2026-06-27T21:23:00Z" w:initials="fr">
    <w:p w14:paraId="6718ED4E" w14:textId="473DC1E7" w:rsidR="00743616" w:rsidRDefault="00743616">
      <w:pPr>
        <w:pStyle w:val="CommentText"/>
      </w:pPr>
      <w:r>
        <w:rPr>
          <w:rStyle w:val="CommentReference"/>
        </w:rPr>
        <w:annotationRef/>
      </w:r>
      <w:r>
        <w:t>Need source.</w:t>
      </w:r>
    </w:p>
  </w:comment>
  <w:comment w:id="16" w:author="fahad rahul" w:date="2026-06-27T21:23:00Z" w:initials="fr">
    <w:p w14:paraId="77861456" w14:textId="094FF40C" w:rsidR="00743616" w:rsidRDefault="00743616">
      <w:pPr>
        <w:pStyle w:val="CommentText"/>
      </w:pPr>
      <w:r>
        <w:rPr>
          <w:rStyle w:val="CommentReference"/>
        </w:rPr>
        <w:annotationRef/>
      </w:r>
      <w:r>
        <w:t>Need source.</w:t>
      </w:r>
    </w:p>
  </w:comment>
  <w:comment w:id="17" w:author="fahad rahul" w:date="2026-06-27T21:23:00Z" w:initials="fr">
    <w:p w14:paraId="6100B02F" w14:textId="6259D40E" w:rsidR="00743616" w:rsidRDefault="00743616">
      <w:pPr>
        <w:pStyle w:val="CommentText"/>
      </w:pPr>
      <w:r>
        <w:rPr>
          <w:rStyle w:val="CommentReference"/>
        </w:rPr>
        <w:annotationRef/>
      </w:r>
      <w:r>
        <w:t>Need source.</w:t>
      </w:r>
    </w:p>
  </w:comment>
  <w:comment w:id="18" w:author="fahad rahul" w:date="2026-06-27T21:23:00Z" w:initials="fr">
    <w:p w14:paraId="44D540A7" w14:textId="54A0B813" w:rsidR="00743616" w:rsidRDefault="00743616">
      <w:pPr>
        <w:pStyle w:val="CommentText"/>
      </w:pPr>
      <w:r>
        <w:rPr>
          <w:rStyle w:val="CommentReference"/>
        </w:rPr>
        <w:annotationRef/>
      </w:r>
      <w:r>
        <w:t>Need source.</w:t>
      </w:r>
    </w:p>
  </w:comment>
  <w:comment w:id="19" w:author="fahad rahul" w:date="2026-06-27T21:23:00Z" w:initials="fr">
    <w:p w14:paraId="0868993E" w14:textId="30C4ADCF" w:rsidR="00743616" w:rsidRDefault="00743616">
      <w:pPr>
        <w:pStyle w:val="CommentText"/>
      </w:pPr>
      <w:r>
        <w:rPr>
          <w:rStyle w:val="CommentReference"/>
        </w:rPr>
        <w:annotationRef/>
      </w:r>
      <w:r>
        <w:t>Need source.</w:t>
      </w:r>
    </w:p>
  </w:comment>
  <w:comment w:id="20" w:author="fahad rahul" w:date="2026-06-27T21:23:00Z" w:initials="fr">
    <w:p w14:paraId="1A72FCB2" w14:textId="7953C100" w:rsidR="00743616" w:rsidRDefault="00743616">
      <w:pPr>
        <w:pStyle w:val="CommentText"/>
      </w:pPr>
      <w:r>
        <w:rPr>
          <w:rStyle w:val="CommentReference"/>
        </w:rPr>
        <w:annotationRef/>
      </w:r>
      <w:r>
        <w:t>Why?</w:t>
      </w:r>
    </w:p>
  </w:comment>
  <w:comment w:id="21" w:author="fahad rahul" w:date="2026-06-27T21:23:00Z" w:initials="fr">
    <w:p w14:paraId="1D2002D4" w14:textId="6805E238" w:rsidR="00743616" w:rsidRDefault="00743616">
      <w:pPr>
        <w:pStyle w:val="CommentText"/>
      </w:pPr>
      <w:r>
        <w:rPr>
          <w:rStyle w:val="CommentReference"/>
        </w:rPr>
        <w:annotationRef/>
      </w:r>
      <w:r>
        <w:t>Is it real picture?</w:t>
      </w:r>
    </w:p>
  </w:comment>
  <w:comment w:id="22" w:author="fahad rahul" w:date="2026-06-27T21:24:00Z" w:initials="fr">
    <w:p w14:paraId="44C46080" w14:textId="650BAACB" w:rsidR="00743616" w:rsidRDefault="00743616">
      <w:pPr>
        <w:pStyle w:val="CommentText"/>
      </w:pPr>
      <w:r>
        <w:rPr>
          <w:rStyle w:val="CommentReference"/>
        </w:rPr>
        <w:annotationRef/>
      </w:r>
      <w:r>
        <w:t>Too old</w:t>
      </w:r>
    </w:p>
  </w:comment>
  <w:comment w:id="23" w:author="fahad rahul" w:date="2026-06-27T21:24:00Z" w:initials="fr">
    <w:p w14:paraId="0BA4215D" w14:textId="59305D01" w:rsidR="00743616" w:rsidRDefault="00743616">
      <w:pPr>
        <w:pStyle w:val="CommentText"/>
      </w:pPr>
      <w:r>
        <w:rPr>
          <w:rStyle w:val="CommentReference"/>
        </w:rPr>
        <w:annotationRef/>
      </w:r>
      <w:r>
        <w:t>Recalculated this</w:t>
      </w:r>
    </w:p>
  </w:comment>
  <w:comment w:id="24" w:author="fahad rahul" w:date="2026-06-27T21:25:00Z" w:initials="fr">
    <w:p w14:paraId="2F6CDC29" w14:textId="72402C4D" w:rsidR="00743616" w:rsidRDefault="00743616">
      <w:pPr>
        <w:pStyle w:val="CommentText"/>
      </w:pPr>
      <w:r>
        <w:rPr>
          <w:rStyle w:val="CommentReference"/>
        </w:rPr>
        <w:annotationRef/>
      </w:r>
      <w:r>
        <w:t>Is it practical way possible?</w:t>
      </w:r>
    </w:p>
  </w:comment>
  <w:comment w:id="25" w:author="fahad rahul" w:date="2026-06-27T21:25:00Z" w:initials="fr">
    <w:p w14:paraId="22F088CD" w14:textId="119856FC" w:rsidR="00743616" w:rsidRDefault="00743616">
      <w:pPr>
        <w:pStyle w:val="CommentText"/>
      </w:pPr>
      <w:r>
        <w:rPr>
          <w:rStyle w:val="CommentReference"/>
        </w:rPr>
        <w:annotationRef/>
      </w:r>
      <w:r>
        <w:t>Need 2 more line simple way to wrap up the paper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1725F3" w15:done="0"/>
  <w15:commentEx w15:paraId="2FE3D4E5" w15:done="0"/>
  <w15:commentEx w15:paraId="01FFBD81" w15:done="0"/>
  <w15:commentEx w15:paraId="5DF6754C" w15:done="0"/>
  <w15:commentEx w15:paraId="07FAD045" w15:done="0"/>
  <w15:commentEx w15:paraId="331C16FA" w15:done="0"/>
  <w15:commentEx w15:paraId="43FE01B7" w15:done="0"/>
  <w15:commentEx w15:paraId="321C9D2B" w15:done="0"/>
  <w15:commentEx w15:paraId="68519A48" w15:done="0"/>
  <w15:commentEx w15:paraId="486A8537" w15:done="0"/>
  <w15:commentEx w15:paraId="5179C198" w15:done="0"/>
  <w15:commentEx w15:paraId="23265779" w15:done="0"/>
  <w15:commentEx w15:paraId="6CD2295D" w15:done="0"/>
  <w15:commentEx w15:paraId="1201FC27" w15:done="0"/>
  <w15:commentEx w15:paraId="3F44A60F" w15:done="0"/>
  <w15:commentEx w15:paraId="6718ED4E" w15:done="0"/>
  <w15:commentEx w15:paraId="77861456" w15:done="0"/>
  <w15:commentEx w15:paraId="6100B02F" w15:done="0"/>
  <w15:commentEx w15:paraId="44D540A7" w15:done="0"/>
  <w15:commentEx w15:paraId="0868993E" w15:done="0"/>
  <w15:commentEx w15:paraId="1A72FCB2" w15:done="0"/>
  <w15:commentEx w15:paraId="1D2002D4" w15:done="0"/>
  <w15:commentEx w15:paraId="44C46080" w15:done="0"/>
  <w15:commentEx w15:paraId="0BA4215D" w15:done="0"/>
  <w15:commentEx w15:paraId="2F6CDC29" w15:done="0"/>
  <w15:commentEx w15:paraId="22F088C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EABC99" w16cex:dateUtc="2026-06-27T15:18:00Z"/>
  <w16cex:commentExtensible w16cex:durableId="2DEABCB5" w16cex:dateUtc="2026-06-27T15:18:00Z"/>
  <w16cex:commentExtensible w16cex:durableId="2DEABCCB" w16cex:dateUtc="2026-06-27T15:19:00Z"/>
  <w16cex:commentExtensible w16cex:durableId="2DEABCD8" w16cex:dateUtc="2026-06-27T15:19:00Z"/>
  <w16cex:commentExtensible w16cex:durableId="2DEABCEB" w16cex:dateUtc="2026-06-27T15:19:00Z"/>
  <w16cex:commentExtensible w16cex:durableId="2DEABD09" w16cex:dateUtc="2026-06-27T15:20:00Z"/>
  <w16cex:commentExtensible w16cex:durableId="2DEABD17" w16cex:dateUtc="2026-06-27T15:20:00Z"/>
  <w16cex:commentExtensible w16cex:durableId="2DEABD28" w16cex:dateUtc="2026-06-27T15:20:00Z"/>
  <w16cex:commentExtensible w16cex:durableId="2DEABD3D" w16cex:dateUtc="2026-06-27T15:21:00Z"/>
  <w16cex:commentExtensible w16cex:durableId="2DEABD5F" w16cex:dateUtc="2026-06-27T15:21:00Z"/>
  <w16cex:commentExtensible w16cex:durableId="2DEABD4F" w16cex:dateUtc="2026-06-27T15:21:00Z"/>
  <w16cex:commentExtensible w16cex:durableId="2DEABD7A" w16cex:dateUtc="2026-06-27T15:22:00Z"/>
  <w16cex:commentExtensible w16cex:durableId="2DEABD8D" w16cex:dateUtc="2026-06-27T15:22:00Z"/>
  <w16cex:commentExtensible w16cex:durableId="2DEABDA9" w16cex:dateUtc="2026-06-27T15:22:00Z"/>
  <w16cex:commentExtensible w16cex:durableId="2DEABDB8" w16cex:dateUtc="2026-06-27T15:23:00Z"/>
  <w16cex:commentExtensible w16cex:durableId="2DEABDBC" w16cex:dateUtc="2026-06-27T15:23:00Z"/>
  <w16cex:commentExtensible w16cex:durableId="2DEABDC2" w16cex:dateUtc="2026-06-27T15:23:00Z"/>
  <w16cex:commentExtensible w16cex:durableId="2DEABDC6" w16cex:dateUtc="2026-06-27T15:23:00Z"/>
  <w16cex:commentExtensible w16cex:durableId="2DEABDCD" w16cex:dateUtc="2026-06-27T15:23:00Z"/>
  <w16cex:commentExtensible w16cex:durableId="2DEABDD0" w16cex:dateUtc="2026-06-27T15:23:00Z"/>
  <w16cex:commentExtensible w16cex:durableId="2DEABDDC" w16cex:dateUtc="2026-06-27T15:23:00Z"/>
  <w16cex:commentExtensible w16cex:durableId="2DEABDE7" w16cex:dateUtc="2026-06-27T15:23:00Z"/>
  <w16cex:commentExtensible w16cex:durableId="2DEABE15" w16cex:dateUtc="2026-06-27T15:24:00Z"/>
  <w16cex:commentExtensible w16cex:durableId="2DEABE24" w16cex:dateUtc="2026-06-27T15:24:00Z"/>
  <w16cex:commentExtensible w16cex:durableId="2DEABE33" w16cex:dateUtc="2026-06-27T15:25:00Z"/>
  <w16cex:commentExtensible w16cex:durableId="2DEABE55" w16cex:dateUtc="2026-06-27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1725F3" w16cid:durableId="2DEABC99"/>
  <w16cid:commentId w16cid:paraId="2FE3D4E5" w16cid:durableId="2DEABCB5"/>
  <w16cid:commentId w16cid:paraId="01FFBD81" w16cid:durableId="2DEABCCB"/>
  <w16cid:commentId w16cid:paraId="5DF6754C" w16cid:durableId="2DEABCD8"/>
  <w16cid:commentId w16cid:paraId="07FAD045" w16cid:durableId="2DEABCEB"/>
  <w16cid:commentId w16cid:paraId="331C16FA" w16cid:durableId="2DEABD09"/>
  <w16cid:commentId w16cid:paraId="43FE01B7" w16cid:durableId="2DEABD17"/>
  <w16cid:commentId w16cid:paraId="321C9D2B" w16cid:durableId="2DEABD28"/>
  <w16cid:commentId w16cid:paraId="68519A48" w16cid:durableId="2DEABD3D"/>
  <w16cid:commentId w16cid:paraId="486A8537" w16cid:durableId="2DEABD5F"/>
  <w16cid:commentId w16cid:paraId="5179C198" w16cid:durableId="2DEABD4F"/>
  <w16cid:commentId w16cid:paraId="23265779" w16cid:durableId="2DEABD7A"/>
  <w16cid:commentId w16cid:paraId="6CD2295D" w16cid:durableId="2DEABD8D"/>
  <w16cid:commentId w16cid:paraId="1201FC27" w16cid:durableId="2DEABDA9"/>
  <w16cid:commentId w16cid:paraId="3F44A60F" w16cid:durableId="2DEABDB8"/>
  <w16cid:commentId w16cid:paraId="6718ED4E" w16cid:durableId="2DEABDBC"/>
  <w16cid:commentId w16cid:paraId="77861456" w16cid:durableId="2DEABDC2"/>
  <w16cid:commentId w16cid:paraId="6100B02F" w16cid:durableId="2DEABDC6"/>
  <w16cid:commentId w16cid:paraId="44D540A7" w16cid:durableId="2DEABDCD"/>
  <w16cid:commentId w16cid:paraId="0868993E" w16cid:durableId="2DEABDD0"/>
  <w16cid:commentId w16cid:paraId="1A72FCB2" w16cid:durableId="2DEABDDC"/>
  <w16cid:commentId w16cid:paraId="1D2002D4" w16cid:durableId="2DEABDE7"/>
  <w16cid:commentId w16cid:paraId="44C46080" w16cid:durableId="2DEABE15"/>
  <w16cid:commentId w16cid:paraId="0BA4215D" w16cid:durableId="2DEABE24"/>
  <w16cid:commentId w16cid:paraId="2F6CDC29" w16cid:durableId="2DEABE33"/>
  <w16cid:commentId w16cid:paraId="22F088CD" w16cid:durableId="2DEABE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58CB2" w14:textId="77777777" w:rsidR="00541BED" w:rsidRDefault="00541BED" w:rsidP="00C37E61">
      <w:r>
        <w:separator/>
      </w:r>
    </w:p>
  </w:endnote>
  <w:endnote w:type="continuationSeparator" w:id="0">
    <w:p w14:paraId="35129B4A" w14:textId="77777777" w:rsidR="00541BED" w:rsidRDefault="00541BED"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07C21" w14:textId="77777777" w:rsidR="006C0B89" w:rsidRDefault="006C0B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89CF1" w14:textId="77777777" w:rsidR="006C0B89" w:rsidRDefault="006C0B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B90A" w14:textId="77777777" w:rsidR="009E048A" w:rsidRDefault="009E048A">
    <w:pPr>
      <w:pStyle w:val="Footer"/>
      <w:rPr>
        <w:rFonts w:ascii="Arial" w:hAnsi="Arial" w:cs="Arial"/>
        <w:sz w:val="16"/>
      </w:rPr>
    </w:pPr>
  </w:p>
  <w:p w14:paraId="284A7BF7"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4C828992" w14:textId="77777777" w:rsidR="009E048A" w:rsidRDefault="009E048A">
    <w:pPr>
      <w:pStyle w:val="Footer"/>
      <w:rPr>
        <w:rFonts w:ascii="Arial" w:hAnsi="Arial" w:cs="Arial"/>
        <w:sz w:val="16"/>
      </w:rPr>
    </w:pPr>
  </w:p>
  <w:p w14:paraId="46E493E2" w14:textId="49DA8E97" w:rsidR="00754C9A" w:rsidRPr="009E048A" w:rsidRDefault="00754C9A">
    <w:pPr>
      <w:pStyle w:val="Footer"/>
      <w:rPr>
        <w:rFonts w:ascii="Arial" w:hAnsi="Arial" w:cs="Arial"/>
        <w:i/>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58258"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71D51" w14:textId="77777777" w:rsidR="00541BED" w:rsidRDefault="00541BED" w:rsidP="00C37E61">
      <w:r>
        <w:separator/>
      </w:r>
    </w:p>
  </w:footnote>
  <w:footnote w:type="continuationSeparator" w:id="0">
    <w:p w14:paraId="19584DDD" w14:textId="77777777" w:rsidR="00541BED" w:rsidRDefault="00541BED"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201B6" w14:textId="64B3DBE6" w:rsidR="006C0B89" w:rsidRDefault="00541BED">
    <w:pPr>
      <w:pStyle w:val="Header"/>
    </w:pPr>
    <w:r>
      <w:rPr>
        <w:noProof/>
      </w:rPr>
      <w:pict w14:anchorId="407507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72001" o:spid="_x0000_s2050"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5A431" w14:textId="34D878F5" w:rsidR="006C0B89" w:rsidRDefault="00541BED">
    <w:pPr>
      <w:pStyle w:val="Header"/>
    </w:pPr>
    <w:r>
      <w:rPr>
        <w:noProof/>
      </w:rPr>
      <w:pict w14:anchorId="34762E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72002" o:spid="_x0000_s2051"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4A260" w14:textId="47923615" w:rsidR="00296529" w:rsidRPr="00296529" w:rsidRDefault="00541BED" w:rsidP="00296529">
    <w:pPr>
      <w:ind w:left="2160"/>
      <w:jc w:val="center"/>
      <w:rPr>
        <w:rFonts w:ascii="Times New Roman" w:eastAsia="Calibri" w:hAnsi="Times New Roman"/>
        <w:i/>
        <w:sz w:val="18"/>
        <w:szCs w:val="22"/>
      </w:rPr>
    </w:pPr>
    <w:r>
      <w:rPr>
        <w:noProof/>
      </w:rPr>
      <w:pict w14:anchorId="497925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72000" o:spid="_x0000_s2049"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5FD60075"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2FDC8290"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3989A408"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06698F3"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B069E83"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37FBC15C"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E7023" w14:textId="025D1579" w:rsidR="006C0B89" w:rsidRDefault="00541BED">
    <w:pPr>
      <w:pStyle w:val="Header"/>
    </w:pPr>
    <w:r>
      <w:rPr>
        <w:noProof/>
      </w:rPr>
      <w:pict w14:anchorId="71631D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72004" o:spid="_x0000_s2055"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2DFB8447">
        <v:shape id="_x0000_s2054"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3ECF" w14:textId="0D717B2B" w:rsidR="006C0B89" w:rsidRDefault="00541BED">
    <w:pPr>
      <w:pStyle w:val="Header"/>
    </w:pPr>
    <w:r>
      <w:rPr>
        <w:noProof/>
      </w:rPr>
      <w:pict w14:anchorId="1FF4CD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72005" o:spid="_x0000_s2057"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6879E969">
        <v:shape id="_x0000_s2056"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5E2F7" w14:textId="2884A6FF" w:rsidR="006C0B89" w:rsidRPr="00296529" w:rsidRDefault="00541BED" w:rsidP="00296529">
    <w:pPr>
      <w:ind w:left="2160"/>
      <w:jc w:val="center"/>
      <w:rPr>
        <w:rFonts w:ascii="Times New Roman" w:eastAsia="Calibri" w:hAnsi="Times New Roman"/>
        <w:i/>
        <w:sz w:val="18"/>
        <w:szCs w:val="22"/>
      </w:rPr>
    </w:pPr>
    <w:r>
      <w:rPr>
        <w:noProof/>
      </w:rPr>
      <w:pict w14:anchorId="751E5A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72003" o:spid="_x0000_s2053"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76B455A0">
        <v:shape id="_x0000_s2052"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37212A12" w14:textId="77777777" w:rsidR="006C0B89" w:rsidRPr="00296529" w:rsidRDefault="006C0B89"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0E57D6A0" w14:textId="77777777" w:rsidR="006C0B89" w:rsidRPr="00296529" w:rsidRDefault="006C0B89"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AD162AF" w14:textId="77777777" w:rsidR="006C0B89" w:rsidRPr="00296529" w:rsidRDefault="006C0B8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DC3B402" w14:textId="77777777" w:rsidR="006C0B89" w:rsidRDefault="006C0B8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7DD81CC" w14:textId="77777777" w:rsidR="006C0B89" w:rsidRDefault="006C0B8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17C95D7B" w14:textId="77777777" w:rsidR="006C0B89" w:rsidRDefault="006C0B89">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3166C9"/>
    <w:multiLevelType w:val="hybridMultilevel"/>
    <w:tmpl w:val="F34431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24"/>
  </w:num>
  <w:num w:numId="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abstractNumId w:val="8"/>
  </w:num>
  <w:num w:numId="6">
    <w:abstractNumId w:val="7"/>
  </w:num>
  <w:num w:numId="7">
    <w:abstractNumId w:val="1"/>
  </w:num>
  <w:num w:numId="8">
    <w:abstractNumId w:val="13"/>
  </w:num>
  <w:num w:numId="9">
    <w:abstractNumId w:val="26"/>
  </w:num>
  <w:num w:numId="10">
    <w:abstractNumId w:val="2"/>
  </w:num>
  <w:num w:numId="11">
    <w:abstractNumId w:val="19"/>
  </w:num>
  <w:num w:numId="12">
    <w:abstractNumId w:val="3"/>
  </w:num>
  <w:num w:numId="13">
    <w:abstractNumId w:val="18"/>
  </w:num>
  <w:num w:numId="14">
    <w:abstractNumId w:val="9"/>
  </w:num>
  <w:num w:numId="15">
    <w:abstractNumId w:val="22"/>
  </w:num>
  <w:num w:numId="16">
    <w:abstractNumId w:val="6"/>
  </w:num>
  <w:num w:numId="17">
    <w:abstractNumId w:val="23"/>
  </w:num>
  <w:num w:numId="18">
    <w:abstractNumId w:val="15"/>
  </w:num>
  <w:num w:numId="19">
    <w:abstractNumId w:val="29"/>
  </w:num>
  <w:num w:numId="20">
    <w:abstractNumId w:val="12"/>
  </w:num>
  <w:num w:numId="21">
    <w:abstractNumId w:val="10"/>
  </w:num>
  <w:num w:numId="22">
    <w:abstractNumId w:val="14"/>
  </w:num>
  <w:num w:numId="23">
    <w:abstractNumId w:val="20"/>
  </w:num>
  <w:num w:numId="24">
    <w:abstractNumId w:val="27"/>
  </w:num>
  <w:num w:numId="25">
    <w:abstractNumId w:val="4"/>
  </w:num>
  <w:num w:numId="26">
    <w:abstractNumId w:val="17"/>
  </w:num>
  <w:num w:numId="27">
    <w:abstractNumId w:val="21"/>
  </w:num>
  <w:num w:numId="28">
    <w:abstractNumId w:val="28"/>
  </w:num>
  <w:num w:numId="29">
    <w:abstractNumId w:val="25"/>
  </w:num>
  <w:num w:numId="30">
    <w:abstractNumId w:val="11"/>
  </w:num>
  <w:num w:numId="3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had rahul">
    <w15:presenceInfo w15:providerId="Windows Live" w15:userId="f795e331baabca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0282E"/>
    <w:rsid w:val="00010FF2"/>
    <w:rsid w:val="00030174"/>
    <w:rsid w:val="0004579C"/>
    <w:rsid w:val="000511D4"/>
    <w:rsid w:val="00085217"/>
    <w:rsid w:val="000A47FA"/>
    <w:rsid w:val="000A65D3"/>
    <w:rsid w:val="000B1E33"/>
    <w:rsid w:val="000D689F"/>
    <w:rsid w:val="000E7B7B"/>
    <w:rsid w:val="000E7D62"/>
    <w:rsid w:val="00103357"/>
    <w:rsid w:val="00114713"/>
    <w:rsid w:val="00120220"/>
    <w:rsid w:val="00123C9F"/>
    <w:rsid w:val="00126190"/>
    <w:rsid w:val="00130F17"/>
    <w:rsid w:val="001320BF"/>
    <w:rsid w:val="00163BC4"/>
    <w:rsid w:val="00191062"/>
    <w:rsid w:val="00192B72"/>
    <w:rsid w:val="001A29D8"/>
    <w:rsid w:val="001A5CAA"/>
    <w:rsid w:val="001B0427"/>
    <w:rsid w:val="001D3A51"/>
    <w:rsid w:val="001E10D2"/>
    <w:rsid w:val="001E25B4"/>
    <w:rsid w:val="001E44FE"/>
    <w:rsid w:val="00200595"/>
    <w:rsid w:val="00204835"/>
    <w:rsid w:val="00205771"/>
    <w:rsid w:val="00231920"/>
    <w:rsid w:val="0023195C"/>
    <w:rsid w:val="0024282C"/>
    <w:rsid w:val="002460DC"/>
    <w:rsid w:val="00250985"/>
    <w:rsid w:val="002556F6"/>
    <w:rsid w:val="00271A38"/>
    <w:rsid w:val="00283105"/>
    <w:rsid w:val="00284C4C"/>
    <w:rsid w:val="00287E68"/>
    <w:rsid w:val="00296529"/>
    <w:rsid w:val="002B27FB"/>
    <w:rsid w:val="002B685A"/>
    <w:rsid w:val="002C57D2"/>
    <w:rsid w:val="002D314D"/>
    <w:rsid w:val="002E0D56"/>
    <w:rsid w:val="002F275B"/>
    <w:rsid w:val="0030700A"/>
    <w:rsid w:val="00315186"/>
    <w:rsid w:val="0033343E"/>
    <w:rsid w:val="003512C2"/>
    <w:rsid w:val="00371FB6"/>
    <w:rsid w:val="003763C1"/>
    <w:rsid w:val="00376BBE"/>
    <w:rsid w:val="0039224F"/>
    <w:rsid w:val="003A43A4"/>
    <w:rsid w:val="003A7E18"/>
    <w:rsid w:val="003C4C86"/>
    <w:rsid w:val="003C6258"/>
    <w:rsid w:val="003E2904"/>
    <w:rsid w:val="00401927"/>
    <w:rsid w:val="0041027F"/>
    <w:rsid w:val="00412475"/>
    <w:rsid w:val="00423789"/>
    <w:rsid w:val="00440F43"/>
    <w:rsid w:val="00441B6F"/>
    <w:rsid w:val="00446221"/>
    <w:rsid w:val="00450E62"/>
    <w:rsid w:val="004539DB"/>
    <w:rsid w:val="00471A80"/>
    <w:rsid w:val="004D305E"/>
    <w:rsid w:val="004D4277"/>
    <w:rsid w:val="004E3C55"/>
    <w:rsid w:val="00502516"/>
    <w:rsid w:val="00505F06"/>
    <w:rsid w:val="00506828"/>
    <w:rsid w:val="0053056E"/>
    <w:rsid w:val="00540025"/>
    <w:rsid w:val="00541BED"/>
    <w:rsid w:val="00554FDA"/>
    <w:rsid w:val="00586F9A"/>
    <w:rsid w:val="005C784C"/>
    <w:rsid w:val="005D17F6"/>
    <w:rsid w:val="005E5539"/>
    <w:rsid w:val="00602BF5"/>
    <w:rsid w:val="00617FDD"/>
    <w:rsid w:val="00620466"/>
    <w:rsid w:val="00633614"/>
    <w:rsid w:val="00633F68"/>
    <w:rsid w:val="00636EB2"/>
    <w:rsid w:val="006375B8"/>
    <w:rsid w:val="00661ED9"/>
    <w:rsid w:val="0066510A"/>
    <w:rsid w:val="00673F9F"/>
    <w:rsid w:val="00682106"/>
    <w:rsid w:val="00686953"/>
    <w:rsid w:val="00687DEA"/>
    <w:rsid w:val="00687E67"/>
    <w:rsid w:val="006967F7"/>
    <w:rsid w:val="006A250C"/>
    <w:rsid w:val="006B21D3"/>
    <w:rsid w:val="006B57D0"/>
    <w:rsid w:val="006C0B89"/>
    <w:rsid w:val="006D30FF"/>
    <w:rsid w:val="006D6940"/>
    <w:rsid w:val="006F11EC"/>
    <w:rsid w:val="0070082C"/>
    <w:rsid w:val="007369E6"/>
    <w:rsid w:val="00743616"/>
    <w:rsid w:val="00746E59"/>
    <w:rsid w:val="00754C9A"/>
    <w:rsid w:val="00754DE1"/>
    <w:rsid w:val="0075599A"/>
    <w:rsid w:val="00761D52"/>
    <w:rsid w:val="0077749E"/>
    <w:rsid w:val="00790ADA"/>
    <w:rsid w:val="007D2288"/>
    <w:rsid w:val="007E088F"/>
    <w:rsid w:val="007F7B32"/>
    <w:rsid w:val="008040B6"/>
    <w:rsid w:val="00804BC2"/>
    <w:rsid w:val="00807324"/>
    <w:rsid w:val="0081431A"/>
    <w:rsid w:val="0083216F"/>
    <w:rsid w:val="00841E59"/>
    <w:rsid w:val="00860000"/>
    <w:rsid w:val="00863BD3"/>
    <w:rsid w:val="00864054"/>
    <w:rsid w:val="008641ED"/>
    <w:rsid w:val="00866D66"/>
    <w:rsid w:val="008671C6"/>
    <w:rsid w:val="0087462E"/>
    <w:rsid w:val="00875803"/>
    <w:rsid w:val="00882233"/>
    <w:rsid w:val="00887137"/>
    <w:rsid w:val="008B459E"/>
    <w:rsid w:val="008E13AE"/>
    <w:rsid w:val="008E1506"/>
    <w:rsid w:val="008E710C"/>
    <w:rsid w:val="008F69D6"/>
    <w:rsid w:val="00902823"/>
    <w:rsid w:val="00915CA6"/>
    <w:rsid w:val="00927834"/>
    <w:rsid w:val="009500A6"/>
    <w:rsid w:val="00957C18"/>
    <w:rsid w:val="009651B2"/>
    <w:rsid w:val="009659BA"/>
    <w:rsid w:val="00983040"/>
    <w:rsid w:val="009B3FB9"/>
    <w:rsid w:val="009C2465"/>
    <w:rsid w:val="009D35A0"/>
    <w:rsid w:val="009D7EB7"/>
    <w:rsid w:val="009E048A"/>
    <w:rsid w:val="009E08E9"/>
    <w:rsid w:val="009E3DB9"/>
    <w:rsid w:val="009E63EB"/>
    <w:rsid w:val="009E6E35"/>
    <w:rsid w:val="009F0174"/>
    <w:rsid w:val="009F0EDA"/>
    <w:rsid w:val="00A03B96"/>
    <w:rsid w:val="00A05B19"/>
    <w:rsid w:val="00A1134E"/>
    <w:rsid w:val="00A24E7E"/>
    <w:rsid w:val="00A258C3"/>
    <w:rsid w:val="00A347C0"/>
    <w:rsid w:val="00A44B6E"/>
    <w:rsid w:val="00A51431"/>
    <w:rsid w:val="00A539AD"/>
    <w:rsid w:val="00A61BA0"/>
    <w:rsid w:val="00A94063"/>
    <w:rsid w:val="00AA6219"/>
    <w:rsid w:val="00AA74E0"/>
    <w:rsid w:val="00AB703F"/>
    <w:rsid w:val="00AC6BB8"/>
    <w:rsid w:val="00AE008F"/>
    <w:rsid w:val="00B01FCD"/>
    <w:rsid w:val="00B1776C"/>
    <w:rsid w:val="00B478A6"/>
    <w:rsid w:val="00B52583"/>
    <w:rsid w:val="00B52896"/>
    <w:rsid w:val="00B604DF"/>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70F1B"/>
    <w:rsid w:val="00C71A47"/>
    <w:rsid w:val="00C7464C"/>
    <w:rsid w:val="00C75852"/>
    <w:rsid w:val="00C85588"/>
    <w:rsid w:val="00C85F31"/>
    <w:rsid w:val="00CD6755"/>
    <w:rsid w:val="00CD6856"/>
    <w:rsid w:val="00CE0089"/>
    <w:rsid w:val="00CE1DDC"/>
    <w:rsid w:val="00CE793C"/>
    <w:rsid w:val="00CF0256"/>
    <w:rsid w:val="00CF193C"/>
    <w:rsid w:val="00D173F1"/>
    <w:rsid w:val="00D648B8"/>
    <w:rsid w:val="00D74CB0"/>
    <w:rsid w:val="00D8295D"/>
    <w:rsid w:val="00DC2A65"/>
    <w:rsid w:val="00DE15F0"/>
    <w:rsid w:val="00DE5663"/>
    <w:rsid w:val="00DE78AA"/>
    <w:rsid w:val="00DF2395"/>
    <w:rsid w:val="00E053D0"/>
    <w:rsid w:val="00E153A4"/>
    <w:rsid w:val="00E15994"/>
    <w:rsid w:val="00E3114E"/>
    <w:rsid w:val="00E31A70"/>
    <w:rsid w:val="00E35B02"/>
    <w:rsid w:val="00E4091F"/>
    <w:rsid w:val="00E66496"/>
    <w:rsid w:val="00E66B35"/>
    <w:rsid w:val="00E66E10"/>
    <w:rsid w:val="00E769F6"/>
    <w:rsid w:val="00E8407C"/>
    <w:rsid w:val="00E84F3C"/>
    <w:rsid w:val="00EA012C"/>
    <w:rsid w:val="00EC6A55"/>
    <w:rsid w:val="00ED0288"/>
    <w:rsid w:val="00ED39DB"/>
    <w:rsid w:val="00EE52CB"/>
    <w:rsid w:val="00EF581D"/>
    <w:rsid w:val="00EF7FD8"/>
    <w:rsid w:val="00F06F59"/>
    <w:rsid w:val="00F17988"/>
    <w:rsid w:val="00F2299C"/>
    <w:rsid w:val="00F361FC"/>
    <w:rsid w:val="00F469F0"/>
    <w:rsid w:val="00F53273"/>
    <w:rsid w:val="00F755E4"/>
    <w:rsid w:val="00F77D02"/>
    <w:rsid w:val="00FB153F"/>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5E0636C1"/>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B478A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link w:val="FooterChar"/>
    <w:uiPriority w:val="99"/>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katex-mathml">
    <w:name w:val="katex-mathml"/>
    <w:basedOn w:val="DefaultParagraphFont"/>
    <w:rsid w:val="00682106"/>
  </w:style>
  <w:style w:type="paragraph" w:styleId="ListParagraph">
    <w:name w:val="List Paragraph"/>
    <w:basedOn w:val="Normal"/>
    <w:uiPriority w:val="34"/>
    <w:qFormat/>
    <w:rsid w:val="00682106"/>
    <w:pPr>
      <w:ind w:left="720"/>
      <w:contextualSpacing/>
    </w:pPr>
  </w:style>
  <w:style w:type="character" w:customStyle="1" w:styleId="Heading2Char">
    <w:name w:val="Heading 2 Char"/>
    <w:basedOn w:val="DefaultParagraphFont"/>
    <w:link w:val="Heading2"/>
    <w:semiHidden/>
    <w:rsid w:val="00B478A6"/>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B478A6"/>
    <w:rPr>
      <w:b/>
      <w:bCs/>
    </w:rPr>
  </w:style>
  <w:style w:type="paragraph" w:styleId="NormalWeb">
    <w:name w:val="Normal (Web)"/>
    <w:basedOn w:val="Normal"/>
    <w:uiPriority w:val="99"/>
    <w:unhideWhenUsed/>
    <w:rsid w:val="00B478A6"/>
    <w:pPr>
      <w:spacing w:before="100" w:beforeAutospacing="1" w:after="100" w:afterAutospacing="1"/>
    </w:pPr>
    <w:rPr>
      <w:rFonts w:ascii="Times New Roman" w:hAnsi="Times New Roman"/>
      <w:sz w:val="24"/>
      <w:szCs w:val="24"/>
      <w:lang w:val="uk-UA" w:eastAsia="uk-UA"/>
    </w:rPr>
  </w:style>
  <w:style w:type="character" w:customStyle="1" w:styleId="FooterChar">
    <w:name w:val="Footer Char"/>
    <w:basedOn w:val="DefaultParagraphFont"/>
    <w:link w:val="Footer"/>
    <w:uiPriority w:val="99"/>
    <w:rsid w:val="00620466"/>
    <w:rPr>
      <w:rFonts w:ascii="Helvetica" w:hAnsi="Helvetica"/>
    </w:rPr>
  </w:style>
  <w:style w:type="paragraph" w:customStyle="1" w:styleId="isselectedend">
    <w:name w:val="isselectedend"/>
    <w:basedOn w:val="Normal"/>
    <w:rsid w:val="0000282E"/>
    <w:pPr>
      <w:spacing w:before="100" w:beforeAutospacing="1" w:after="100" w:afterAutospacing="1"/>
    </w:pPr>
    <w:rPr>
      <w:rFonts w:ascii="Times New Roman" w:hAnsi="Times New Roman"/>
      <w:sz w:val="24"/>
      <w:szCs w:val="24"/>
      <w:lang w:val="uk-UA" w:eastAsia="uk-UA"/>
    </w:rPr>
  </w:style>
  <w:style w:type="paragraph" w:styleId="CommentSubject">
    <w:name w:val="annotation subject"/>
    <w:basedOn w:val="CommentText"/>
    <w:next w:val="CommentText"/>
    <w:link w:val="CommentSubjectChar"/>
    <w:semiHidden/>
    <w:unhideWhenUsed/>
    <w:rsid w:val="00743616"/>
    <w:rPr>
      <w:rFonts w:ascii="Helvetica" w:hAnsi="Helvetica"/>
      <w:b/>
      <w:bCs/>
      <w:lang w:val="en-US" w:eastAsia="en-US"/>
    </w:rPr>
  </w:style>
  <w:style w:type="character" w:customStyle="1" w:styleId="CommentSubjectChar">
    <w:name w:val="Comment Subject Char"/>
    <w:basedOn w:val="CommentTextChar"/>
    <w:link w:val="CommentSubject"/>
    <w:semiHidden/>
    <w:rsid w:val="00743616"/>
    <w:rPr>
      <w:rFonts w:ascii="Helvetica" w:hAnsi="Helvetica"/>
      <w:b/>
      <w:bCs/>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90862417">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89029258">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73882863">
      <w:bodyDiv w:val="1"/>
      <w:marLeft w:val="0"/>
      <w:marRight w:val="0"/>
      <w:marTop w:val="0"/>
      <w:marBottom w:val="0"/>
      <w:divBdr>
        <w:top w:val="none" w:sz="0" w:space="0" w:color="auto"/>
        <w:left w:val="none" w:sz="0" w:space="0" w:color="auto"/>
        <w:bottom w:val="none" w:sz="0" w:space="0" w:color="auto"/>
        <w:right w:val="none" w:sz="0" w:space="0" w:color="auto"/>
      </w:divBdr>
    </w:div>
    <w:div w:id="1926576223">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1.png"/><Relationship Id="rId26" Type="http://schemas.openxmlformats.org/officeDocument/2006/relationships/hyperlink" Target="https://doi.org/10.1016/C2014-0-01825-4" TargetMode="External"/><Relationship Id="rId21" Type="http://schemas.openxmlformats.org/officeDocument/2006/relationships/hyperlink" Target="https://doi.org/10.3390/app11167285"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5" Type="http://schemas.openxmlformats.org/officeDocument/2006/relationships/hyperlink" Target="https://www.iso.org/iso-22000-food-safety-management.html" TargetMode="External"/><Relationship Id="rId33" Type="http://schemas.openxmlformats.org/officeDocument/2006/relationships/header" Target="header5.xml"/><Relationship Id="rId38"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yperlink" Target="https://doi.org/10.5772/intechopen.74291" TargetMode="External"/><Relationship Id="rId29" Type="http://schemas.openxmlformats.org/officeDocument/2006/relationships/hyperlink" Target="https://doi.org/10.15199/48.2024.08.5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3389/fmicb.2018.00898" TargetMode="External"/><Relationship Id="rId32" Type="http://schemas.openxmlformats.org/officeDocument/2006/relationships/header" Target="header4.xml"/><Relationship Id="rId37" Type="http://schemas.microsoft.com/office/2011/relationships/people" Target="people.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yperlink" Target="https://doi.org/10.4315/0362-028X-68.10.2212" TargetMode="External"/><Relationship Id="rId28" Type="http://schemas.openxmlformats.org/officeDocument/2006/relationships/hyperlink" Target="https://doi.org/10.15421/jchemtech.v34i1.342827"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hyperlink" Target="https://plan.core-apps.com/acsorlando2019/abstract/d7818db9-b33d-4297-8030-852c9bcbb2e6"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hyperlink" Target="https://doi.org/10.3389/frfst.2023.1182765" TargetMode="External"/><Relationship Id="rId27" Type="http://schemas.openxmlformats.org/officeDocument/2006/relationships/hyperlink" Target="https://doi.org/10.1016/j.jfoodeng.2022.111168" TargetMode="External"/><Relationship Id="rId30" Type="http://schemas.openxmlformats.org/officeDocument/2006/relationships/hyperlink" Target="https://doi.org/10.15199/48.2024.02.31" TargetMode="External"/><Relationship Id="rId35" Type="http://schemas.openxmlformats.org/officeDocument/2006/relationships/header" Target="header6.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1C804-58BB-47E0-9E66-698FE05B3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134</TotalTime>
  <Pages>12</Pages>
  <Words>5328</Words>
  <Characters>30370</Characters>
  <Application>Microsoft Office Word</Application>
  <DocSecurity>0</DocSecurity>
  <Lines>253</Lines>
  <Paragraphs>71</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Paper Template</vt:lpstr>
      <vt:lpstr>Paper Template</vt:lpstr>
    </vt:vector>
  </TitlesOfParts>
  <Company>aaaa</Company>
  <LinksUpToDate>false</LinksUpToDate>
  <CharactersWithSpaces>35627</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fahad rahul</cp:lastModifiedBy>
  <cp:revision>45</cp:revision>
  <cp:lastPrinted>1999-07-06T11:00:00Z</cp:lastPrinted>
  <dcterms:created xsi:type="dcterms:W3CDTF">2026-06-23T07:24:00Z</dcterms:created>
  <dcterms:modified xsi:type="dcterms:W3CDTF">2026-06-27T15:26:00Z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a437dc09-0028-4cda-9a15-5c867cea4f63</vt:lpwstr>
  </property>
</Properties>
</file>