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D68603" w14:textId="77777777" w:rsidR="00F12B46" w:rsidRPr="00F36C9C" w:rsidRDefault="00F12B46" w:rsidP="00F12B46">
      <w:pPr>
        <w:jc w:val="right"/>
        <w:rPr>
          <w:rFonts w:ascii="Arial" w:hAnsi="Arial" w:cs="Arial"/>
          <w:b/>
          <w:bCs/>
          <w:i/>
          <w:iCs/>
          <w:sz w:val="36"/>
          <w:szCs w:val="36"/>
          <w:u w:val="single"/>
        </w:rPr>
      </w:pPr>
      <w:r w:rsidRPr="00F36C9C">
        <w:rPr>
          <w:rFonts w:ascii="Arial" w:hAnsi="Arial" w:cs="Arial"/>
          <w:b/>
          <w:bCs/>
          <w:i/>
          <w:iCs/>
          <w:sz w:val="36"/>
          <w:szCs w:val="36"/>
          <w:u w:val="single"/>
        </w:rPr>
        <w:t>Original Research Article</w:t>
      </w:r>
    </w:p>
    <w:p w14:paraId="159209F9" w14:textId="77777777" w:rsidR="004816A9" w:rsidRPr="00F36C9C" w:rsidRDefault="004816A9" w:rsidP="004816A9">
      <w:pPr>
        <w:jc w:val="right"/>
        <w:rPr>
          <w:rFonts w:ascii="Arial" w:hAnsi="Arial" w:cs="Arial"/>
          <w:b/>
          <w:sz w:val="36"/>
          <w:szCs w:val="36"/>
        </w:rPr>
      </w:pPr>
      <w:r w:rsidRPr="00F36C9C">
        <w:rPr>
          <w:rFonts w:ascii="Arial" w:hAnsi="Arial" w:cs="Arial"/>
          <w:b/>
          <w:sz w:val="36"/>
          <w:szCs w:val="36"/>
        </w:rPr>
        <w:t xml:space="preserve">Decoding the antimicrobial components of </w:t>
      </w:r>
      <w:r w:rsidRPr="00F36C9C">
        <w:rPr>
          <w:rFonts w:ascii="Arial" w:hAnsi="Arial" w:cs="Arial"/>
          <w:b/>
          <w:i/>
          <w:sz w:val="36"/>
          <w:szCs w:val="36"/>
        </w:rPr>
        <w:t>Mentha piperita</w:t>
      </w:r>
      <w:r w:rsidRPr="00F36C9C">
        <w:rPr>
          <w:rFonts w:ascii="Arial" w:hAnsi="Arial" w:cs="Arial"/>
          <w:b/>
          <w:sz w:val="36"/>
          <w:szCs w:val="36"/>
        </w:rPr>
        <w:t xml:space="preserve"> plant using chemical analysis and </w:t>
      </w:r>
      <w:proofErr w:type="spellStart"/>
      <w:r w:rsidRPr="00F36C9C">
        <w:rPr>
          <w:rFonts w:ascii="Arial" w:hAnsi="Arial" w:cs="Arial"/>
          <w:b/>
          <w:sz w:val="36"/>
          <w:szCs w:val="36"/>
        </w:rPr>
        <w:t>f</w:t>
      </w:r>
      <w:r w:rsidRPr="00F36C9C">
        <w:rPr>
          <w:rFonts w:ascii="Arial" w:hAnsi="Arial" w:cs="Arial"/>
          <w:b/>
          <w:bCs/>
          <w:sz w:val="36"/>
          <w:szCs w:val="36"/>
        </w:rPr>
        <w:t>ourier</w:t>
      </w:r>
      <w:proofErr w:type="spellEnd"/>
      <w:r w:rsidRPr="00F36C9C">
        <w:rPr>
          <w:rFonts w:ascii="Arial" w:hAnsi="Arial" w:cs="Arial"/>
          <w:b/>
          <w:bCs/>
          <w:sz w:val="36"/>
          <w:szCs w:val="36"/>
        </w:rPr>
        <w:t xml:space="preserve"> transform infrared</w:t>
      </w:r>
      <w:r w:rsidRPr="00F36C9C">
        <w:rPr>
          <w:rFonts w:ascii="Arial" w:hAnsi="Arial" w:cs="Arial"/>
          <w:b/>
          <w:sz w:val="36"/>
          <w:szCs w:val="36"/>
        </w:rPr>
        <w:t xml:space="preserve"> spectroscopy </w:t>
      </w:r>
    </w:p>
    <w:p w14:paraId="501A433B" w14:textId="77777777" w:rsidR="00BD473A" w:rsidRPr="00F36C9C" w:rsidRDefault="00BD473A" w:rsidP="004816A9">
      <w:pPr>
        <w:spacing w:line="240" w:lineRule="auto"/>
        <w:jc w:val="right"/>
        <w:rPr>
          <w:rFonts w:ascii="Times New Roman" w:hAnsi="Times New Roman" w:cs="Times New Roman"/>
          <w:sz w:val="16"/>
          <w:szCs w:val="16"/>
        </w:rPr>
      </w:pPr>
    </w:p>
    <w:p w14:paraId="0FD14894" w14:textId="2EE6CBA4" w:rsidR="004816A9" w:rsidRPr="00F36C9C" w:rsidRDefault="004816A9"/>
    <w:p w14:paraId="593C8D8B" w14:textId="0141DF2E" w:rsidR="003D04B8" w:rsidRPr="00F36C9C" w:rsidRDefault="003D04B8" w:rsidP="003D04B8">
      <w:pPr>
        <w:spacing w:after="0" w:line="240" w:lineRule="auto"/>
        <w:jc w:val="both"/>
        <w:rPr>
          <w:rFonts w:ascii="Arial" w:hAnsi="Arial" w:cs="Arial"/>
        </w:rPr>
      </w:pPr>
      <w:commentRangeStart w:id="0"/>
      <w:r w:rsidRPr="00F36C9C">
        <w:rPr>
          <w:rStyle w:val="Strong"/>
          <w:rFonts w:ascii="Arial" w:hAnsi="Arial" w:cs="Arial"/>
          <w:bCs w:val="0"/>
        </w:rPr>
        <w:t>ABSTRACT</w:t>
      </w:r>
    </w:p>
    <w:p w14:paraId="030F01F0"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Aims:</w:t>
      </w:r>
      <w:r w:rsidRPr="00F36C9C">
        <w:rPr>
          <w:rFonts w:ascii="Arial" w:hAnsi="Arial" w:cs="Arial"/>
          <w:sz w:val="20"/>
          <w:szCs w:val="20"/>
        </w:rPr>
        <w:t xml:space="preserve"> This study </w:t>
      </w:r>
      <w:commentRangeEnd w:id="0"/>
      <w:r w:rsidR="005F6745">
        <w:rPr>
          <w:rStyle w:val="CommentReference"/>
        </w:rPr>
        <w:commentReference w:id="0"/>
      </w:r>
      <w:r w:rsidRPr="00F36C9C">
        <w:rPr>
          <w:rFonts w:ascii="Arial" w:hAnsi="Arial" w:cs="Arial"/>
          <w:sz w:val="20"/>
          <w:szCs w:val="20"/>
        </w:rPr>
        <w:t xml:space="preserve">investigated the antimicrobial phytochemicals present in </w:t>
      </w:r>
      <w:r w:rsidRPr="00F36C9C">
        <w:rPr>
          <w:rStyle w:val="Emphasis"/>
          <w:rFonts w:ascii="Arial" w:hAnsi="Arial" w:cs="Arial"/>
          <w:sz w:val="20"/>
          <w:szCs w:val="20"/>
        </w:rPr>
        <w:t>Mentha piperita</w:t>
      </w:r>
      <w:r w:rsidRPr="00F36C9C">
        <w:rPr>
          <w:rFonts w:ascii="Arial" w:hAnsi="Arial" w:cs="Arial"/>
          <w:sz w:val="20"/>
          <w:szCs w:val="20"/>
        </w:rPr>
        <w:t>, characterized their functional groups using Fourier Transform Infrared (FTIR) spectroscopy, and evaluated their antibacterial and antifungal activities against selected human pathogens.</w:t>
      </w:r>
    </w:p>
    <w:p w14:paraId="71CA1200"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Study Design:</w:t>
      </w:r>
      <w:r w:rsidRPr="00F36C9C">
        <w:rPr>
          <w:rFonts w:ascii="Arial" w:hAnsi="Arial" w:cs="Arial"/>
          <w:sz w:val="20"/>
          <w:szCs w:val="20"/>
        </w:rPr>
        <w:t xml:space="preserve"> Experimental laboratory-based phytochemical, spectroscopic, and antimicrobial study.</w:t>
      </w:r>
    </w:p>
    <w:p w14:paraId="70218495" w14:textId="77777777" w:rsidR="003D04B8" w:rsidRPr="00F36C9C" w:rsidRDefault="003D04B8" w:rsidP="003D04B8">
      <w:pPr>
        <w:spacing w:after="0" w:line="240" w:lineRule="auto"/>
        <w:jc w:val="both"/>
        <w:rPr>
          <w:rFonts w:ascii="Arial" w:hAnsi="Arial" w:cs="Arial"/>
          <w:sz w:val="20"/>
          <w:szCs w:val="20"/>
        </w:rPr>
      </w:pPr>
      <w:commentRangeStart w:id="1"/>
      <w:r w:rsidRPr="00F36C9C">
        <w:rPr>
          <w:rStyle w:val="Strong"/>
          <w:rFonts w:ascii="Arial" w:hAnsi="Arial" w:cs="Arial"/>
          <w:sz w:val="20"/>
          <w:szCs w:val="20"/>
        </w:rPr>
        <w:t>Place and Duration of the Study</w:t>
      </w:r>
      <w:commentRangeEnd w:id="1"/>
      <w:r w:rsidR="005F6745">
        <w:rPr>
          <w:rStyle w:val="CommentReference"/>
        </w:rPr>
        <w:commentReference w:id="1"/>
      </w:r>
      <w:r w:rsidRPr="00F36C9C">
        <w:rPr>
          <w:rStyle w:val="Strong"/>
          <w:rFonts w:ascii="Arial" w:hAnsi="Arial" w:cs="Arial"/>
          <w:sz w:val="20"/>
          <w:szCs w:val="20"/>
        </w:rPr>
        <w:t>:</w:t>
      </w:r>
      <w:r w:rsidRPr="00F36C9C">
        <w:rPr>
          <w:rFonts w:ascii="Arial" w:hAnsi="Arial" w:cs="Arial"/>
          <w:sz w:val="20"/>
          <w:szCs w:val="20"/>
        </w:rPr>
        <w:t xml:space="preserve"> The study was conducted in the Department of Chemistry, Akwa Ibom State University, </w:t>
      </w:r>
      <w:proofErr w:type="spellStart"/>
      <w:proofErr w:type="gramStart"/>
      <w:r w:rsidRPr="00F36C9C">
        <w:rPr>
          <w:rFonts w:ascii="Arial" w:hAnsi="Arial" w:cs="Arial"/>
          <w:sz w:val="20"/>
          <w:szCs w:val="20"/>
        </w:rPr>
        <w:t>Ikot</w:t>
      </w:r>
      <w:proofErr w:type="spellEnd"/>
      <w:proofErr w:type="gramEnd"/>
      <w:r w:rsidRPr="00F36C9C">
        <w:rPr>
          <w:rFonts w:ascii="Arial" w:hAnsi="Arial" w:cs="Arial"/>
          <w:sz w:val="20"/>
          <w:szCs w:val="20"/>
        </w:rPr>
        <w:t xml:space="preserve"> </w:t>
      </w:r>
      <w:proofErr w:type="spellStart"/>
      <w:r w:rsidRPr="00F36C9C">
        <w:rPr>
          <w:rFonts w:ascii="Arial" w:hAnsi="Arial" w:cs="Arial"/>
          <w:sz w:val="20"/>
          <w:szCs w:val="20"/>
        </w:rPr>
        <w:t>Akpaden</w:t>
      </w:r>
      <w:proofErr w:type="spellEnd"/>
      <w:r w:rsidRPr="00F36C9C">
        <w:rPr>
          <w:rFonts w:ascii="Arial" w:hAnsi="Arial" w:cs="Arial"/>
          <w:sz w:val="20"/>
          <w:szCs w:val="20"/>
        </w:rPr>
        <w:t xml:space="preserve">, Nigeria. Fresh </w:t>
      </w:r>
      <w:r w:rsidRPr="00F36C9C">
        <w:rPr>
          <w:rStyle w:val="Emphasis"/>
          <w:rFonts w:ascii="Arial" w:hAnsi="Arial" w:cs="Arial"/>
          <w:sz w:val="20"/>
          <w:szCs w:val="20"/>
        </w:rPr>
        <w:t>Mentha piperita</w:t>
      </w:r>
      <w:r w:rsidRPr="00F36C9C">
        <w:rPr>
          <w:rFonts w:ascii="Arial" w:hAnsi="Arial" w:cs="Arial"/>
          <w:sz w:val="20"/>
          <w:szCs w:val="20"/>
        </w:rPr>
        <w:t xml:space="preserve"> samples were collected from </w:t>
      </w:r>
      <w:proofErr w:type="spellStart"/>
      <w:r w:rsidRPr="00F36C9C">
        <w:rPr>
          <w:rFonts w:ascii="Arial" w:hAnsi="Arial" w:cs="Arial"/>
          <w:sz w:val="20"/>
          <w:szCs w:val="20"/>
        </w:rPr>
        <w:t>Mkpok</w:t>
      </w:r>
      <w:proofErr w:type="spellEnd"/>
      <w:r w:rsidRPr="00F36C9C">
        <w:rPr>
          <w:rFonts w:ascii="Arial" w:hAnsi="Arial" w:cs="Arial"/>
          <w:sz w:val="20"/>
          <w:szCs w:val="20"/>
        </w:rPr>
        <w:t xml:space="preserve">, </w:t>
      </w:r>
      <w:proofErr w:type="spellStart"/>
      <w:r w:rsidRPr="00F36C9C">
        <w:rPr>
          <w:rFonts w:ascii="Arial" w:hAnsi="Arial" w:cs="Arial"/>
          <w:sz w:val="20"/>
          <w:szCs w:val="20"/>
        </w:rPr>
        <w:t>Eket</w:t>
      </w:r>
      <w:proofErr w:type="spellEnd"/>
      <w:r w:rsidRPr="00F36C9C">
        <w:rPr>
          <w:rFonts w:ascii="Arial" w:hAnsi="Arial" w:cs="Arial"/>
          <w:sz w:val="20"/>
          <w:szCs w:val="20"/>
        </w:rPr>
        <w:t xml:space="preserve"> Local Government Area, Akwa Ibom State, between March and July 2025.</w:t>
      </w:r>
    </w:p>
    <w:p w14:paraId="50E83F57"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Methodology:</w:t>
      </w:r>
      <w:r w:rsidRPr="00F36C9C">
        <w:rPr>
          <w:rFonts w:ascii="Arial" w:hAnsi="Arial" w:cs="Arial"/>
          <w:sz w:val="20"/>
          <w:szCs w:val="20"/>
        </w:rPr>
        <w:t xml:space="preserve"> Ethanol extracts of fresh and dried leaves and stems were prepared by maceration. Qualitative and quantitative phytochemical analyses were performed using standard methods. </w:t>
      </w:r>
      <w:commentRangeStart w:id="2"/>
      <w:r w:rsidRPr="00F36C9C">
        <w:rPr>
          <w:rFonts w:ascii="Arial" w:hAnsi="Arial" w:cs="Arial"/>
          <w:sz w:val="20"/>
          <w:szCs w:val="20"/>
        </w:rPr>
        <w:t>Alkaloids, flavonoids, and cardiac glycosides were isolated and characterized by FTIR spectrosco</w:t>
      </w:r>
      <w:commentRangeEnd w:id="2"/>
      <w:r w:rsidR="005F6745">
        <w:rPr>
          <w:rStyle w:val="CommentReference"/>
        </w:rPr>
        <w:commentReference w:id="2"/>
      </w:r>
      <w:r w:rsidRPr="00F36C9C">
        <w:rPr>
          <w:rFonts w:ascii="Arial" w:hAnsi="Arial" w:cs="Arial"/>
          <w:sz w:val="20"/>
          <w:szCs w:val="20"/>
        </w:rPr>
        <w:t>py. The antimicrobial activities of the crude extract and isolated phytochemicals were evaluated against six bacterial (</w:t>
      </w:r>
      <w:r w:rsidRPr="00F36C9C">
        <w:rPr>
          <w:rStyle w:val="Emphasis"/>
          <w:rFonts w:ascii="Arial" w:hAnsi="Arial" w:cs="Arial"/>
          <w:sz w:val="20"/>
          <w:szCs w:val="20"/>
        </w:rPr>
        <w:t>Staphylococcus aureus, Pseudomonas aeruginosa, Vibrio cholerae, Salmonella</w:t>
      </w:r>
      <w:r w:rsidRPr="00F36C9C">
        <w:rPr>
          <w:rFonts w:ascii="Arial" w:hAnsi="Arial" w:cs="Arial"/>
          <w:sz w:val="20"/>
          <w:szCs w:val="20"/>
        </w:rPr>
        <w:t xml:space="preserve"> spp., </w:t>
      </w:r>
      <w:r w:rsidRPr="00F36C9C">
        <w:rPr>
          <w:rStyle w:val="Emphasis"/>
          <w:rFonts w:ascii="Arial" w:hAnsi="Arial" w:cs="Arial"/>
          <w:sz w:val="20"/>
          <w:szCs w:val="20"/>
        </w:rPr>
        <w:t>Shigella</w:t>
      </w:r>
      <w:r w:rsidRPr="00F36C9C">
        <w:rPr>
          <w:rFonts w:ascii="Arial" w:hAnsi="Arial" w:cs="Arial"/>
          <w:sz w:val="20"/>
          <w:szCs w:val="20"/>
        </w:rPr>
        <w:t xml:space="preserve"> spp., and </w:t>
      </w:r>
      <w:r w:rsidRPr="00F36C9C">
        <w:rPr>
          <w:rStyle w:val="Emphasis"/>
          <w:rFonts w:ascii="Arial" w:hAnsi="Arial" w:cs="Arial"/>
          <w:sz w:val="20"/>
          <w:szCs w:val="20"/>
        </w:rPr>
        <w:t>Escherichia coli</w:t>
      </w:r>
      <w:r w:rsidRPr="00F36C9C">
        <w:rPr>
          <w:rFonts w:ascii="Arial" w:hAnsi="Arial" w:cs="Arial"/>
          <w:sz w:val="20"/>
          <w:szCs w:val="20"/>
        </w:rPr>
        <w:t>) and four fungal (</w:t>
      </w:r>
      <w:r w:rsidRPr="00F36C9C">
        <w:rPr>
          <w:rStyle w:val="Emphasis"/>
          <w:rFonts w:ascii="Arial" w:hAnsi="Arial" w:cs="Arial"/>
          <w:sz w:val="20"/>
          <w:szCs w:val="20"/>
        </w:rPr>
        <w:t xml:space="preserve">Candida albicans, Saccharomyces cerevisiae, Aspergillus </w:t>
      </w:r>
      <w:proofErr w:type="spellStart"/>
      <w:r w:rsidRPr="00F36C9C">
        <w:rPr>
          <w:rStyle w:val="Emphasis"/>
          <w:rFonts w:ascii="Arial" w:hAnsi="Arial" w:cs="Arial"/>
          <w:sz w:val="20"/>
          <w:szCs w:val="20"/>
        </w:rPr>
        <w:t>flavus</w:t>
      </w:r>
      <w:proofErr w:type="spellEnd"/>
      <w:r w:rsidRPr="00F36C9C">
        <w:rPr>
          <w:rStyle w:val="Emphasis"/>
          <w:rFonts w:ascii="Arial" w:hAnsi="Arial" w:cs="Arial"/>
          <w:sz w:val="20"/>
          <w:szCs w:val="20"/>
        </w:rPr>
        <w:t>,</w:t>
      </w:r>
      <w:r w:rsidRPr="00F36C9C">
        <w:rPr>
          <w:rFonts w:ascii="Arial" w:hAnsi="Arial" w:cs="Arial"/>
          <w:sz w:val="20"/>
          <w:szCs w:val="20"/>
        </w:rPr>
        <w:t xml:space="preserve"> and </w:t>
      </w:r>
      <w:r w:rsidRPr="00F36C9C">
        <w:rPr>
          <w:rStyle w:val="Emphasis"/>
          <w:rFonts w:ascii="Arial" w:hAnsi="Arial" w:cs="Arial"/>
          <w:sz w:val="20"/>
          <w:szCs w:val="20"/>
        </w:rPr>
        <w:t xml:space="preserve">Aspergillus </w:t>
      </w:r>
      <w:proofErr w:type="spellStart"/>
      <w:r w:rsidRPr="00F36C9C">
        <w:rPr>
          <w:rStyle w:val="Emphasis"/>
          <w:rFonts w:ascii="Arial" w:hAnsi="Arial" w:cs="Arial"/>
          <w:sz w:val="20"/>
          <w:szCs w:val="20"/>
        </w:rPr>
        <w:t>niger</w:t>
      </w:r>
      <w:proofErr w:type="spellEnd"/>
      <w:r w:rsidRPr="00F36C9C">
        <w:rPr>
          <w:rFonts w:ascii="Arial" w:hAnsi="Arial" w:cs="Arial"/>
          <w:sz w:val="20"/>
          <w:szCs w:val="20"/>
        </w:rPr>
        <w:t>) pathogens using the agar well diffusion method, while minimum inhibitory concentrations (MICs) were determined by agar dilution.</w:t>
      </w:r>
    </w:p>
    <w:p w14:paraId="78D2C624" w14:textId="77777777" w:rsidR="003D04B8" w:rsidRPr="00F36C9C" w:rsidRDefault="003D04B8" w:rsidP="003D04B8">
      <w:pPr>
        <w:spacing w:after="0" w:line="240" w:lineRule="auto"/>
        <w:jc w:val="both"/>
        <w:rPr>
          <w:rFonts w:ascii="Arial" w:hAnsi="Arial" w:cs="Arial"/>
          <w:sz w:val="20"/>
          <w:szCs w:val="20"/>
        </w:rPr>
      </w:pPr>
      <w:commentRangeStart w:id="3"/>
      <w:r w:rsidRPr="00F36C9C">
        <w:rPr>
          <w:rStyle w:val="Strong"/>
          <w:rFonts w:ascii="Arial" w:hAnsi="Arial" w:cs="Arial"/>
          <w:sz w:val="20"/>
          <w:szCs w:val="20"/>
        </w:rPr>
        <w:t>Results:</w:t>
      </w:r>
      <w:r w:rsidRPr="00F36C9C">
        <w:rPr>
          <w:rFonts w:ascii="Arial" w:hAnsi="Arial" w:cs="Arial"/>
          <w:sz w:val="20"/>
          <w:szCs w:val="20"/>
        </w:rPr>
        <w:t xml:space="preserve"> The extracts contained alkaloids, flavonoids, tannins, </w:t>
      </w:r>
      <w:proofErr w:type="spellStart"/>
      <w:r w:rsidRPr="00F36C9C">
        <w:rPr>
          <w:rFonts w:ascii="Arial" w:hAnsi="Arial" w:cs="Arial"/>
          <w:sz w:val="20"/>
          <w:szCs w:val="20"/>
        </w:rPr>
        <w:t>phlobatannins</w:t>
      </w:r>
      <w:proofErr w:type="spellEnd"/>
      <w:r w:rsidRPr="00F36C9C">
        <w:rPr>
          <w:rFonts w:ascii="Arial" w:hAnsi="Arial" w:cs="Arial"/>
          <w:sz w:val="20"/>
          <w:szCs w:val="20"/>
        </w:rPr>
        <w:t>, cardiac glycosides, polyphenols, triterpenoids, steroids, and carbohydrates. Flavonoids (21.80 ± 2.40%) were the predominant phytochemicals, followed by cardiac glycosides (9.33 ± 1.71%) and alkaloids (4.47 ± 0.25%). FTIR spectra confirmed hydroxyl, carbonyl, amino, aromatic, and ether functional groups characteristic of bioactive compounds. The isolated phytochemicals exhibited broad-spectrum, concentration-dependent antimicrobial activity, with alkaloids showing the greatest antibacterial activity and cardiac glycosides exhibiting superior antifungal activity. MIC values ranged from 50 to 350 mg/</w:t>
      </w:r>
      <w:proofErr w:type="spellStart"/>
      <w:r w:rsidRPr="00F36C9C">
        <w:rPr>
          <w:rFonts w:ascii="Arial" w:hAnsi="Arial" w:cs="Arial"/>
          <w:sz w:val="20"/>
          <w:szCs w:val="20"/>
        </w:rPr>
        <w:t>mL.</w:t>
      </w:r>
      <w:commentRangeEnd w:id="3"/>
      <w:proofErr w:type="spellEnd"/>
      <w:r w:rsidR="005F6745">
        <w:rPr>
          <w:rStyle w:val="CommentReference"/>
        </w:rPr>
        <w:commentReference w:id="3"/>
      </w:r>
    </w:p>
    <w:p w14:paraId="4908559A"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Conclusion:</w:t>
      </w:r>
      <w:r w:rsidRPr="00F36C9C">
        <w:rPr>
          <w:rFonts w:ascii="Arial" w:hAnsi="Arial" w:cs="Arial"/>
          <w:sz w:val="20"/>
          <w:szCs w:val="20"/>
        </w:rPr>
        <w:t xml:space="preserve"> </w:t>
      </w:r>
      <w:r w:rsidRPr="00F36C9C">
        <w:rPr>
          <w:rStyle w:val="Emphasis"/>
          <w:rFonts w:ascii="Arial" w:hAnsi="Arial" w:cs="Arial"/>
          <w:sz w:val="20"/>
          <w:szCs w:val="20"/>
        </w:rPr>
        <w:t>Mentha piperita</w:t>
      </w:r>
      <w:r w:rsidRPr="00F36C9C">
        <w:rPr>
          <w:rFonts w:ascii="Arial" w:hAnsi="Arial" w:cs="Arial"/>
          <w:sz w:val="20"/>
          <w:szCs w:val="20"/>
        </w:rPr>
        <w:t xml:space="preserve"> possesses abundant bioactive phytochemicals with significant antimicrobial potential. FTIR characterization confirmed the structural features of the isolated compounds, while antimicrobial evaluation validated the plant's ethnomedicinal application. These findings highlight </w:t>
      </w:r>
      <w:r w:rsidRPr="00F36C9C">
        <w:rPr>
          <w:rStyle w:val="Emphasis"/>
          <w:rFonts w:ascii="Arial" w:hAnsi="Arial" w:cs="Arial"/>
          <w:sz w:val="20"/>
          <w:szCs w:val="20"/>
        </w:rPr>
        <w:t>M. piperita</w:t>
      </w:r>
      <w:r w:rsidRPr="00F36C9C">
        <w:rPr>
          <w:rFonts w:ascii="Arial" w:hAnsi="Arial" w:cs="Arial"/>
          <w:sz w:val="20"/>
          <w:szCs w:val="20"/>
        </w:rPr>
        <w:t xml:space="preserve"> as a promising, sustainable source of novel antimicrobial agents for combating antimicrobial resistance and advancing global health.</w:t>
      </w:r>
    </w:p>
    <w:p w14:paraId="5FC8DEF8" w14:textId="77777777" w:rsidR="003D04B8" w:rsidRPr="00F36C9C" w:rsidRDefault="003D04B8" w:rsidP="003D04B8">
      <w:pPr>
        <w:spacing w:after="0" w:line="240" w:lineRule="auto"/>
        <w:jc w:val="both"/>
        <w:rPr>
          <w:rFonts w:ascii="Arial" w:hAnsi="Arial" w:cs="Arial"/>
          <w:sz w:val="20"/>
          <w:szCs w:val="20"/>
        </w:rPr>
      </w:pPr>
    </w:p>
    <w:p w14:paraId="381EAAC2" w14:textId="77777777" w:rsidR="003D04B8" w:rsidRPr="00F36C9C" w:rsidRDefault="003D04B8" w:rsidP="003D04B8">
      <w:pPr>
        <w:spacing w:after="0" w:line="240" w:lineRule="auto"/>
        <w:jc w:val="both"/>
        <w:rPr>
          <w:rFonts w:ascii="Arial" w:hAnsi="Arial" w:cs="Arial"/>
          <w:sz w:val="20"/>
          <w:szCs w:val="20"/>
        </w:rPr>
      </w:pPr>
      <w:r w:rsidRPr="00F36C9C">
        <w:rPr>
          <w:rStyle w:val="Strong"/>
          <w:rFonts w:ascii="Arial" w:hAnsi="Arial" w:cs="Arial"/>
          <w:sz w:val="20"/>
          <w:szCs w:val="20"/>
        </w:rPr>
        <w:t>Keywords:</w:t>
      </w:r>
      <w:r w:rsidRPr="00F36C9C">
        <w:rPr>
          <w:rFonts w:ascii="Arial" w:hAnsi="Arial" w:cs="Arial"/>
          <w:sz w:val="20"/>
          <w:szCs w:val="20"/>
        </w:rPr>
        <w:t xml:space="preserve"> </w:t>
      </w:r>
      <w:commentRangeStart w:id="4"/>
      <w:r w:rsidRPr="00F36C9C">
        <w:rPr>
          <w:rStyle w:val="Emphasis"/>
          <w:rFonts w:ascii="Arial" w:hAnsi="Arial" w:cs="Arial"/>
          <w:sz w:val="20"/>
          <w:szCs w:val="20"/>
        </w:rPr>
        <w:t>Mentha piperita</w:t>
      </w:r>
      <w:r w:rsidRPr="00F36C9C">
        <w:rPr>
          <w:rFonts w:ascii="Arial" w:hAnsi="Arial" w:cs="Arial"/>
          <w:sz w:val="20"/>
          <w:szCs w:val="20"/>
        </w:rPr>
        <w:t>; phytochemicals; FTIR spectroscopy; antimicrobial activity; minimum inhibitory concentration; antimicrobial resistance</w:t>
      </w:r>
      <w:commentRangeEnd w:id="4"/>
      <w:r w:rsidR="005F6745">
        <w:rPr>
          <w:rStyle w:val="CommentReference"/>
        </w:rPr>
        <w:commentReference w:id="4"/>
      </w:r>
      <w:r w:rsidRPr="00F36C9C">
        <w:rPr>
          <w:rFonts w:ascii="Arial" w:hAnsi="Arial" w:cs="Arial"/>
          <w:sz w:val="20"/>
          <w:szCs w:val="20"/>
        </w:rPr>
        <w:t>.</w:t>
      </w:r>
    </w:p>
    <w:p w14:paraId="3B02106A" w14:textId="77777777" w:rsidR="003D04B8" w:rsidRPr="00F36C9C" w:rsidRDefault="003D04B8" w:rsidP="003930BD">
      <w:pPr>
        <w:jc w:val="both"/>
        <w:rPr>
          <w:rFonts w:ascii="Arial" w:hAnsi="Arial" w:cs="Arial"/>
          <w:b/>
        </w:rPr>
      </w:pPr>
    </w:p>
    <w:p w14:paraId="31345F57" w14:textId="6E4DD570" w:rsidR="003930BD" w:rsidRPr="00F36C9C" w:rsidRDefault="00DE5EE9" w:rsidP="003930BD">
      <w:pPr>
        <w:jc w:val="both"/>
        <w:rPr>
          <w:rFonts w:ascii="Arial" w:hAnsi="Arial" w:cs="Arial"/>
          <w:b/>
        </w:rPr>
      </w:pPr>
      <w:r w:rsidRPr="00F36C9C">
        <w:rPr>
          <w:rFonts w:ascii="Arial" w:hAnsi="Arial" w:cs="Arial"/>
          <w:b/>
        </w:rPr>
        <w:t xml:space="preserve">1. </w:t>
      </w:r>
      <w:r w:rsidR="00AB6CC8" w:rsidRPr="00F36C9C">
        <w:rPr>
          <w:rFonts w:ascii="Arial" w:hAnsi="Arial" w:cs="Arial"/>
          <w:b/>
        </w:rPr>
        <w:t>INTRODUCTION</w:t>
      </w:r>
    </w:p>
    <w:p w14:paraId="413A4B52"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Medicinal plants have remained one of the most important sources of therapeutic agents throughout human history and continue to play a vital role in modern drug discovery. Extensive phytochemical and pharmacological investigations have demonstrated that numerous plant species possess broad-spectrum antimicrobial activities attributable to their diverse secondary metabolites </w:t>
      </w:r>
      <w:commentRangeStart w:id="5"/>
      <w:r w:rsidRPr="00F36C9C">
        <w:rPr>
          <w:rFonts w:ascii="Arial" w:hAnsi="Arial" w:cs="Arial"/>
          <w:sz w:val="20"/>
          <w:szCs w:val="20"/>
        </w:rPr>
        <w:t xml:space="preserve">(Akpan et al., 2017; Adedayo et al., 2001; </w:t>
      </w:r>
      <w:proofErr w:type="spellStart"/>
      <w:r w:rsidRPr="00F36C9C">
        <w:rPr>
          <w:rFonts w:ascii="Arial" w:hAnsi="Arial" w:cs="Arial"/>
          <w:sz w:val="20"/>
          <w:szCs w:val="20"/>
        </w:rPr>
        <w:t>Perumal</w:t>
      </w:r>
      <w:proofErr w:type="spellEnd"/>
      <w:r w:rsidRPr="00F36C9C">
        <w:rPr>
          <w:rFonts w:ascii="Arial" w:hAnsi="Arial" w:cs="Arial"/>
          <w:sz w:val="20"/>
          <w:szCs w:val="20"/>
        </w:rPr>
        <w:t xml:space="preserve"> &amp; </w:t>
      </w:r>
      <w:proofErr w:type="spellStart"/>
      <w:r w:rsidRPr="00F36C9C">
        <w:rPr>
          <w:rFonts w:ascii="Arial" w:hAnsi="Arial" w:cs="Arial"/>
          <w:sz w:val="20"/>
          <w:szCs w:val="20"/>
        </w:rPr>
        <w:t>Ignacimuthu</w:t>
      </w:r>
      <w:proofErr w:type="spellEnd"/>
      <w:r w:rsidRPr="00F36C9C">
        <w:rPr>
          <w:rFonts w:ascii="Arial" w:hAnsi="Arial" w:cs="Arial"/>
          <w:sz w:val="20"/>
          <w:szCs w:val="20"/>
        </w:rPr>
        <w:t xml:space="preserve">, 2001; Sharma et al., 2013; Akpan et al., 2016;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 </w:t>
      </w:r>
      <w:commentRangeEnd w:id="5"/>
      <w:r w:rsidR="005F6745">
        <w:rPr>
          <w:rStyle w:val="CommentReference"/>
        </w:rPr>
        <w:commentReference w:id="5"/>
      </w:r>
      <w:r w:rsidRPr="00F36C9C">
        <w:rPr>
          <w:rFonts w:ascii="Arial" w:hAnsi="Arial" w:cs="Arial"/>
          <w:sz w:val="20"/>
          <w:szCs w:val="20"/>
        </w:rPr>
        <w:t>These findings have renewed scientific interest in medicinal plants as sustainable sources of novel antimicrobial compounds capable of addressing emerging infectious diseases and antimicrobial resistance.</w:t>
      </w:r>
    </w:p>
    <w:p w14:paraId="746863E6"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lastRenderedPageBreak/>
        <w:t xml:space="preserve">Plants synthesize a wide range of secondary metabolites primarily as defense mechanisms against microbial pathogens, insects, herbivores and other environmental stresses (Lichterman, 2004). These phytochemicals, including alkaloids, flavonoids, phenolics, tannins, glycosides, terpenoids and saponins, exhibit numerous biological activities such as antibacterial, antifungal, antiviral, antioxidant, anti-inflammatory, anticancer and </w:t>
      </w:r>
      <w:proofErr w:type="spellStart"/>
      <w:r w:rsidRPr="00F36C9C">
        <w:rPr>
          <w:rFonts w:ascii="Arial" w:hAnsi="Arial" w:cs="Arial"/>
          <w:sz w:val="20"/>
          <w:szCs w:val="20"/>
        </w:rPr>
        <w:t>cardioprotective</w:t>
      </w:r>
      <w:proofErr w:type="spellEnd"/>
      <w:r w:rsidRPr="00F36C9C">
        <w:rPr>
          <w:rFonts w:ascii="Arial" w:hAnsi="Arial" w:cs="Arial"/>
          <w:sz w:val="20"/>
          <w:szCs w:val="20"/>
        </w:rPr>
        <w:t xml:space="preserve"> effects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xml:space="preserve">, 2012). Beyond their ecological functions, these metabolites have become indispensable resources for pharmaceutical development because many modern drugs are either directly derived from plants or synthesized from naturally occurring lead compounds (Akpan </w:t>
      </w:r>
      <w:commentRangeStart w:id="6"/>
      <w:r w:rsidRPr="00F36C9C">
        <w:rPr>
          <w:rFonts w:ascii="Arial" w:hAnsi="Arial" w:cs="Arial"/>
          <w:sz w:val="20"/>
          <w:szCs w:val="20"/>
        </w:rPr>
        <w:t xml:space="preserve">et al., </w:t>
      </w:r>
      <w:commentRangeEnd w:id="6"/>
      <w:r w:rsidR="008522DC">
        <w:rPr>
          <w:rStyle w:val="CommentReference"/>
        </w:rPr>
        <w:commentReference w:id="6"/>
      </w:r>
      <w:r w:rsidRPr="00F36C9C">
        <w:rPr>
          <w:rFonts w:ascii="Arial" w:hAnsi="Arial" w:cs="Arial"/>
          <w:sz w:val="20"/>
          <w:szCs w:val="20"/>
        </w:rPr>
        <w:t>2021).</w:t>
      </w:r>
    </w:p>
    <w:p w14:paraId="63CD69F6"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The increasing prevalence of antimicrobial resistance (AMR) has become one of the greatest threats to global public health. The indiscriminate use and misuse of antibiotics have accelerated the emergence of resistant bacterial strains, thereby reducing the effectiveness of conventional antimicrobial therapies (</w:t>
      </w:r>
      <w:proofErr w:type="spellStart"/>
      <w:r w:rsidRPr="00F36C9C">
        <w:rPr>
          <w:rFonts w:ascii="Arial" w:hAnsi="Arial" w:cs="Arial"/>
          <w:sz w:val="20"/>
          <w:szCs w:val="20"/>
        </w:rPr>
        <w:t>Albinu</w:t>
      </w:r>
      <w:proofErr w:type="spellEnd"/>
      <w:r w:rsidRPr="00F36C9C">
        <w:rPr>
          <w:rFonts w:ascii="Arial" w:hAnsi="Arial" w:cs="Arial"/>
          <w:sz w:val="20"/>
          <w:szCs w:val="20"/>
        </w:rPr>
        <w:t xml:space="preserve"> et al., 2003; </w:t>
      </w:r>
      <w:proofErr w:type="spellStart"/>
      <w:r w:rsidRPr="00F36C9C">
        <w:rPr>
          <w:rFonts w:ascii="Arial" w:hAnsi="Arial" w:cs="Arial"/>
          <w:sz w:val="20"/>
          <w:szCs w:val="20"/>
        </w:rPr>
        <w:t>Albinu</w:t>
      </w:r>
      <w:proofErr w:type="spellEnd"/>
      <w:r w:rsidRPr="00F36C9C">
        <w:rPr>
          <w:rFonts w:ascii="Arial" w:hAnsi="Arial" w:cs="Arial"/>
          <w:sz w:val="20"/>
          <w:szCs w:val="20"/>
        </w:rPr>
        <w:t xml:space="preserve"> et al., 2004; Williams, 2000). Consequently, infectious diseases that were once easily managed are becoming increasingly difficult and expensive to treat. The World Health Organization (WHO, 2001; 2020) has consistently emphasized the urgent need for the discovery of new, safe and affordable antimicrobial agents, particularly those originating from medicinal plants. Traditional medicine therefore continues to attract considerable scientific attention as an alternative and complementary source of bioactive compounds with reduced toxicity, improved accessibility and lower susceptibility to resistance development (Longe, 2005).</w:t>
      </w:r>
    </w:p>
    <w:p w14:paraId="5A66E280"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Among the medicinal plants attracting increasing research interest is </w:t>
      </w:r>
      <w:r w:rsidRPr="00F36C9C">
        <w:rPr>
          <w:rStyle w:val="Emphasis"/>
          <w:rFonts w:ascii="Arial" w:hAnsi="Arial" w:cs="Arial"/>
          <w:sz w:val="20"/>
          <w:szCs w:val="20"/>
        </w:rPr>
        <w:t>Mentha piperita</w:t>
      </w:r>
      <w:r w:rsidRPr="00F36C9C">
        <w:rPr>
          <w:rFonts w:ascii="Arial" w:hAnsi="Arial" w:cs="Arial"/>
          <w:sz w:val="20"/>
          <w:szCs w:val="20"/>
        </w:rPr>
        <w:t xml:space="preserve"> L. (peppermint), a perennial aromatic herb belonging to the family </w:t>
      </w:r>
      <w:proofErr w:type="spellStart"/>
      <w:r w:rsidRPr="00F36C9C">
        <w:rPr>
          <w:rFonts w:ascii="Arial" w:hAnsi="Arial" w:cs="Arial"/>
          <w:sz w:val="20"/>
          <w:szCs w:val="20"/>
        </w:rPr>
        <w:t>Lamiaceae</w:t>
      </w:r>
      <w:proofErr w:type="spellEnd"/>
      <w:r w:rsidRPr="00F36C9C">
        <w:rPr>
          <w:rFonts w:ascii="Arial" w:hAnsi="Arial" w:cs="Arial"/>
          <w:sz w:val="20"/>
          <w:szCs w:val="20"/>
        </w:rPr>
        <w:t xml:space="preserve">. The plant is a natural hybrid of </w:t>
      </w:r>
      <w:r w:rsidRPr="00F36C9C">
        <w:rPr>
          <w:rStyle w:val="Emphasis"/>
          <w:rFonts w:ascii="Arial" w:hAnsi="Arial" w:cs="Arial"/>
          <w:sz w:val="20"/>
          <w:szCs w:val="20"/>
        </w:rPr>
        <w:t>Mentha aquatica</w:t>
      </w:r>
      <w:r w:rsidRPr="00F36C9C">
        <w:rPr>
          <w:rFonts w:ascii="Arial" w:hAnsi="Arial" w:cs="Arial"/>
          <w:sz w:val="20"/>
          <w:szCs w:val="20"/>
        </w:rPr>
        <w:t xml:space="preserve"> (water mint) and </w:t>
      </w:r>
      <w:r w:rsidRPr="00F36C9C">
        <w:rPr>
          <w:rStyle w:val="Emphasis"/>
          <w:rFonts w:ascii="Arial" w:hAnsi="Arial" w:cs="Arial"/>
          <w:sz w:val="20"/>
          <w:szCs w:val="20"/>
        </w:rPr>
        <w:t>Mentha spicata</w:t>
      </w:r>
      <w:r w:rsidRPr="00F36C9C">
        <w:rPr>
          <w:rFonts w:ascii="Arial" w:hAnsi="Arial" w:cs="Arial"/>
          <w:sz w:val="20"/>
          <w:szCs w:val="20"/>
        </w:rPr>
        <w:t xml:space="preserve"> (spearmint) and is widely cultivated throughout Europe, Asia, Africa and the Americas (Trevisan et al., 2017). </w:t>
      </w:r>
      <w:r w:rsidRPr="00F36C9C">
        <w:rPr>
          <w:rStyle w:val="Emphasis"/>
          <w:rFonts w:ascii="Arial" w:hAnsi="Arial" w:cs="Arial"/>
          <w:sz w:val="20"/>
          <w:szCs w:val="20"/>
        </w:rPr>
        <w:t>Mentha piperita</w:t>
      </w:r>
      <w:r w:rsidRPr="00F36C9C">
        <w:rPr>
          <w:rFonts w:ascii="Arial" w:hAnsi="Arial" w:cs="Arial"/>
          <w:sz w:val="20"/>
          <w:szCs w:val="20"/>
        </w:rPr>
        <w:t xml:space="preserve"> is characterized by smooth square stems, serrated aromatic leaves and purple flowers arranged in terminal spikes. The essential oils and phytochemical constituents of peppermint have been extensively utilized in traditional medicine for the treatment of gastrointestinal disorders, respiratory infections, headaches, inflammatory conditions and microbial infections (Trevisan et al., 2017).</w:t>
      </w:r>
    </w:p>
    <w:p w14:paraId="380C2410"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Numerous pharmacological studies have validated the ethnomedicinal importance of </w:t>
      </w:r>
      <w:r w:rsidRPr="00F36C9C">
        <w:rPr>
          <w:rStyle w:val="Emphasis"/>
          <w:rFonts w:ascii="Arial" w:hAnsi="Arial" w:cs="Arial"/>
          <w:sz w:val="20"/>
          <w:szCs w:val="20"/>
        </w:rPr>
        <w:t>M. piperita</w:t>
      </w:r>
      <w:r w:rsidRPr="00F36C9C">
        <w:rPr>
          <w:rFonts w:ascii="Arial" w:hAnsi="Arial" w:cs="Arial"/>
          <w:sz w:val="20"/>
          <w:szCs w:val="20"/>
        </w:rPr>
        <w:t xml:space="preserve">, demonstrating its antibacterial, antifungal, antiviral, antioxidant, anti-inflammatory, antidiabetic, antitumor, wound-healing, anthelmintic and anti-aging properties (Trevisan et al., 2017). These biological activities are largely attributed to the plant's rich phytochemical composition, particularly its phenolic compounds, flavonoids, terpenoids and essential oils, which exhibit remarkable antimicrobial activities against a broad spectrum of pathogenic microorganisms (Akpan et al., 2017; Adedayo et al., 2001; </w:t>
      </w:r>
      <w:proofErr w:type="spellStart"/>
      <w:r w:rsidRPr="00F36C9C">
        <w:rPr>
          <w:rFonts w:ascii="Arial" w:hAnsi="Arial" w:cs="Arial"/>
          <w:sz w:val="20"/>
          <w:szCs w:val="20"/>
        </w:rPr>
        <w:t>Perumal</w:t>
      </w:r>
      <w:proofErr w:type="spellEnd"/>
      <w:r w:rsidRPr="00F36C9C">
        <w:rPr>
          <w:rFonts w:ascii="Arial" w:hAnsi="Arial" w:cs="Arial"/>
          <w:sz w:val="20"/>
          <w:szCs w:val="20"/>
        </w:rPr>
        <w:t xml:space="preserve"> &amp; </w:t>
      </w:r>
      <w:proofErr w:type="spellStart"/>
      <w:r w:rsidRPr="00F36C9C">
        <w:rPr>
          <w:rFonts w:ascii="Arial" w:hAnsi="Arial" w:cs="Arial"/>
          <w:sz w:val="20"/>
          <w:szCs w:val="20"/>
        </w:rPr>
        <w:t>Ignacimuthu</w:t>
      </w:r>
      <w:proofErr w:type="spellEnd"/>
      <w:r w:rsidRPr="00F36C9C">
        <w:rPr>
          <w:rFonts w:ascii="Arial" w:hAnsi="Arial" w:cs="Arial"/>
          <w:sz w:val="20"/>
          <w:szCs w:val="20"/>
        </w:rPr>
        <w:t xml:space="preserve">, 2001; Sharma et al., 2013;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 Such findings suggest that </w:t>
      </w:r>
      <w:r w:rsidRPr="00F36C9C">
        <w:rPr>
          <w:rStyle w:val="Emphasis"/>
          <w:rFonts w:ascii="Arial" w:hAnsi="Arial" w:cs="Arial"/>
          <w:sz w:val="20"/>
          <w:szCs w:val="20"/>
        </w:rPr>
        <w:t>M. piperita</w:t>
      </w:r>
      <w:r w:rsidRPr="00F36C9C">
        <w:rPr>
          <w:rFonts w:ascii="Arial" w:hAnsi="Arial" w:cs="Arial"/>
          <w:sz w:val="20"/>
          <w:szCs w:val="20"/>
        </w:rPr>
        <w:t xml:space="preserve"> represents a valuable reservoir of naturally occurring antimicrobial compounds with significant pharmaceutical potential.</w:t>
      </w:r>
    </w:p>
    <w:p w14:paraId="44D0524E"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Recent advances in phytochemical research have highlighted the importance of characterizing the chemical constituents responsible for the biological activities of medicinal plants. Modern analytical techniques such as Fourier Transform Infrared (FTIR) spectroscopy provide rapid and reliable identification of functional groups present in plant metabolites, thereby facilitating the characterization of bioactive compounds and supporting the development of phytopharmaceutical products (Akpan et al., 2021). FTIR analysis complements conventional phytochemical investigations by providing structural information that aids in identifying the chemical classes responsible for antimicrobial activity.</w:t>
      </w:r>
    </w:p>
    <w:p w14:paraId="06F241AC"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The search for plant-derived antimicrobial compounds has become increasingly important as global efforts intensify to combat antimicrobial resistance through sustainable and environmentally friendly approaches. Medicinal plants provide renewable sources of structurally diverse compounds that may serve as alternatives or complements to conventional antibiotics, thereby reducing dependence on synthetic antimicrobial agents and minimizing their associated environmental impacts (World Health Organization, 2020; United Nations Environment </w:t>
      </w:r>
      <w:proofErr w:type="spellStart"/>
      <w:r w:rsidRPr="00F36C9C">
        <w:rPr>
          <w:rFonts w:ascii="Arial" w:hAnsi="Arial" w:cs="Arial"/>
          <w:sz w:val="20"/>
          <w:szCs w:val="20"/>
        </w:rPr>
        <w:t>Programme</w:t>
      </w:r>
      <w:proofErr w:type="spellEnd"/>
      <w:r w:rsidRPr="00F36C9C">
        <w:rPr>
          <w:rFonts w:ascii="Arial" w:hAnsi="Arial" w:cs="Arial"/>
          <w:sz w:val="20"/>
          <w:szCs w:val="20"/>
        </w:rPr>
        <w:t xml:space="preserve">, 2021). Furthermore, sustainable utilization </w:t>
      </w:r>
      <w:r w:rsidRPr="00F36C9C">
        <w:rPr>
          <w:rFonts w:ascii="Arial" w:hAnsi="Arial" w:cs="Arial"/>
          <w:sz w:val="20"/>
          <w:szCs w:val="20"/>
        </w:rPr>
        <w:lastRenderedPageBreak/>
        <w:t>of medicinal plants contributes to biodiversity conservation and promotes responsible exploitation of natural resources for pharmaceutical development (United Nations, 2015; UNESCO, 2021).</w:t>
      </w:r>
    </w:p>
    <w:p w14:paraId="16CE13F7" w14:textId="77777777" w:rsidR="003930BD" w:rsidRPr="00F36C9C" w:rsidRDefault="003930BD" w:rsidP="003930BD">
      <w:pPr>
        <w:jc w:val="both"/>
        <w:rPr>
          <w:rFonts w:ascii="Arial" w:hAnsi="Arial" w:cs="Arial"/>
          <w:sz w:val="20"/>
          <w:szCs w:val="20"/>
        </w:rPr>
      </w:pPr>
      <w:r w:rsidRPr="00F36C9C">
        <w:rPr>
          <w:rFonts w:ascii="Arial" w:hAnsi="Arial" w:cs="Arial"/>
          <w:sz w:val="20"/>
          <w:szCs w:val="20"/>
        </w:rPr>
        <w:t xml:space="preserve">The present study was therefore undertaken to investigate the antimicrobial constituents of </w:t>
      </w:r>
      <w:r w:rsidRPr="00F36C9C">
        <w:rPr>
          <w:rStyle w:val="Emphasis"/>
          <w:rFonts w:ascii="Arial" w:hAnsi="Arial" w:cs="Arial"/>
          <w:sz w:val="20"/>
          <w:szCs w:val="20"/>
        </w:rPr>
        <w:t>Mentha piperita</w:t>
      </w:r>
      <w:r w:rsidRPr="00F36C9C">
        <w:rPr>
          <w:rFonts w:ascii="Arial" w:hAnsi="Arial" w:cs="Arial"/>
          <w:sz w:val="20"/>
          <w:szCs w:val="20"/>
        </w:rPr>
        <w:t xml:space="preserve"> through phytochemical characterization and Fourier Transform Infrared (FTIR) spectroscopy. By identifying the functional groups and bioactive compounds associated with the antimicrobial activity of the plant, this research seeks to contribute to the discovery of safe, affordable and environmentally sustainable antimicrobial agents. The study further aligns with the </w:t>
      </w:r>
      <w:r w:rsidRPr="00F36C9C">
        <w:rPr>
          <w:rStyle w:val="Strong"/>
          <w:rFonts w:ascii="Arial" w:hAnsi="Arial" w:cs="Arial"/>
          <w:b w:val="0"/>
          <w:sz w:val="20"/>
          <w:szCs w:val="20"/>
        </w:rPr>
        <w:t>United Nations Sustainable Development Goals (SDGs)</w:t>
      </w:r>
      <w:r w:rsidRPr="00F36C9C">
        <w:rPr>
          <w:rFonts w:ascii="Arial" w:hAnsi="Arial" w:cs="Arial"/>
          <w:sz w:val="20"/>
          <w:szCs w:val="20"/>
        </w:rPr>
        <w:t xml:space="preserve">, particularly </w:t>
      </w:r>
      <w:r w:rsidRPr="00F36C9C">
        <w:rPr>
          <w:rStyle w:val="Strong"/>
          <w:rFonts w:ascii="Arial" w:hAnsi="Arial" w:cs="Arial"/>
          <w:b w:val="0"/>
          <w:sz w:val="20"/>
          <w:szCs w:val="20"/>
        </w:rPr>
        <w:t>SDG 3 (Good Health and Well-being)</w:t>
      </w:r>
      <w:r w:rsidRPr="00F36C9C">
        <w:rPr>
          <w:rFonts w:ascii="Arial" w:hAnsi="Arial" w:cs="Arial"/>
          <w:sz w:val="20"/>
          <w:szCs w:val="20"/>
        </w:rPr>
        <w:t xml:space="preserve"> through the promotion of improved healthcare and the discovery of novel antimicrobial therapeutics; </w:t>
      </w:r>
      <w:r w:rsidRPr="00F36C9C">
        <w:rPr>
          <w:rStyle w:val="Strong"/>
          <w:rFonts w:ascii="Arial" w:hAnsi="Arial" w:cs="Arial"/>
          <w:b w:val="0"/>
          <w:sz w:val="20"/>
          <w:szCs w:val="20"/>
        </w:rPr>
        <w:t>SDG 12 (Responsible Consumption and Production)</w:t>
      </w:r>
      <w:r w:rsidRPr="00F36C9C">
        <w:rPr>
          <w:rFonts w:ascii="Arial" w:hAnsi="Arial" w:cs="Arial"/>
          <w:sz w:val="20"/>
          <w:szCs w:val="20"/>
        </w:rPr>
        <w:t xml:space="preserve"> by encouraging sustainable utilization of plant resources for pharmaceutical applications; and </w:t>
      </w:r>
      <w:r w:rsidRPr="00F36C9C">
        <w:rPr>
          <w:rStyle w:val="Strong"/>
          <w:rFonts w:ascii="Arial" w:hAnsi="Arial" w:cs="Arial"/>
          <w:b w:val="0"/>
          <w:sz w:val="20"/>
          <w:szCs w:val="20"/>
        </w:rPr>
        <w:t>SDG 15 (Life on Land)</w:t>
      </w:r>
      <w:r w:rsidRPr="00F36C9C">
        <w:rPr>
          <w:rFonts w:ascii="Arial" w:hAnsi="Arial" w:cs="Arial"/>
          <w:sz w:val="20"/>
          <w:szCs w:val="20"/>
        </w:rPr>
        <w:t xml:space="preserve"> through the promotion of biodiversity conservation and sustainable management of medicinal plant resources. Collectively, these contributions reinforce the importance of medicinal plants as valuable resources for addressing antimicrobial resistance while supporting global health and sustainable development.</w:t>
      </w:r>
    </w:p>
    <w:p w14:paraId="190283AC" w14:textId="41FDE529" w:rsidR="00F80A73" w:rsidRPr="00F36C9C" w:rsidRDefault="00DE5EE9" w:rsidP="00F80A73">
      <w:pPr>
        <w:spacing w:line="240" w:lineRule="auto"/>
        <w:jc w:val="both"/>
        <w:rPr>
          <w:rFonts w:ascii="Arial" w:eastAsia="Times New Roman" w:hAnsi="Arial" w:cs="Arial"/>
          <w:b/>
        </w:rPr>
      </w:pPr>
      <w:r w:rsidRPr="00F36C9C">
        <w:rPr>
          <w:rFonts w:ascii="Arial" w:eastAsia="Times New Roman" w:hAnsi="Arial" w:cs="Arial"/>
          <w:b/>
        </w:rPr>
        <w:t xml:space="preserve">2. </w:t>
      </w:r>
      <w:r w:rsidR="00F80A73" w:rsidRPr="00F36C9C">
        <w:rPr>
          <w:rFonts w:ascii="Arial" w:eastAsia="Times New Roman" w:hAnsi="Arial" w:cs="Arial"/>
          <w:b/>
        </w:rPr>
        <w:t>MATERIALS AND METHODS</w:t>
      </w:r>
    </w:p>
    <w:p w14:paraId="10821B4E" w14:textId="47707DED" w:rsidR="00F80A73" w:rsidRPr="00F36C9C" w:rsidRDefault="00DE5EE9" w:rsidP="00F80A73">
      <w:pPr>
        <w:jc w:val="both"/>
        <w:rPr>
          <w:rFonts w:ascii="Arial" w:hAnsi="Arial" w:cs="Arial"/>
          <w:b/>
        </w:rPr>
      </w:pPr>
      <w:r w:rsidRPr="00F36C9C">
        <w:rPr>
          <w:rFonts w:ascii="Arial" w:hAnsi="Arial" w:cs="Arial"/>
          <w:b/>
        </w:rPr>
        <w:t xml:space="preserve">2.1 </w:t>
      </w:r>
      <w:r w:rsidR="00F80A73" w:rsidRPr="00F36C9C">
        <w:rPr>
          <w:rFonts w:ascii="Arial" w:hAnsi="Arial" w:cs="Arial"/>
          <w:b/>
        </w:rPr>
        <w:t xml:space="preserve">Sample collection and Identification </w:t>
      </w:r>
    </w:p>
    <w:p w14:paraId="6A5E2D31" w14:textId="77777777" w:rsidR="00F80A73" w:rsidRPr="00F36C9C" w:rsidRDefault="00F80A73" w:rsidP="00F80A73">
      <w:pPr>
        <w:jc w:val="both"/>
        <w:rPr>
          <w:rFonts w:ascii="Arial" w:hAnsi="Arial" w:cs="Arial"/>
          <w:sz w:val="20"/>
          <w:szCs w:val="20"/>
        </w:rPr>
      </w:pPr>
      <w:r w:rsidRPr="00F36C9C">
        <w:rPr>
          <w:rFonts w:ascii="Arial" w:hAnsi="Arial" w:cs="Arial"/>
          <w:sz w:val="20"/>
          <w:szCs w:val="20"/>
        </w:rPr>
        <w:t xml:space="preserve">The </w:t>
      </w:r>
      <w:r w:rsidRPr="00F36C9C">
        <w:rPr>
          <w:rFonts w:ascii="Arial" w:hAnsi="Arial" w:cs="Arial"/>
          <w:i/>
          <w:sz w:val="20"/>
          <w:szCs w:val="20"/>
        </w:rPr>
        <w:t>Mentha piperita</w:t>
      </w:r>
      <w:r w:rsidRPr="00F36C9C">
        <w:rPr>
          <w:rFonts w:ascii="Arial" w:hAnsi="Arial" w:cs="Arial"/>
          <w:sz w:val="20"/>
          <w:szCs w:val="20"/>
        </w:rPr>
        <w:t xml:space="preserve"> plant was collected from </w:t>
      </w:r>
      <w:proofErr w:type="spellStart"/>
      <w:r w:rsidRPr="00F36C9C">
        <w:rPr>
          <w:rFonts w:ascii="Arial" w:hAnsi="Arial" w:cs="Arial"/>
          <w:sz w:val="20"/>
          <w:szCs w:val="20"/>
        </w:rPr>
        <w:t>Mkpok</w:t>
      </w:r>
      <w:proofErr w:type="spellEnd"/>
      <w:r w:rsidRPr="00F36C9C">
        <w:rPr>
          <w:rFonts w:ascii="Arial" w:hAnsi="Arial" w:cs="Arial"/>
          <w:sz w:val="20"/>
          <w:szCs w:val="20"/>
        </w:rPr>
        <w:t xml:space="preserve">, </w:t>
      </w:r>
      <w:proofErr w:type="spellStart"/>
      <w:r w:rsidRPr="00F36C9C">
        <w:rPr>
          <w:rFonts w:ascii="Arial" w:hAnsi="Arial" w:cs="Arial"/>
          <w:sz w:val="20"/>
          <w:szCs w:val="20"/>
        </w:rPr>
        <w:t>Eket</w:t>
      </w:r>
      <w:proofErr w:type="spellEnd"/>
      <w:r w:rsidRPr="00F36C9C">
        <w:rPr>
          <w:rFonts w:ascii="Arial" w:hAnsi="Arial" w:cs="Arial"/>
          <w:sz w:val="20"/>
          <w:szCs w:val="20"/>
        </w:rPr>
        <w:t xml:space="preserve"> Local Government Area of Akwa Ibom State, Nigeria and was identified and authenticated by the Department of Botany, Akwa Ibom State University with the Herbarium No: AKSUH/L0015.  </w:t>
      </w:r>
    </w:p>
    <w:p w14:paraId="39F890EF" w14:textId="40499F1A" w:rsidR="00F80A73" w:rsidRPr="00F36C9C" w:rsidRDefault="00807D50" w:rsidP="00F80A73">
      <w:pPr>
        <w:jc w:val="both"/>
        <w:rPr>
          <w:rFonts w:ascii="Arial" w:hAnsi="Arial" w:cs="Arial"/>
          <w:b/>
        </w:rPr>
      </w:pPr>
      <w:r w:rsidRPr="00F36C9C">
        <w:rPr>
          <w:rFonts w:ascii="Arial" w:hAnsi="Arial" w:cs="Arial"/>
          <w:b/>
        </w:rPr>
        <w:t xml:space="preserve">2.2 </w:t>
      </w:r>
      <w:r w:rsidR="00F80A73" w:rsidRPr="00F36C9C">
        <w:rPr>
          <w:rFonts w:ascii="Arial" w:hAnsi="Arial" w:cs="Arial"/>
          <w:b/>
        </w:rPr>
        <w:t>Materials</w:t>
      </w:r>
    </w:p>
    <w:p w14:paraId="0FDCFC64" w14:textId="486FB973" w:rsidR="00F80A73" w:rsidRPr="00F36C9C" w:rsidRDefault="00807D50" w:rsidP="00F80A73">
      <w:pPr>
        <w:jc w:val="both"/>
        <w:rPr>
          <w:rFonts w:ascii="Arial" w:hAnsi="Arial" w:cs="Arial"/>
          <w:b/>
          <w:sz w:val="20"/>
          <w:szCs w:val="20"/>
          <w:u w:val="single"/>
        </w:rPr>
      </w:pPr>
      <w:bookmarkStart w:id="7" w:name="_Toc106408586"/>
      <w:commentRangeStart w:id="8"/>
      <w:r w:rsidRPr="00F36C9C">
        <w:rPr>
          <w:rFonts w:ascii="Arial" w:hAnsi="Arial" w:cs="Arial"/>
          <w:b/>
          <w:sz w:val="20"/>
          <w:szCs w:val="20"/>
          <w:u w:val="single"/>
        </w:rPr>
        <w:t xml:space="preserve">2.2.1 </w:t>
      </w:r>
      <w:r w:rsidR="00F80A73" w:rsidRPr="00F36C9C">
        <w:rPr>
          <w:rFonts w:ascii="Arial" w:hAnsi="Arial" w:cs="Arial"/>
          <w:b/>
          <w:sz w:val="20"/>
          <w:szCs w:val="20"/>
          <w:u w:val="single"/>
        </w:rPr>
        <w:t>Chemicals and reagents</w:t>
      </w:r>
      <w:bookmarkEnd w:id="7"/>
      <w:commentRangeEnd w:id="8"/>
      <w:r w:rsidR="008522DC">
        <w:rPr>
          <w:rStyle w:val="CommentReference"/>
        </w:rPr>
        <w:commentReference w:id="8"/>
      </w:r>
    </w:p>
    <w:p w14:paraId="2BCB3A75" w14:textId="77777777" w:rsidR="00F80A73" w:rsidRPr="00F36C9C" w:rsidRDefault="00F80A73" w:rsidP="00F80A73">
      <w:pPr>
        <w:spacing w:line="240" w:lineRule="auto"/>
        <w:ind w:right="1"/>
        <w:jc w:val="both"/>
        <w:rPr>
          <w:rFonts w:ascii="Arial" w:hAnsi="Arial" w:cs="Arial"/>
          <w:sz w:val="20"/>
          <w:szCs w:val="20"/>
        </w:rPr>
      </w:pPr>
      <w:r w:rsidRPr="00F36C9C">
        <w:rPr>
          <w:rFonts w:ascii="Arial" w:hAnsi="Arial" w:cs="Arial"/>
          <w:sz w:val="20"/>
          <w:szCs w:val="20"/>
        </w:rPr>
        <w:t xml:space="preserve">Mayer’s reagent, Wagner’s reagent, </w:t>
      </w:r>
      <w:proofErr w:type="spellStart"/>
      <w:r w:rsidRPr="00F36C9C">
        <w:rPr>
          <w:rFonts w:ascii="Arial" w:hAnsi="Arial" w:cs="Arial"/>
          <w:sz w:val="20"/>
          <w:szCs w:val="20"/>
        </w:rPr>
        <w:t>Dragendorff’s</w:t>
      </w:r>
      <w:proofErr w:type="spellEnd"/>
      <w:r w:rsidRPr="00F36C9C">
        <w:rPr>
          <w:rFonts w:ascii="Arial" w:hAnsi="Arial" w:cs="Arial"/>
          <w:sz w:val="20"/>
          <w:szCs w:val="20"/>
        </w:rPr>
        <w:t xml:space="preserve"> reagent, Biuret’s reagent, Molisch’s reagent, Fehling’s solution A and B, Magnesium turning, Concentrated Hydrochloric acid, Dilute sodium hydroxide, Zinc dust, Freshly prepared Iron (III) chloride, Nitric acid, Acetic acid, Acetic anhydride, Concentrated hydrogen </w:t>
      </w:r>
      <w:proofErr w:type="spellStart"/>
      <w:r w:rsidRPr="00F36C9C">
        <w:rPr>
          <w:rFonts w:ascii="Arial" w:hAnsi="Arial" w:cs="Arial"/>
          <w:sz w:val="20"/>
          <w:szCs w:val="20"/>
        </w:rPr>
        <w:t>tetraoxosulpahte</w:t>
      </w:r>
      <w:proofErr w:type="spellEnd"/>
      <w:r w:rsidRPr="00F36C9C">
        <w:rPr>
          <w:rFonts w:ascii="Arial" w:hAnsi="Arial" w:cs="Arial"/>
          <w:sz w:val="20"/>
          <w:szCs w:val="20"/>
        </w:rPr>
        <w:t xml:space="preserve"> (vi), Chloroform, Ammonia.</w:t>
      </w:r>
    </w:p>
    <w:p w14:paraId="2E8E61D6" w14:textId="4DF903B3" w:rsidR="00F80A73" w:rsidRPr="00F36C9C" w:rsidRDefault="00807D50" w:rsidP="00F80A73">
      <w:pPr>
        <w:jc w:val="both"/>
        <w:rPr>
          <w:rFonts w:ascii="Arial" w:hAnsi="Arial" w:cs="Arial"/>
          <w:b/>
          <w:sz w:val="20"/>
          <w:szCs w:val="20"/>
          <w:u w:val="single"/>
        </w:rPr>
      </w:pPr>
      <w:bookmarkStart w:id="9" w:name="_Toc106408587"/>
      <w:r w:rsidRPr="00F36C9C">
        <w:rPr>
          <w:rFonts w:ascii="Arial" w:hAnsi="Arial" w:cs="Arial"/>
          <w:b/>
          <w:sz w:val="20"/>
          <w:szCs w:val="20"/>
          <w:u w:val="single"/>
        </w:rPr>
        <w:t>2.</w:t>
      </w:r>
      <w:r w:rsidR="00835189" w:rsidRPr="00F36C9C">
        <w:rPr>
          <w:rFonts w:ascii="Arial" w:hAnsi="Arial" w:cs="Arial"/>
          <w:b/>
          <w:sz w:val="20"/>
          <w:szCs w:val="20"/>
          <w:u w:val="single"/>
        </w:rPr>
        <w:t>2.2</w:t>
      </w:r>
      <w:r w:rsidRPr="00F36C9C">
        <w:rPr>
          <w:rFonts w:ascii="Arial" w:hAnsi="Arial" w:cs="Arial"/>
          <w:b/>
          <w:sz w:val="20"/>
          <w:szCs w:val="20"/>
          <w:u w:val="single"/>
        </w:rPr>
        <w:t xml:space="preserve"> </w:t>
      </w:r>
      <w:r w:rsidR="00F80A73" w:rsidRPr="00F36C9C">
        <w:rPr>
          <w:rFonts w:ascii="Arial" w:hAnsi="Arial" w:cs="Arial"/>
          <w:b/>
          <w:sz w:val="20"/>
          <w:szCs w:val="20"/>
          <w:u w:val="single"/>
        </w:rPr>
        <w:t>Equipment and apparatus</w:t>
      </w:r>
      <w:bookmarkEnd w:id="9"/>
    </w:p>
    <w:p w14:paraId="274C2596" w14:textId="77777777" w:rsidR="00F80A73" w:rsidRPr="00F36C9C" w:rsidRDefault="00F80A73" w:rsidP="00F80A73">
      <w:pPr>
        <w:spacing w:before="240" w:line="240" w:lineRule="auto"/>
        <w:ind w:right="1"/>
        <w:jc w:val="both"/>
        <w:rPr>
          <w:rFonts w:ascii="Arial" w:hAnsi="Arial" w:cs="Arial"/>
          <w:sz w:val="20"/>
          <w:szCs w:val="20"/>
        </w:rPr>
      </w:pPr>
      <w:r w:rsidRPr="00F36C9C">
        <w:rPr>
          <w:rFonts w:ascii="Arial" w:hAnsi="Arial" w:cs="Arial"/>
          <w:sz w:val="20"/>
          <w:szCs w:val="20"/>
        </w:rPr>
        <w:t>The following apparatus were used in the study: beaker, plastic bottle, volumetric flask, test tube, conical flask, separatory funnel, oven, what-man filter paper No 42 (125mm), weighing balance, burette, measuring cylinder, condenser, water bath, grinder, Spatula, and rotary evaporator (SENCO Technology Co. Ltd.; W2-1005).</w:t>
      </w:r>
    </w:p>
    <w:p w14:paraId="2F4AB2FA" w14:textId="0122B9A1" w:rsidR="00F80A73" w:rsidRPr="00F36C9C" w:rsidRDefault="00016B90" w:rsidP="00F80A73">
      <w:pPr>
        <w:jc w:val="both"/>
        <w:rPr>
          <w:rFonts w:ascii="Arial" w:hAnsi="Arial" w:cs="Arial"/>
          <w:b/>
        </w:rPr>
      </w:pPr>
      <w:bookmarkStart w:id="10" w:name="_Toc106408590"/>
      <w:r w:rsidRPr="00F36C9C">
        <w:rPr>
          <w:rFonts w:ascii="Arial" w:hAnsi="Arial" w:cs="Arial"/>
          <w:b/>
        </w:rPr>
        <w:t xml:space="preserve">2.3 </w:t>
      </w:r>
      <w:r w:rsidR="00F80A73" w:rsidRPr="00F36C9C">
        <w:rPr>
          <w:rFonts w:ascii="Arial" w:hAnsi="Arial" w:cs="Arial"/>
          <w:b/>
        </w:rPr>
        <w:t>Preparation of</w:t>
      </w:r>
      <w:bookmarkEnd w:id="10"/>
      <w:r w:rsidR="00F80A73" w:rsidRPr="00F36C9C">
        <w:rPr>
          <w:rFonts w:ascii="Arial" w:hAnsi="Arial" w:cs="Arial"/>
          <w:b/>
        </w:rPr>
        <w:t xml:space="preserve"> sample</w:t>
      </w:r>
    </w:p>
    <w:p w14:paraId="43500D1E" w14:textId="77777777" w:rsidR="007374DA" w:rsidRPr="00F36C9C" w:rsidRDefault="00F80A73" w:rsidP="00F80A73">
      <w:pPr>
        <w:spacing w:line="240" w:lineRule="auto"/>
        <w:ind w:right="1"/>
        <w:jc w:val="both"/>
        <w:rPr>
          <w:rFonts w:ascii="Arial" w:hAnsi="Arial" w:cs="Arial"/>
          <w:sz w:val="20"/>
          <w:szCs w:val="20"/>
        </w:rPr>
      </w:pPr>
      <w:r w:rsidRPr="00F36C9C">
        <w:rPr>
          <w:rFonts w:ascii="Arial" w:hAnsi="Arial" w:cs="Arial"/>
          <w:sz w:val="20"/>
          <w:szCs w:val="20"/>
        </w:rPr>
        <w:t xml:space="preserve">Leaves and stems of the </w:t>
      </w:r>
      <w:r w:rsidRPr="00F36C9C">
        <w:rPr>
          <w:rFonts w:ascii="Arial" w:hAnsi="Arial" w:cs="Arial"/>
          <w:i/>
          <w:iCs/>
          <w:sz w:val="20"/>
          <w:szCs w:val="20"/>
        </w:rPr>
        <w:t>Menth</w:t>
      </w:r>
      <w:r w:rsidRPr="00F36C9C">
        <w:rPr>
          <w:rFonts w:ascii="Arial" w:eastAsia="Calibri" w:hAnsi="Arial" w:cs="Arial"/>
          <w:i/>
          <w:iCs/>
          <w:sz w:val="20"/>
          <w:szCs w:val="20"/>
        </w:rPr>
        <w:t xml:space="preserve">a piperita </w:t>
      </w:r>
      <w:r w:rsidRPr="00F36C9C">
        <w:rPr>
          <w:rFonts w:ascii="Arial" w:eastAsia="Calibri" w:hAnsi="Arial" w:cs="Arial"/>
          <w:iCs/>
          <w:sz w:val="20"/>
          <w:szCs w:val="20"/>
        </w:rPr>
        <w:t>collected</w:t>
      </w:r>
      <w:r w:rsidRPr="00F36C9C">
        <w:rPr>
          <w:rFonts w:ascii="Arial" w:hAnsi="Arial" w:cs="Arial"/>
          <w:sz w:val="20"/>
          <w:szCs w:val="20"/>
        </w:rPr>
        <w:t xml:space="preserve"> were washed and air dried at room temperature for </w:t>
      </w:r>
      <w:commentRangeStart w:id="11"/>
      <w:r w:rsidRPr="00F36C9C">
        <w:rPr>
          <w:rFonts w:ascii="Arial" w:hAnsi="Arial" w:cs="Arial"/>
          <w:sz w:val="20"/>
          <w:szCs w:val="20"/>
        </w:rPr>
        <w:t>20 and 15 days respectively</w:t>
      </w:r>
      <w:commentRangeEnd w:id="11"/>
      <w:r w:rsidR="008522DC">
        <w:rPr>
          <w:rStyle w:val="CommentReference"/>
        </w:rPr>
        <w:commentReference w:id="11"/>
      </w:r>
      <w:r w:rsidRPr="00F36C9C">
        <w:rPr>
          <w:rFonts w:ascii="Arial" w:hAnsi="Arial" w:cs="Arial"/>
          <w:sz w:val="20"/>
          <w:szCs w:val="20"/>
        </w:rPr>
        <w:t xml:space="preserve">. The dried leaves and stem were ground by use of a manual grinding machines to fine powder and were stored in air tight container until further use. The ground leaves and stems (20 grams each) were extracted with 500 mL of ethanol at room temperature for 72 hours using maceration method. After 72 hours, the extracts were filtered with a Whatman filter paper </w:t>
      </w:r>
      <w:r w:rsidRPr="00F36C9C">
        <w:rPr>
          <w:rFonts w:ascii="Arial" w:hAnsi="Arial" w:cs="Arial"/>
          <w:sz w:val="20"/>
          <w:szCs w:val="20"/>
          <w:lang w:eastAsia="en-GB"/>
        </w:rPr>
        <w:t>No 42 (125 m</w:t>
      </w:r>
      <w:r w:rsidR="00A950BB" w:rsidRPr="00F36C9C">
        <w:rPr>
          <w:rFonts w:ascii="Arial" w:hAnsi="Arial" w:cs="Arial"/>
          <w:sz w:val="20"/>
          <w:szCs w:val="20"/>
          <w:lang w:eastAsia="en-GB"/>
        </w:rPr>
        <w:t>m</w:t>
      </w:r>
      <w:r w:rsidRPr="00F36C9C">
        <w:rPr>
          <w:rFonts w:ascii="Arial" w:hAnsi="Arial" w:cs="Arial"/>
          <w:sz w:val="20"/>
          <w:szCs w:val="20"/>
          <w:lang w:eastAsia="en-GB"/>
        </w:rPr>
        <w:t xml:space="preserve">) </w:t>
      </w:r>
      <w:r w:rsidRPr="00F36C9C">
        <w:rPr>
          <w:rFonts w:ascii="Arial" w:hAnsi="Arial" w:cs="Arial"/>
          <w:sz w:val="20"/>
          <w:szCs w:val="20"/>
        </w:rPr>
        <w:t>and were concentrated using rotary evaporator.</w:t>
      </w:r>
    </w:p>
    <w:p w14:paraId="09D82005" w14:textId="38D4F51B" w:rsidR="00F41AA2" w:rsidRPr="00F36C9C" w:rsidRDefault="00016B90" w:rsidP="00F41AA2">
      <w:pPr>
        <w:spacing w:after="0" w:line="240" w:lineRule="auto"/>
        <w:jc w:val="both"/>
        <w:rPr>
          <w:rFonts w:ascii="Arial" w:hAnsi="Arial" w:cs="Arial"/>
          <w:b/>
          <w:bCs/>
        </w:rPr>
      </w:pPr>
      <w:r w:rsidRPr="00F36C9C">
        <w:rPr>
          <w:rFonts w:ascii="Arial" w:hAnsi="Arial" w:cs="Arial"/>
          <w:b/>
          <w:bCs/>
        </w:rPr>
        <w:t xml:space="preserve">2.4 </w:t>
      </w:r>
      <w:r w:rsidR="00F41AA2" w:rsidRPr="00F36C9C">
        <w:rPr>
          <w:rFonts w:ascii="Arial" w:hAnsi="Arial" w:cs="Arial"/>
          <w:b/>
          <w:bCs/>
        </w:rPr>
        <w:t>Phytochemical Analysis</w:t>
      </w:r>
    </w:p>
    <w:p w14:paraId="43510C2D" w14:textId="7DD77C8A" w:rsidR="00F41AA2" w:rsidRPr="00F36C9C" w:rsidRDefault="00016B90" w:rsidP="00F41AA2">
      <w:pPr>
        <w:pStyle w:val="BodyText"/>
        <w:spacing w:line="240" w:lineRule="auto"/>
        <w:jc w:val="both"/>
        <w:rPr>
          <w:rFonts w:ascii="Arial" w:hAnsi="Arial" w:cs="Arial"/>
          <w:b/>
          <w:bCs/>
          <w:sz w:val="20"/>
          <w:szCs w:val="20"/>
          <w:u w:val="single"/>
        </w:rPr>
      </w:pPr>
      <w:r w:rsidRPr="00F36C9C">
        <w:rPr>
          <w:rFonts w:ascii="Arial" w:hAnsi="Arial" w:cs="Arial"/>
          <w:b/>
          <w:bCs/>
          <w:sz w:val="20"/>
          <w:szCs w:val="20"/>
          <w:u w:val="single"/>
        </w:rPr>
        <w:t xml:space="preserve">2.4.1 </w:t>
      </w:r>
      <w:r w:rsidR="00F41AA2" w:rsidRPr="00F36C9C">
        <w:rPr>
          <w:rFonts w:ascii="Arial" w:hAnsi="Arial" w:cs="Arial"/>
          <w:b/>
          <w:bCs/>
          <w:sz w:val="20"/>
          <w:szCs w:val="20"/>
          <w:u w:val="single"/>
        </w:rPr>
        <w:t>Phytochemical Screening</w:t>
      </w:r>
    </w:p>
    <w:p w14:paraId="174CE235" w14:textId="79C23FEB" w:rsidR="00F41AA2" w:rsidRPr="00F36C9C" w:rsidRDefault="00F41AA2" w:rsidP="00F41AA2">
      <w:pPr>
        <w:autoSpaceDE w:val="0"/>
        <w:autoSpaceDN w:val="0"/>
        <w:adjustRightInd w:val="0"/>
        <w:spacing w:after="0" w:line="240" w:lineRule="auto"/>
        <w:jc w:val="both"/>
        <w:rPr>
          <w:rFonts w:ascii="Arial" w:hAnsi="Arial" w:cs="Arial"/>
          <w:sz w:val="20"/>
          <w:szCs w:val="20"/>
        </w:rPr>
      </w:pPr>
      <w:r w:rsidRPr="00F36C9C">
        <w:rPr>
          <w:rFonts w:ascii="Arial" w:hAnsi="Arial" w:cs="Arial"/>
          <w:sz w:val="20"/>
          <w:szCs w:val="20"/>
        </w:rPr>
        <w:t xml:space="preserve">The methods employed for phytochemical screening were those previously adopted by </w:t>
      </w:r>
      <w:r w:rsidR="00EB4FCD" w:rsidRPr="00F36C9C">
        <w:rPr>
          <w:rFonts w:ascii="Arial" w:hAnsi="Arial" w:cs="Arial"/>
          <w:sz w:val="20"/>
          <w:szCs w:val="20"/>
        </w:rPr>
        <w:t xml:space="preserve">Gupta </w:t>
      </w:r>
      <w:r w:rsidR="00A93AE0" w:rsidRPr="00F36C9C">
        <w:rPr>
          <w:rFonts w:ascii="Arial" w:hAnsi="Arial" w:cs="Arial"/>
          <w:sz w:val="20"/>
          <w:szCs w:val="20"/>
        </w:rPr>
        <w:t>(</w:t>
      </w:r>
      <w:r w:rsidR="00EB4FCD" w:rsidRPr="00F36C9C">
        <w:rPr>
          <w:rFonts w:ascii="Arial" w:hAnsi="Arial" w:cs="Arial"/>
          <w:sz w:val="20"/>
          <w:szCs w:val="20"/>
        </w:rPr>
        <w:t>2012)</w:t>
      </w:r>
      <w:r w:rsidRPr="00F36C9C">
        <w:rPr>
          <w:rFonts w:ascii="Arial" w:hAnsi="Arial" w:cs="Arial"/>
          <w:sz w:val="20"/>
          <w:szCs w:val="20"/>
        </w:rPr>
        <w:t xml:space="preserve">, </w:t>
      </w:r>
      <w:proofErr w:type="spellStart"/>
      <w:r w:rsidR="00A93AE0" w:rsidRPr="00F36C9C">
        <w:rPr>
          <w:rFonts w:ascii="Arial" w:hAnsi="Arial" w:cs="Arial"/>
          <w:sz w:val="20"/>
          <w:szCs w:val="20"/>
        </w:rPr>
        <w:t>Rangari</w:t>
      </w:r>
      <w:proofErr w:type="spellEnd"/>
      <w:r w:rsidR="00A93AE0" w:rsidRPr="00F36C9C">
        <w:rPr>
          <w:rFonts w:ascii="Arial" w:hAnsi="Arial" w:cs="Arial"/>
          <w:sz w:val="20"/>
          <w:szCs w:val="20"/>
        </w:rPr>
        <w:t xml:space="preserve"> (2012), Mohamed et al. (2014</w:t>
      </w:r>
      <w:r w:rsidR="00A93AE0" w:rsidRPr="00F36C9C">
        <w:rPr>
          <w:rFonts w:ascii="Arial" w:hAnsi="Arial" w:cs="Arial"/>
          <w:b/>
          <w:sz w:val="20"/>
          <w:szCs w:val="20"/>
        </w:rPr>
        <w:t xml:space="preserve">) and </w:t>
      </w:r>
      <w:proofErr w:type="spellStart"/>
      <w:r w:rsidR="00EB4FCD" w:rsidRPr="00F36C9C">
        <w:rPr>
          <w:rFonts w:ascii="Arial" w:hAnsi="Arial" w:cs="Arial"/>
          <w:sz w:val="20"/>
          <w:szCs w:val="20"/>
        </w:rPr>
        <w:t>Uwanta</w:t>
      </w:r>
      <w:proofErr w:type="spellEnd"/>
      <w:r w:rsidR="00EB4FCD" w:rsidRPr="00F36C9C">
        <w:rPr>
          <w:rFonts w:ascii="Arial" w:hAnsi="Arial" w:cs="Arial"/>
          <w:sz w:val="20"/>
          <w:szCs w:val="20"/>
        </w:rPr>
        <w:t xml:space="preserve"> &amp; </w:t>
      </w:r>
      <w:proofErr w:type="spellStart"/>
      <w:r w:rsidR="00EB4FCD" w:rsidRPr="00F36C9C">
        <w:rPr>
          <w:rFonts w:ascii="Arial" w:hAnsi="Arial" w:cs="Arial"/>
          <w:sz w:val="20"/>
          <w:szCs w:val="20"/>
        </w:rPr>
        <w:t>Akpan</w:t>
      </w:r>
      <w:proofErr w:type="spellEnd"/>
      <w:r w:rsidR="00EB4FCD" w:rsidRPr="00F36C9C">
        <w:rPr>
          <w:rFonts w:ascii="Arial" w:hAnsi="Arial" w:cs="Arial"/>
          <w:sz w:val="20"/>
          <w:szCs w:val="20"/>
        </w:rPr>
        <w:t xml:space="preserve"> (2024) </w:t>
      </w:r>
      <w:r w:rsidRPr="00F36C9C">
        <w:rPr>
          <w:rFonts w:ascii="Arial" w:hAnsi="Arial" w:cs="Arial"/>
          <w:sz w:val="20"/>
          <w:szCs w:val="20"/>
        </w:rPr>
        <w:t>without any modification as follows.</w:t>
      </w:r>
    </w:p>
    <w:p w14:paraId="7B8EC625" w14:textId="77777777" w:rsidR="00F41AA2" w:rsidRPr="00F36C9C" w:rsidRDefault="00F41AA2" w:rsidP="00F41AA2">
      <w:pPr>
        <w:autoSpaceDE w:val="0"/>
        <w:autoSpaceDN w:val="0"/>
        <w:adjustRightInd w:val="0"/>
        <w:spacing w:after="0" w:line="240" w:lineRule="auto"/>
        <w:jc w:val="both"/>
        <w:rPr>
          <w:rFonts w:ascii="Arial" w:hAnsi="Arial" w:cs="Arial"/>
          <w:sz w:val="20"/>
          <w:szCs w:val="20"/>
        </w:rPr>
      </w:pPr>
    </w:p>
    <w:p w14:paraId="2F5470CE" w14:textId="692E02F8" w:rsidR="00F41AA2" w:rsidRPr="00F36C9C" w:rsidRDefault="004A097D" w:rsidP="00F41AA2">
      <w:pPr>
        <w:spacing w:line="240" w:lineRule="auto"/>
        <w:jc w:val="both"/>
        <w:rPr>
          <w:rFonts w:ascii="Arial" w:eastAsia="Calibri" w:hAnsi="Arial" w:cs="Arial"/>
          <w:i/>
          <w:sz w:val="20"/>
          <w:szCs w:val="20"/>
        </w:rPr>
      </w:pPr>
      <w:r w:rsidRPr="00F36C9C">
        <w:rPr>
          <w:rFonts w:ascii="Arial" w:eastAsia="Calibri" w:hAnsi="Arial" w:cs="Arial"/>
          <w:b/>
          <w:i/>
          <w:sz w:val="20"/>
          <w:szCs w:val="20"/>
        </w:rPr>
        <w:t xml:space="preserve">2.4.1.1 </w:t>
      </w:r>
      <w:r w:rsidR="00F41AA2" w:rsidRPr="00F36C9C">
        <w:rPr>
          <w:rFonts w:ascii="Arial" w:eastAsia="Calibri" w:hAnsi="Arial" w:cs="Arial"/>
          <w:b/>
          <w:i/>
          <w:sz w:val="20"/>
          <w:szCs w:val="20"/>
        </w:rPr>
        <w:t xml:space="preserve">Alkaloids </w:t>
      </w:r>
    </w:p>
    <w:p w14:paraId="55784FF3" w14:textId="22D42EB4" w:rsidR="00F41AA2" w:rsidRPr="00F36C9C" w:rsidRDefault="00F41AA2" w:rsidP="00F41AA2">
      <w:pPr>
        <w:pStyle w:val="ListParagraph"/>
        <w:numPr>
          <w:ilvl w:val="0"/>
          <w:numId w:val="2"/>
        </w:numPr>
        <w:spacing w:after="200" w:line="240" w:lineRule="auto"/>
        <w:contextualSpacing/>
        <w:jc w:val="both"/>
        <w:rPr>
          <w:rFonts w:ascii="Arial" w:eastAsia="Calibri" w:hAnsi="Arial" w:cs="Arial"/>
          <w:sz w:val="20"/>
          <w:szCs w:val="20"/>
        </w:rPr>
      </w:pPr>
      <w:proofErr w:type="spellStart"/>
      <w:r w:rsidRPr="00F36C9C">
        <w:rPr>
          <w:rFonts w:ascii="Arial" w:eastAsia="Calibri" w:hAnsi="Arial" w:cs="Arial"/>
          <w:b/>
          <w:sz w:val="20"/>
          <w:szCs w:val="20"/>
        </w:rPr>
        <w:lastRenderedPageBreak/>
        <w:t>Dragendorff’s</w:t>
      </w:r>
      <w:proofErr w:type="spellEnd"/>
      <w:r w:rsidRPr="00F36C9C">
        <w:rPr>
          <w:rFonts w:ascii="Arial" w:eastAsia="Calibri" w:hAnsi="Arial" w:cs="Arial"/>
          <w:b/>
          <w:sz w:val="20"/>
          <w:szCs w:val="20"/>
        </w:rPr>
        <w:t xml:space="preserve"> Test: </w:t>
      </w:r>
      <w:r w:rsidRPr="00F36C9C">
        <w:rPr>
          <w:rFonts w:ascii="Arial" w:eastAsia="Calibri" w:hAnsi="Arial" w:cs="Arial"/>
          <w:sz w:val="20"/>
          <w:szCs w:val="20"/>
        </w:rPr>
        <w:t xml:space="preserve">1.0 mL of </w:t>
      </w:r>
      <w:proofErr w:type="spellStart"/>
      <w:r w:rsidRPr="00F36C9C">
        <w:rPr>
          <w:rFonts w:ascii="Arial" w:eastAsia="Calibri" w:hAnsi="Arial" w:cs="Arial"/>
          <w:sz w:val="20"/>
          <w:szCs w:val="20"/>
        </w:rPr>
        <w:t>Dragendorff’s</w:t>
      </w:r>
      <w:proofErr w:type="spellEnd"/>
      <w:r w:rsidRPr="00F36C9C">
        <w:rPr>
          <w:rFonts w:ascii="Arial" w:eastAsia="Calibri" w:hAnsi="Arial" w:cs="Arial"/>
          <w:sz w:val="20"/>
          <w:szCs w:val="20"/>
        </w:rPr>
        <w:t xml:space="preserve"> reagent was added to 1.0 mL of the sample. Alkaloids produce</w:t>
      </w:r>
      <w:r w:rsidR="00A2618B" w:rsidRPr="00F36C9C">
        <w:rPr>
          <w:rFonts w:ascii="Arial" w:eastAsia="Calibri" w:hAnsi="Arial" w:cs="Arial"/>
          <w:sz w:val="20"/>
          <w:szCs w:val="20"/>
        </w:rPr>
        <w:t>d</w:t>
      </w:r>
      <w:r w:rsidRPr="00F36C9C">
        <w:rPr>
          <w:rFonts w:ascii="Arial" w:eastAsia="Calibri" w:hAnsi="Arial" w:cs="Arial"/>
          <w:sz w:val="20"/>
          <w:szCs w:val="20"/>
        </w:rPr>
        <w:t xml:space="preserve"> an orange precipitate with this reagent.</w:t>
      </w:r>
    </w:p>
    <w:p w14:paraId="039FF133" w14:textId="5843BD63" w:rsidR="00F41AA2" w:rsidRPr="00F36C9C" w:rsidRDefault="00F41AA2" w:rsidP="00F41AA2">
      <w:pPr>
        <w:pStyle w:val="ListParagraph"/>
        <w:numPr>
          <w:ilvl w:val="0"/>
          <w:numId w:val="2"/>
        </w:numPr>
        <w:spacing w:after="200" w:line="240" w:lineRule="auto"/>
        <w:contextualSpacing/>
        <w:jc w:val="both"/>
        <w:rPr>
          <w:rFonts w:ascii="Arial" w:eastAsia="Calibri" w:hAnsi="Arial" w:cs="Arial"/>
          <w:b/>
          <w:sz w:val="20"/>
          <w:szCs w:val="20"/>
        </w:rPr>
      </w:pPr>
      <w:r w:rsidRPr="00F36C9C">
        <w:rPr>
          <w:rFonts w:ascii="Arial" w:eastAsia="Calibri" w:hAnsi="Arial" w:cs="Arial"/>
          <w:b/>
          <w:sz w:val="20"/>
          <w:szCs w:val="20"/>
        </w:rPr>
        <w:t xml:space="preserve">Wagner’s Test: </w:t>
      </w:r>
      <w:r w:rsidRPr="00F36C9C">
        <w:rPr>
          <w:rFonts w:ascii="Arial" w:eastAsia="Calibri" w:hAnsi="Arial" w:cs="Arial"/>
          <w:sz w:val="20"/>
          <w:szCs w:val="20"/>
        </w:rPr>
        <w:t>1-2 ml of Wagner’s reagent was added to 1</w:t>
      </w:r>
      <w:r w:rsidR="005818A5" w:rsidRPr="00F36C9C">
        <w:rPr>
          <w:rFonts w:ascii="Arial" w:eastAsia="Calibri" w:hAnsi="Arial" w:cs="Arial"/>
          <w:sz w:val="20"/>
          <w:szCs w:val="20"/>
        </w:rPr>
        <w:t>.0</w:t>
      </w:r>
      <w:r w:rsidRPr="00F36C9C">
        <w:rPr>
          <w:rFonts w:ascii="Arial" w:eastAsia="Calibri" w:hAnsi="Arial" w:cs="Arial"/>
          <w:sz w:val="20"/>
          <w:szCs w:val="20"/>
        </w:rPr>
        <w:t xml:space="preserve"> m</w:t>
      </w:r>
      <w:r w:rsidR="005818A5" w:rsidRPr="00F36C9C">
        <w:rPr>
          <w:rFonts w:ascii="Arial" w:eastAsia="Calibri" w:hAnsi="Arial" w:cs="Arial"/>
          <w:sz w:val="20"/>
          <w:szCs w:val="20"/>
        </w:rPr>
        <w:t>L</w:t>
      </w:r>
      <w:r w:rsidRPr="00F36C9C">
        <w:rPr>
          <w:rFonts w:ascii="Arial" w:eastAsia="Calibri" w:hAnsi="Arial" w:cs="Arial"/>
          <w:sz w:val="20"/>
          <w:szCs w:val="20"/>
        </w:rPr>
        <w:t xml:space="preserve"> of the sample. Alkaloids produce</w:t>
      </w:r>
      <w:r w:rsidR="00A2618B" w:rsidRPr="00F36C9C">
        <w:rPr>
          <w:rFonts w:ascii="Arial" w:eastAsia="Calibri" w:hAnsi="Arial" w:cs="Arial"/>
          <w:sz w:val="20"/>
          <w:szCs w:val="20"/>
        </w:rPr>
        <w:t>d</w:t>
      </w:r>
      <w:r w:rsidRPr="00F36C9C">
        <w:rPr>
          <w:rFonts w:ascii="Arial" w:eastAsia="Calibri" w:hAnsi="Arial" w:cs="Arial"/>
          <w:sz w:val="20"/>
          <w:szCs w:val="20"/>
        </w:rPr>
        <w:t xml:space="preserve"> a brown to reddish-brown precipitate with this reagent.</w:t>
      </w:r>
    </w:p>
    <w:p w14:paraId="02420CB1" w14:textId="6273EDF0" w:rsidR="00767425" w:rsidRPr="00F36C9C" w:rsidRDefault="00767425" w:rsidP="005818A5">
      <w:pPr>
        <w:pStyle w:val="ListParagraph"/>
        <w:numPr>
          <w:ilvl w:val="0"/>
          <w:numId w:val="2"/>
        </w:numPr>
        <w:spacing w:after="200" w:line="240" w:lineRule="auto"/>
        <w:contextualSpacing/>
        <w:jc w:val="both"/>
        <w:rPr>
          <w:rFonts w:ascii="Arial" w:eastAsia="Calibri" w:hAnsi="Arial" w:cs="Arial"/>
          <w:b/>
          <w:sz w:val="20"/>
          <w:szCs w:val="20"/>
        </w:rPr>
      </w:pPr>
      <w:r w:rsidRPr="00F36C9C">
        <w:rPr>
          <w:rFonts w:ascii="Arial" w:eastAsia="Calibri" w:hAnsi="Arial" w:cs="Arial"/>
          <w:b/>
          <w:sz w:val="20"/>
          <w:szCs w:val="20"/>
        </w:rPr>
        <w:t>Mayer</w:t>
      </w:r>
      <w:r w:rsidR="00A2618B" w:rsidRPr="00F36C9C">
        <w:rPr>
          <w:rFonts w:ascii="Arial" w:eastAsia="Calibri" w:hAnsi="Arial" w:cs="Arial"/>
          <w:b/>
          <w:sz w:val="20"/>
          <w:szCs w:val="20"/>
        </w:rPr>
        <w:t xml:space="preserve">’s Test: </w:t>
      </w:r>
      <w:r w:rsidR="00A2618B" w:rsidRPr="00F36C9C">
        <w:rPr>
          <w:rFonts w:ascii="Arial" w:eastAsia="Calibri" w:hAnsi="Arial" w:cs="Arial"/>
          <w:sz w:val="20"/>
          <w:szCs w:val="20"/>
        </w:rPr>
        <w:t>Mayer reagent (1.0 mL)</w:t>
      </w:r>
      <w:r w:rsidR="00A2618B" w:rsidRPr="00F36C9C">
        <w:rPr>
          <w:rFonts w:ascii="Arial" w:eastAsia="Calibri" w:hAnsi="Arial" w:cs="Arial"/>
          <w:b/>
          <w:sz w:val="20"/>
          <w:szCs w:val="20"/>
        </w:rPr>
        <w:t xml:space="preserve"> </w:t>
      </w:r>
      <w:r w:rsidR="00A2618B" w:rsidRPr="00F36C9C">
        <w:rPr>
          <w:rFonts w:ascii="Arial" w:eastAsia="Calibri" w:hAnsi="Arial" w:cs="Arial"/>
          <w:sz w:val="20"/>
          <w:szCs w:val="20"/>
        </w:rPr>
        <w:t>was added to 1</w:t>
      </w:r>
      <w:r w:rsidR="005818A5" w:rsidRPr="00F36C9C">
        <w:rPr>
          <w:rFonts w:ascii="Arial" w:eastAsia="Calibri" w:hAnsi="Arial" w:cs="Arial"/>
          <w:sz w:val="20"/>
          <w:szCs w:val="20"/>
        </w:rPr>
        <w:t>.0</w:t>
      </w:r>
      <w:r w:rsidR="00A2618B" w:rsidRPr="00F36C9C">
        <w:rPr>
          <w:rFonts w:ascii="Arial" w:eastAsia="Calibri" w:hAnsi="Arial" w:cs="Arial"/>
          <w:sz w:val="20"/>
          <w:szCs w:val="20"/>
        </w:rPr>
        <w:t xml:space="preserve"> m</w:t>
      </w:r>
      <w:r w:rsidR="005818A5" w:rsidRPr="00F36C9C">
        <w:rPr>
          <w:rFonts w:ascii="Arial" w:eastAsia="Calibri" w:hAnsi="Arial" w:cs="Arial"/>
          <w:sz w:val="20"/>
          <w:szCs w:val="20"/>
        </w:rPr>
        <w:t>L</w:t>
      </w:r>
      <w:r w:rsidR="00A2618B" w:rsidRPr="00F36C9C">
        <w:rPr>
          <w:rFonts w:ascii="Arial" w:eastAsia="Calibri" w:hAnsi="Arial" w:cs="Arial"/>
          <w:sz w:val="20"/>
          <w:szCs w:val="20"/>
        </w:rPr>
        <w:t xml:space="preserve"> of the sample. Alkaloids produced a white to pale-yellow precipitate with this reagent.</w:t>
      </w:r>
    </w:p>
    <w:p w14:paraId="29F4F5CA" w14:textId="1F344BD3" w:rsidR="00F41AA2" w:rsidRPr="00F36C9C" w:rsidRDefault="004A097D" w:rsidP="00F41AA2">
      <w:pPr>
        <w:spacing w:line="240" w:lineRule="auto"/>
        <w:jc w:val="both"/>
        <w:rPr>
          <w:rFonts w:ascii="Arial" w:eastAsia="Calibri" w:hAnsi="Arial" w:cs="Arial"/>
          <w:i/>
          <w:sz w:val="20"/>
          <w:szCs w:val="20"/>
        </w:rPr>
      </w:pPr>
      <w:r w:rsidRPr="00F36C9C">
        <w:rPr>
          <w:rFonts w:ascii="Arial" w:eastAsia="Calibri" w:hAnsi="Arial" w:cs="Arial"/>
          <w:b/>
          <w:i/>
          <w:sz w:val="20"/>
          <w:szCs w:val="20"/>
        </w:rPr>
        <w:t xml:space="preserve">2.4.1.2 </w:t>
      </w:r>
      <w:r w:rsidR="00F41AA2" w:rsidRPr="00F36C9C">
        <w:rPr>
          <w:rFonts w:ascii="Arial" w:eastAsia="Calibri" w:hAnsi="Arial" w:cs="Arial"/>
          <w:b/>
          <w:i/>
          <w:sz w:val="20"/>
          <w:szCs w:val="20"/>
        </w:rPr>
        <w:t>Tannin</w:t>
      </w:r>
    </w:p>
    <w:p w14:paraId="35860C11" w14:textId="2C6E5607" w:rsidR="00F41AA2" w:rsidRPr="00F36C9C" w:rsidRDefault="00F41AA2" w:rsidP="00F41AA2">
      <w:pPr>
        <w:pStyle w:val="ListParagraph"/>
        <w:numPr>
          <w:ilvl w:val="0"/>
          <w:numId w:val="3"/>
        </w:numPr>
        <w:spacing w:after="200" w:line="240" w:lineRule="auto"/>
        <w:contextualSpacing/>
        <w:jc w:val="both"/>
        <w:rPr>
          <w:rFonts w:ascii="Arial" w:eastAsia="Calibri" w:hAnsi="Arial" w:cs="Arial"/>
          <w:sz w:val="20"/>
          <w:szCs w:val="20"/>
        </w:rPr>
      </w:pPr>
      <w:r w:rsidRPr="00F36C9C">
        <w:rPr>
          <w:rFonts w:ascii="Arial" w:eastAsia="Calibri" w:hAnsi="Arial" w:cs="Arial"/>
          <w:b/>
          <w:sz w:val="20"/>
          <w:szCs w:val="20"/>
        </w:rPr>
        <w:t xml:space="preserve">Ferric chloride test: </w:t>
      </w:r>
      <w:r w:rsidRPr="00F36C9C">
        <w:rPr>
          <w:rFonts w:ascii="Arial" w:eastAsia="Calibri" w:hAnsi="Arial" w:cs="Arial"/>
          <w:sz w:val="20"/>
          <w:szCs w:val="20"/>
        </w:rPr>
        <w:t xml:space="preserve">Freshly prepared ferric chloride solution (0.5 mL) was added to the test sample solution (1.0 mL). The blue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 xml:space="preserve"> indicate</w:t>
      </w:r>
      <w:r w:rsidR="005818A5" w:rsidRPr="00F36C9C">
        <w:rPr>
          <w:rFonts w:ascii="Arial" w:eastAsia="Calibri" w:hAnsi="Arial" w:cs="Arial"/>
          <w:sz w:val="20"/>
          <w:szCs w:val="20"/>
        </w:rPr>
        <w:t>d</w:t>
      </w:r>
      <w:r w:rsidRPr="00F36C9C">
        <w:rPr>
          <w:rFonts w:ascii="Arial" w:eastAsia="Calibri" w:hAnsi="Arial" w:cs="Arial"/>
          <w:sz w:val="20"/>
          <w:szCs w:val="20"/>
        </w:rPr>
        <w:t xml:space="preserve"> the presence of hydrolysable tannins. Condensed tannins produce</w:t>
      </w:r>
      <w:r w:rsidR="005818A5" w:rsidRPr="00F36C9C">
        <w:rPr>
          <w:rFonts w:ascii="Arial" w:eastAsia="Calibri" w:hAnsi="Arial" w:cs="Arial"/>
          <w:sz w:val="20"/>
          <w:szCs w:val="20"/>
        </w:rPr>
        <w:t>d</w:t>
      </w:r>
      <w:r w:rsidRPr="00F36C9C">
        <w:rPr>
          <w:rFonts w:ascii="Arial" w:eastAsia="Calibri" w:hAnsi="Arial" w:cs="Arial"/>
          <w:sz w:val="20"/>
          <w:szCs w:val="20"/>
        </w:rPr>
        <w:t xml:space="preserve"> a green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w:t>
      </w:r>
    </w:p>
    <w:p w14:paraId="1FE725A8" w14:textId="1CC62DF9" w:rsidR="005818A5" w:rsidRPr="00F36C9C" w:rsidRDefault="004A097D" w:rsidP="005818A5">
      <w:pPr>
        <w:spacing w:after="200" w:line="240" w:lineRule="auto"/>
        <w:contextualSpacing/>
        <w:jc w:val="both"/>
        <w:rPr>
          <w:rFonts w:ascii="Arial" w:hAnsi="Arial" w:cs="Arial"/>
          <w:b/>
          <w:bCs/>
          <w:i/>
          <w:sz w:val="20"/>
          <w:szCs w:val="20"/>
        </w:rPr>
      </w:pPr>
      <w:r w:rsidRPr="00F36C9C">
        <w:rPr>
          <w:rFonts w:ascii="Arial" w:hAnsi="Arial" w:cs="Arial"/>
          <w:b/>
          <w:bCs/>
          <w:i/>
          <w:sz w:val="20"/>
          <w:szCs w:val="20"/>
        </w:rPr>
        <w:t xml:space="preserve">2.4.1.3 </w:t>
      </w:r>
      <w:proofErr w:type="spellStart"/>
      <w:r w:rsidR="005818A5" w:rsidRPr="00F36C9C">
        <w:rPr>
          <w:rFonts w:ascii="Arial" w:hAnsi="Arial" w:cs="Arial"/>
          <w:b/>
          <w:bCs/>
          <w:i/>
          <w:sz w:val="20"/>
          <w:szCs w:val="20"/>
        </w:rPr>
        <w:t>Phlobotannins</w:t>
      </w:r>
      <w:proofErr w:type="spellEnd"/>
    </w:p>
    <w:p w14:paraId="4F6171BE" w14:textId="0A7C8C7A" w:rsidR="005818A5" w:rsidRPr="00F36C9C" w:rsidRDefault="005818A5" w:rsidP="00B20396">
      <w:pPr>
        <w:pStyle w:val="ListParagraph"/>
        <w:numPr>
          <w:ilvl w:val="0"/>
          <w:numId w:val="7"/>
        </w:numPr>
        <w:jc w:val="both"/>
        <w:rPr>
          <w:rFonts w:ascii="Arial" w:hAnsi="Arial" w:cs="Arial"/>
          <w:sz w:val="20"/>
          <w:szCs w:val="20"/>
        </w:rPr>
      </w:pPr>
      <w:r w:rsidRPr="00F36C9C">
        <w:rPr>
          <w:rFonts w:ascii="Arial" w:hAnsi="Arial" w:cs="Arial"/>
          <w:b/>
          <w:bCs/>
          <w:sz w:val="20"/>
          <w:szCs w:val="20"/>
        </w:rPr>
        <w:t>Acid test:</w:t>
      </w:r>
      <w:r w:rsidRPr="00F36C9C">
        <w:rPr>
          <w:rFonts w:ascii="Arial" w:hAnsi="Arial" w:cs="Arial"/>
          <w:sz w:val="20"/>
          <w:szCs w:val="20"/>
        </w:rPr>
        <w:t xml:space="preserve"> </w:t>
      </w:r>
      <w:r w:rsidR="0043256E" w:rsidRPr="00F36C9C">
        <w:rPr>
          <w:rFonts w:ascii="Arial" w:hAnsi="Arial" w:cs="Arial"/>
          <w:sz w:val="20"/>
          <w:szCs w:val="20"/>
        </w:rPr>
        <w:t>About 2.0 mL of 1</w:t>
      </w:r>
      <w:r w:rsidR="00AE13B4" w:rsidRPr="00F36C9C">
        <w:rPr>
          <w:rFonts w:ascii="Arial" w:hAnsi="Arial" w:cs="Arial"/>
          <w:sz w:val="20"/>
          <w:szCs w:val="20"/>
        </w:rPr>
        <w:t xml:space="preserve"> </w:t>
      </w:r>
      <w:r w:rsidR="0043256E" w:rsidRPr="00F36C9C">
        <w:rPr>
          <w:rFonts w:ascii="Arial" w:hAnsi="Arial" w:cs="Arial"/>
          <w:sz w:val="20"/>
          <w:szCs w:val="20"/>
        </w:rPr>
        <w:t>% hydrochloric acid was added to 3.0 mL e</w:t>
      </w:r>
      <w:r w:rsidR="00880F83" w:rsidRPr="00F36C9C">
        <w:rPr>
          <w:rFonts w:ascii="Arial" w:hAnsi="Arial" w:cs="Arial"/>
          <w:sz w:val="20"/>
          <w:szCs w:val="20"/>
        </w:rPr>
        <w:t xml:space="preserve">xtract. Red </w:t>
      </w:r>
      <w:proofErr w:type="spellStart"/>
      <w:r w:rsidR="00880F83" w:rsidRPr="00F36C9C">
        <w:rPr>
          <w:rFonts w:ascii="Arial" w:hAnsi="Arial" w:cs="Arial"/>
          <w:sz w:val="20"/>
          <w:szCs w:val="20"/>
        </w:rPr>
        <w:t>coloured</w:t>
      </w:r>
      <w:proofErr w:type="spellEnd"/>
      <w:r w:rsidR="00880F83" w:rsidRPr="00F36C9C">
        <w:rPr>
          <w:rFonts w:ascii="Arial" w:hAnsi="Arial" w:cs="Arial"/>
          <w:sz w:val="20"/>
          <w:szCs w:val="20"/>
        </w:rPr>
        <w:t xml:space="preserve"> </w:t>
      </w:r>
      <w:r w:rsidR="00B20396" w:rsidRPr="00F36C9C">
        <w:rPr>
          <w:rFonts w:ascii="Arial" w:hAnsi="Arial" w:cs="Arial"/>
          <w:sz w:val="20"/>
          <w:szCs w:val="20"/>
        </w:rPr>
        <w:t>precipitate indicated</w:t>
      </w:r>
      <w:r w:rsidR="00880F83" w:rsidRPr="00F36C9C">
        <w:rPr>
          <w:rFonts w:ascii="Arial" w:hAnsi="Arial" w:cs="Arial"/>
          <w:sz w:val="20"/>
          <w:szCs w:val="20"/>
        </w:rPr>
        <w:t xml:space="preserve"> the presence of </w:t>
      </w:r>
      <w:proofErr w:type="spellStart"/>
      <w:r w:rsidR="00880F83" w:rsidRPr="00F36C9C">
        <w:rPr>
          <w:rFonts w:ascii="Arial" w:hAnsi="Arial" w:cs="Arial"/>
          <w:sz w:val="20"/>
          <w:szCs w:val="20"/>
        </w:rPr>
        <w:t>phlobotannins</w:t>
      </w:r>
      <w:proofErr w:type="spellEnd"/>
      <w:r w:rsidR="00D15527" w:rsidRPr="00F36C9C">
        <w:rPr>
          <w:rFonts w:ascii="Arial" w:hAnsi="Arial" w:cs="Arial"/>
          <w:sz w:val="20"/>
          <w:szCs w:val="20"/>
        </w:rPr>
        <w:t>.</w:t>
      </w:r>
    </w:p>
    <w:p w14:paraId="6B335B0E" w14:textId="25E6C27B" w:rsidR="00B20396" w:rsidRPr="00F36C9C" w:rsidRDefault="00B20396" w:rsidP="00B20396">
      <w:pPr>
        <w:pStyle w:val="ListParagraph"/>
        <w:numPr>
          <w:ilvl w:val="0"/>
          <w:numId w:val="7"/>
        </w:numPr>
        <w:jc w:val="both"/>
        <w:rPr>
          <w:rFonts w:ascii="Arial" w:hAnsi="Arial" w:cs="Arial"/>
          <w:sz w:val="20"/>
          <w:szCs w:val="20"/>
        </w:rPr>
      </w:pPr>
      <w:r w:rsidRPr="00F36C9C">
        <w:rPr>
          <w:rFonts w:ascii="Arial" w:hAnsi="Arial" w:cs="Arial"/>
          <w:b/>
          <w:bCs/>
          <w:sz w:val="20"/>
          <w:szCs w:val="20"/>
        </w:rPr>
        <w:t xml:space="preserve">Lead acetate test: </w:t>
      </w:r>
      <w:r w:rsidRPr="00F36C9C">
        <w:rPr>
          <w:rFonts w:ascii="Arial" w:hAnsi="Arial" w:cs="Arial"/>
          <w:bCs/>
          <w:sz w:val="20"/>
          <w:szCs w:val="20"/>
        </w:rPr>
        <w:t>Few drops (about</w:t>
      </w:r>
      <w:r w:rsidRPr="00F36C9C">
        <w:rPr>
          <w:rFonts w:ascii="Arial" w:hAnsi="Arial" w:cs="Arial"/>
          <w:b/>
          <w:bCs/>
          <w:sz w:val="20"/>
          <w:szCs w:val="20"/>
        </w:rPr>
        <w:t xml:space="preserve"> </w:t>
      </w:r>
      <w:r w:rsidRPr="00F36C9C">
        <w:rPr>
          <w:rFonts w:ascii="Arial" w:hAnsi="Arial" w:cs="Arial"/>
          <w:sz w:val="20"/>
          <w:szCs w:val="20"/>
        </w:rPr>
        <w:t>3 drops) of 5</w:t>
      </w:r>
      <w:r w:rsidR="00AE13B4" w:rsidRPr="00F36C9C">
        <w:rPr>
          <w:rFonts w:ascii="Arial" w:hAnsi="Arial" w:cs="Arial"/>
          <w:sz w:val="20"/>
          <w:szCs w:val="20"/>
        </w:rPr>
        <w:t xml:space="preserve"> </w:t>
      </w:r>
      <w:r w:rsidRPr="00F36C9C">
        <w:rPr>
          <w:rFonts w:ascii="Arial" w:hAnsi="Arial" w:cs="Arial"/>
          <w:sz w:val="20"/>
          <w:szCs w:val="20"/>
        </w:rPr>
        <w:t>% lead acetate was added to 2.0 mL of the extract.</w:t>
      </w:r>
      <w:r w:rsidR="00092CD3" w:rsidRPr="00F36C9C">
        <w:rPr>
          <w:rFonts w:ascii="Arial" w:hAnsi="Arial" w:cs="Arial"/>
          <w:sz w:val="20"/>
          <w:szCs w:val="20"/>
        </w:rPr>
        <w:t xml:space="preserve"> A dark precipitate indicated presence of </w:t>
      </w:r>
      <w:proofErr w:type="spellStart"/>
      <w:r w:rsidR="00092CD3" w:rsidRPr="00F36C9C">
        <w:rPr>
          <w:rFonts w:ascii="Arial" w:hAnsi="Arial" w:cs="Arial"/>
          <w:sz w:val="20"/>
          <w:szCs w:val="20"/>
        </w:rPr>
        <w:t>phlobotannins</w:t>
      </w:r>
      <w:proofErr w:type="spellEnd"/>
      <w:r w:rsidR="0043256E" w:rsidRPr="00F36C9C">
        <w:rPr>
          <w:rFonts w:ascii="Arial" w:hAnsi="Arial" w:cs="Arial"/>
          <w:sz w:val="20"/>
          <w:szCs w:val="20"/>
        </w:rPr>
        <w:t>.</w:t>
      </w:r>
    </w:p>
    <w:p w14:paraId="20BFA2D5" w14:textId="77777777" w:rsidR="004A097D" w:rsidRPr="00F36C9C" w:rsidRDefault="004A097D" w:rsidP="004A097D">
      <w:pPr>
        <w:pStyle w:val="ListParagraph"/>
        <w:jc w:val="both"/>
        <w:rPr>
          <w:rFonts w:ascii="Arial" w:hAnsi="Arial" w:cs="Arial"/>
          <w:sz w:val="20"/>
          <w:szCs w:val="20"/>
        </w:rPr>
      </w:pPr>
    </w:p>
    <w:p w14:paraId="7289BF2A" w14:textId="0313B3D6" w:rsidR="00F41AA2" w:rsidRPr="00F36C9C" w:rsidRDefault="004A097D"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2.4.1.4 </w:t>
      </w:r>
      <w:r w:rsidR="00F41AA2" w:rsidRPr="00F36C9C">
        <w:rPr>
          <w:rFonts w:ascii="Arial" w:eastAsia="Calibri" w:hAnsi="Arial" w:cs="Arial"/>
          <w:b/>
          <w:i/>
          <w:sz w:val="20"/>
          <w:szCs w:val="20"/>
        </w:rPr>
        <w:t xml:space="preserve">Carbohydrate </w:t>
      </w:r>
    </w:p>
    <w:p w14:paraId="2977AA0B" w14:textId="40893E45" w:rsidR="00F41AA2" w:rsidRPr="00F36C9C" w:rsidRDefault="00F41AA2" w:rsidP="00F41AA2">
      <w:pPr>
        <w:spacing w:line="240" w:lineRule="auto"/>
        <w:ind w:left="720" w:hanging="360"/>
        <w:jc w:val="both"/>
        <w:rPr>
          <w:rFonts w:ascii="Arial" w:eastAsia="Calibri" w:hAnsi="Arial" w:cs="Arial"/>
          <w:b/>
          <w:sz w:val="20"/>
          <w:szCs w:val="20"/>
        </w:rPr>
      </w:pPr>
      <w:r w:rsidRPr="00F36C9C">
        <w:rPr>
          <w:rFonts w:ascii="Arial" w:eastAsia="Calibri" w:hAnsi="Arial" w:cs="Arial"/>
          <w:b/>
          <w:sz w:val="20"/>
          <w:szCs w:val="20"/>
        </w:rPr>
        <w:t xml:space="preserve">(a) Molisch’s Test: </w:t>
      </w:r>
      <w:r w:rsidRPr="00F36C9C">
        <w:rPr>
          <w:rFonts w:ascii="Arial" w:eastAsia="Calibri" w:hAnsi="Arial" w:cs="Arial"/>
          <w:sz w:val="20"/>
          <w:szCs w:val="20"/>
        </w:rPr>
        <w:t>A drops of an alcoholic solution of α-naphthol were added to 1.0 mL of an aqueous solution of the plant sample. When sulfuric acid</w:t>
      </w:r>
      <w:r w:rsidR="00AE13B4" w:rsidRPr="00F36C9C">
        <w:rPr>
          <w:rFonts w:ascii="Arial" w:eastAsia="Calibri" w:hAnsi="Arial" w:cs="Arial"/>
          <w:sz w:val="20"/>
          <w:szCs w:val="20"/>
        </w:rPr>
        <w:t xml:space="preserve"> (2.0 mL)</w:t>
      </w:r>
      <w:r w:rsidRPr="00F36C9C">
        <w:rPr>
          <w:rFonts w:ascii="Arial" w:eastAsia="Calibri" w:hAnsi="Arial" w:cs="Arial"/>
          <w:sz w:val="20"/>
          <w:szCs w:val="20"/>
        </w:rPr>
        <w:t xml:space="preserve"> was added along the side of the test tube, a purple ring was formed at the junction below the aqueous layer, indicating the presence of sugars. The test was positive for polysaccharides and glycosides. </w:t>
      </w:r>
    </w:p>
    <w:p w14:paraId="6EC31E2B" w14:textId="77777777" w:rsidR="00F41AA2" w:rsidRPr="00F36C9C" w:rsidRDefault="00F41AA2" w:rsidP="00F41AA2">
      <w:pPr>
        <w:spacing w:line="240" w:lineRule="auto"/>
        <w:ind w:left="720" w:hanging="360"/>
        <w:jc w:val="both"/>
        <w:rPr>
          <w:rFonts w:ascii="Arial" w:eastAsia="Calibri" w:hAnsi="Arial" w:cs="Arial"/>
          <w:b/>
          <w:sz w:val="20"/>
          <w:szCs w:val="20"/>
        </w:rPr>
      </w:pPr>
      <w:r w:rsidRPr="00F36C9C">
        <w:rPr>
          <w:rFonts w:ascii="Arial" w:eastAsia="Calibri" w:hAnsi="Arial" w:cs="Arial"/>
          <w:b/>
          <w:sz w:val="20"/>
          <w:szCs w:val="20"/>
        </w:rPr>
        <w:t xml:space="preserve">(b) Fehling’s Solution Test: </w:t>
      </w:r>
      <w:r w:rsidRPr="00F36C9C">
        <w:rPr>
          <w:rFonts w:ascii="Arial" w:eastAsia="Calibri" w:hAnsi="Arial" w:cs="Arial"/>
          <w:sz w:val="20"/>
          <w:szCs w:val="20"/>
        </w:rPr>
        <w:t>Equal volumes of Fehling’s solutions A and B were added to a dilute solution of the test sample and heated for 15 min in a water bath. A brick-red precipitate of cuprous oxide was produced, indicating the presence of reducing sugars.</w:t>
      </w:r>
    </w:p>
    <w:p w14:paraId="4E693DF9" w14:textId="0207ABA3" w:rsidR="00F41AA2" w:rsidRPr="00F36C9C" w:rsidRDefault="00FD256E"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2.4.1.5 </w:t>
      </w:r>
      <w:r w:rsidR="00F41AA2" w:rsidRPr="00F36C9C">
        <w:rPr>
          <w:rFonts w:ascii="Arial" w:eastAsia="Calibri" w:hAnsi="Arial" w:cs="Arial"/>
          <w:b/>
          <w:i/>
          <w:sz w:val="20"/>
          <w:szCs w:val="20"/>
        </w:rPr>
        <w:t>Flavonoids</w:t>
      </w:r>
    </w:p>
    <w:p w14:paraId="59C52202" w14:textId="5B25D166" w:rsidR="00AD1710" w:rsidRPr="00F36C9C" w:rsidRDefault="000E295F" w:rsidP="00E57F4A">
      <w:pPr>
        <w:pStyle w:val="ListParagraph"/>
        <w:numPr>
          <w:ilvl w:val="0"/>
          <w:numId w:val="4"/>
        </w:numPr>
        <w:jc w:val="both"/>
        <w:rPr>
          <w:rFonts w:ascii="Arial" w:hAnsi="Arial" w:cs="Arial"/>
          <w:sz w:val="20"/>
          <w:szCs w:val="20"/>
        </w:rPr>
      </w:pPr>
      <w:r w:rsidRPr="00F36C9C">
        <w:rPr>
          <w:rFonts w:ascii="Arial" w:hAnsi="Arial" w:cs="Arial"/>
          <w:b/>
          <w:bCs/>
          <w:sz w:val="20"/>
          <w:szCs w:val="20"/>
        </w:rPr>
        <w:t xml:space="preserve">Shinoda test: </w:t>
      </w:r>
      <w:r w:rsidRPr="00F36C9C">
        <w:rPr>
          <w:rFonts w:ascii="Arial" w:hAnsi="Arial" w:cs="Arial"/>
          <w:sz w:val="20"/>
          <w:szCs w:val="20"/>
        </w:rPr>
        <w:t xml:space="preserve">Magnesium turnings was added to the plant extract followed by two drops of concentrated </w:t>
      </w:r>
      <w:r w:rsidR="00E57F4A" w:rsidRPr="00F36C9C">
        <w:rPr>
          <w:rFonts w:ascii="Arial" w:hAnsi="Arial" w:cs="Arial"/>
          <w:sz w:val="20"/>
          <w:szCs w:val="20"/>
        </w:rPr>
        <w:t>H</w:t>
      </w:r>
      <w:r w:rsidR="00E57F4A" w:rsidRPr="00F36C9C">
        <w:rPr>
          <w:rFonts w:ascii="Arial" w:hAnsi="Arial" w:cs="Arial"/>
          <w:sz w:val="20"/>
          <w:szCs w:val="20"/>
          <w:vertAlign w:val="subscript"/>
        </w:rPr>
        <w:t>2</w:t>
      </w:r>
      <w:r w:rsidR="00E57F4A" w:rsidRPr="00F36C9C">
        <w:rPr>
          <w:rFonts w:ascii="Arial" w:hAnsi="Arial" w:cs="Arial"/>
          <w:sz w:val="20"/>
          <w:szCs w:val="20"/>
        </w:rPr>
        <w:t>SO</w:t>
      </w:r>
      <w:r w:rsidR="00E57F4A" w:rsidRPr="00F36C9C">
        <w:rPr>
          <w:rFonts w:ascii="Arial" w:hAnsi="Arial" w:cs="Arial"/>
          <w:sz w:val="20"/>
          <w:szCs w:val="20"/>
          <w:vertAlign w:val="subscript"/>
        </w:rPr>
        <w:t>4</w:t>
      </w:r>
      <w:r w:rsidRPr="00F36C9C">
        <w:rPr>
          <w:rFonts w:ascii="Arial" w:hAnsi="Arial" w:cs="Arial"/>
          <w:sz w:val="20"/>
          <w:szCs w:val="20"/>
        </w:rPr>
        <w:t xml:space="preserve">. Pink </w:t>
      </w:r>
      <w:proofErr w:type="spellStart"/>
      <w:r w:rsidRPr="00F36C9C">
        <w:rPr>
          <w:rFonts w:ascii="Arial" w:hAnsi="Arial" w:cs="Arial"/>
          <w:sz w:val="20"/>
          <w:szCs w:val="20"/>
        </w:rPr>
        <w:t>colour</w:t>
      </w:r>
      <w:proofErr w:type="spellEnd"/>
      <w:r w:rsidRPr="00F36C9C">
        <w:rPr>
          <w:rFonts w:ascii="Arial" w:hAnsi="Arial" w:cs="Arial"/>
          <w:sz w:val="20"/>
          <w:szCs w:val="20"/>
        </w:rPr>
        <w:t xml:space="preserve"> indicated the presence of flavonoid in the extract</w:t>
      </w:r>
      <w:r w:rsidR="00E57F4A" w:rsidRPr="00F36C9C">
        <w:rPr>
          <w:rFonts w:ascii="Arial" w:hAnsi="Arial" w:cs="Arial"/>
          <w:sz w:val="20"/>
          <w:szCs w:val="20"/>
        </w:rPr>
        <w:t>.</w:t>
      </w:r>
    </w:p>
    <w:p w14:paraId="367B5818" w14:textId="0A5F99C1" w:rsidR="00F41AA2" w:rsidRPr="00F36C9C" w:rsidRDefault="00F41AA2" w:rsidP="00F41AA2">
      <w:pPr>
        <w:pStyle w:val="ListParagraph"/>
        <w:numPr>
          <w:ilvl w:val="0"/>
          <w:numId w:val="4"/>
        </w:numPr>
        <w:spacing w:after="200" w:line="240" w:lineRule="auto"/>
        <w:contextualSpacing/>
        <w:jc w:val="both"/>
        <w:rPr>
          <w:rFonts w:ascii="Arial" w:eastAsia="Calibri" w:hAnsi="Arial" w:cs="Arial"/>
          <w:sz w:val="20"/>
          <w:szCs w:val="20"/>
        </w:rPr>
      </w:pPr>
      <w:r w:rsidRPr="00F36C9C">
        <w:rPr>
          <w:rFonts w:ascii="Arial" w:eastAsia="Calibri" w:hAnsi="Arial" w:cs="Arial"/>
          <w:b/>
          <w:sz w:val="20"/>
          <w:szCs w:val="20"/>
        </w:rPr>
        <w:t xml:space="preserve">Alkali Test: </w:t>
      </w:r>
      <w:r w:rsidRPr="00F36C9C">
        <w:rPr>
          <w:rFonts w:ascii="Arial" w:eastAsia="Calibri" w:hAnsi="Arial" w:cs="Arial"/>
          <w:sz w:val="20"/>
          <w:szCs w:val="20"/>
        </w:rPr>
        <w:t xml:space="preserve">The sample (1.0 mL) was dissolved in dilute NaOH (5.0 mL), followed by the addition of excess dilute HCl dropwise. The presence of flavonoids was indicated by a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 xml:space="preserve"> change of the original solution to orange, yellow, or violet, and became </w:t>
      </w:r>
      <w:proofErr w:type="spellStart"/>
      <w:r w:rsidRPr="00F36C9C">
        <w:rPr>
          <w:rFonts w:ascii="Arial" w:eastAsia="Calibri" w:hAnsi="Arial" w:cs="Arial"/>
          <w:sz w:val="20"/>
          <w:szCs w:val="20"/>
        </w:rPr>
        <w:t>colourless</w:t>
      </w:r>
      <w:proofErr w:type="spellEnd"/>
      <w:r w:rsidRPr="00F36C9C">
        <w:rPr>
          <w:rFonts w:ascii="Arial" w:eastAsia="Calibri" w:hAnsi="Arial" w:cs="Arial"/>
          <w:sz w:val="20"/>
          <w:szCs w:val="20"/>
        </w:rPr>
        <w:t xml:space="preserve"> with the addition of dilute HCl.</w:t>
      </w:r>
    </w:p>
    <w:p w14:paraId="109A381D" w14:textId="0DF8944F" w:rsidR="00E57F4A" w:rsidRPr="00F36C9C" w:rsidRDefault="00E57F4A" w:rsidP="00F41AA2">
      <w:pPr>
        <w:pStyle w:val="ListParagraph"/>
        <w:numPr>
          <w:ilvl w:val="0"/>
          <w:numId w:val="4"/>
        </w:numPr>
        <w:spacing w:after="200" w:line="240" w:lineRule="auto"/>
        <w:contextualSpacing/>
        <w:jc w:val="both"/>
        <w:rPr>
          <w:rFonts w:ascii="Arial" w:eastAsia="Calibri" w:hAnsi="Arial" w:cs="Arial"/>
          <w:sz w:val="20"/>
          <w:szCs w:val="20"/>
        </w:rPr>
      </w:pPr>
      <w:r w:rsidRPr="00F36C9C">
        <w:rPr>
          <w:rFonts w:ascii="Arial" w:hAnsi="Arial" w:cs="Arial"/>
          <w:b/>
          <w:sz w:val="20"/>
          <w:szCs w:val="20"/>
        </w:rPr>
        <w:t>Zinc dust test:</w:t>
      </w:r>
      <w:r w:rsidR="00374406" w:rsidRPr="00F36C9C">
        <w:rPr>
          <w:rFonts w:ascii="Arial" w:hAnsi="Arial" w:cs="Arial"/>
          <w:b/>
          <w:sz w:val="20"/>
          <w:szCs w:val="20"/>
        </w:rPr>
        <w:t xml:space="preserve"> </w:t>
      </w:r>
      <w:r w:rsidR="00374406" w:rsidRPr="00F36C9C">
        <w:rPr>
          <w:rFonts w:ascii="Arial" w:hAnsi="Arial" w:cs="Arial"/>
          <w:sz w:val="20"/>
          <w:szCs w:val="20"/>
        </w:rPr>
        <w:t>Small amount of zinc dust was added to the e</w:t>
      </w:r>
      <w:r w:rsidRPr="00F36C9C">
        <w:rPr>
          <w:rFonts w:ascii="Arial" w:hAnsi="Arial" w:cs="Arial"/>
          <w:sz w:val="20"/>
          <w:szCs w:val="20"/>
        </w:rPr>
        <w:t xml:space="preserve">xtract </w:t>
      </w:r>
      <w:r w:rsidR="00374406" w:rsidRPr="00F36C9C">
        <w:rPr>
          <w:rFonts w:ascii="Arial" w:hAnsi="Arial" w:cs="Arial"/>
          <w:sz w:val="20"/>
          <w:szCs w:val="20"/>
        </w:rPr>
        <w:t>followed by</w:t>
      </w:r>
      <w:r w:rsidRPr="00F36C9C">
        <w:rPr>
          <w:rFonts w:ascii="Arial" w:hAnsi="Arial" w:cs="Arial"/>
          <w:sz w:val="20"/>
          <w:szCs w:val="20"/>
        </w:rPr>
        <w:t xml:space="preserve"> Conc. HCl</w:t>
      </w:r>
      <w:r w:rsidR="00374406" w:rsidRPr="00F36C9C">
        <w:rPr>
          <w:rFonts w:ascii="Arial" w:hAnsi="Arial" w:cs="Arial"/>
          <w:sz w:val="20"/>
          <w:szCs w:val="20"/>
        </w:rPr>
        <w:t>. The solution turned red indicating the presence of flavonoids.</w:t>
      </w:r>
    </w:p>
    <w:p w14:paraId="34EF5401" w14:textId="2103CC7F" w:rsidR="00F41AA2" w:rsidRPr="00F36C9C" w:rsidRDefault="00FD256E"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2.4.1.6 </w:t>
      </w:r>
      <w:r w:rsidR="00F41AA2" w:rsidRPr="00F36C9C">
        <w:rPr>
          <w:rFonts w:ascii="Arial" w:eastAsia="Calibri" w:hAnsi="Arial" w:cs="Arial"/>
          <w:b/>
          <w:i/>
          <w:sz w:val="20"/>
          <w:szCs w:val="20"/>
        </w:rPr>
        <w:t>Saponin</w:t>
      </w:r>
    </w:p>
    <w:p w14:paraId="5C76888C" w14:textId="3546EC76" w:rsidR="00F41AA2" w:rsidRPr="00F36C9C" w:rsidRDefault="00F41AA2" w:rsidP="00962887">
      <w:pPr>
        <w:pStyle w:val="ListParagraph"/>
        <w:numPr>
          <w:ilvl w:val="0"/>
          <w:numId w:val="8"/>
        </w:numPr>
        <w:spacing w:line="240" w:lineRule="auto"/>
        <w:jc w:val="both"/>
        <w:rPr>
          <w:rFonts w:ascii="Arial" w:eastAsia="Calibri" w:hAnsi="Arial" w:cs="Arial"/>
          <w:sz w:val="20"/>
          <w:szCs w:val="20"/>
        </w:rPr>
      </w:pPr>
      <w:r w:rsidRPr="00F36C9C">
        <w:rPr>
          <w:rFonts w:ascii="Arial" w:eastAsia="Calibri" w:hAnsi="Arial" w:cs="Arial"/>
          <w:b/>
          <w:sz w:val="20"/>
          <w:szCs w:val="20"/>
        </w:rPr>
        <w:t>Foam Test:</w:t>
      </w:r>
      <w:r w:rsidRPr="00F36C9C">
        <w:rPr>
          <w:rFonts w:ascii="Arial" w:eastAsia="Calibri" w:hAnsi="Arial" w:cs="Arial"/>
          <w:sz w:val="20"/>
          <w:szCs w:val="20"/>
        </w:rPr>
        <w:t xml:space="preserve"> Distilled water (1.0 mL) was added to 1 mL of the test sample and shaken vigorously. Saponin produces foam upon shaking.</w:t>
      </w:r>
    </w:p>
    <w:p w14:paraId="7CEA2B27" w14:textId="77777777" w:rsidR="00FD256E" w:rsidRPr="00F36C9C" w:rsidRDefault="00FD256E" w:rsidP="00FD256E">
      <w:pPr>
        <w:pStyle w:val="ListParagraph"/>
        <w:spacing w:line="240" w:lineRule="auto"/>
        <w:jc w:val="both"/>
        <w:rPr>
          <w:rFonts w:ascii="Arial" w:eastAsia="Calibri" w:hAnsi="Arial" w:cs="Arial"/>
          <w:sz w:val="20"/>
          <w:szCs w:val="20"/>
        </w:rPr>
      </w:pPr>
    </w:p>
    <w:p w14:paraId="36B83E26" w14:textId="4863BC98" w:rsidR="00962887" w:rsidRPr="00F36C9C" w:rsidRDefault="00FD256E" w:rsidP="00962887">
      <w:pPr>
        <w:spacing w:line="240" w:lineRule="auto"/>
        <w:jc w:val="both"/>
        <w:rPr>
          <w:rFonts w:ascii="Arial" w:hAnsi="Arial" w:cs="Arial"/>
          <w:b/>
          <w:bCs/>
          <w:i/>
          <w:sz w:val="20"/>
          <w:szCs w:val="20"/>
        </w:rPr>
      </w:pPr>
      <w:r w:rsidRPr="00F36C9C">
        <w:rPr>
          <w:rFonts w:ascii="Arial" w:hAnsi="Arial" w:cs="Arial"/>
          <w:b/>
          <w:bCs/>
          <w:i/>
          <w:sz w:val="20"/>
          <w:szCs w:val="20"/>
        </w:rPr>
        <w:t xml:space="preserve">2.4.1.7 </w:t>
      </w:r>
      <w:r w:rsidR="00962887" w:rsidRPr="00F36C9C">
        <w:rPr>
          <w:rFonts w:ascii="Arial" w:hAnsi="Arial" w:cs="Arial"/>
          <w:b/>
          <w:bCs/>
          <w:i/>
          <w:sz w:val="20"/>
          <w:szCs w:val="20"/>
        </w:rPr>
        <w:t>Cardiac glycoside</w:t>
      </w:r>
    </w:p>
    <w:p w14:paraId="549AB558" w14:textId="0266EB22" w:rsidR="00962887" w:rsidRPr="00F36C9C" w:rsidRDefault="00962887" w:rsidP="00962887">
      <w:pPr>
        <w:pStyle w:val="ListParagraph"/>
        <w:numPr>
          <w:ilvl w:val="0"/>
          <w:numId w:val="9"/>
        </w:numPr>
        <w:spacing w:line="240" w:lineRule="auto"/>
        <w:jc w:val="both"/>
        <w:rPr>
          <w:rFonts w:ascii="Arial" w:eastAsia="Calibri" w:hAnsi="Arial" w:cs="Arial"/>
          <w:b/>
          <w:sz w:val="20"/>
          <w:szCs w:val="20"/>
        </w:rPr>
      </w:pPr>
      <w:r w:rsidRPr="00F36C9C">
        <w:rPr>
          <w:rFonts w:ascii="Arial" w:hAnsi="Arial" w:cs="Arial"/>
          <w:b/>
          <w:sz w:val="20"/>
          <w:szCs w:val="20"/>
        </w:rPr>
        <w:t>Liebermann's test</w:t>
      </w:r>
      <w:r w:rsidRPr="00F36C9C">
        <w:rPr>
          <w:rFonts w:ascii="Arial" w:hAnsi="Arial" w:cs="Arial"/>
          <w:b/>
          <w:bCs/>
          <w:sz w:val="20"/>
          <w:szCs w:val="20"/>
        </w:rPr>
        <w:t xml:space="preserve">: </w:t>
      </w:r>
      <w:r w:rsidRPr="00F36C9C">
        <w:rPr>
          <w:rFonts w:ascii="Arial" w:hAnsi="Arial" w:cs="Arial"/>
          <w:sz w:val="20"/>
          <w:szCs w:val="20"/>
        </w:rPr>
        <w:t xml:space="preserve">Acetic anhydride </w:t>
      </w:r>
      <w:r w:rsidR="002C2637" w:rsidRPr="00F36C9C">
        <w:rPr>
          <w:rFonts w:ascii="Arial" w:hAnsi="Arial" w:cs="Arial"/>
          <w:sz w:val="20"/>
          <w:szCs w:val="20"/>
        </w:rPr>
        <w:t xml:space="preserve">was added a </w:t>
      </w:r>
      <w:r w:rsidR="002C2637" w:rsidRPr="00F36C9C">
        <w:rPr>
          <w:rFonts w:ascii="Arial" w:hAnsi="Arial" w:cs="Arial"/>
          <w:bCs/>
          <w:sz w:val="20"/>
          <w:szCs w:val="20"/>
        </w:rPr>
        <w:t>s</w:t>
      </w:r>
      <w:r w:rsidRPr="00F36C9C">
        <w:rPr>
          <w:rFonts w:ascii="Arial" w:hAnsi="Arial" w:cs="Arial"/>
          <w:bCs/>
          <w:sz w:val="20"/>
          <w:szCs w:val="20"/>
        </w:rPr>
        <w:t>olution of</w:t>
      </w:r>
      <w:r w:rsidRPr="00F36C9C">
        <w:rPr>
          <w:rFonts w:ascii="Arial" w:hAnsi="Arial" w:cs="Arial"/>
          <w:b/>
          <w:bCs/>
          <w:sz w:val="20"/>
          <w:szCs w:val="20"/>
        </w:rPr>
        <w:t xml:space="preserve"> </w:t>
      </w:r>
      <w:r w:rsidRPr="00F36C9C">
        <w:rPr>
          <w:rFonts w:ascii="Arial" w:hAnsi="Arial" w:cs="Arial"/>
          <w:sz w:val="20"/>
          <w:szCs w:val="20"/>
        </w:rPr>
        <w:t>extract in chloroform</w:t>
      </w:r>
      <w:r w:rsidR="002C2637" w:rsidRPr="00F36C9C">
        <w:rPr>
          <w:rFonts w:ascii="Arial" w:hAnsi="Arial" w:cs="Arial"/>
          <w:sz w:val="20"/>
          <w:szCs w:val="20"/>
        </w:rPr>
        <w:t xml:space="preserve"> in the ratio of 1:1 followed by </w:t>
      </w:r>
      <w:r w:rsidRPr="00F36C9C">
        <w:rPr>
          <w:rFonts w:ascii="Arial" w:hAnsi="Arial" w:cs="Arial"/>
          <w:sz w:val="20"/>
          <w:szCs w:val="20"/>
        </w:rPr>
        <w:t>3 drops of conc. H</w:t>
      </w:r>
      <w:r w:rsidRPr="00F36C9C">
        <w:rPr>
          <w:rFonts w:ascii="Arial" w:hAnsi="Arial" w:cs="Arial"/>
          <w:sz w:val="20"/>
          <w:szCs w:val="20"/>
          <w:vertAlign w:val="subscript"/>
        </w:rPr>
        <w:t>2</w:t>
      </w:r>
      <w:r w:rsidRPr="00F36C9C">
        <w:rPr>
          <w:rFonts w:ascii="Arial" w:hAnsi="Arial" w:cs="Arial"/>
          <w:sz w:val="20"/>
          <w:szCs w:val="20"/>
        </w:rPr>
        <w:t>SO</w:t>
      </w:r>
      <w:r w:rsidRPr="00F36C9C">
        <w:rPr>
          <w:rFonts w:ascii="Arial" w:hAnsi="Arial" w:cs="Arial"/>
          <w:sz w:val="20"/>
          <w:szCs w:val="20"/>
          <w:vertAlign w:val="subscript"/>
        </w:rPr>
        <w:t>4.</w:t>
      </w:r>
      <w:r w:rsidR="00AF20C1" w:rsidRPr="00F36C9C">
        <w:rPr>
          <w:rFonts w:ascii="Arial" w:hAnsi="Arial" w:cs="Arial"/>
          <w:sz w:val="20"/>
          <w:szCs w:val="20"/>
          <w:vertAlign w:val="subscript"/>
        </w:rPr>
        <w:t xml:space="preserve"> </w:t>
      </w:r>
      <w:r w:rsidR="00AF20C1" w:rsidRPr="00F36C9C">
        <w:rPr>
          <w:rFonts w:ascii="Arial" w:hAnsi="Arial" w:cs="Arial"/>
          <w:sz w:val="20"/>
          <w:szCs w:val="20"/>
        </w:rPr>
        <w:t xml:space="preserve">Formation of blue </w:t>
      </w:r>
      <w:proofErr w:type="spellStart"/>
      <w:r w:rsidR="00AF20C1" w:rsidRPr="00F36C9C">
        <w:rPr>
          <w:rFonts w:ascii="Arial" w:hAnsi="Arial" w:cs="Arial"/>
          <w:sz w:val="20"/>
          <w:szCs w:val="20"/>
        </w:rPr>
        <w:t>colour</w:t>
      </w:r>
      <w:proofErr w:type="spellEnd"/>
      <w:r w:rsidR="00AF20C1" w:rsidRPr="00F36C9C">
        <w:rPr>
          <w:rFonts w:ascii="Arial" w:hAnsi="Arial" w:cs="Arial"/>
          <w:sz w:val="20"/>
          <w:szCs w:val="20"/>
        </w:rPr>
        <w:t xml:space="preserve"> indicated the presence of cardiac glycosides</w:t>
      </w:r>
    </w:p>
    <w:p w14:paraId="41573864" w14:textId="77777777" w:rsidR="00FF3BE2" w:rsidRPr="00F36C9C" w:rsidRDefault="00FF3BE2" w:rsidP="00FF3BE2">
      <w:pPr>
        <w:pStyle w:val="ListParagraph"/>
        <w:spacing w:line="240" w:lineRule="auto"/>
        <w:jc w:val="both"/>
        <w:rPr>
          <w:rFonts w:ascii="Arial" w:eastAsia="Calibri" w:hAnsi="Arial" w:cs="Arial"/>
          <w:b/>
          <w:sz w:val="20"/>
          <w:szCs w:val="20"/>
        </w:rPr>
      </w:pPr>
    </w:p>
    <w:p w14:paraId="4A614910" w14:textId="2FAC5C8A" w:rsidR="00F41AA2" w:rsidRPr="00F36C9C" w:rsidRDefault="00FF3BE2"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2.4.1.8 </w:t>
      </w:r>
      <w:r w:rsidR="00F41AA2" w:rsidRPr="00F36C9C">
        <w:rPr>
          <w:rFonts w:ascii="Arial" w:eastAsia="Calibri" w:hAnsi="Arial" w:cs="Arial"/>
          <w:b/>
          <w:i/>
          <w:sz w:val="20"/>
          <w:szCs w:val="20"/>
        </w:rPr>
        <w:t>Steroids</w:t>
      </w:r>
    </w:p>
    <w:p w14:paraId="113CBB5D" w14:textId="7C31E5A1" w:rsidR="00F41AA2" w:rsidRPr="00F36C9C" w:rsidRDefault="00F41AA2" w:rsidP="00F41AA2">
      <w:pPr>
        <w:pStyle w:val="ListParagraph"/>
        <w:numPr>
          <w:ilvl w:val="0"/>
          <w:numId w:val="5"/>
        </w:numPr>
        <w:spacing w:after="200" w:line="240" w:lineRule="auto"/>
        <w:contextualSpacing/>
        <w:jc w:val="both"/>
        <w:rPr>
          <w:rFonts w:ascii="Arial" w:eastAsia="Calibri" w:hAnsi="Arial" w:cs="Arial"/>
          <w:sz w:val="20"/>
          <w:szCs w:val="20"/>
        </w:rPr>
      </w:pPr>
      <w:r w:rsidRPr="00F36C9C">
        <w:rPr>
          <w:rFonts w:ascii="Arial" w:eastAsia="Calibri" w:hAnsi="Arial" w:cs="Arial"/>
          <w:b/>
          <w:sz w:val="20"/>
          <w:szCs w:val="20"/>
        </w:rPr>
        <w:t xml:space="preserve">Salkowski Test: </w:t>
      </w:r>
      <w:r w:rsidRPr="00F36C9C">
        <w:rPr>
          <w:rFonts w:ascii="Arial" w:eastAsia="Calibri" w:hAnsi="Arial" w:cs="Arial"/>
          <w:sz w:val="20"/>
          <w:szCs w:val="20"/>
        </w:rPr>
        <w:t xml:space="preserve">A small volume of the test sample solution was treated with a few drops of conc. </w:t>
      </w:r>
      <w:proofErr w:type="spellStart"/>
      <w:r w:rsidRPr="00F36C9C">
        <w:rPr>
          <w:rFonts w:ascii="Arial" w:eastAsia="Calibri" w:hAnsi="Arial" w:cs="Arial"/>
          <w:sz w:val="20"/>
          <w:szCs w:val="20"/>
        </w:rPr>
        <w:t>sulphuric</w:t>
      </w:r>
      <w:proofErr w:type="spellEnd"/>
      <w:r w:rsidRPr="00F36C9C">
        <w:rPr>
          <w:rFonts w:ascii="Arial" w:eastAsia="Calibri" w:hAnsi="Arial" w:cs="Arial"/>
          <w:sz w:val="20"/>
          <w:szCs w:val="20"/>
        </w:rPr>
        <w:t xml:space="preserve"> acid. At the lower layer, steroids develop a red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 xml:space="preserve">. The formation of a violet </w:t>
      </w:r>
      <w:proofErr w:type="spellStart"/>
      <w:r w:rsidRPr="00F36C9C">
        <w:rPr>
          <w:rFonts w:ascii="Arial" w:eastAsia="Calibri" w:hAnsi="Arial" w:cs="Arial"/>
          <w:sz w:val="20"/>
          <w:szCs w:val="20"/>
        </w:rPr>
        <w:t>colour</w:t>
      </w:r>
      <w:proofErr w:type="spellEnd"/>
      <w:r w:rsidRPr="00F36C9C">
        <w:rPr>
          <w:rFonts w:ascii="Arial" w:eastAsia="Calibri" w:hAnsi="Arial" w:cs="Arial"/>
          <w:sz w:val="20"/>
          <w:szCs w:val="20"/>
        </w:rPr>
        <w:t xml:space="preserve"> indicates the presence of cardiac glycosides.</w:t>
      </w:r>
    </w:p>
    <w:p w14:paraId="214341CF" w14:textId="30A105B0" w:rsidR="00D8023C" w:rsidRPr="00F36C9C" w:rsidRDefault="004C3D0E" w:rsidP="00D8023C">
      <w:pPr>
        <w:spacing w:after="200" w:line="240" w:lineRule="auto"/>
        <w:contextualSpacing/>
        <w:jc w:val="both"/>
        <w:rPr>
          <w:rFonts w:ascii="Arial" w:hAnsi="Arial" w:cs="Arial"/>
          <w:b/>
          <w:bCs/>
          <w:i/>
          <w:sz w:val="20"/>
          <w:szCs w:val="20"/>
        </w:rPr>
      </w:pPr>
      <w:r w:rsidRPr="00F36C9C">
        <w:rPr>
          <w:rFonts w:ascii="Arial" w:hAnsi="Arial" w:cs="Arial"/>
          <w:b/>
          <w:bCs/>
          <w:i/>
          <w:sz w:val="20"/>
          <w:szCs w:val="20"/>
        </w:rPr>
        <w:lastRenderedPageBreak/>
        <w:t xml:space="preserve">2.4.1.9 </w:t>
      </w:r>
      <w:r w:rsidR="00D8023C" w:rsidRPr="00F36C9C">
        <w:rPr>
          <w:rFonts w:ascii="Arial" w:hAnsi="Arial" w:cs="Arial"/>
          <w:b/>
          <w:bCs/>
          <w:i/>
          <w:sz w:val="20"/>
          <w:szCs w:val="20"/>
        </w:rPr>
        <w:t>Anthraquinone</w:t>
      </w:r>
    </w:p>
    <w:p w14:paraId="19F8DC9A" w14:textId="5541F0A5" w:rsidR="00D8023C" w:rsidRPr="00F36C9C" w:rsidRDefault="00D8023C" w:rsidP="00D8023C">
      <w:pPr>
        <w:pStyle w:val="ListParagraph"/>
        <w:numPr>
          <w:ilvl w:val="0"/>
          <w:numId w:val="10"/>
        </w:numPr>
        <w:spacing w:after="200" w:line="240" w:lineRule="auto"/>
        <w:contextualSpacing/>
        <w:jc w:val="both"/>
        <w:rPr>
          <w:rFonts w:ascii="Arial" w:eastAsia="Calibri" w:hAnsi="Arial" w:cs="Arial"/>
          <w:sz w:val="20"/>
          <w:szCs w:val="20"/>
        </w:rPr>
      </w:pPr>
      <w:r w:rsidRPr="00F36C9C">
        <w:rPr>
          <w:rFonts w:ascii="Arial" w:hAnsi="Arial" w:cs="Arial"/>
          <w:b/>
          <w:bCs/>
          <w:sz w:val="20"/>
          <w:szCs w:val="20"/>
        </w:rPr>
        <w:t>Ammonia Test</w:t>
      </w:r>
      <w:r w:rsidRPr="00F36C9C">
        <w:rPr>
          <w:rFonts w:ascii="Arial" w:hAnsi="Arial" w:cs="Arial"/>
          <w:sz w:val="20"/>
          <w:szCs w:val="20"/>
        </w:rPr>
        <w:t xml:space="preserve">: Few drops of ammonia were added to extract. Pink or red </w:t>
      </w:r>
      <w:proofErr w:type="spellStart"/>
      <w:r w:rsidRPr="00F36C9C">
        <w:rPr>
          <w:rFonts w:ascii="Arial" w:hAnsi="Arial" w:cs="Arial"/>
          <w:sz w:val="20"/>
          <w:szCs w:val="20"/>
        </w:rPr>
        <w:t>colour</w:t>
      </w:r>
      <w:proofErr w:type="spellEnd"/>
      <w:r w:rsidRPr="00F36C9C">
        <w:rPr>
          <w:rFonts w:ascii="Arial" w:hAnsi="Arial" w:cs="Arial"/>
          <w:sz w:val="20"/>
          <w:szCs w:val="20"/>
        </w:rPr>
        <w:t xml:space="preserve"> indicated the presence of anthraquinone. </w:t>
      </w:r>
    </w:p>
    <w:p w14:paraId="5DB9C6B3" w14:textId="575EB57A" w:rsidR="00D8023C" w:rsidRPr="00F36C9C" w:rsidRDefault="004C3D0E" w:rsidP="00D8023C">
      <w:pPr>
        <w:spacing w:after="200" w:line="240" w:lineRule="auto"/>
        <w:contextualSpacing/>
        <w:jc w:val="both"/>
        <w:rPr>
          <w:rFonts w:ascii="Arial" w:hAnsi="Arial" w:cs="Arial"/>
          <w:b/>
          <w:bCs/>
          <w:i/>
          <w:sz w:val="20"/>
          <w:szCs w:val="20"/>
        </w:rPr>
      </w:pPr>
      <w:r w:rsidRPr="00F36C9C">
        <w:rPr>
          <w:rFonts w:ascii="Arial" w:hAnsi="Arial" w:cs="Arial"/>
          <w:b/>
          <w:bCs/>
          <w:i/>
          <w:sz w:val="20"/>
          <w:szCs w:val="20"/>
        </w:rPr>
        <w:t xml:space="preserve">2.4.2.0 </w:t>
      </w:r>
      <w:r w:rsidR="00D8023C" w:rsidRPr="00F36C9C">
        <w:rPr>
          <w:rFonts w:ascii="Arial" w:hAnsi="Arial" w:cs="Arial"/>
          <w:b/>
          <w:bCs/>
          <w:i/>
          <w:sz w:val="20"/>
          <w:szCs w:val="20"/>
        </w:rPr>
        <w:t>Polyphenol</w:t>
      </w:r>
    </w:p>
    <w:p w14:paraId="054DFB7D" w14:textId="5EDFC217" w:rsidR="00D8023C" w:rsidRPr="00F36C9C" w:rsidRDefault="00D8023C" w:rsidP="00D8023C">
      <w:pPr>
        <w:pStyle w:val="ListParagraph"/>
        <w:numPr>
          <w:ilvl w:val="0"/>
          <w:numId w:val="12"/>
        </w:numPr>
        <w:jc w:val="both"/>
        <w:rPr>
          <w:rFonts w:ascii="Arial" w:hAnsi="Arial" w:cs="Arial"/>
          <w:sz w:val="20"/>
          <w:szCs w:val="20"/>
        </w:rPr>
      </w:pPr>
      <w:r w:rsidRPr="00F36C9C">
        <w:rPr>
          <w:rFonts w:ascii="Arial" w:hAnsi="Arial" w:cs="Arial"/>
          <w:b/>
          <w:bCs/>
          <w:sz w:val="20"/>
          <w:szCs w:val="20"/>
        </w:rPr>
        <w:t>Nitric acid test:</w:t>
      </w:r>
      <w:r w:rsidRPr="00F36C9C">
        <w:rPr>
          <w:rFonts w:ascii="Arial" w:hAnsi="Arial" w:cs="Arial"/>
          <w:sz w:val="20"/>
          <w:szCs w:val="20"/>
        </w:rPr>
        <w:t xml:space="preserve"> Dilute nitric acid was introduced into extract. Reddish - yellow </w:t>
      </w:r>
      <w:proofErr w:type="spellStart"/>
      <w:r w:rsidRPr="00F36C9C">
        <w:rPr>
          <w:rFonts w:ascii="Arial" w:hAnsi="Arial" w:cs="Arial"/>
          <w:sz w:val="20"/>
          <w:szCs w:val="20"/>
        </w:rPr>
        <w:t>colouration</w:t>
      </w:r>
      <w:proofErr w:type="spellEnd"/>
      <w:r w:rsidRPr="00F36C9C">
        <w:rPr>
          <w:rFonts w:ascii="Arial" w:hAnsi="Arial" w:cs="Arial"/>
          <w:sz w:val="20"/>
          <w:szCs w:val="20"/>
        </w:rPr>
        <w:t xml:space="preserve"> indicated the presence of polyphenol.</w:t>
      </w:r>
    </w:p>
    <w:p w14:paraId="28F3B848" w14:textId="13581374" w:rsidR="00D8023C" w:rsidRPr="00F36C9C" w:rsidRDefault="00D8023C" w:rsidP="00D8023C">
      <w:pPr>
        <w:pStyle w:val="ListParagraph"/>
        <w:numPr>
          <w:ilvl w:val="0"/>
          <w:numId w:val="12"/>
        </w:numPr>
        <w:jc w:val="both"/>
        <w:rPr>
          <w:rFonts w:ascii="Arial" w:hAnsi="Arial" w:cs="Arial"/>
          <w:sz w:val="20"/>
          <w:szCs w:val="20"/>
        </w:rPr>
      </w:pPr>
      <w:r w:rsidRPr="00F36C9C">
        <w:rPr>
          <w:rFonts w:ascii="Arial" w:hAnsi="Arial" w:cs="Arial"/>
          <w:b/>
          <w:bCs/>
          <w:sz w:val="20"/>
          <w:szCs w:val="20"/>
        </w:rPr>
        <w:t xml:space="preserve">Acetic acid test: </w:t>
      </w:r>
      <w:r w:rsidRPr="00F36C9C">
        <w:rPr>
          <w:rFonts w:ascii="Arial" w:hAnsi="Arial" w:cs="Arial"/>
          <w:sz w:val="20"/>
          <w:szCs w:val="20"/>
        </w:rPr>
        <w:t xml:space="preserve">Dilute Acetic acid was added to the extract. Red </w:t>
      </w:r>
      <w:proofErr w:type="spellStart"/>
      <w:r w:rsidRPr="00F36C9C">
        <w:rPr>
          <w:rFonts w:ascii="Arial" w:hAnsi="Arial" w:cs="Arial"/>
          <w:sz w:val="20"/>
          <w:szCs w:val="20"/>
        </w:rPr>
        <w:t>colouration</w:t>
      </w:r>
      <w:proofErr w:type="spellEnd"/>
      <w:r w:rsidRPr="00F36C9C">
        <w:rPr>
          <w:rFonts w:ascii="Arial" w:hAnsi="Arial" w:cs="Arial"/>
          <w:sz w:val="20"/>
          <w:szCs w:val="20"/>
        </w:rPr>
        <w:t xml:space="preserve"> indicated the presence of polyphenol</w:t>
      </w:r>
    </w:p>
    <w:p w14:paraId="1F33FF7E" w14:textId="77777777" w:rsidR="00D8023C" w:rsidRPr="00F36C9C" w:rsidRDefault="00D8023C" w:rsidP="00D8023C">
      <w:pPr>
        <w:spacing w:after="200" w:line="240" w:lineRule="auto"/>
        <w:contextualSpacing/>
        <w:jc w:val="both"/>
        <w:rPr>
          <w:rFonts w:ascii="Arial" w:eastAsia="Calibri" w:hAnsi="Arial" w:cs="Arial"/>
          <w:sz w:val="20"/>
          <w:szCs w:val="20"/>
        </w:rPr>
      </w:pPr>
    </w:p>
    <w:p w14:paraId="61EC9C60" w14:textId="19786452" w:rsidR="00F41AA2" w:rsidRPr="00F36C9C" w:rsidRDefault="004C3D0E" w:rsidP="00F41AA2">
      <w:pPr>
        <w:spacing w:line="240" w:lineRule="auto"/>
        <w:jc w:val="both"/>
        <w:rPr>
          <w:rFonts w:ascii="Arial" w:eastAsia="Calibri" w:hAnsi="Arial" w:cs="Arial"/>
          <w:b/>
          <w:i/>
          <w:sz w:val="20"/>
          <w:szCs w:val="20"/>
        </w:rPr>
      </w:pPr>
      <w:r w:rsidRPr="00F36C9C">
        <w:rPr>
          <w:rFonts w:ascii="Arial" w:eastAsia="Calibri" w:hAnsi="Arial" w:cs="Arial"/>
          <w:b/>
          <w:i/>
          <w:sz w:val="20"/>
          <w:szCs w:val="20"/>
        </w:rPr>
        <w:t xml:space="preserve">2.4.2.1 </w:t>
      </w:r>
      <w:r w:rsidR="00F41AA2" w:rsidRPr="00F36C9C">
        <w:rPr>
          <w:rFonts w:ascii="Arial" w:eastAsia="Calibri" w:hAnsi="Arial" w:cs="Arial"/>
          <w:b/>
          <w:i/>
          <w:sz w:val="20"/>
          <w:szCs w:val="20"/>
        </w:rPr>
        <w:t>Triterpenoids</w:t>
      </w:r>
    </w:p>
    <w:p w14:paraId="028AC9B5" w14:textId="77777777" w:rsidR="005018A8" w:rsidRPr="00F36C9C" w:rsidRDefault="009E6EDF" w:rsidP="005018A8">
      <w:pPr>
        <w:pStyle w:val="ListParagraph"/>
        <w:numPr>
          <w:ilvl w:val="0"/>
          <w:numId w:val="13"/>
        </w:numPr>
        <w:jc w:val="both"/>
        <w:rPr>
          <w:rFonts w:ascii="Arial" w:hAnsi="Arial" w:cs="Arial"/>
          <w:sz w:val="20"/>
          <w:szCs w:val="20"/>
        </w:rPr>
      </w:pPr>
      <w:r w:rsidRPr="00F36C9C">
        <w:rPr>
          <w:rFonts w:ascii="Arial" w:hAnsi="Arial" w:cs="Arial"/>
          <w:b/>
          <w:bCs/>
          <w:sz w:val="20"/>
          <w:szCs w:val="20"/>
        </w:rPr>
        <w:t>Chloroform test:</w:t>
      </w:r>
      <w:r w:rsidR="005018A8" w:rsidRPr="00F36C9C">
        <w:rPr>
          <w:rFonts w:ascii="Arial" w:hAnsi="Arial" w:cs="Arial"/>
          <w:b/>
          <w:bCs/>
          <w:sz w:val="20"/>
          <w:szCs w:val="20"/>
        </w:rPr>
        <w:t xml:space="preserve"> </w:t>
      </w:r>
      <w:r w:rsidR="005018A8" w:rsidRPr="00F36C9C">
        <w:rPr>
          <w:rFonts w:ascii="Arial" w:hAnsi="Arial" w:cs="Arial"/>
          <w:bCs/>
          <w:sz w:val="20"/>
          <w:szCs w:val="20"/>
        </w:rPr>
        <w:t>C</w:t>
      </w:r>
      <w:r w:rsidR="005018A8" w:rsidRPr="00F36C9C">
        <w:rPr>
          <w:rFonts w:ascii="Arial" w:hAnsi="Arial" w:cs="Arial"/>
          <w:sz w:val="20"/>
          <w:szCs w:val="20"/>
        </w:rPr>
        <w:t>hloroform (2.0 mL)</w:t>
      </w:r>
      <w:r w:rsidR="005018A8" w:rsidRPr="00F36C9C">
        <w:rPr>
          <w:rFonts w:ascii="Arial" w:hAnsi="Arial" w:cs="Arial"/>
          <w:bCs/>
          <w:sz w:val="20"/>
          <w:szCs w:val="20"/>
        </w:rPr>
        <w:t xml:space="preserve"> was added to the plant e</w:t>
      </w:r>
      <w:r w:rsidR="005018A8" w:rsidRPr="00F36C9C">
        <w:rPr>
          <w:rFonts w:ascii="Arial" w:hAnsi="Arial" w:cs="Arial"/>
          <w:sz w:val="20"/>
          <w:szCs w:val="20"/>
        </w:rPr>
        <w:t>xtract. Formation of three layers indicates the presence of triterpenoid.</w:t>
      </w:r>
    </w:p>
    <w:p w14:paraId="4D37F48D" w14:textId="4012EB18" w:rsidR="00F41AA2" w:rsidRPr="00F36C9C" w:rsidRDefault="00F41AA2" w:rsidP="005018A8">
      <w:pPr>
        <w:pStyle w:val="ListParagraph"/>
        <w:numPr>
          <w:ilvl w:val="0"/>
          <w:numId w:val="13"/>
        </w:numPr>
        <w:jc w:val="both"/>
        <w:rPr>
          <w:rFonts w:ascii="Arial" w:hAnsi="Arial" w:cs="Arial"/>
          <w:sz w:val="20"/>
          <w:szCs w:val="20"/>
        </w:rPr>
      </w:pPr>
      <w:r w:rsidRPr="00F36C9C">
        <w:rPr>
          <w:rFonts w:ascii="Arial" w:hAnsi="Arial" w:cs="Arial"/>
          <w:b/>
          <w:bCs/>
          <w:sz w:val="20"/>
          <w:szCs w:val="20"/>
        </w:rPr>
        <w:t>Salkowski test:</w:t>
      </w:r>
      <w:r w:rsidRPr="00F36C9C">
        <w:rPr>
          <w:rFonts w:ascii="Arial" w:hAnsi="Arial" w:cs="Arial"/>
          <w:sz w:val="20"/>
          <w:szCs w:val="20"/>
        </w:rPr>
        <w:t xml:space="preserve"> The extract (5.0 mL) was treated with chloroform (2.0 mL) and 3.0 mL of conc. H</w:t>
      </w:r>
      <w:r w:rsidRPr="00F36C9C">
        <w:rPr>
          <w:rFonts w:ascii="Arial" w:hAnsi="Arial" w:cs="Arial"/>
          <w:sz w:val="20"/>
          <w:szCs w:val="20"/>
          <w:vertAlign w:val="subscript"/>
        </w:rPr>
        <w:t>2</w:t>
      </w:r>
      <w:r w:rsidRPr="00F36C9C">
        <w:rPr>
          <w:rFonts w:ascii="Arial" w:hAnsi="Arial" w:cs="Arial"/>
          <w:sz w:val="20"/>
          <w:szCs w:val="20"/>
        </w:rPr>
        <w:t>SO</w:t>
      </w:r>
      <w:r w:rsidRPr="00F36C9C">
        <w:rPr>
          <w:rFonts w:ascii="Arial" w:hAnsi="Arial" w:cs="Arial"/>
          <w:sz w:val="20"/>
          <w:szCs w:val="20"/>
          <w:vertAlign w:val="subscript"/>
        </w:rPr>
        <w:t>4</w:t>
      </w:r>
      <w:r w:rsidRPr="00F36C9C">
        <w:rPr>
          <w:rFonts w:ascii="Arial" w:hAnsi="Arial" w:cs="Arial"/>
          <w:sz w:val="20"/>
          <w:szCs w:val="20"/>
        </w:rPr>
        <w:t xml:space="preserve"> was carefully added to form this layer. A reddish-brown </w:t>
      </w:r>
      <w:proofErr w:type="spellStart"/>
      <w:r w:rsidRPr="00F36C9C">
        <w:rPr>
          <w:rFonts w:ascii="Arial" w:hAnsi="Arial" w:cs="Arial"/>
          <w:sz w:val="20"/>
          <w:szCs w:val="20"/>
        </w:rPr>
        <w:t>colouration</w:t>
      </w:r>
      <w:proofErr w:type="spellEnd"/>
      <w:r w:rsidRPr="00F36C9C">
        <w:rPr>
          <w:rFonts w:ascii="Arial" w:hAnsi="Arial" w:cs="Arial"/>
          <w:sz w:val="20"/>
          <w:szCs w:val="20"/>
        </w:rPr>
        <w:t xml:space="preserve"> of the inner face indicate</w:t>
      </w:r>
      <w:r w:rsidR="005018A8" w:rsidRPr="00F36C9C">
        <w:rPr>
          <w:rFonts w:ascii="Arial" w:hAnsi="Arial" w:cs="Arial"/>
          <w:sz w:val="20"/>
          <w:szCs w:val="20"/>
        </w:rPr>
        <w:t>d</w:t>
      </w:r>
      <w:r w:rsidRPr="00F36C9C">
        <w:rPr>
          <w:rFonts w:ascii="Arial" w:hAnsi="Arial" w:cs="Arial"/>
          <w:sz w:val="20"/>
          <w:szCs w:val="20"/>
        </w:rPr>
        <w:t xml:space="preserve"> a positive result for the presence of terpenoids.</w:t>
      </w:r>
    </w:p>
    <w:p w14:paraId="30D1E112" w14:textId="71B43CAD" w:rsidR="005018A8" w:rsidRPr="00F36C9C" w:rsidRDefault="004C3D0E" w:rsidP="005018A8">
      <w:pPr>
        <w:jc w:val="both"/>
        <w:rPr>
          <w:rFonts w:ascii="Arial" w:hAnsi="Arial" w:cs="Arial"/>
          <w:b/>
          <w:bCs/>
          <w:i/>
          <w:sz w:val="20"/>
          <w:szCs w:val="20"/>
        </w:rPr>
      </w:pPr>
      <w:r w:rsidRPr="00F36C9C">
        <w:rPr>
          <w:rFonts w:ascii="Arial" w:hAnsi="Arial" w:cs="Arial"/>
          <w:b/>
          <w:bCs/>
          <w:i/>
          <w:sz w:val="20"/>
          <w:szCs w:val="20"/>
        </w:rPr>
        <w:t xml:space="preserve">2.4.2.2 </w:t>
      </w:r>
      <w:r w:rsidR="005018A8" w:rsidRPr="00F36C9C">
        <w:rPr>
          <w:rFonts w:ascii="Arial" w:hAnsi="Arial" w:cs="Arial"/>
          <w:b/>
          <w:bCs/>
          <w:i/>
          <w:sz w:val="20"/>
          <w:szCs w:val="20"/>
        </w:rPr>
        <w:t>Protein</w:t>
      </w:r>
    </w:p>
    <w:p w14:paraId="6EFD45A7" w14:textId="5A0935B6" w:rsidR="005018A8" w:rsidRPr="00F36C9C" w:rsidRDefault="005018A8" w:rsidP="005018A8">
      <w:pPr>
        <w:pStyle w:val="ListParagraph"/>
        <w:numPr>
          <w:ilvl w:val="0"/>
          <w:numId w:val="16"/>
        </w:numPr>
        <w:jc w:val="both"/>
        <w:rPr>
          <w:rFonts w:ascii="Arial" w:hAnsi="Arial" w:cs="Arial"/>
          <w:sz w:val="20"/>
          <w:szCs w:val="20"/>
        </w:rPr>
      </w:pPr>
      <w:r w:rsidRPr="00F36C9C">
        <w:rPr>
          <w:rFonts w:ascii="Arial" w:hAnsi="Arial" w:cs="Arial"/>
          <w:b/>
          <w:bCs/>
          <w:sz w:val="20"/>
          <w:szCs w:val="20"/>
        </w:rPr>
        <w:t xml:space="preserve">Biuret test: </w:t>
      </w:r>
      <w:r w:rsidRPr="00F36C9C">
        <w:rPr>
          <w:rFonts w:ascii="Arial" w:hAnsi="Arial" w:cs="Arial"/>
          <w:sz w:val="20"/>
          <w:szCs w:val="20"/>
        </w:rPr>
        <w:t xml:space="preserve">Biuret reagent was added to the extract. Purple or violet </w:t>
      </w:r>
      <w:proofErr w:type="spellStart"/>
      <w:r w:rsidRPr="00F36C9C">
        <w:rPr>
          <w:rFonts w:ascii="Arial" w:hAnsi="Arial" w:cs="Arial"/>
          <w:sz w:val="20"/>
          <w:szCs w:val="20"/>
        </w:rPr>
        <w:t>colour</w:t>
      </w:r>
      <w:proofErr w:type="spellEnd"/>
      <w:r w:rsidRPr="00F36C9C">
        <w:rPr>
          <w:rFonts w:ascii="Arial" w:hAnsi="Arial" w:cs="Arial"/>
          <w:sz w:val="20"/>
          <w:szCs w:val="20"/>
        </w:rPr>
        <w:t xml:space="preserve"> indicated presence of protein.</w:t>
      </w:r>
    </w:p>
    <w:p w14:paraId="03C75392" w14:textId="3986A13B" w:rsidR="005018A8" w:rsidRPr="00F36C9C" w:rsidRDefault="005018A8" w:rsidP="005018A8">
      <w:pPr>
        <w:pStyle w:val="ListParagraph"/>
        <w:numPr>
          <w:ilvl w:val="0"/>
          <w:numId w:val="16"/>
        </w:numPr>
        <w:jc w:val="both"/>
        <w:rPr>
          <w:rFonts w:ascii="Arial" w:hAnsi="Arial" w:cs="Arial"/>
          <w:sz w:val="20"/>
          <w:szCs w:val="20"/>
        </w:rPr>
      </w:pPr>
      <w:r w:rsidRPr="00F36C9C">
        <w:rPr>
          <w:rFonts w:ascii="Arial" w:hAnsi="Arial" w:cs="Arial"/>
          <w:b/>
          <w:bCs/>
          <w:sz w:val="20"/>
          <w:szCs w:val="20"/>
        </w:rPr>
        <w:t xml:space="preserve">Xanthoproteic test: </w:t>
      </w:r>
      <w:r w:rsidRPr="00F36C9C">
        <w:rPr>
          <w:rFonts w:ascii="Arial" w:hAnsi="Arial" w:cs="Arial"/>
          <w:sz w:val="20"/>
          <w:szCs w:val="20"/>
        </w:rPr>
        <w:t xml:space="preserve">Nitric acid was added to the extract followed by sodium hydroxide solution. Yellow or orange </w:t>
      </w:r>
      <w:proofErr w:type="spellStart"/>
      <w:r w:rsidRPr="00F36C9C">
        <w:rPr>
          <w:rFonts w:ascii="Arial" w:hAnsi="Arial" w:cs="Arial"/>
          <w:sz w:val="20"/>
          <w:szCs w:val="20"/>
        </w:rPr>
        <w:t>colouration</w:t>
      </w:r>
      <w:proofErr w:type="spellEnd"/>
      <w:r w:rsidRPr="00F36C9C">
        <w:rPr>
          <w:rFonts w:ascii="Arial" w:hAnsi="Arial" w:cs="Arial"/>
          <w:sz w:val="20"/>
          <w:szCs w:val="20"/>
        </w:rPr>
        <w:t xml:space="preserve"> indicated the presence of protein.</w:t>
      </w:r>
    </w:p>
    <w:p w14:paraId="34F72F23" w14:textId="77777777" w:rsidR="00F41AA2" w:rsidRPr="00F36C9C" w:rsidRDefault="00F41AA2" w:rsidP="007374DA">
      <w:pPr>
        <w:spacing w:after="0" w:line="240" w:lineRule="auto"/>
        <w:jc w:val="both"/>
        <w:rPr>
          <w:rFonts w:ascii="Arial" w:hAnsi="Arial" w:cs="Arial"/>
          <w:b/>
          <w:bCs/>
          <w:sz w:val="20"/>
          <w:szCs w:val="20"/>
        </w:rPr>
      </w:pPr>
    </w:p>
    <w:p w14:paraId="71140D8A" w14:textId="4348F01B" w:rsidR="007374DA" w:rsidRPr="00F36C9C" w:rsidRDefault="004C3D0E" w:rsidP="007374DA">
      <w:pPr>
        <w:spacing w:after="0" w:line="240" w:lineRule="auto"/>
        <w:jc w:val="both"/>
        <w:rPr>
          <w:rFonts w:ascii="Arial" w:hAnsi="Arial" w:cs="Arial"/>
          <w:b/>
          <w:bCs/>
          <w:sz w:val="20"/>
          <w:szCs w:val="20"/>
          <w:u w:val="single"/>
        </w:rPr>
      </w:pPr>
      <w:r w:rsidRPr="00F36C9C">
        <w:rPr>
          <w:rFonts w:ascii="Arial" w:hAnsi="Arial" w:cs="Arial"/>
          <w:b/>
          <w:bCs/>
          <w:sz w:val="20"/>
          <w:szCs w:val="20"/>
          <w:u w:val="single"/>
        </w:rPr>
        <w:t xml:space="preserve">2.4.3 </w:t>
      </w:r>
      <w:r w:rsidR="001C0933" w:rsidRPr="00F36C9C">
        <w:rPr>
          <w:rFonts w:ascii="Arial" w:hAnsi="Arial" w:cs="Arial"/>
          <w:b/>
          <w:bCs/>
          <w:sz w:val="20"/>
          <w:szCs w:val="20"/>
          <w:u w:val="single"/>
        </w:rPr>
        <w:t xml:space="preserve">Quantitative </w:t>
      </w:r>
      <w:r w:rsidR="00B41CA3" w:rsidRPr="00F36C9C">
        <w:rPr>
          <w:rFonts w:ascii="Arial" w:hAnsi="Arial" w:cs="Arial"/>
          <w:b/>
          <w:bCs/>
          <w:sz w:val="20"/>
          <w:szCs w:val="20"/>
          <w:u w:val="single"/>
        </w:rPr>
        <w:t>Determination of Phytochemicals</w:t>
      </w:r>
    </w:p>
    <w:p w14:paraId="7B8870AD" w14:textId="77777777" w:rsidR="007374DA" w:rsidRPr="00F36C9C" w:rsidRDefault="007374DA" w:rsidP="007374DA">
      <w:pPr>
        <w:spacing w:after="0" w:line="240" w:lineRule="auto"/>
        <w:jc w:val="both"/>
        <w:rPr>
          <w:rFonts w:ascii="Arial" w:hAnsi="Arial" w:cs="Arial"/>
          <w:sz w:val="20"/>
          <w:szCs w:val="20"/>
        </w:rPr>
      </w:pPr>
    </w:p>
    <w:p w14:paraId="5FC0DF3C" w14:textId="504B1C43" w:rsidR="00F80A73" w:rsidRPr="00F36C9C" w:rsidRDefault="00B41CA3" w:rsidP="00F80A73">
      <w:pPr>
        <w:spacing w:line="240" w:lineRule="auto"/>
        <w:ind w:right="1"/>
        <w:jc w:val="both"/>
        <w:rPr>
          <w:rFonts w:ascii="Arial" w:hAnsi="Arial" w:cs="Arial"/>
          <w:sz w:val="20"/>
          <w:szCs w:val="20"/>
        </w:rPr>
      </w:pPr>
      <w:r w:rsidRPr="00F36C9C">
        <w:rPr>
          <w:rFonts w:ascii="Arial" w:hAnsi="Arial" w:cs="Arial"/>
          <w:sz w:val="20"/>
          <w:szCs w:val="20"/>
        </w:rPr>
        <w:t xml:space="preserve">The methods employed for the quantitative determination of phytochemicals screening were those previously described by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w:t>
      </w:r>
      <w:commentRangeStart w:id="12"/>
      <w:r w:rsidRPr="00F36C9C">
        <w:rPr>
          <w:rFonts w:ascii="Arial" w:hAnsi="Arial" w:cs="Arial"/>
          <w:sz w:val="20"/>
          <w:szCs w:val="20"/>
        </w:rPr>
        <w:t>et al</w:t>
      </w:r>
      <w:commentRangeEnd w:id="12"/>
      <w:r w:rsidR="008522DC">
        <w:rPr>
          <w:rStyle w:val="CommentReference"/>
        </w:rPr>
        <w:commentReference w:id="12"/>
      </w:r>
      <w:r w:rsidRPr="00F36C9C">
        <w:rPr>
          <w:rFonts w:ascii="Arial" w:hAnsi="Arial" w:cs="Arial"/>
          <w:sz w:val="20"/>
          <w:szCs w:val="20"/>
        </w:rPr>
        <w:t>. (2005).</w:t>
      </w:r>
      <w:r w:rsidR="00F80A73" w:rsidRPr="00F36C9C">
        <w:rPr>
          <w:rFonts w:ascii="Arial" w:hAnsi="Arial" w:cs="Arial"/>
          <w:sz w:val="20"/>
          <w:szCs w:val="20"/>
        </w:rPr>
        <w:t xml:space="preserve"> </w:t>
      </w:r>
    </w:p>
    <w:p w14:paraId="3E3867BE" w14:textId="38468BFB" w:rsidR="00A950BB" w:rsidRPr="00F36C9C" w:rsidRDefault="004C3D0E" w:rsidP="00A950BB">
      <w:pPr>
        <w:pStyle w:val="ListParagraph"/>
        <w:spacing w:line="240" w:lineRule="auto"/>
        <w:ind w:left="0"/>
        <w:jc w:val="both"/>
        <w:rPr>
          <w:rFonts w:ascii="Arial" w:hAnsi="Arial" w:cs="Arial"/>
          <w:b/>
          <w:bCs/>
          <w:color w:val="000000"/>
          <w:sz w:val="20"/>
          <w:szCs w:val="20"/>
          <w:u w:val="single"/>
        </w:rPr>
      </w:pPr>
      <w:r w:rsidRPr="00F36C9C">
        <w:rPr>
          <w:rFonts w:ascii="Arial" w:hAnsi="Arial" w:cs="Arial"/>
          <w:b/>
          <w:sz w:val="20"/>
          <w:szCs w:val="20"/>
          <w:u w:val="single"/>
          <w:lang w:eastAsia="en-GB"/>
        </w:rPr>
        <w:t xml:space="preserve">2.4.3.1 </w:t>
      </w:r>
      <w:r w:rsidR="00A950BB" w:rsidRPr="00F36C9C">
        <w:rPr>
          <w:rFonts w:ascii="Arial" w:hAnsi="Arial" w:cs="Arial"/>
          <w:b/>
          <w:sz w:val="20"/>
          <w:szCs w:val="20"/>
          <w:u w:val="single"/>
          <w:lang w:eastAsia="en-GB"/>
        </w:rPr>
        <w:t>Preparation of alkaloids</w:t>
      </w:r>
    </w:p>
    <w:p w14:paraId="14F0B3FA" w14:textId="5A37FF98" w:rsidR="00A950BB" w:rsidRPr="00F36C9C" w:rsidRDefault="00A950BB" w:rsidP="00A950BB">
      <w:pPr>
        <w:pStyle w:val="ListParagraph"/>
        <w:spacing w:line="240" w:lineRule="auto"/>
        <w:ind w:left="0"/>
        <w:jc w:val="both"/>
        <w:rPr>
          <w:rFonts w:ascii="Arial" w:hAnsi="Arial" w:cs="Arial"/>
          <w:bCs/>
          <w:sz w:val="20"/>
          <w:szCs w:val="20"/>
          <w:lang w:eastAsia="en-GB"/>
        </w:rPr>
      </w:pPr>
      <w:r w:rsidRPr="00F36C9C">
        <w:rPr>
          <w:rFonts w:ascii="Arial" w:hAnsi="Arial" w:cs="Arial"/>
          <w:bCs/>
          <w:sz w:val="20"/>
          <w:szCs w:val="20"/>
          <w:lang w:eastAsia="en-GB"/>
        </w:rPr>
        <w:t>The sample (5 g) was weighed into a 250 mL beaker and 200 ml of 10 % acetic acid in ethanol was added and covered and allowed to stand for 4 hours. This was filtered and the extract was concentrated on a water bath to one quarter of the original volume. Concentrated ammonium hydroxide was added dropwise to the extract until the precipitation was complete. The whole solution was allowed to settle and precipitate was collected and washed with dilute ammonium hydroxide and then filtered. The residue is the alkaloid, which was dried and weighed</w:t>
      </w:r>
      <w:r w:rsidRPr="00F36C9C">
        <w:rPr>
          <w:rFonts w:ascii="Arial" w:hAnsi="Arial" w:cs="Arial"/>
          <w:sz w:val="20"/>
          <w:szCs w:val="20"/>
        </w:rPr>
        <w:t>.</w:t>
      </w:r>
      <w:r w:rsidRPr="00F36C9C">
        <w:rPr>
          <w:rFonts w:ascii="Arial" w:hAnsi="Arial" w:cs="Arial"/>
          <w:bCs/>
          <w:sz w:val="20"/>
          <w:szCs w:val="20"/>
          <w:lang w:eastAsia="en-GB"/>
        </w:rPr>
        <w:t xml:space="preserve"> The alkaloids collected was used for antimicrobial test and characterized using FTIR spectroscopy. </w:t>
      </w:r>
    </w:p>
    <w:p w14:paraId="71352A06" w14:textId="77777777" w:rsidR="00A950BB" w:rsidRPr="00F36C9C" w:rsidRDefault="00A950BB" w:rsidP="00A950BB">
      <w:pPr>
        <w:pStyle w:val="ListParagraph"/>
        <w:spacing w:line="240" w:lineRule="auto"/>
        <w:ind w:left="0"/>
        <w:jc w:val="both"/>
        <w:rPr>
          <w:rFonts w:ascii="Arial" w:hAnsi="Arial" w:cs="Arial"/>
          <w:bCs/>
          <w:sz w:val="20"/>
          <w:szCs w:val="20"/>
          <w:lang w:eastAsia="en-GB"/>
        </w:rPr>
      </w:pPr>
    </w:p>
    <w:p w14:paraId="1F9A2ED4" w14:textId="72A69966" w:rsidR="00A950BB" w:rsidRPr="00F36C9C" w:rsidRDefault="00E06D10" w:rsidP="00A950BB">
      <w:pPr>
        <w:autoSpaceDE w:val="0"/>
        <w:autoSpaceDN w:val="0"/>
        <w:adjustRightInd w:val="0"/>
        <w:spacing w:after="0" w:line="240" w:lineRule="auto"/>
        <w:jc w:val="both"/>
        <w:rPr>
          <w:rFonts w:ascii="Arial" w:hAnsi="Arial" w:cs="Arial"/>
          <w:b/>
          <w:bCs/>
          <w:sz w:val="20"/>
          <w:szCs w:val="20"/>
          <w:u w:val="single"/>
        </w:rPr>
      </w:pPr>
      <w:r w:rsidRPr="00F36C9C">
        <w:rPr>
          <w:rFonts w:ascii="Arial" w:hAnsi="Arial" w:cs="Arial"/>
          <w:b/>
          <w:bCs/>
          <w:sz w:val="20"/>
          <w:szCs w:val="20"/>
          <w:u w:val="single"/>
          <w:lang w:eastAsia="en-GB"/>
        </w:rPr>
        <w:t xml:space="preserve">2.4.3.2 </w:t>
      </w:r>
      <w:r w:rsidR="00A950BB" w:rsidRPr="00F36C9C">
        <w:rPr>
          <w:rFonts w:ascii="Arial" w:hAnsi="Arial" w:cs="Arial"/>
          <w:b/>
          <w:bCs/>
          <w:sz w:val="20"/>
          <w:szCs w:val="20"/>
          <w:u w:val="single"/>
          <w:lang w:eastAsia="en-GB"/>
        </w:rPr>
        <w:t>Preparation of flavonoids</w:t>
      </w:r>
    </w:p>
    <w:p w14:paraId="79033E39" w14:textId="683F5526" w:rsidR="00A950BB" w:rsidRPr="00F36C9C" w:rsidRDefault="00A950BB" w:rsidP="00A950BB">
      <w:pPr>
        <w:pStyle w:val="ListParagraph"/>
        <w:spacing w:line="240" w:lineRule="auto"/>
        <w:ind w:left="0"/>
        <w:jc w:val="both"/>
        <w:rPr>
          <w:rFonts w:ascii="Arial" w:hAnsi="Arial" w:cs="Arial"/>
          <w:sz w:val="20"/>
          <w:szCs w:val="20"/>
          <w:lang w:eastAsia="en-GB"/>
        </w:rPr>
      </w:pPr>
      <w:r w:rsidRPr="00F36C9C">
        <w:rPr>
          <w:rFonts w:ascii="Arial" w:hAnsi="Arial" w:cs="Arial"/>
          <w:sz w:val="20"/>
          <w:szCs w:val="20"/>
          <w:lang w:eastAsia="en-GB"/>
        </w:rPr>
        <w:t>About 20g of the sample was weighed into a 250ml beaker and 200ml of 80% aqueous ethanol was added at room temperature and covered and allowed to stand for 1 day. The whole solution was filtered through Whatman filter paper No 42 (125</w:t>
      </w:r>
      <w:r w:rsidR="008C339C" w:rsidRPr="00F36C9C">
        <w:rPr>
          <w:rFonts w:ascii="Arial" w:hAnsi="Arial" w:cs="Arial"/>
          <w:sz w:val="20"/>
          <w:szCs w:val="20"/>
          <w:lang w:eastAsia="en-GB"/>
        </w:rPr>
        <w:t xml:space="preserve"> </w:t>
      </w:r>
      <w:r w:rsidRPr="00F36C9C">
        <w:rPr>
          <w:rFonts w:ascii="Arial" w:hAnsi="Arial" w:cs="Arial"/>
          <w:sz w:val="20"/>
          <w:szCs w:val="20"/>
          <w:lang w:eastAsia="en-GB"/>
        </w:rPr>
        <w:t>m</w:t>
      </w:r>
      <w:r w:rsidR="008C339C" w:rsidRPr="00F36C9C">
        <w:rPr>
          <w:rFonts w:ascii="Arial" w:hAnsi="Arial" w:cs="Arial"/>
          <w:sz w:val="20"/>
          <w:szCs w:val="20"/>
          <w:lang w:eastAsia="en-GB"/>
        </w:rPr>
        <w:t>m</w:t>
      </w:r>
      <w:r w:rsidRPr="00F36C9C">
        <w:rPr>
          <w:rFonts w:ascii="Arial" w:hAnsi="Arial" w:cs="Arial"/>
          <w:sz w:val="20"/>
          <w:szCs w:val="20"/>
          <w:lang w:eastAsia="en-GB"/>
        </w:rPr>
        <w:t xml:space="preserve">). The filtrate was later transferred into a beaker and evaporated to dryness over a water bath at </w:t>
      </w:r>
      <w:r w:rsidRPr="00F36C9C">
        <w:rPr>
          <w:rFonts w:ascii="Arial" w:hAnsi="Arial" w:cs="Arial"/>
          <w:sz w:val="20"/>
          <w:szCs w:val="20"/>
        </w:rPr>
        <w:t>50</w:t>
      </w:r>
      <w:r w:rsidR="008C339C" w:rsidRPr="00F36C9C">
        <w:rPr>
          <w:rFonts w:ascii="Arial" w:hAnsi="Arial" w:cs="Arial"/>
          <w:sz w:val="20"/>
          <w:szCs w:val="20"/>
        </w:rPr>
        <w:t xml:space="preserve"> </w:t>
      </w:r>
      <w:commentRangeStart w:id="13"/>
      <w:proofErr w:type="spellStart"/>
      <w:r w:rsidRPr="00F36C9C">
        <w:rPr>
          <w:rFonts w:ascii="Arial" w:hAnsi="Arial" w:cs="Arial"/>
          <w:sz w:val="20"/>
          <w:szCs w:val="20"/>
          <w:vertAlign w:val="superscript"/>
        </w:rPr>
        <w:t>o</w:t>
      </w:r>
      <w:r w:rsidRPr="00F36C9C">
        <w:rPr>
          <w:rFonts w:ascii="Arial" w:hAnsi="Arial" w:cs="Arial"/>
          <w:sz w:val="20"/>
          <w:szCs w:val="20"/>
        </w:rPr>
        <w:t>C</w:t>
      </w:r>
      <w:commentRangeEnd w:id="13"/>
      <w:proofErr w:type="spellEnd"/>
      <w:r w:rsidR="008522DC">
        <w:rPr>
          <w:rStyle w:val="CommentReference"/>
          <w:rFonts w:asciiTheme="minorHAnsi" w:eastAsiaTheme="minorHAnsi" w:hAnsiTheme="minorHAnsi" w:cstheme="minorBidi"/>
          <w:lang w:eastAsia="en-US"/>
        </w:rPr>
        <w:commentReference w:id="13"/>
      </w:r>
      <w:r w:rsidRPr="00F36C9C">
        <w:rPr>
          <w:rFonts w:ascii="Arial" w:hAnsi="Arial" w:cs="Arial"/>
          <w:sz w:val="20"/>
          <w:szCs w:val="20"/>
        </w:rPr>
        <w:t xml:space="preserve"> </w:t>
      </w:r>
      <w:r w:rsidRPr="00F36C9C">
        <w:rPr>
          <w:rFonts w:ascii="Arial" w:hAnsi="Arial" w:cs="Arial"/>
          <w:sz w:val="20"/>
          <w:szCs w:val="20"/>
          <w:lang w:eastAsia="en-GB"/>
        </w:rPr>
        <w:t xml:space="preserve">and was weighed to a constant weight. The filtrate was the flavonoid which was used for antimicrobial test and characterized using FTIR spectroscopy. </w:t>
      </w:r>
    </w:p>
    <w:p w14:paraId="0C770E4A" w14:textId="77777777" w:rsidR="00A950BB" w:rsidRPr="00F36C9C" w:rsidRDefault="00A950BB" w:rsidP="00A950BB">
      <w:pPr>
        <w:pStyle w:val="ListParagraph"/>
        <w:spacing w:line="240" w:lineRule="auto"/>
        <w:ind w:left="0"/>
        <w:jc w:val="both"/>
        <w:rPr>
          <w:rFonts w:ascii="Arial" w:hAnsi="Arial" w:cs="Arial"/>
          <w:sz w:val="20"/>
          <w:szCs w:val="20"/>
          <w:lang w:eastAsia="en-GB"/>
        </w:rPr>
      </w:pPr>
    </w:p>
    <w:p w14:paraId="4E6BF0D8" w14:textId="68E8647F" w:rsidR="00A950BB" w:rsidRPr="00F36C9C" w:rsidRDefault="00E06D10" w:rsidP="00A950BB">
      <w:pPr>
        <w:pStyle w:val="Pa8"/>
        <w:spacing w:line="240" w:lineRule="auto"/>
        <w:jc w:val="both"/>
        <w:rPr>
          <w:b/>
          <w:bCs/>
          <w:color w:val="000000"/>
          <w:sz w:val="20"/>
          <w:szCs w:val="20"/>
          <w:u w:val="single"/>
        </w:rPr>
      </w:pPr>
      <w:r w:rsidRPr="00F36C9C">
        <w:rPr>
          <w:rStyle w:val="A1"/>
          <w:b/>
          <w:bCs/>
          <w:sz w:val="20"/>
          <w:szCs w:val="20"/>
          <w:u w:val="single"/>
        </w:rPr>
        <w:t xml:space="preserve">2.4.3.3 </w:t>
      </w:r>
      <w:r w:rsidR="00A950BB" w:rsidRPr="00F36C9C">
        <w:rPr>
          <w:rStyle w:val="A1"/>
          <w:b/>
          <w:bCs/>
          <w:sz w:val="20"/>
          <w:szCs w:val="20"/>
          <w:u w:val="single"/>
        </w:rPr>
        <w:t xml:space="preserve">Preparation of cardiac glycosides </w:t>
      </w:r>
    </w:p>
    <w:p w14:paraId="1E035EA5" w14:textId="34830D4C" w:rsidR="00A950BB" w:rsidRPr="00F36C9C" w:rsidRDefault="00A950BB" w:rsidP="00A950BB">
      <w:pPr>
        <w:pStyle w:val="Pa8"/>
        <w:spacing w:line="240" w:lineRule="auto"/>
        <w:jc w:val="both"/>
        <w:rPr>
          <w:rStyle w:val="A1"/>
          <w:sz w:val="20"/>
          <w:szCs w:val="20"/>
        </w:rPr>
      </w:pPr>
      <w:r w:rsidRPr="00F36C9C">
        <w:rPr>
          <w:rStyle w:val="A1"/>
          <w:sz w:val="20"/>
          <w:szCs w:val="20"/>
        </w:rPr>
        <w:t xml:space="preserve">The powdered sample (5 g of each) was boiled in 20ml of distilled water in a water bath and filtered. 10 ml of the filtrate was mixed with 5ml of distilled water and shaken vigorously and filtered. The filtrate was placed into water bath and allowed to dry </w:t>
      </w:r>
      <w:r w:rsidRPr="00F36C9C">
        <w:rPr>
          <w:rStyle w:val="A1"/>
          <w:b/>
          <w:bCs/>
          <w:sz w:val="20"/>
          <w:szCs w:val="20"/>
        </w:rPr>
        <w:t>(</w:t>
      </w:r>
      <w:proofErr w:type="spellStart"/>
      <w:r w:rsidR="008C339C" w:rsidRPr="00F36C9C">
        <w:rPr>
          <w:sz w:val="20"/>
          <w:szCs w:val="20"/>
        </w:rPr>
        <w:t>Edeoga</w:t>
      </w:r>
      <w:proofErr w:type="spellEnd"/>
      <w:r w:rsidR="008C339C" w:rsidRPr="00F36C9C">
        <w:rPr>
          <w:sz w:val="20"/>
          <w:szCs w:val="20"/>
        </w:rPr>
        <w:t xml:space="preserve"> et al., 2005</w:t>
      </w:r>
      <w:r w:rsidRPr="00F36C9C">
        <w:rPr>
          <w:rStyle w:val="A1"/>
          <w:b/>
          <w:bCs/>
          <w:sz w:val="20"/>
          <w:szCs w:val="20"/>
        </w:rPr>
        <w:t>)</w:t>
      </w:r>
      <w:r w:rsidRPr="00F36C9C">
        <w:rPr>
          <w:rStyle w:val="A1"/>
          <w:sz w:val="20"/>
          <w:szCs w:val="20"/>
        </w:rPr>
        <w:t>. This dried filtrate was taken as the cardiac glycosides which was used for antimicrobial test and characterized using FTIR spectroscopy.</w:t>
      </w:r>
    </w:p>
    <w:p w14:paraId="3671939B" w14:textId="3BF6529D" w:rsidR="00A950BB" w:rsidRPr="00F36C9C" w:rsidRDefault="00A950BB" w:rsidP="00F80A73">
      <w:pPr>
        <w:spacing w:line="240" w:lineRule="auto"/>
        <w:ind w:right="1"/>
        <w:jc w:val="both"/>
        <w:rPr>
          <w:rFonts w:ascii="Arial" w:hAnsi="Arial" w:cs="Arial"/>
          <w:sz w:val="20"/>
          <w:szCs w:val="20"/>
        </w:rPr>
      </w:pPr>
    </w:p>
    <w:p w14:paraId="78485F8E" w14:textId="2EFFB519" w:rsidR="007B7B23" w:rsidRPr="00F36C9C" w:rsidRDefault="00E06D10" w:rsidP="007B7B23">
      <w:pPr>
        <w:jc w:val="both"/>
        <w:rPr>
          <w:rFonts w:ascii="Arial" w:eastAsia="Times New Roman" w:hAnsi="Arial" w:cs="Arial"/>
          <w:b/>
        </w:rPr>
      </w:pPr>
      <w:r w:rsidRPr="00F36C9C">
        <w:rPr>
          <w:rFonts w:ascii="Arial" w:hAnsi="Arial" w:cs="Arial"/>
          <w:b/>
        </w:rPr>
        <w:t xml:space="preserve">2.5 </w:t>
      </w:r>
      <w:r w:rsidR="007B7B23" w:rsidRPr="00F36C9C">
        <w:rPr>
          <w:rFonts w:ascii="Arial" w:hAnsi="Arial" w:cs="Arial"/>
          <w:b/>
        </w:rPr>
        <w:t xml:space="preserve">Antimicrobial assay of </w:t>
      </w:r>
      <w:r w:rsidR="007B7B23" w:rsidRPr="00F36C9C">
        <w:rPr>
          <w:rFonts w:ascii="Arial" w:eastAsia="Times New Roman" w:hAnsi="Arial" w:cs="Arial"/>
          <w:b/>
        </w:rPr>
        <w:t xml:space="preserve">ethanol extract of </w:t>
      </w:r>
      <w:r w:rsidR="007B7B23" w:rsidRPr="00F36C9C">
        <w:rPr>
          <w:rFonts w:ascii="Arial" w:hAnsi="Arial" w:cs="Arial"/>
          <w:b/>
          <w:i/>
          <w:iCs/>
        </w:rPr>
        <w:t>Mentha piperita</w:t>
      </w:r>
      <w:r w:rsidR="007B7B23" w:rsidRPr="00F36C9C">
        <w:rPr>
          <w:rFonts w:ascii="Arial" w:hAnsi="Arial" w:cs="Arial"/>
          <w:b/>
        </w:rPr>
        <w:t xml:space="preserve"> plant</w:t>
      </w:r>
      <w:r w:rsidR="007B7B23" w:rsidRPr="00F36C9C">
        <w:rPr>
          <w:rFonts w:ascii="Arial" w:eastAsia="Times New Roman" w:hAnsi="Arial" w:cs="Arial"/>
          <w:b/>
        </w:rPr>
        <w:t>.</w:t>
      </w:r>
    </w:p>
    <w:p w14:paraId="540A9D6A" w14:textId="2EDAE7F5" w:rsidR="000E774F" w:rsidRPr="00F36C9C" w:rsidRDefault="000E774F" w:rsidP="007B7B23">
      <w:pPr>
        <w:jc w:val="both"/>
        <w:rPr>
          <w:rFonts w:ascii="Arial" w:eastAsia="Times New Roman" w:hAnsi="Arial" w:cs="Arial"/>
          <w:b/>
          <w:sz w:val="20"/>
          <w:szCs w:val="20"/>
        </w:rPr>
      </w:pPr>
      <w:r w:rsidRPr="00F36C9C">
        <w:rPr>
          <w:rFonts w:ascii="Arial" w:eastAsia="Times New Roman" w:hAnsi="Arial" w:cs="Arial"/>
          <w:sz w:val="20"/>
          <w:szCs w:val="20"/>
        </w:rPr>
        <w:lastRenderedPageBreak/>
        <w:t>Methods described by</w:t>
      </w:r>
      <w:r w:rsidRPr="00F36C9C">
        <w:rPr>
          <w:rFonts w:ascii="Arial" w:eastAsia="Times New Roman" w:hAnsi="Arial" w:cs="Arial"/>
          <w:b/>
          <w:sz w:val="20"/>
          <w:szCs w:val="20"/>
        </w:rPr>
        <w:t xml:space="preserve"> </w:t>
      </w:r>
      <w:r w:rsidR="00525524" w:rsidRPr="00F36C9C">
        <w:rPr>
          <w:rFonts w:ascii="Arial" w:hAnsi="Arial" w:cs="Arial"/>
          <w:sz w:val="20"/>
          <w:szCs w:val="20"/>
        </w:rPr>
        <w:t xml:space="preserve">Okeke et al. (2001), Ekong et al. (2004) and </w:t>
      </w:r>
      <w:r w:rsidRPr="00F36C9C">
        <w:rPr>
          <w:rFonts w:ascii="Arial" w:hAnsi="Arial" w:cs="Arial"/>
          <w:sz w:val="20"/>
          <w:szCs w:val="20"/>
        </w:rPr>
        <w:t>Akpan et al. (2021)</w:t>
      </w:r>
      <w:r w:rsidR="00525524" w:rsidRPr="00F36C9C">
        <w:rPr>
          <w:rFonts w:ascii="Arial" w:hAnsi="Arial" w:cs="Arial"/>
          <w:sz w:val="20"/>
          <w:szCs w:val="20"/>
        </w:rPr>
        <w:t xml:space="preserve"> were adopted for antimicrobial assay</w:t>
      </w:r>
      <w:r w:rsidR="00D94E70" w:rsidRPr="00F36C9C">
        <w:rPr>
          <w:rFonts w:ascii="Arial" w:hAnsi="Arial" w:cs="Arial"/>
          <w:sz w:val="20"/>
          <w:szCs w:val="20"/>
        </w:rPr>
        <w:t xml:space="preserve"> as </w:t>
      </w:r>
      <w:commentRangeStart w:id="14"/>
      <w:proofErr w:type="spellStart"/>
      <w:r w:rsidR="00D94E70" w:rsidRPr="00F36C9C">
        <w:rPr>
          <w:rFonts w:ascii="Arial" w:hAnsi="Arial" w:cs="Arial"/>
          <w:sz w:val="20"/>
          <w:szCs w:val="20"/>
        </w:rPr>
        <w:t>foolows</w:t>
      </w:r>
      <w:proofErr w:type="spellEnd"/>
      <w:r w:rsidR="00D94E70" w:rsidRPr="00F36C9C">
        <w:rPr>
          <w:rFonts w:ascii="Arial" w:hAnsi="Arial" w:cs="Arial"/>
          <w:sz w:val="20"/>
          <w:szCs w:val="20"/>
        </w:rPr>
        <w:t>.</w:t>
      </w:r>
      <w:commentRangeEnd w:id="14"/>
      <w:r w:rsidR="008522DC">
        <w:rPr>
          <w:rStyle w:val="CommentReference"/>
        </w:rPr>
        <w:commentReference w:id="14"/>
      </w:r>
    </w:p>
    <w:p w14:paraId="0B86CB3E" w14:textId="06E28886" w:rsidR="007B7B23" w:rsidRPr="00F36C9C" w:rsidRDefault="00E06D10" w:rsidP="00E06D10">
      <w:pPr>
        <w:contextualSpacing/>
        <w:jc w:val="both"/>
        <w:rPr>
          <w:rFonts w:ascii="Arial" w:hAnsi="Arial" w:cs="Arial"/>
          <w:b/>
          <w:sz w:val="20"/>
          <w:szCs w:val="20"/>
          <w:u w:val="single"/>
        </w:rPr>
      </w:pPr>
      <w:r w:rsidRPr="00F36C9C">
        <w:rPr>
          <w:rFonts w:ascii="Arial" w:hAnsi="Arial" w:cs="Arial"/>
          <w:b/>
          <w:sz w:val="20"/>
          <w:szCs w:val="20"/>
          <w:u w:val="single"/>
        </w:rPr>
        <w:t xml:space="preserve">2.5.1 </w:t>
      </w:r>
      <w:r w:rsidR="007B7B23" w:rsidRPr="00F36C9C">
        <w:rPr>
          <w:rFonts w:ascii="Arial" w:hAnsi="Arial" w:cs="Arial"/>
          <w:b/>
          <w:sz w:val="20"/>
          <w:szCs w:val="20"/>
          <w:u w:val="single"/>
        </w:rPr>
        <w:t>Collection of microbial test organisms</w:t>
      </w:r>
    </w:p>
    <w:p w14:paraId="4D2FB85A" w14:textId="77777777" w:rsidR="007B7B23" w:rsidRPr="00F36C9C" w:rsidRDefault="007B7B23" w:rsidP="00E06D10">
      <w:pPr>
        <w:jc w:val="both"/>
        <w:rPr>
          <w:rFonts w:ascii="Arial" w:hAnsi="Arial" w:cs="Arial"/>
          <w:sz w:val="20"/>
          <w:szCs w:val="20"/>
        </w:rPr>
      </w:pPr>
      <w:r w:rsidRPr="00F36C9C">
        <w:rPr>
          <w:rFonts w:ascii="Arial" w:hAnsi="Arial" w:cs="Arial"/>
          <w:bCs/>
          <w:sz w:val="20"/>
          <w:szCs w:val="20"/>
        </w:rPr>
        <w:t>I</w:t>
      </w:r>
      <w:r w:rsidRPr="00F36C9C">
        <w:rPr>
          <w:rFonts w:ascii="Arial" w:hAnsi="Arial" w:cs="Arial"/>
          <w:sz w:val="20"/>
          <w:szCs w:val="20"/>
        </w:rPr>
        <w:t xml:space="preserve">solates were obtained from the Microbiology Laboratories of University of </w:t>
      </w:r>
      <w:proofErr w:type="spellStart"/>
      <w:r w:rsidRPr="00F36C9C">
        <w:rPr>
          <w:rFonts w:ascii="Arial" w:hAnsi="Arial" w:cs="Arial"/>
          <w:sz w:val="20"/>
          <w:szCs w:val="20"/>
        </w:rPr>
        <w:t>Uyo</w:t>
      </w:r>
      <w:proofErr w:type="spellEnd"/>
      <w:r w:rsidRPr="00F36C9C">
        <w:rPr>
          <w:rFonts w:ascii="Arial" w:hAnsi="Arial" w:cs="Arial"/>
          <w:sz w:val="20"/>
          <w:szCs w:val="20"/>
        </w:rPr>
        <w:t xml:space="preserve">, as well as the </w:t>
      </w:r>
      <w:proofErr w:type="spellStart"/>
      <w:r w:rsidRPr="00F36C9C">
        <w:rPr>
          <w:rFonts w:ascii="Arial" w:hAnsi="Arial" w:cs="Arial"/>
          <w:sz w:val="20"/>
          <w:szCs w:val="20"/>
        </w:rPr>
        <w:t>the</w:t>
      </w:r>
      <w:proofErr w:type="spellEnd"/>
      <w:r w:rsidRPr="00F36C9C">
        <w:rPr>
          <w:rFonts w:ascii="Arial" w:hAnsi="Arial" w:cs="Arial"/>
          <w:sz w:val="20"/>
          <w:szCs w:val="20"/>
        </w:rPr>
        <w:t xml:space="preserve"> University Health Centre and University of </w:t>
      </w:r>
      <w:proofErr w:type="spellStart"/>
      <w:r w:rsidRPr="00F36C9C">
        <w:rPr>
          <w:rFonts w:ascii="Arial" w:hAnsi="Arial" w:cs="Arial"/>
          <w:sz w:val="20"/>
          <w:szCs w:val="20"/>
        </w:rPr>
        <w:t>Uyo</w:t>
      </w:r>
      <w:proofErr w:type="spellEnd"/>
      <w:r w:rsidRPr="00F36C9C">
        <w:rPr>
          <w:rFonts w:ascii="Arial" w:hAnsi="Arial" w:cs="Arial"/>
          <w:sz w:val="20"/>
          <w:szCs w:val="20"/>
        </w:rPr>
        <w:t xml:space="preserve"> Teaching Hospital, all in </w:t>
      </w:r>
      <w:proofErr w:type="spellStart"/>
      <w:r w:rsidRPr="00F36C9C">
        <w:rPr>
          <w:rFonts w:ascii="Arial" w:hAnsi="Arial" w:cs="Arial"/>
          <w:sz w:val="20"/>
          <w:szCs w:val="20"/>
        </w:rPr>
        <w:t>Uyo</w:t>
      </w:r>
      <w:proofErr w:type="spellEnd"/>
      <w:r w:rsidRPr="00F36C9C">
        <w:rPr>
          <w:rFonts w:ascii="Arial" w:hAnsi="Arial" w:cs="Arial"/>
          <w:sz w:val="20"/>
          <w:szCs w:val="20"/>
        </w:rPr>
        <w:t xml:space="preserve">, Nigeria. The organisms included: </w:t>
      </w:r>
      <w:r w:rsidRPr="00F36C9C">
        <w:rPr>
          <w:rFonts w:ascii="Arial" w:hAnsi="Arial" w:cs="Arial"/>
          <w:i/>
          <w:iCs/>
          <w:sz w:val="20"/>
          <w:szCs w:val="20"/>
        </w:rPr>
        <w:t xml:space="preserve">Staphylococcus aureus, Salmonella spp., Shigella spp., Escherichia coli, Pseudomonas aeruginosa, </w:t>
      </w:r>
      <w:proofErr w:type="spellStart"/>
      <w:r w:rsidRPr="00F36C9C">
        <w:rPr>
          <w:rFonts w:ascii="Arial" w:hAnsi="Arial" w:cs="Arial"/>
          <w:i/>
          <w:sz w:val="20"/>
          <w:szCs w:val="20"/>
        </w:rPr>
        <w:t>Vibro</w:t>
      </w:r>
      <w:proofErr w:type="spellEnd"/>
      <w:r w:rsidRPr="00F36C9C">
        <w:rPr>
          <w:rFonts w:ascii="Arial" w:hAnsi="Arial" w:cs="Arial"/>
          <w:i/>
          <w:sz w:val="20"/>
          <w:szCs w:val="20"/>
        </w:rPr>
        <w:t xml:space="preserve"> </w:t>
      </w:r>
      <w:proofErr w:type="spellStart"/>
      <w:r w:rsidRPr="00F36C9C">
        <w:rPr>
          <w:rFonts w:ascii="Arial" w:hAnsi="Arial" w:cs="Arial"/>
          <w:i/>
          <w:sz w:val="20"/>
          <w:szCs w:val="20"/>
        </w:rPr>
        <w:t>cholerae</w:t>
      </w:r>
      <w:proofErr w:type="spellEnd"/>
      <w:r w:rsidRPr="00F36C9C">
        <w:rPr>
          <w:rFonts w:ascii="Arial" w:hAnsi="Arial" w:cs="Arial"/>
          <w:i/>
          <w:iCs/>
          <w:sz w:val="20"/>
          <w:szCs w:val="20"/>
        </w:rPr>
        <w:t xml:space="preserve">, Candida </w:t>
      </w:r>
      <w:proofErr w:type="spellStart"/>
      <w:r w:rsidRPr="00F36C9C">
        <w:rPr>
          <w:rFonts w:ascii="Arial" w:hAnsi="Arial" w:cs="Arial"/>
          <w:sz w:val="20"/>
          <w:szCs w:val="20"/>
        </w:rPr>
        <w:t>albicans</w:t>
      </w:r>
      <w:proofErr w:type="spellEnd"/>
      <w:r w:rsidRPr="00F36C9C">
        <w:rPr>
          <w:rFonts w:ascii="Arial" w:hAnsi="Arial" w:cs="Arial"/>
          <w:sz w:val="20"/>
          <w:szCs w:val="20"/>
        </w:rPr>
        <w:t>,</w:t>
      </w:r>
      <w:r w:rsidRPr="00F36C9C">
        <w:rPr>
          <w:rFonts w:ascii="Arial" w:hAnsi="Arial" w:cs="Arial"/>
          <w:i/>
          <w:iCs/>
          <w:sz w:val="20"/>
          <w:szCs w:val="20"/>
        </w:rPr>
        <w:t xml:space="preserve"> Saccharomyces cerevisiae, Aspergillus </w:t>
      </w:r>
      <w:proofErr w:type="spellStart"/>
      <w:r w:rsidRPr="00F36C9C">
        <w:rPr>
          <w:rFonts w:ascii="Arial" w:hAnsi="Arial" w:cs="Arial"/>
          <w:i/>
          <w:iCs/>
          <w:sz w:val="20"/>
          <w:szCs w:val="20"/>
        </w:rPr>
        <w:t>niger</w:t>
      </w:r>
      <w:proofErr w:type="spellEnd"/>
      <w:r w:rsidRPr="00F36C9C">
        <w:rPr>
          <w:rFonts w:ascii="Arial" w:hAnsi="Arial" w:cs="Arial"/>
          <w:i/>
          <w:iCs/>
          <w:sz w:val="20"/>
          <w:szCs w:val="20"/>
        </w:rPr>
        <w:t xml:space="preserve">, Aspergillus </w:t>
      </w:r>
      <w:proofErr w:type="spellStart"/>
      <w:r w:rsidRPr="00F36C9C">
        <w:rPr>
          <w:rFonts w:ascii="Arial" w:hAnsi="Arial" w:cs="Arial"/>
          <w:i/>
          <w:iCs/>
          <w:sz w:val="20"/>
          <w:szCs w:val="20"/>
        </w:rPr>
        <w:t>flavus</w:t>
      </w:r>
      <w:proofErr w:type="spellEnd"/>
      <w:r w:rsidRPr="00F36C9C">
        <w:rPr>
          <w:rFonts w:ascii="Arial" w:hAnsi="Arial" w:cs="Arial"/>
          <w:i/>
          <w:iCs/>
          <w:sz w:val="20"/>
          <w:szCs w:val="20"/>
        </w:rPr>
        <w:t xml:space="preserve">. </w:t>
      </w:r>
      <w:r w:rsidRPr="00F36C9C">
        <w:rPr>
          <w:rFonts w:ascii="Arial" w:hAnsi="Arial" w:cs="Arial"/>
          <w:sz w:val="20"/>
          <w:szCs w:val="20"/>
        </w:rPr>
        <w:t xml:space="preserve">These organisms were sub-cultured and preserved as pure cultures on Nutrient agar and </w:t>
      </w:r>
      <w:proofErr w:type="spellStart"/>
      <w:r w:rsidRPr="00F36C9C">
        <w:rPr>
          <w:rFonts w:ascii="Arial" w:hAnsi="Arial" w:cs="Arial"/>
          <w:sz w:val="20"/>
          <w:szCs w:val="20"/>
        </w:rPr>
        <w:t>Sabouraud</w:t>
      </w:r>
      <w:proofErr w:type="spellEnd"/>
      <w:r w:rsidRPr="00F36C9C">
        <w:rPr>
          <w:rFonts w:ascii="Arial" w:hAnsi="Arial" w:cs="Arial"/>
          <w:sz w:val="20"/>
          <w:szCs w:val="20"/>
        </w:rPr>
        <w:t xml:space="preserve"> Dextrose agar slants and stored at low temperatures until required.</w:t>
      </w:r>
    </w:p>
    <w:p w14:paraId="3AC042B1" w14:textId="77777777" w:rsidR="007B7B23" w:rsidRPr="00F36C9C" w:rsidRDefault="007B7B23" w:rsidP="007B7B23">
      <w:pPr>
        <w:pStyle w:val="ListParagraph"/>
        <w:ind w:left="1080"/>
        <w:jc w:val="both"/>
        <w:rPr>
          <w:rFonts w:ascii="Arial" w:hAnsi="Arial" w:cs="Arial"/>
          <w:sz w:val="20"/>
          <w:szCs w:val="20"/>
        </w:rPr>
      </w:pPr>
    </w:p>
    <w:p w14:paraId="7CCB4CA6" w14:textId="37AB0B81" w:rsidR="007B7B23" w:rsidRPr="00F36C9C" w:rsidRDefault="00E06D10" w:rsidP="00E06D10">
      <w:pPr>
        <w:contextualSpacing/>
        <w:jc w:val="both"/>
        <w:rPr>
          <w:rFonts w:ascii="Arial" w:hAnsi="Arial" w:cs="Arial"/>
          <w:b/>
          <w:bCs/>
          <w:sz w:val="20"/>
          <w:szCs w:val="20"/>
          <w:u w:val="single"/>
        </w:rPr>
      </w:pPr>
      <w:r w:rsidRPr="00F36C9C">
        <w:rPr>
          <w:rFonts w:ascii="Arial" w:hAnsi="Arial" w:cs="Arial"/>
          <w:b/>
          <w:bCs/>
          <w:sz w:val="20"/>
          <w:szCs w:val="20"/>
          <w:u w:val="single"/>
        </w:rPr>
        <w:t xml:space="preserve">2.5.2 </w:t>
      </w:r>
      <w:r w:rsidR="007B7B23" w:rsidRPr="00F36C9C">
        <w:rPr>
          <w:rFonts w:ascii="Arial" w:hAnsi="Arial" w:cs="Arial"/>
          <w:b/>
          <w:bCs/>
          <w:sz w:val="20"/>
          <w:szCs w:val="20"/>
          <w:u w:val="single"/>
        </w:rPr>
        <w:t xml:space="preserve">Preparation of test organisms used for the work.  </w:t>
      </w:r>
    </w:p>
    <w:p w14:paraId="1E488008" w14:textId="77777777" w:rsidR="007B7B23" w:rsidRPr="00F36C9C" w:rsidRDefault="007B7B23" w:rsidP="00E06D10">
      <w:pPr>
        <w:jc w:val="both"/>
        <w:rPr>
          <w:rFonts w:ascii="Arial" w:hAnsi="Arial" w:cs="Arial"/>
          <w:sz w:val="20"/>
          <w:szCs w:val="20"/>
        </w:rPr>
      </w:pPr>
      <w:commentRangeStart w:id="15"/>
      <w:r w:rsidRPr="00F36C9C">
        <w:rPr>
          <w:rFonts w:ascii="Arial" w:hAnsi="Arial" w:cs="Arial"/>
          <w:sz w:val="20"/>
          <w:szCs w:val="20"/>
        </w:rPr>
        <w:t>The organisms were diluted using 10-fold dilution to 10</w:t>
      </w:r>
      <w:r w:rsidRPr="00F36C9C">
        <w:rPr>
          <w:rFonts w:ascii="Arial" w:hAnsi="Arial" w:cs="Arial"/>
          <w:sz w:val="20"/>
          <w:szCs w:val="20"/>
          <w:vertAlign w:val="superscript"/>
        </w:rPr>
        <w:t>-3</w:t>
      </w:r>
      <w:r w:rsidRPr="00F36C9C">
        <w:rPr>
          <w:rFonts w:ascii="Arial" w:hAnsi="Arial" w:cs="Arial"/>
          <w:sz w:val="20"/>
          <w:szCs w:val="20"/>
        </w:rPr>
        <w:t xml:space="preserve"> for </w:t>
      </w:r>
      <w:proofErr w:type="spellStart"/>
      <w:r w:rsidRPr="00F36C9C">
        <w:rPr>
          <w:rFonts w:ascii="Arial" w:hAnsi="Arial" w:cs="Arial"/>
          <w:sz w:val="20"/>
          <w:szCs w:val="20"/>
        </w:rPr>
        <w:t>G+ve</w:t>
      </w:r>
      <w:proofErr w:type="spellEnd"/>
      <w:r w:rsidRPr="00F36C9C">
        <w:rPr>
          <w:rFonts w:ascii="Arial" w:hAnsi="Arial" w:cs="Arial"/>
          <w:sz w:val="20"/>
          <w:szCs w:val="20"/>
        </w:rPr>
        <w:t xml:space="preserve"> and fungi, 10</w:t>
      </w:r>
      <w:r w:rsidRPr="00F36C9C">
        <w:rPr>
          <w:rFonts w:ascii="Arial" w:hAnsi="Arial" w:cs="Arial"/>
          <w:sz w:val="20"/>
          <w:szCs w:val="20"/>
          <w:vertAlign w:val="superscript"/>
        </w:rPr>
        <w:t>-5</w:t>
      </w:r>
      <w:r w:rsidRPr="00F36C9C">
        <w:rPr>
          <w:rFonts w:ascii="Arial" w:hAnsi="Arial" w:cs="Arial"/>
          <w:sz w:val="20"/>
          <w:szCs w:val="20"/>
        </w:rPr>
        <w:t xml:space="preserve"> for G-</w:t>
      </w:r>
      <w:proofErr w:type="spellStart"/>
      <w:r w:rsidRPr="00F36C9C">
        <w:rPr>
          <w:rFonts w:ascii="Arial" w:hAnsi="Arial" w:cs="Arial"/>
          <w:sz w:val="20"/>
          <w:szCs w:val="20"/>
        </w:rPr>
        <w:t>ve</w:t>
      </w:r>
      <w:proofErr w:type="spellEnd"/>
      <w:r w:rsidRPr="00F36C9C">
        <w:rPr>
          <w:rFonts w:ascii="Arial" w:hAnsi="Arial" w:cs="Arial"/>
          <w:sz w:val="20"/>
          <w:szCs w:val="20"/>
        </w:rPr>
        <w:t xml:space="preserve"> thereafter the turbidity of the broths were compared with </w:t>
      </w:r>
      <w:proofErr w:type="spellStart"/>
      <w:r w:rsidRPr="00F36C9C">
        <w:rPr>
          <w:rFonts w:ascii="Arial" w:hAnsi="Arial" w:cs="Arial"/>
          <w:sz w:val="20"/>
          <w:szCs w:val="20"/>
        </w:rPr>
        <w:t>MacFaland</w:t>
      </w:r>
      <w:proofErr w:type="spellEnd"/>
      <w:r w:rsidRPr="00F36C9C">
        <w:rPr>
          <w:rFonts w:ascii="Arial" w:hAnsi="Arial" w:cs="Arial"/>
          <w:sz w:val="20"/>
          <w:szCs w:val="20"/>
        </w:rPr>
        <w:t xml:space="preserve"> standard. Ekong,</w:t>
      </w:r>
      <w:r w:rsidRPr="00F36C9C">
        <w:rPr>
          <w:rFonts w:ascii="Arial" w:hAnsi="Arial" w:cs="Arial"/>
          <w:i/>
          <w:sz w:val="20"/>
          <w:szCs w:val="20"/>
        </w:rPr>
        <w:t xml:space="preserve"> et al (</w:t>
      </w:r>
      <w:r w:rsidRPr="00F36C9C">
        <w:rPr>
          <w:rFonts w:ascii="Arial" w:hAnsi="Arial" w:cs="Arial"/>
          <w:sz w:val="20"/>
          <w:szCs w:val="20"/>
        </w:rPr>
        <w:t>2004)</w:t>
      </w:r>
      <w:commentRangeEnd w:id="15"/>
      <w:r w:rsidR="008522DC">
        <w:rPr>
          <w:rStyle w:val="CommentReference"/>
        </w:rPr>
        <w:commentReference w:id="15"/>
      </w:r>
    </w:p>
    <w:p w14:paraId="5E6472F8" w14:textId="77777777" w:rsidR="007B7B23" w:rsidRPr="00F36C9C" w:rsidRDefault="007B7B23" w:rsidP="007B7B23">
      <w:pPr>
        <w:pStyle w:val="ListParagraph"/>
        <w:ind w:left="1080"/>
        <w:jc w:val="both"/>
        <w:rPr>
          <w:rFonts w:ascii="Arial" w:hAnsi="Arial" w:cs="Arial"/>
          <w:sz w:val="20"/>
          <w:szCs w:val="20"/>
        </w:rPr>
      </w:pPr>
    </w:p>
    <w:p w14:paraId="4E9B798C" w14:textId="1A959421" w:rsidR="007B7B23" w:rsidRPr="00F36C9C" w:rsidRDefault="00282E92" w:rsidP="00E06D10">
      <w:pPr>
        <w:contextualSpacing/>
        <w:jc w:val="both"/>
        <w:rPr>
          <w:rFonts w:ascii="Arial" w:hAnsi="Arial" w:cs="Arial"/>
          <w:b/>
          <w:bCs/>
          <w:sz w:val="20"/>
          <w:szCs w:val="20"/>
          <w:u w:val="single"/>
        </w:rPr>
      </w:pPr>
      <w:r w:rsidRPr="00F36C9C">
        <w:rPr>
          <w:rFonts w:ascii="Arial" w:hAnsi="Arial" w:cs="Arial"/>
          <w:b/>
          <w:bCs/>
          <w:sz w:val="20"/>
          <w:szCs w:val="20"/>
          <w:u w:val="single"/>
        </w:rPr>
        <w:t xml:space="preserve">2.5.3 </w:t>
      </w:r>
      <w:r w:rsidR="007B7B23" w:rsidRPr="00F36C9C">
        <w:rPr>
          <w:rFonts w:ascii="Arial" w:hAnsi="Arial" w:cs="Arial"/>
          <w:b/>
          <w:bCs/>
          <w:sz w:val="20"/>
          <w:szCs w:val="20"/>
          <w:u w:val="single"/>
        </w:rPr>
        <w:t>Determination of extract concentrations</w:t>
      </w:r>
    </w:p>
    <w:p w14:paraId="3D92C773" w14:textId="77777777" w:rsidR="007B7B23" w:rsidRPr="00F36C9C" w:rsidRDefault="007B7B23" w:rsidP="00E06D10">
      <w:pPr>
        <w:jc w:val="both"/>
        <w:rPr>
          <w:rFonts w:ascii="Arial" w:hAnsi="Arial" w:cs="Arial"/>
          <w:sz w:val="20"/>
          <w:szCs w:val="20"/>
        </w:rPr>
      </w:pPr>
      <w:r w:rsidRPr="00F36C9C">
        <w:rPr>
          <w:rFonts w:ascii="Arial" w:hAnsi="Arial" w:cs="Arial"/>
          <w:sz w:val="20"/>
          <w:szCs w:val="20"/>
        </w:rPr>
        <w:t>The extracts were dissolved using sterile water to constitute different concentrations of 500 mg/mL, 400mg/mL, 300mg/mL, 200mg/mL and 100mg/</w:t>
      </w:r>
      <w:proofErr w:type="spellStart"/>
      <w:r w:rsidRPr="00F36C9C">
        <w:rPr>
          <w:rFonts w:ascii="Arial" w:hAnsi="Arial" w:cs="Arial"/>
          <w:sz w:val="20"/>
          <w:szCs w:val="20"/>
        </w:rPr>
        <w:t>mL.</w:t>
      </w:r>
      <w:proofErr w:type="spellEnd"/>
    </w:p>
    <w:p w14:paraId="42FA6D94" w14:textId="77777777" w:rsidR="007B7B23" w:rsidRPr="00F36C9C" w:rsidRDefault="007B7B23" w:rsidP="007B7B23">
      <w:pPr>
        <w:pStyle w:val="ListParagraph"/>
        <w:ind w:left="1080"/>
        <w:jc w:val="both"/>
        <w:rPr>
          <w:rFonts w:ascii="Arial" w:hAnsi="Arial" w:cs="Arial"/>
          <w:sz w:val="20"/>
          <w:szCs w:val="20"/>
        </w:rPr>
      </w:pPr>
    </w:p>
    <w:p w14:paraId="1C4AA8B3" w14:textId="3B542728" w:rsidR="007B7B23" w:rsidRPr="00F36C9C" w:rsidRDefault="00282E92" w:rsidP="00E06D10">
      <w:pPr>
        <w:contextualSpacing/>
        <w:jc w:val="both"/>
        <w:rPr>
          <w:rFonts w:ascii="Arial" w:hAnsi="Arial" w:cs="Arial"/>
          <w:b/>
          <w:bCs/>
          <w:sz w:val="20"/>
          <w:szCs w:val="20"/>
          <w:u w:val="single"/>
        </w:rPr>
      </w:pPr>
      <w:r w:rsidRPr="00F36C9C">
        <w:rPr>
          <w:rFonts w:ascii="Arial" w:hAnsi="Arial" w:cs="Arial"/>
          <w:b/>
          <w:bCs/>
          <w:sz w:val="20"/>
          <w:szCs w:val="20"/>
          <w:u w:val="single"/>
        </w:rPr>
        <w:t xml:space="preserve">2.5.4 </w:t>
      </w:r>
      <w:r w:rsidR="007B7B23" w:rsidRPr="00F36C9C">
        <w:rPr>
          <w:rFonts w:ascii="Arial" w:hAnsi="Arial" w:cs="Arial"/>
          <w:b/>
          <w:bCs/>
          <w:sz w:val="20"/>
          <w:szCs w:val="20"/>
          <w:u w:val="single"/>
        </w:rPr>
        <w:t>Determination of antimicrobial assay of extract on selected test organisms</w:t>
      </w:r>
    </w:p>
    <w:p w14:paraId="77369E03" w14:textId="2F2E27AB" w:rsidR="007B7B23" w:rsidRPr="00F36C9C" w:rsidRDefault="007B7B23" w:rsidP="00E06D10">
      <w:pPr>
        <w:jc w:val="both"/>
        <w:rPr>
          <w:rFonts w:ascii="Arial" w:hAnsi="Arial" w:cs="Arial"/>
          <w:sz w:val="20"/>
          <w:szCs w:val="20"/>
        </w:rPr>
      </w:pPr>
      <w:r w:rsidRPr="00F36C9C">
        <w:rPr>
          <w:rFonts w:ascii="Arial" w:hAnsi="Arial" w:cs="Arial"/>
          <w:sz w:val="20"/>
          <w:szCs w:val="20"/>
        </w:rPr>
        <w:t xml:space="preserve">Antimicrobial activity of the extracts was evaluated using the well in agar diffusion technique. The diluted test organisms on Nutrient broth and Malt Extract broth for bacterial and fungal isolates respectively were further sub-cultured to Peptone water and cells adjusted to </w:t>
      </w:r>
      <w:proofErr w:type="spellStart"/>
      <w:r w:rsidRPr="00F36C9C">
        <w:rPr>
          <w:rFonts w:ascii="Arial" w:hAnsi="Arial" w:cs="Arial"/>
          <w:sz w:val="20"/>
          <w:szCs w:val="20"/>
        </w:rPr>
        <w:t>MaFaland</w:t>
      </w:r>
      <w:proofErr w:type="spellEnd"/>
      <w:r w:rsidRPr="00F36C9C">
        <w:rPr>
          <w:rFonts w:ascii="Arial" w:hAnsi="Arial" w:cs="Arial"/>
          <w:sz w:val="20"/>
          <w:szCs w:val="20"/>
        </w:rPr>
        <w:t xml:space="preserve"> Turbidity standard. 0.1 mL of each diluted test organisms were aseptically transferred and spread on the surface of the Muller Hinton agar (MHA), sterile swab sticks were used to spread the </w:t>
      </w:r>
      <w:proofErr w:type="spellStart"/>
      <w:r w:rsidRPr="00F36C9C">
        <w:rPr>
          <w:rFonts w:ascii="Arial" w:hAnsi="Arial" w:cs="Arial"/>
          <w:sz w:val="20"/>
          <w:szCs w:val="20"/>
        </w:rPr>
        <w:t>inocula</w:t>
      </w:r>
      <w:proofErr w:type="spellEnd"/>
      <w:r w:rsidRPr="00F36C9C">
        <w:rPr>
          <w:rFonts w:ascii="Arial" w:hAnsi="Arial" w:cs="Arial"/>
          <w:sz w:val="20"/>
          <w:szCs w:val="20"/>
        </w:rPr>
        <w:t xml:space="preserve"> on the surface of the medium and allowed them to dry on the bench. A sterile </w:t>
      </w:r>
      <w:proofErr w:type="spellStart"/>
      <w:r w:rsidRPr="00F36C9C">
        <w:rPr>
          <w:rFonts w:ascii="Arial" w:hAnsi="Arial" w:cs="Arial"/>
          <w:sz w:val="20"/>
          <w:szCs w:val="20"/>
        </w:rPr>
        <w:t>cork</w:t>
      </w:r>
      <w:proofErr w:type="spellEnd"/>
      <w:r w:rsidRPr="00F36C9C">
        <w:rPr>
          <w:rFonts w:ascii="Arial" w:hAnsi="Arial" w:cs="Arial"/>
          <w:sz w:val="20"/>
          <w:szCs w:val="20"/>
        </w:rPr>
        <w:t xml:space="preserve"> borer of 5.0 mm was used to bore holes on the surface of the medium that were seeded with the test organisms. In each of the wells previously seeded with the test organisms, 100 mg of the extract dilution of different concentrations were introduced into the wells. Control experiments were set up alongside with the extracts using commercial antibiotics and antifungal drugs (Gentamycin and Nystatin); 20 mg and 50 mg for bacterial and fungal respectively. All plates were left on the bench for 1hr before incubating at 37</w:t>
      </w:r>
      <w:r w:rsidRPr="00F36C9C">
        <w:rPr>
          <w:rFonts w:ascii="Arial" w:hAnsi="Arial" w:cs="Arial"/>
          <w:sz w:val="20"/>
          <w:szCs w:val="20"/>
          <w:vertAlign w:val="superscript"/>
        </w:rPr>
        <w:t>0</w:t>
      </w:r>
      <w:r w:rsidRPr="00F36C9C">
        <w:rPr>
          <w:rFonts w:ascii="Arial" w:hAnsi="Arial" w:cs="Arial"/>
          <w:sz w:val="20"/>
          <w:szCs w:val="20"/>
        </w:rPr>
        <w:t>C</w:t>
      </w:r>
      <w:r w:rsidRPr="00F36C9C">
        <w:rPr>
          <w:rFonts w:ascii="Arial" w:hAnsi="Arial" w:cs="Arial"/>
          <w:sz w:val="20"/>
          <w:szCs w:val="20"/>
          <w:vertAlign w:val="superscript"/>
        </w:rPr>
        <w:t xml:space="preserve"> </w:t>
      </w:r>
      <w:r w:rsidRPr="00F36C9C">
        <w:rPr>
          <w:rFonts w:ascii="Arial" w:hAnsi="Arial" w:cs="Arial"/>
          <w:sz w:val="20"/>
          <w:szCs w:val="20"/>
        </w:rPr>
        <w:t>for 24 hr. for bacterial and 72 hr. for fungal isolates. After incubation, antimicrobial activities were determined by measuring the Zones of inhibition diameter (ZID) in all the extracts.</w:t>
      </w:r>
    </w:p>
    <w:p w14:paraId="0558C1C5" w14:textId="77777777" w:rsidR="007B7B23" w:rsidRPr="00F36C9C" w:rsidRDefault="007B7B23" w:rsidP="007B7B23">
      <w:pPr>
        <w:pStyle w:val="ListParagraph"/>
        <w:ind w:left="1080"/>
        <w:jc w:val="both"/>
        <w:rPr>
          <w:rFonts w:ascii="Arial" w:hAnsi="Arial" w:cs="Arial"/>
          <w:sz w:val="20"/>
          <w:szCs w:val="20"/>
        </w:rPr>
      </w:pPr>
    </w:p>
    <w:p w14:paraId="390E4C9A" w14:textId="024F1E7D" w:rsidR="007B7B23" w:rsidRPr="00F36C9C" w:rsidRDefault="00282E92" w:rsidP="00E06D10">
      <w:pPr>
        <w:contextualSpacing/>
        <w:jc w:val="both"/>
        <w:rPr>
          <w:rFonts w:ascii="Arial" w:hAnsi="Arial" w:cs="Arial"/>
          <w:b/>
          <w:bCs/>
          <w:sz w:val="20"/>
          <w:szCs w:val="20"/>
          <w:u w:val="single"/>
        </w:rPr>
      </w:pPr>
      <w:r w:rsidRPr="00F36C9C">
        <w:rPr>
          <w:rFonts w:ascii="Arial" w:hAnsi="Arial" w:cs="Arial"/>
          <w:b/>
          <w:bCs/>
          <w:sz w:val="20"/>
          <w:szCs w:val="20"/>
          <w:u w:val="single"/>
        </w:rPr>
        <w:t xml:space="preserve">2.5.5 </w:t>
      </w:r>
      <w:r w:rsidR="007B7B23" w:rsidRPr="00F36C9C">
        <w:rPr>
          <w:rFonts w:ascii="Arial" w:hAnsi="Arial" w:cs="Arial"/>
          <w:b/>
          <w:bCs/>
          <w:sz w:val="20"/>
          <w:szCs w:val="20"/>
          <w:u w:val="single"/>
        </w:rPr>
        <w:t>Determination of Minimum Inhibitory Concentration (MIC)</w:t>
      </w:r>
    </w:p>
    <w:p w14:paraId="749D85F6" w14:textId="77777777" w:rsidR="007B7B23" w:rsidRPr="00F36C9C" w:rsidRDefault="007B7B23" w:rsidP="00E06D10">
      <w:pPr>
        <w:jc w:val="both"/>
        <w:rPr>
          <w:rFonts w:ascii="Arial" w:hAnsi="Arial" w:cs="Arial"/>
          <w:sz w:val="20"/>
          <w:szCs w:val="20"/>
        </w:rPr>
      </w:pPr>
      <w:r w:rsidRPr="00F36C9C">
        <w:rPr>
          <w:rFonts w:ascii="Arial" w:hAnsi="Arial" w:cs="Arial"/>
          <w:sz w:val="20"/>
          <w:szCs w:val="20"/>
        </w:rPr>
        <w:t xml:space="preserve">The minimum inhibitory concentration of the extract was determined using the agar plates method. To obtain this, 1.0 mL from the last concentration of the extract that had activity for an organism were further diluted, 1.0 mL from each diluted extract were introduced into sterile plates, Nutrient agar (NA) and </w:t>
      </w:r>
      <w:proofErr w:type="spellStart"/>
      <w:r w:rsidRPr="00F36C9C">
        <w:rPr>
          <w:rFonts w:ascii="Arial" w:hAnsi="Arial" w:cs="Arial"/>
          <w:sz w:val="20"/>
          <w:szCs w:val="20"/>
        </w:rPr>
        <w:t>Sabouraud</w:t>
      </w:r>
      <w:proofErr w:type="spellEnd"/>
      <w:r w:rsidRPr="00F36C9C">
        <w:rPr>
          <w:rFonts w:ascii="Arial" w:hAnsi="Arial" w:cs="Arial"/>
          <w:sz w:val="20"/>
          <w:szCs w:val="20"/>
        </w:rPr>
        <w:t xml:space="preserve"> Dextrose agar (SDA) were poured into those plates, swirled and left on the bench to set, these were used for bacteria and fungi isolates respectively. The plates were dried at low temperature and organisms that were susceptible to the extracts were inoculated on the plates by streaking method and incubated for 24 hr. to 48 hr. for bacteria and fungi. The concentration that inhibits the growth of any test organisms </w:t>
      </w:r>
      <w:proofErr w:type="gramStart"/>
      <w:r w:rsidRPr="00F36C9C">
        <w:rPr>
          <w:rFonts w:ascii="Arial" w:hAnsi="Arial" w:cs="Arial"/>
          <w:sz w:val="20"/>
          <w:szCs w:val="20"/>
        </w:rPr>
        <w:t>were</w:t>
      </w:r>
      <w:proofErr w:type="gramEnd"/>
      <w:r w:rsidRPr="00F36C9C">
        <w:rPr>
          <w:rFonts w:ascii="Arial" w:hAnsi="Arial" w:cs="Arial"/>
          <w:sz w:val="20"/>
          <w:szCs w:val="20"/>
        </w:rPr>
        <w:t xml:space="preserve"> noted as MIC for the extract on the test organism, </w:t>
      </w:r>
      <w:commentRangeStart w:id="16"/>
      <w:r w:rsidRPr="00F36C9C">
        <w:rPr>
          <w:rFonts w:ascii="Arial" w:hAnsi="Arial" w:cs="Arial"/>
          <w:sz w:val="20"/>
          <w:szCs w:val="20"/>
        </w:rPr>
        <w:t>(</w:t>
      </w:r>
      <w:r w:rsidRPr="00F36C9C">
        <w:rPr>
          <w:rFonts w:ascii="Arial" w:hAnsi="Arial" w:cs="Arial"/>
          <w:color w:val="4472C4" w:themeColor="accent1"/>
          <w:sz w:val="20"/>
          <w:szCs w:val="20"/>
        </w:rPr>
        <w:t>21</w:t>
      </w:r>
      <w:r w:rsidRPr="00F36C9C">
        <w:rPr>
          <w:rFonts w:ascii="Arial" w:hAnsi="Arial" w:cs="Arial"/>
          <w:sz w:val="20"/>
          <w:szCs w:val="20"/>
        </w:rPr>
        <w:t>).</w:t>
      </w:r>
      <w:commentRangeEnd w:id="16"/>
      <w:r w:rsidR="001928C1">
        <w:rPr>
          <w:rStyle w:val="CommentReference"/>
        </w:rPr>
        <w:commentReference w:id="16"/>
      </w:r>
    </w:p>
    <w:p w14:paraId="73CC1B83" w14:textId="68889C78" w:rsidR="007B7B23" w:rsidRPr="00F36C9C" w:rsidRDefault="007B7B23" w:rsidP="00F80A73">
      <w:pPr>
        <w:spacing w:line="240" w:lineRule="auto"/>
        <w:ind w:right="1"/>
        <w:jc w:val="both"/>
        <w:rPr>
          <w:rFonts w:ascii="Arial" w:hAnsi="Arial" w:cs="Arial"/>
          <w:sz w:val="20"/>
          <w:szCs w:val="20"/>
        </w:rPr>
      </w:pPr>
    </w:p>
    <w:p w14:paraId="5F99003D" w14:textId="0C366CCB" w:rsidR="00D94E70" w:rsidRPr="00F36C9C" w:rsidRDefault="00282E92" w:rsidP="00D94E70">
      <w:pPr>
        <w:jc w:val="both"/>
        <w:rPr>
          <w:rFonts w:ascii="Arial" w:hAnsi="Arial" w:cs="Arial"/>
          <w:b/>
        </w:rPr>
      </w:pPr>
      <w:r w:rsidRPr="00F36C9C">
        <w:rPr>
          <w:rFonts w:ascii="Arial" w:hAnsi="Arial" w:cs="Arial"/>
          <w:b/>
        </w:rPr>
        <w:t xml:space="preserve">3. </w:t>
      </w:r>
      <w:r w:rsidR="00D94E70" w:rsidRPr="00F36C9C">
        <w:rPr>
          <w:rFonts w:ascii="Arial" w:hAnsi="Arial" w:cs="Arial"/>
          <w:b/>
        </w:rPr>
        <w:t>RESULTS AND DISCUSSION</w:t>
      </w:r>
    </w:p>
    <w:p w14:paraId="0BAB10CF" w14:textId="0785B10F" w:rsidR="00D94E70" w:rsidRPr="00F36C9C" w:rsidRDefault="00D94E70" w:rsidP="00D94E70">
      <w:pPr>
        <w:spacing w:line="480" w:lineRule="auto"/>
        <w:jc w:val="both"/>
        <w:rPr>
          <w:rFonts w:ascii="Arial" w:hAnsi="Arial" w:cs="Arial"/>
          <w:b/>
          <w:bCs/>
          <w:i/>
          <w:iCs/>
          <w:sz w:val="20"/>
          <w:szCs w:val="20"/>
        </w:rPr>
      </w:pPr>
      <w:r w:rsidRPr="00F36C9C">
        <w:rPr>
          <w:rFonts w:ascii="Arial" w:hAnsi="Arial" w:cs="Arial"/>
          <w:b/>
          <w:bCs/>
          <w:sz w:val="20"/>
          <w:szCs w:val="20"/>
        </w:rPr>
        <w:t xml:space="preserve">Table </w:t>
      </w:r>
      <w:r w:rsidR="0094173F">
        <w:rPr>
          <w:rFonts w:ascii="Arial" w:hAnsi="Arial" w:cs="Arial"/>
          <w:b/>
          <w:bCs/>
          <w:sz w:val="20"/>
          <w:szCs w:val="20"/>
        </w:rPr>
        <w:t>1</w:t>
      </w:r>
      <w:r w:rsidRPr="00F36C9C">
        <w:rPr>
          <w:rFonts w:ascii="Arial" w:hAnsi="Arial" w:cs="Arial"/>
          <w:sz w:val="20"/>
          <w:szCs w:val="20"/>
        </w:rPr>
        <w:t xml:space="preserve">: </w:t>
      </w:r>
      <w:r w:rsidRPr="00F36C9C">
        <w:rPr>
          <w:rFonts w:ascii="Arial" w:hAnsi="Arial" w:cs="Arial"/>
          <w:b/>
          <w:sz w:val="20"/>
          <w:szCs w:val="20"/>
        </w:rPr>
        <w:t xml:space="preserve">Phytochemical investigation for ethanol extracts of </w:t>
      </w:r>
      <w:r w:rsidRPr="00F36C9C">
        <w:rPr>
          <w:rFonts w:ascii="Arial" w:hAnsi="Arial" w:cs="Arial"/>
          <w:b/>
          <w:bCs/>
          <w:i/>
          <w:iCs/>
          <w:sz w:val="20"/>
          <w:szCs w:val="20"/>
        </w:rPr>
        <w:t>Mentha piperita</w:t>
      </w:r>
    </w:p>
    <w:tbl>
      <w:tblPr>
        <w:tblStyle w:val="PlainTable2"/>
        <w:tblW w:w="9705" w:type="dxa"/>
        <w:tblLayout w:type="fixed"/>
        <w:tblLook w:val="04A0" w:firstRow="1" w:lastRow="0" w:firstColumn="1" w:lastColumn="0" w:noHBand="0" w:noVBand="1"/>
      </w:tblPr>
      <w:tblGrid>
        <w:gridCol w:w="3526"/>
        <w:gridCol w:w="1259"/>
        <w:gridCol w:w="1619"/>
        <w:gridCol w:w="1619"/>
        <w:gridCol w:w="1682"/>
      </w:tblGrid>
      <w:tr w:rsidR="00D94E70" w:rsidRPr="00F36C9C" w14:paraId="32D2D651" w14:textId="77777777" w:rsidTr="00391EF9">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528" w:type="dxa"/>
            <w:vMerge w:val="restart"/>
            <w:hideMark/>
          </w:tcPr>
          <w:p w14:paraId="3CB09736" w14:textId="77777777" w:rsidR="00D94E70" w:rsidRPr="00F36C9C" w:rsidRDefault="00D94E70" w:rsidP="00391EF9">
            <w:pPr>
              <w:jc w:val="both"/>
              <w:rPr>
                <w:rFonts w:ascii="Arial" w:hAnsi="Arial" w:cs="Arial"/>
                <w:b w:val="0"/>
                <w:bCs w:val="0"/>
                <w:sz w:val="20"/>
                <w:szCs w:val="20"/>
              </w:rPr>
            </w:pPr>
            <w:r w:rsidRPr="00F36C9C">
              <w:rPr>
                <w:rFonts w:ascii="Arial" w:hAnsi="Arial" w:cs="Arial"/>
                <w:b w:val="0"/>
                <w:bCs w:val="0"/>
                <w:sz w:val="20"/>
                <w:szCs w:val="20"/>
              </w:rPr>
              <w:lastRenderedPageBreak/>
              <w:t>Chemical group</w:t>
            </w:r>
          </w:p>
          <w:p w14:paraId="5DA5CD6E" w14:textId="77777777" w:rsidR="00D94E70" w:rsidRPr="00F36C9C" w:rsidRDefault="00D94E70" w:rsidP="00391EF9">
            <w:pPr>
              <w:jc w:val="both"/>
              <w:rPr>
                <w:rFonts w:ascii="Arial" w:hAnsi="Arial" w:cs="Arial"/>
                <w:b w:val="0"/>
                <w:bCs w:val="0"/>
                <w:sz w:val="20"/>
                <w:szCs w:val="20"/>
              </w:rPr>
            </w:pPr>
            <w:r w:rsidRPr="00F36C9C">
              <w:rPr>
                <w:rFonts w:ascii="Arial" w:hAnsi="Arial" w:cs="Arial"/>
                <w:b w:val="0"/>
                <w:bCs w:val="0"/>
                <w:sz w:val="20"/>
                <w:szCs w:val="20"/>
              </w:rPr>
              <w:t xml:space="preserve">                                                                                                         </w:t>
            </w:r>
          </w:p>
        </w:tc>
        <w:tc>
          <w:tcPr>
            <w:tcW w:w="6183" w:type="dxa"/>
            <w:gridSpan w:val="4"/>
            <w:hideMark/>
          </w:tcPr>
          <w:p w14:paraId="3CC6D47F"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 xml:space="preserve">                            Ethanol extracts</w:t>
            </w:r>
          </w:p>
        </w:tc>
      </w:tr>
      <w:tr w:rsidR="00D94E70" w:rsidRPr="00F36C9C" w14:paraId="3BF9D1AE" w14:textId="77777777" w:rsidTr="00391EF9">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528" w:type="dxa"/>
            <w:vMerge/>
            <w:hideMark/>
          </w:tcPr>
          <w:p w14:paraId="5D74B485" w14:textId="77777777" w:rsidR="00D94E70" w:rsidRPr="00F36C9C" w:rsidRDefault="00D94E70" w:rsidP="00391EF9">
            <w:pPr>
              <w:jc w:val="both"/>
              <w:rPr>
                <w:rFonts w:ascii="Arial" w:hAnsi="Arial" w:cs="Arial"/>
                <w:b w:val="0"/>
                <w:bCs w:val="0"/>
                <w:sz w:val="20"/>
                <w:szCs w:val="20"/>
              </w:rPr>
            </w:pPr>
          </w:p>
        </w:tc>
        <w:tc>
          <w:tcPr>
            <w:tcW w:w="2880" w:type="dxa"/>
            <w:gridSpan w:val="2"/>
            <w:hideMark/>
          </w:tcPr>
          <w:p w14:paraId="613E3D0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Leaf</w:t>
            </w:r>
          </w:p>
        </w:tc>
        <w:tc>
          <w:tcPr>
            <w:tcW w:w="3303" w:type="dxa"/>
            <w:gridSpan w:val="2"/>
            <w:hideMark/>
          </w:tcPr>
          <w:p w14:paraId="2BB78F1B" w14:textId="77777777" w:rsidR="00D94E70" w:rsidRPr="00F36C9C" w:rsidRDefault="00D94E70" w:rsidP="00391EF9">
            <w:pPr>
              <w:ind w:left="1241"/>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Stem</w:t>
            </w:r>
          </w:p>
        </w:tc>
      </w:tr>
      <w:tr w:rsidR="00D94E70" w:rsidRPr="00F36C9C" w14:paraId="26F44218" w14:textId="77777777" w:rsidTr="00391EF9">
        <w:trPr>
          <w:trHeight w:val="323"/>
        </w:trPr>
        <w:tc>
          <w:tcPr>
            <w:cnfStyle w:val="001000000000" w:firstRow="0" w:lastRow="0" w:firstColumn="1" w:lastColumn="0" w:oddVBand="0" w:evenVBand="0" w:oddHBand="0" w:evenHBand="0" w:firstRowFirstColumn="0" w:firstRowLastColumn="0" w:lastRowFirstColumn="0" w:lastRowLastColumn="0"/>
            <w:tcW w:w="3528" w:type="dxa"/>
          </w:tcPr>
          <w:p w14:paraId="79EDD600" w14:textId="77777777" w:rsidR="00D94E70" w:rsidRPr="00F36C9C" w:rsidRDefault="00D94E70" w:rsidP="00391EF9">
            <w:pPr>
              <w:jc w:val="both"/>
              <w:rPr>
                <w:rFonts w:ascii="Arial" w:hAnsi="Arial" w:cs="Arial"/>
                <w:b w:val="0"/>
                <w:bCs w:val="0"/>
                <w:sz w:val="20"/>
                <w:szCs w:val="20"/>
              </w:rPr>
            </w:pPr>
          </w:p>
        </w:tc>
        <w:tc>
          <w:tcPr>
            <w:tcW w:w="1260" w:type="dxa"/>
            <w:hideMark/>
          </w:tcPr>
          <w:p w14:paraId="3437BD6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Fresh</w:t>
            </w:r>
          </w:p>
        </w:tc>
        <w:tc>
          <w:tcPr>
            <w:tcW w:w="1620" w:type="dxa"/>
            <w:hideMark/>
          </w:tcPr>
          <w:p w14:paraId="596903F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Dry</w:t>
            </w:r>
          </w:p>
        </w:tc>
        <w:tc>
          <w:tcPr>
            <w:tcW w:w="1620" w:type="dxa"/>
            <w:hideMark/>
          </w:tcPr>
          <w:p w14:paraId="2CCABAE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Fresh</w:t>
            </w:r>
          </w:p>
        </w:tc>
        <w:tc>
          <w:tcPr>
            <w:tcW w:w="1683" w:type="dxa"/>
            <w:hideMark/>
          </w:tcPr>
          <w:p w14:paraId="78712062"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Dry</w:t>
            </w:r>
          </w:p>
        </w:tc>
      </w:tr>
      <w:tr w:rsidR="00D94E70" w:rsidRPr="00F36C9C" w14:paraId="352E1427" w14:textId="77777777" w:rsidTr="00391EF9">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528" w:type="dxa"/>
            <w:hideMark/>
          </w:tcPr>
          <w:p w14:paraId="03985B2E"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Alkaloid</w:t>
            </w:r>
          </w:p>
          <w:p w14:paraId="06EE99A1"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xml:space="preserve">- </w:t>
            </w:r>
            <w:proofErr w:type="spellStart"/>
            <w:r w:rsidRPr="00F36C9C">
              <w:rPr>
                <w:rFonts w:ascii="Arial" w:hAnsi="Arial" w:cs="Arial"/>
                <w:sz w:val="20"/>
                <w:szCs w:val="20"/>
              </w:rPr>
              <w:t>Dragendroff”s</w:t>
            </w:r>
            <w:proofErr w:type="spellEnd"/>
            <w:r w:rsidRPr="00F36C9C">
              <w:rPr>
                <w:rFonts w:ascii="Arial" w:hAnsi="Arial" w:cs="Arial"/>
                <w:sz w:val="20"/>
                <w:szCs w:val="20"/>
              </w:rPr>
              <w:t xml:space="preserve"> test </w:t>
            </w:r>
          </w:p>
          <w:p w14:paraId="0A886585"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Wagner test</w:t>
            </w:r>
          </w:p>
          <w:p w14:paraId="2DAB635A"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Mayer test</w:t>
            </w:r>
            <w:r w:rsidRPr="00F36C9C">
              <w:rPr>
                <w:rFonts w:ascii="Arial" w:hAnsi="Arial" w:cs="Arial"/>
                <w:b w:val="0"/>
                <w:bCs w:val="0"/>
                <w:sz w:val="20"/>
                <w:szCs w:val="20"/>
              </w:rPr>
              <w:t xml:space="preserve">      </w:t>
            </w:r>
          </w:p>
        </w:tc>
        <w:tc>
          <w:tcPr>
            <w:tcW w:w="1260" w:type="dxa"/>
            <w:hideMark/>
          </w:tcPr>
          <w:p w14:paraId="230F4AD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CB6D71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D66AE6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73C7FF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4706714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D33F03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C92E51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A6A7F6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02A6CED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45AC77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39A29EC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2EB34AB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2F46D87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BEB936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783343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6F76A1E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r w:rsidR="00D94E70" w:rsidRPr="00F36C9C" w14:paraId="51E2286E" w14:textId="77777777" w:rsidTr="00391EF9">
        <w:trPr>
          <w:trHeight w:val="845"/>
        </w:trPr>
        <w:tc>
          <w:tcPr>
            <w:cnfStyle w:val="001000000000" w:firstRow="0" w:lastRow="0" w:firstColumn="1" w:lastColumn="0" w:oddVBand="0" w:evenVBand="0" w:oddHBand="0" w:evenHBand="0" w:firstRowFirstColumn="0" w:firstRowLastColumn="0" w:lastRowFirstColumn="0" w:lastRowLastColumn="0"/>
            <w:tcW w:w="3528" w:type="dxa"/>
            <w:hideMark/>
          </w:tcPr>
          <w:p w14:paraId="43C7F21C"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Carbohydrate</w:t>
            </w:r>
          </w:p>
          <w:p w14:paraId="68A0031F"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Molisch test</w:t>
            </w:r>
          </w:p>
          <w:p w14:paraId="5DA4AC21"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Fehling test</w:t>
            </w:r>
          </w:p>
        </w:tc>
        <w:tc>
          <w:tcPr>
            <w:tcW w:w="1260" w:type="dxa"/>
          </w:tcPr>
          <w:p w14:paraId="116C4F1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323352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8BA95B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90EA66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20" w:type="dxa"/>
          </w:tcPr>
          <w:p w14:paraId="3212F09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BA3F67F"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C34175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5713195"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20" w:type="dxa"/>
          </w:tcPr>
          <w:p w14:paraId="1288296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CA9FDA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p w14:paraId="707505A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54678A0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83" w:type="dxa"/>
          </w:tcPr>
          <w:p w14:paraId="2327E43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C6B2DD5"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6CA170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145D6FF9" w14:textId="77777777" w:rsidTr="00391EF9">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528" w:type="dxa"/>
            <w:hideMark/>
          </w:tcPr>
          <w:p w14:paraId="6C35E956"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Tannins</w:t>
            </w:r>
          </w:p>
          <w:p w14:paraId="6B457F3A"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Ferric chloride</w:t>
            </w:r>
          </w:p>
        </w:tc>
        <w:tc>
          <w:tcPr>
            <w:tcW w:w="1260" w:type="dxa"/>
          </w:tcPr>
          <w:p w14:paraId="642EBEF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061F7E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20" w:type="dxa"/>
          </w:tcPr>
          <w:p w14:paraId="79704CC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43D816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20" w:type="dxa"/>
          </w:tcPr>
          <w:p w14:paraId="269AE91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FEC336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83" w:type="dxa"/>
          </w:tcPr>
          <w:p w14:paraId="437CC46B"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4881A1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r w:rsidR="00D94E70" w:rsidRPr="00F36C9C" w14:paraId="6B8A46E5" w14:textId="77777777" w:rsidTr="00391EF9">
        <w:trPr>
          <w:trHeight w:val="530"/>
        </w:trPr>
        <w:tc>
          <w:tcPr>
            <w:cnfStyle w:val="001000000000" w:firstRow="0" w:lastRow="0" w:firstColumn="1" w:lastColumn="0" w:oddVBand="0" w:evenVBand="0" w:oddHBand="0" w:evenHBand="0" w:firstRowFirstColumn="0" w:firstRowLastColumn="0" w:lastRowFirstColumn="0" w:lastRowLastColumn="0"/>
            <w:tcW w:w="3528" w:type="dxa"/>
            <w:hideMark/>
          </w:tcPr>
          <w:p w14:paraId="5F9D5CDA" w14:textId="77777777" w:rsidR="00D94E70" w:rsidRPr="00F36C9C" w:rsidRDefault="00D94E70" w:rsidP="00D94E70">
            <w:pPr>
              <w:numPr>
                <w:ilvl w:val="0"/>
                <w:numId w:val="18"/>
              </w:numPr>
              <w:jc w:val="both"/>
              <w:rPr>
                <w:rFonts w:ascii="Arial" w:hAnsi="Arial" w:cs="Arial"/>
                <w:b w:val="0"/>
                <w:bCs w:val="0"/>
                <w:sz w:val="20"/>
                <w:szCs w:val="20"/>
              </w:rPr>
            </w:pPr>
            <w:proofErr w:type="spellStart"/>
            <w:r w:rsidRPr="00F36C9C">
              <w:rPr>
                <w:rFonts w:ascii="Arial" w:hAnsi="Arial" w:cs="Arial"/>
                <w:b w:val="0"/>
                <w:bCs w:val="0"/>
                <w:sz w:val="20"/>
                <w:szCs w:val="20"/>
              </w:rPr>
              <w:t>Phlobotannins</w:t>
            </w:r>
            <w:proofErr w:type="spellEnd"/>
          </w:p>
          <w:p w14:paraId="32FFF648"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xml:space="preserve">- Lead Acetate test </w:t>
            </w:r>
          </w:p>
          <w:p w14:paraId="2097EEE4"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Acid Test</w:t>
            </w:r>
          </w:p>
        </w:tc>
        <w:tc>
          <w:tcPr>
            <w:tcW w:w="1260" w:type="dxa"/>
          </w:tcPr>
          <w:p w14:paraId="7FB4664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6C4E6F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p w14:paraId="0ADD9A0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726AC18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48F40B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06B2A33F"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0E2D578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C84370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p w14:paraId="7740D97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0DE3B23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339289E"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2D8358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r w:rsidR="00D94E70" w:rsidRPr="00F36C9C" w14:paraId="312D2173" w14:textId="77777777" w:rsidTr="00391EF9">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528" w:type="dxa"/>
            <w:hideMark/>
          </w:tcPr>
          <w:p w14:paraId="32CEAAB7"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Saponin</w:t>
            </w:r>
          </w:p>
          <w:p w14:paraId="3D77FB22" w14:textId="77777777" w:rsidR="00D94E70" w:rsidRPr="00F36C9C" w:rsidRDefault="00D94E70" w:rsidP="00D94E70">
            <w:pPr>
              <w:numPr>
                <w:ilvl w:val="0"/>
                <w:numId w:val="19"/>
              </w:numPr>
              <w:jc w:val="both"/>
              <w:rPr>
                <w:rFonts w:ascii="Arial" w:hAnsi="Arial" w:cs="Arial"/>
                <w:sz w:val="20"/>
                <w:szCs w:val="20"/>
              </w:rPr>
            </w:pPr>
            <w:r w:rsidRPr="00F36C9C">
              <w:rPr>
                <w:rFonts w:ascii="Arial" w:hAnsi="Arial" w:cs="Arial"/>
                <w:sz w:val="20"/>
                <w:szCs w:val="20"/>
              </w:rPr>
              <w:t>Foam test</w:t>
            </w:r>
          </w:p>
        </w:tc>
        <w:tc>
          <w:tcPr>
            <w:tcW w:w="1260" w:type="dxa"/>
          </w:tcPr>
          <w:p w14:paraId="3EEA1A3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5FCD28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3F24518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F5806B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1F05E16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FA45D3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1F99076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4CBE075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7BE77F77" w14:textId="77777777" w:rsidTr="00391EF9">
        <w:trPr>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2B690821"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Flavonoids</w:t>
            </w:r>
          </w:p>
          <w:p w14:paraId="77699B2C"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Shinoda test</w:t>
            </w:r>
          </w:p>
          <w:p w14:paraId="2972E83D"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Alkali test</w:t>
            </w:r>
          </w:p>
          <w:p w14:paraId="38442C60"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Zinc dust test</w:t>
            </w:r>
          </w:p>
          <w:p w14:paraId="2A672BE7" w14:textId="77777777" w:rsidR="00D94E70" w:rsidRPr="00F36C9C" w:rsidRDefault="00D94E70" w:rsidP="00391EF9">
            <w:pPr>
              <w:jc w:val="both"/>
              <w:rPr>
                <w:rFonts w:ascii="Arial" w:hAnsi="Arial" w:cs="Arial"/>
                <w:b w:val="0"/>
                <w:bCs w:val="0"/>
                <w:sz w:val="20"/>
                <w:szCs w:val="20"/>
              </w:rPr>
            </w:pPr>
            <w:r w:rsidRPr="00F36C9C">
              <w:rPr>
                <w:rFonts w:ascii="Arial" w:hAnsi="Arial" w:cs="Arial"/>
                <w:sz w:val="20"/>
                <w:szCs w:val="20"/>
              </w:rPr>
              <w:t xml:space="preserve">            - Ammonia test</w:t>
            </w:r>
          </w:p>
        </w:tc>
        <w:tc>
          <w:tcPr>
            <w:tcW w:w="1260" w:type="dxa"/>
          </w:tcPr>
          <w:p w14:paraId="530C0C4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03F7442"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6D5BBC8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35B610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3A5296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4232E7C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5F2AB7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39A7C1F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73C968F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0CBA63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6FB45C8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54E8AFF"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61373E7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1F642F6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617A4F0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83" w:type="dxa"/>
          </w:tcPr>
          <w:p w14:paraId="2C37125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7C6858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5FDF05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9FA71C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07EBCB6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6495A0AA" w14:textId="77777777" w:rsidTr="00391EF9">
        <w:trPr>
          <w:cnfStyle w:val="000000100000" w:firstRow="0" w:lastRow="0" w:firstColumn="0" w:lastColumn="0" w:oddVBand="0" w:evenVBand="0" w:oddHBand="1" w:evenHBand="0" w:firstRowFirstColumn="0" w:firstRowLastColumn="0" w:lastRowFirstColumn="0" w:lastRowLastColumn="0"/>
          <w:trHeight w:val="1385"/>
        </w:trPr>
        <w:tc>
          <w:tcPr>
            <w:cnfStyle w:val="001000000000" w:firstRow="0" w:lastRow="0" w:firstColumn="1" w:lastColumn="0" w:oddVBand="0" w:evenVBand="0" w:oddHBand="0" w:evenHBand="0" w:firstRowFirstColumn="0" w:firstRowLastColumn="0" w:lastRowFirstColumn="0" w:lastRowLastColumn="0"/>
            <w:tcW w:w="3528" w:type="dxa"/>
            <w:hideMark/>
          </w:tcPr>
          <w:p w14:paraId="7B11EFE3"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Cardiac glycoside</w:t>
            </w:r>
          </w:p>
          <w:p w14:paraId="7A2CDAD0"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Liebermann’s test</w:t>
            </w:r>
          </w:p>
          <w:p w14:paraId="25D34770"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w:t>
            </w:r>
            <w:proofErr w:type="spellStart"/>
            <w:r w:rsidRPr="00F36C9C">
              <w:rPr>
                <w:rFonts w:ascii="Arial" w:hAnsi="Arial" w:cs="Arial"/>
                <w:sz w:val="20"/>
                <w:szCs w:val="20"/>
              </w:rPr>
              <w:t>Kellers</w:t>
            </w:r>
            <w:proofErr w:type="spellEnd"/>
            <w:r w:rsidRPr="00F36C9C">
              <w:rPr>
                <w:rFonts w:ascii="Arial" w:hAnsi="Arial" w:cs="Arial"/>
                <w:sz w:val="20"/>
                <w:szCs w:val="20"/>
              </w:rPr>
              <w:t xml:space="preserve"> </w:t>
            </w:r>
            <w:proofErr w:type="spellStart"/>
            <w:r w:rsidRPr="00F36C9C">
              <w:rPr>
                <w:rFonts w:ascii="Arial" w:hAnsi="Arial" w:cs="Arial"/>
                <w:sz w:val="20"/>
                <w:szCs w:val="20"/>
              </w:rPr>
              <w:t>Killiani</w:t>
            </w:r>
            <w:proofErr w:type="spellEnd"/>
            <w:r w:rsidRPr="00F36C9C">
              <w:rPr>
                <w:rFonts w:ascii="Arial" w:hAnsi="Arial" w:cs="Arial"/>
                <w:sz w:val="20"/>
                <w:szCs w:val="20"/>
              </w:rPr>
              <w:t xml:space="preserve"> test</w:t>
            </w:r>
          </w:p>
          <w:p w14:paraId="3568607D"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-Liebermann’s Burchard test</w:t>
            </w:r>
          </w:p>
          <w:p w14:paraId="004A7C39" w14:textId="77777777" w:rsidR="00D94E70" w:rsidRPr="00F36C9C" w:rsidRDefault="00D94E70" w:rsidP="00391EF9">
            <w:pPr>
              <w:jc w:val="both"/>
              <w:rPr>
                <w:rFonts w:ascii="Arial" w:hAnsi="Arial" w:cs="Arial"/>
                <w:b w:val="0"/>
                <w:bCs w:val="0"/>
                <w:sz w:val="20"/>
                <w:szCs w:val="20"/>
              </w:rPr>
            </w:pPr>
            <w:r w:rsidRPr="00F36C9C">
              <w:rPr>
                <w:rFonts w:ascii="Arial" w:hAnsi="Arial" w:cs="Arial"/>
                <w:sz w:val="20"/>
                <w:szCs w:val="20"/>
              </w:rPr>
              <w:t xml:space="preserve">       - Salkowski test</w:t>
            </w:r>
          </w:p>
        </w:tc>
        <w:tc>
          <w:tcPr>
            <w:tcW w:w="1260" w:type="dxa"/>
          </w:tcPr>
          <w:p w14:paraId="448C3DE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32F53F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9B4B71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p w14:paraId="04E0EC7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3DB3A9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4C6270C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1620" w:type="dxa"/>
          </w:tcPr>
          <w:p w14:paraId="778DE45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97E2AE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840FAC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0FE228E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247A94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42365C6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3A83405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849406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0D38524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4B89993"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78E86FF2"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81B851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22CC6AE4"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72D698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435F21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423926E5" w14:textId="77777777" w:rsidTr="00391EF9">
        <w:trPr>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5B419610" w14:textId="77777777" w:rsidR="00D94E70" w:rsidRPr="00F36C9C" w:rsidRDefault="00D94E70" w:rsidP="00D94E70">
            <w:pPr>
              <w:numPr>
                <w:ilvl w:val="0"/>
                <w:numId w:val="18"/>
              </w:numPr>
              <w:jc w:val="both"/>
              <w:rPr>
                <w:rFonts w:ascii="Arial" w:hAnsi="Arial" w:cs="Arial"/>
                <w:b w:val="0"/>
                <w:bCs w:val="0"/>
                <w:sz w:val="20"/>
                <w:szCs w:val="20"/>
              </w:rPr>
            </w:pPr>
            <w:proofErr w:type="spellStart"/>
            <w:r w:rsidRPr="00F36C9C">
              <w:rPr>
                <w:rFonts w:ascii="Arial" w:hAnsi="Arial" w:cs="Arial"/>
                <w:b w:val="0"/>
                <w:bCs w:val="0"/>
                <w:sz w:val="20"/>
                <w:szCs w:val="20"/>
              </w:rPr>
              <w:t>Steriod</w:t>
            </w:r>
            <w:proofErr w:type="spellEnd"/>
          </w:p>
          <w:p w14:paraId="7E26CAC3"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 xml:space="preserve">      - Liebermann’s Burchard test</w:t>
            </w:r>
          </w:p>
          <w:p w14:paraId="313D8AB6" w14:textId="77777777" w:rsidR="00D94E70" w:rsidRPr="00F36C9C" w:rsidRDefault="00D94E70" w:rsidP="00391EF9">
            <w:pPr>
              <w:jc w:val="both"/>
              <w:rPr>
                <w:rFonts w:ascii="Arial" w:hAnsi="Arial" w:cs="Arial"/>
                <w:b w:val="0"/>
                <w:bCs w:val="0"/>
                <w:sz w:val="20"/>
                <w:szCs w:val="20"/>
              </w:rPr>
            </w:pPr>
            <w:r w:rsidRPr="00F36C9C">
              <w:rPr>
                <w:rFonts w:ascii="Arial" w:hAnsi="Arial" w:cs="Arial"/>
                <w:sz w:val="20"/>
                <w:szCs w:val="20"/>
              </w:rPr>
              <w:t xml:space="preserve">       -Salkowski test</w:t>
            </w:r>
          </w:p>
        </w:tc>
        <w:tc>
          <w:tcPr>
            <w:tcW w:w="1260" w:type="dxa"/>
          </w:tcPr>
          <w:p w14:paraId="20FF22F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76EC1B3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ADCF88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6A36398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3D494FD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40882772"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425E196E"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F0262B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09919A1E"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31D214A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636EA3B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268B1F3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0DC91E81" w14:textId="77777777" w:rsidTr="00391EF9">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2595F596"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Anthraquinone</w:t>
            </w:r>
          </w:p>
          <w:p w14:paraId="04FB3F88"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Ammonia test</w:t>
            </w:r>
          </w:p>
          <w:p w14:paraId="35C0F52F"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Borntrager test</w:t>
            </w:r>
          </w:p>
        </w:tc>
        <w:tc>
          <w:tcPr>
            <w:tcW w:w="1260" w:type="dxa"/>
          </w:tcPr>
          <w:p w14:paraId="468AEF6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B10234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5255BB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553C52EC"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646009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691D7C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640EEFB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2C0F08D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7D2CCE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4D0BF84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5F41DD9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CDEE37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35309F6B" w14:textId="77777777" w:rsidTr="00391EF9">
        <w:trPr>
          <w:trHeight w:val="755"/>
        </w:trPr>
        <w:tc>
          <w:tcPr>
            <w:cnfStyle w:val="001000000000" w:firstRow="0" w:lastRow="0" w:firstColumn="1" w:lastColumn="0" w:oddVBand="0" w:evenVBand="0" w:oddHBand="0" w:evenHBand="0" w:firstRowFirstColumn="0" w:firstRowLastColumn="0" w:lastRowFirstColumn="0" w:lastRowLastColumn="0"/>
            <w:tcW w:w="3528" w:type="dxa"/>
            <w:hideMark/>
          </w:tcPr>
          <w:p w14:paraId="77A3FF6B"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Polyphenol</w:t>
            </w:r>
          </w:p>
          <w:p w14:paraId="698AB3CA"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Nitric acid test</w:t>
            </w:r>
          </w:p>
          <w:p w14:paraId="09203968"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Acetic acid test</w:t>
            </w:r>
          </w:p>
        </w:tc>
        <w:tc>
          <w:tcPr>
            <w:tcW w:w="1260" w:type="dxa"/>
          </w:tcPr>
          <w:p w14:paraId="3447094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243B88A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1AF5B6A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20" w:type="dxa"/>
          </w:tcPr>
          <w:p w14:paraId="5F6BD0B2"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6321BD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0B623B5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28BD365"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1620" w:type="dxa"/>
          </w:tcPr>
          <w:p w14:paraId="5939B28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1582503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p w14:paraId="434C14C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c>
          <w:tcPr>
            <w:tcW w:w="1683" w:type="dxa"/>
          </w:tcPr>
          <w:p w14:paraId="58C655CF"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BD6CA87"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0A247F3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tc>
      </w:tr>
      <w:tr w:rsidR="00D94E70" w:rsidRPr="00F36C9C" w14:paraId="553A7FDF" w14:textId="77777777" w:rsidTr="00391EF9">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2560A82F"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 xml:space="preserve">Triterpenoid </w:t>
            </w:r>
          </w:p>
          <w:p w14:paraId="0820E486" w14:textId="77777777" w:rsidR="00D94E70" w:rsidRPr="00F36C9C" w:rsidRDefault="00D94E70" w:rsidP="00391EF9">
            <w:pPr>
              <w:ind w:left="720"/>
              <w:jc w:val="both"/>
              <w:rPr>
                <w:rFonts w:ascii="Arial" w:hAnsi="Arial" w:cs="Arial"/>
                <w:sz w:val="20"/>
                <w:szCs w:val="20"/>
              </w:rPr>
            </w:pPr>
            <w:r w:rsidRPr="00F36C9C">
              <w:rPr>
                <w:rFonts w:ascii="Arial" w:hAnsi="Arial" w:cs="Arial"/>
                <w:sz w:val="20"/>
                <w:szCs w:val="20"/>
              </w:rPr>
              <w:t>- Chloroform test</w:t>
            </w:r>
          </w:p>
          <w:p w14:paraId="70EBAD29" w14:textId="77777777" w:rsidR="00D94E70" w:rsidRPr="00F36C9C" w:rsidRDefault="00D94E70" w:rsidP="00391EF9">
            <w:pPr>
              <w:ind w:left="720"/>
              <w:jc w:val="both"/>
              <w:rPr>
                <w:rFonts w:ascii="Arial" w:hAnsi="Arial" w:cs="Arial"/>
                <w:b w:val="0"/>
                <w:bCs w:val="0"/>
                <w:sz w:val="20"/>
                <w:szCs w:val="20"/>
              </w:rPr>
            </w:pPr>
            <w:r w:rsidRPr="00F36C9C">
              <w:rPr>
                <w:rFonts w:ascii="Arial" w:hAnsi="Arial" w:cs="Arial"/>
                <w:sz w:val="20"/>
                <w:szCs w:val="20"/>
              </w:rPr>
              <w:t>- Salkowski test</w:t>
            </w:r>
          </w:p>
        </w:tc>
        <w:tc>
          <w:tcPr>
            <w:tcW w:w="1260" w:type="dxa"/>
          </w:tcPr>
          <w:p w14:paraId="1C5EFED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0363958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E6C864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20" w:type="dxa"/>
          </w:tcPr>
          <w:p w14:paraId="44684602"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6F528A0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C850295"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 +</w:t>
            </w:r>
          </w:p>
        </w:tc>
        <w:tc>
          <w:tcPr>
            <w:tcW w:w="1620" w:type="dxa"/>
          </w:tcPr>
          <w:p w14:paraId="25C0ED3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75591DB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76D5BAF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83" w:type="dxa"/>
          </w:tcPr>
          <w:p w14:paraId="007171B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p w14:paraId="1B243BF2"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81C6AD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r w:rsidR="00D94E70" w:rsidRPr="00F36C9C" w14:paraId="04DEF09A" w14:textId="77777777" w:rsidTr="00391EF9">
        <w:trPr>
          <w:trHeight w:val="872"/>
        </w:trPr>
        <w:tc>
          <w:tcPr>
            <w:cnfStyle w:val="001000000000" w:firstRow="0" w:lastRow="0" w:firstColumn="1" w:lastColumn="0" w:oddVBand="0" w:evenVBand="0" w:oddHBand="0" w:evenHBand="0" w:firstRowFirstColumn="0" w:firstRowLastColumn="0" w:lastRowFirstColumn="0" w:lastRowLastColumn="0"/>
            <w:tcW w:w="3528" w:type="dxa"/>
            <w:hideMark/>
          </w:tcPr>
          <w:p w14:paraId="40486920" w14:textId="77777777" w:rsidR="00D94E70" w:rsidRPr="00F36C9C" w:rsidRDefault="00D94E70" w:rsidP="00D94E70">
            <w:pPr>
              <w:numPr>
                <w:ilvl w:val="0"/>
                <w:numId w:val="18"/>
              </w:numPr>
              <w:jc w:val="both"/>
              <w:rPr>
                <w:rFonts w:ascii="Arial" w:hAnsi="Arial" w:cs="Arial"/>
                <w:b w:val="0"/>
                <w:bCs w:val="0"/>
                <w:sz w:val="20"/>
                <w:szCs w:val="20"/>
              </w:rPr>
            </w:pPr>
            <w:r w:rsidRPr="00F36C9C">
              <w:rPr>
                <w:rFonts w:ascii="Arial" w:hAnsi="Arial" w:cs="Arial"/>
                <w:b w:val="0"/>
                <w:bCs w:val="0"/>
                <w:sz w:val="20"/>
                <w:szCs w:val="20"/>
              </w:rPr>
              <w:t xml:space="preserve"> Protein </w:t>
            </w:r>
          </w:p>
          <w:p w14:paraId="34F5C5AB" w14:textId="77777777" w:rsidR="00D94E70" w:rsidRPr="00F36C9C" w:rsidRDefault="00D94E70" w:rsidP="00D94E70">
            <w:pPr>
              <w:numPr>
                <w:ilvl w:val="0"/>
                <w:numId w:val="19"/>
              </w:numPr>
              <w:jc w:val="both"/>
              <w:rPr>
                <w:rFonts w:ascii="Arial" w:hAnsi="Arial" w:cs="Arial"/>
                <w:sz w:val="20"/>
                <w:szCs w:val="20"/>
              </w:rPr>
            </w:pPr>
            <w:r w:rsidRPr="00F36C9C">
              <w:rPr>
                <w:rFonts w:ascii="Arial" w:hAnsi="Arial" w:cs="Arial"/>
                <w:sz w:val="20"/>
                <w:szCs w:val="20"/>
              </w:rPr>
              <w:t>Biuret test</w:t>
            </w:r>
          </w:p>
          <w:p w14:paraId="53AD112E" w14:textId="77777777" w:rsidR="00D94E70" w:rsidRPr="00F36C9C" w:rsidRDefault="00D94E70" w:rsidP="00D94E70">
            <w:pPr>
              <w:numPr>
                <w:ilvl w:val="0"/>
                <w:numId w:val="19"/>
              </w:numPr>
              <w:jc w:val="both"/>
              <w:rPr>
                <w:rFonts w:ascii="Arial" w:hAnsi="Arial" w:cs="Arial"/>
                <w:b w:val="0"/>
                <w:bCs w:val="0"/>
                <w:sz w:val="20"/>
                <w:szCs w:val="20"/>
              </w:rPr>
            </w:pPr>
            <w:r w:rsidRPr="00F36C9C">
              <w:rPr>
                <w:rFonts w:ascii="Arial" w:hAnsi="Arial" w:cs="Arial"/>
                <w:sz w:val="20"/>
                <w:szCs w:val="20"/>
              </w:rPr>
              <w:t>Xanthoproteic test</w:t>
            </w:r>
            <w:r w:rsidRPr="00F36C9C">
              <w:rPr>
                <w:rFonts w:ascii="Arial" w:hAnsi="Arial" w:cs="Arial"/>
                <w:b w:val="0"/>
                <w:bCs w:val="0"/>
                <w:sz w:val="20"/>
                <w:szCs w:val="20"/>
              </w:rPr>
              <w:t xml:space="preserve"> </w:t>
            </w:r>
          </w:p>
        </w:tc>
        <w:tc>
          <w:tcPr>
            <w:tcW w:w="1260" w:type="dxa"/>
          </w:tcPr>
          <w:p w14:paraId="3178E64E"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6281AF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4B9EA33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1FE90F2A"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4AF773F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1229471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20" w:type="dxa"/>
          </w:tcPr>
          <w:p w14:paraId="54990E34"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0EC2BA5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5F740A4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c>
          <w:tcPr>
            <w:tcW w:w="1683" w:type="dxa"/>
          </w:tcPr>
          <w:p w14:paraId="01BA274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p w14:paraId="5D80683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w:t>
            </w:r>
          </w:p>
          <w:p w14:paraId="222BC98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F36C9C">
              <w:rPr>
                <w:rFonts w:ascii="Arial" w:hAnsi="Arial" w:cs="Arial"/>
                <w:b/>
                <w:bCs/>
                <w:sz w:val="20"/>
                <w:szCs w:val="20"/>
              </w:rPr>
              <w:t xml:space="preserve">         + </w:t>
            </w:r>
          </w:p>
        </w:tc>
      </w:tr>
    </w:tbl>
    <w:p w14:paraId="77C0EC07" w14:textId="3FD1DC31" w:rsidR="00D94E70" w:rsidRPr="00F36C9C" w:rsidRDefault="00D94E70" w:rsidP="00D94E70">
      <w:pPr>
        <w:spacing w:line="480" w:lineRule="auto"/>
        <w:jc w:val="both"/>
        <w:rPr>
          <w:rFonts w:ascii="Arial" w:hAnsi="Arial" w:cs="Arial"/>
          <w:b/>
          <w:bCs/>
          <w:sz w:val="20"/>
          <w:szCs w:val="20"/>
        </w:rPr>
      </w:pPr>
      <w:commentRangeStart w:id="17"/>
      <w:r w:rsidRPr="00F36C9C">
        <w:rPr>
          <w:rFonts w:ascii="Arial" w:hAnsi="Arial" w:cs="Arial"/>
          <w:b/>
          <w:bCs/>
          <w:sz w:val="20"/>
          <w:szCs w:val="20"/>
        </w:rPr>
        <w:t xml:space="preserve"> +++ </w:t>
      </w:r>
      <w:commentRangeEnd w:id="17"/>
      <w:r w:rsidR="001928C1">
        <w:rPr>
          <w:rStyle w:val="CommentReference"/>
        </w:rPr>
        <w:commentReference w:id="17"/>
      </w:r>
      <w:r w:rsidRPr="00F36C9C">
        <w:rPr>
          <w:rFonts w:ascii="Arial" w:hAnsi="Arial" w:cs="Arial"/>
          <w:b/>
          <w:bCs/>
          <w:sz w:val="20"/>
          <w:szCs w:val="20"/>
        </w:rPr>
        <w:t>= very high    ++ = high, + = low, ± = negligible and - = not detected</w:t>
      </w:r>
    </w:p>
    <w:p w14:paraId="38C6FD08" w14:textId="218E7ABF" w:rsidR="00282E92" w:rsidRPr="00F36C9C" w:rsidRDefault="00282E92" w:rsidP="003069BE">
      <w:pPr>
        <w:jc w:val="both"/>
        <w:rPr>
          <w:rFonts w:ascii="Arial" w:hAnsi="Arial" w:cs="Arial"/>
        </w:rPr>
      </w:pPr>
      <w:r w:rsidRPr="00F36C9C">
        <w:rPr>
          <w:rFonts w:ascii="Arial" w:hAnsi="Arial" w:cs="Arial"/>
          <w:b/>
        </w:rPr>
        <w:t xml:space="preserve">3.1 Phytochemical Composition of </w:t>
      </w:r>
      <w:r w:rsidRPr="00F36C9C">
        <w:rPr>
          <w:rFonts w:ascii="Arial" w:hAnsi="Arial" w:cs="Arial"/>
          <w:b/>
          <w:i/>
          <w:iCs/>
        </w:rPr>
        <w:t>Mentha piperita</w:t>
      </w:r>
      <w:r w:rsidRPr="00F36C9C">
        <w:rPr>
          <w:rFonts w:ascii="Arial" w:hAnsi="Arial" w:cs="Arial"/>
          <w:b/>
        </w:rPr>
        <w:t xml:space="preserve"> Ethanol Extracts</w:t>
      </w:r>
    </w:p>
    <w:p w14:paraId="2176FCCB" w14:textId="54CA1AC4" w:rsidR="003069BE" w:rsidRPr="00F36C9C" w:rsidRDefault="003069BE" w:rsidP="003069BE">
      <w:pPr>
        <w:jc w:val="both"/>
        <w:rPr>
          <w:rFonts w:ascii="Arial" w:hAnsi="Arial" w:cs="Arial"/>
          <w:sz w:val="20"/>
          <w:szCs w:val="20"/>
        </w:rPr>
      </w:pPr>
      <w:r w:rsidRPr="00F36C9C">
        <w:rPr>
          <w:rFonts w:ascii="Arial" w:hAnsi="Arial" w:cs="Arial"/>
          <w:sz w:val="20"/>
          <w:szCs w:val="20"/>
        </w:rPr>
        <w:lastRenderedPageBreak/>
        <w:t xml:space="preserve">The qualitative phytochemical screening of the ethanol extracts of fresh and dried leaves and stems of </w:t>
      </w:r>
      <w:r w:rsidRPr="00F36C9C">
        <w:rPr>
          <w:rFonts w:ascii="Arial" w:hAnsi="Arial" w:cs="Arial"/>
          <w:i/>
          <w:iCs/>
          <w:sz w:val="20"/>
          <w:szCs w:val="20"/>
        </w:rPr>
        <w:t>Mentha piperita</w:t>
      </w:r>
      <w:r w:rsidRPr="00F36C9C">
        <w:rPr>
          <w:rFonts w:ascii="Arial" w:hAnsi="Arial" w:cs="Arial"/>
          <w:sz w:val="20"/>
          <w:szCs w:val="20"/>
        </w:rPr>
        <w:t xml:space="preserve"> (Table </w:t>
      </w:r>
      <w:r w:rsidR="0094173F">
        <w:rPr>
          <w:rFonts w:ascii="Arial" w:hAnsi="Arial" w:cs="Arial"/>
          <w:sz w:val="20"/>
          <w:szCs w:val="20"/>
        </w:rPr>
        <w:t>1</w:t>
      </w:r>
      <w:r w:rsidRPr="00F36C9C">
        <w:rPr>
          <w:rFonts w:ascii="Arial" w:hAnsi="Arial" w:cs="Arial"/>
          <w:sz w:val="20"/>
          <w:szCs w:val="20"/>
        </w:rPr>
        <w:t xml:space="preserve">) revealed the presence of a wide spectrum of bioactive secondary metabolites, including alkaloids, carbohydrates, tannins, </w:t>
      </w:r>
      <w:proofErr w:type="spellStart"/>
      <w:r w:rsidRPr="00F36C9C">
        <w:rPr>
          <w:rFonts w:ascii="Arial" w:hAnsi="Arial" w:cs="Arial"/>
          <w:sz w:val="20"/>
          <w:szCs w:val="20"/>
        </w:rPr>
        <w:t>phlobatannins</w:t>
      </w:r>
      <w:proofErr w:type="spellEnd"/>
      <w:r w:rsidRPr="00F36C9C">
        <w:rPr>
          <w:rFonts w:ascii="Arial" w:hAnsi="Arial" w:cs="Arial"/>
          <w:sz w:val="20"/>
          <w:szCs w:val="20"/>
        </w:rPr>
        <w:t xml:space="preserve">, flavonoids, cardiac glycosides, steroids, anthraquinones, polyphenols, triterpenoids and proteins, whereas saponins were either absent or detected only in trace amounts. The occurrence of these metabolites demonstrates the remarkable phytochemical richness of </w:t>
      </w:r>
      <w:r w:rsidRPr="00F36C9C">
        <w:rPr>
          <w:rFonts w:ascii="Arial" w:hAnsi="Arial" w:cs="Arial"/>
          <w:i/>
          <w:iCs/>
          <w:sz w:val="20"/>
          <w:szCs w:val="20"/>
        </w:rPr>
        <w:t>M. piperita</w:t>
      </w:r>
      <w:r w:rsidRPr="00F36C9C">
        <w:rPr>
          <w:rFonts w:ascii="Arial" w:hAnsi="Arial" w:cs="Arial"/>
          <w:sz w:val="20"/>
          <w:szCs w:val="20"/>
        </w:rPr>
        <w:t xml:space="preserve"> and provides a scientific basis for its longstanding use in traditional medicine for the management of infectious and inflammatory diseases. Similar phytochemical profiles have previously been reported for </w:t>
      </w:r>
      <w:r w:rsidRPr="00F36C9C">
        <w:rPr>
          <w:rFonts w:ascii="Arial" w:hAnsi="Arial" w:cs="Arial"/>
          <w:i/>
          <w:iCs/>
          <w:sz w:val="20"/>
          <w:szCs w:val="20"/>
        </w:rPr>
        <w:t>Mentha piperita</w:t>
      </w:r>
      <w:r w:rsidRPr="00F36C9C">
        <w:rPr>
          <w:rFonts w:ascii="Arial" w:hAnsi="Arial" w:cs="Arial"/>
          <w:sz w:val="20"/>
          <w:szCs w:val="20"/>
        </w:rPr>
        <w:t xml:space="preserve"> and several other medicinal plants, confirming that members of the </w:t>
      </w:r>
      <w:proofErr w:type="spellStart"/>
      <w:r w:rsidRPr="00F36C9C">
        <w:rPr>
          <w:rFonts w:ascii="Arial" w:hAnsi="Arial" w:cs="Arial"/>
          <w:sz w:val="20"/>
          <w:szCs w:val="20"/>
        </w:rPr>
        <w:t>Lamiaceae</w:t>
      </w:r>
      <w:proofErr w:type="spellEnd"/>
      <w:r w:rsidRPr="00F36C9C">
        <w:rPr>
          <w:rFonts w:ascii="Arial" w:hAnsi="Arial" w:cs="Arial"/>
          <w:sz w:val="20"/>
          <w:szCs w:val="20"/>
        </w:rPr>
        <w:t xml:space="preserve"> are important reservoirs of pharmacologically active natural products (Trevisan et al., 2017; Akpan et al., 2021;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2012).</w:t>
      </w:r>
    </w:p>
    <w:p w14:paraId="43C6D49A" w14:textId="6C1D5245" w:rsidR="003069BE" w:rsidRPr="00F36C9C" w:rsidRDefault="003069BE" w:rsidP="003069BE">
      <w:pPr>
        <w:jc w:val="both"/>
        <w:rPr>
          <w:rFonts w:ascii="Arial" w:hAnsi="Arial" w:cs="Arial"/>
          <w:sz w:val="20"/>
          <w:szCs w:val="20"/>
        </w:rPr>
      </w:pPr>
      <w:r w:rsidRPr="00F36C9C">
        <w:rPr>
          <w:rFonts w:ascii="Arial" w:hAnsi="Arial" w:cs="Arial"/>
          <w:sz w:val="20"/>
          <w:szCs w:val="20"/>
        </w:rPr>
        <w:t xml:space="preserve">One of the most striking observations from Table </w:t>
      </w:r>
      <w:r w:rsidR="0094173F">
        <w:rPr>
          <w:rFonts w:ascii="Arial" w:hAnsi="Arial" w:cs="Arial"/>
          <w:sz w:val="20"/>
          <w:szCs w:val="20"/>
        </w:rPr>
        <w:t>1</w:t>
      </w:r>
      <w:r w:rsidRPr="00F36C9C">
        <w:rPr>
          <w:rFonts w:ascii="Arial" w:hAnsi="Arial" w:cs="Arial"/>
          <w:sz w:val="20"/>
          <w:szCs w:val="20"/>
        </w:rPr>
        <w:t xml:space="preserve"> is the widespread occurrence of alkaloids in almost all the extracts, as confirmed by Dragendorff's, Wagner's and Mayer's tests. Alkaloids represent one of the largest classes of nitrogen-containing secondary metabolites and are renowned for their diverse pharmacological properties, including antibacterial, antifungal, analgesic, antimalarial and anticancer activities (Akpan et al., 2016; Akpan et al., 2021; Chen et al., 2020; Li et al., 2016). Their antimicrobial activity has been attributed to multiple mechanisms, including inhibition of DNA replication, interference with protein biosynthesis, disruption of bacterial cell membranes and inhibition of essential metabolic enzymes (Taylor et al., 2018; Chen et al., 2020). The appreciable antibacterial and antifungal activities observed later in this study are therefore likely associated, at least in part, with the alkaloid content of the extracts. Comparable findings have been reported in </w:t>
      </w:r>
      <w:proofErr w:type="spellStart"/>
      <w:r w:rsidRPr="00F36C9C">
        <w:rPr>
          <w:rFonts w:ascii="Arial" w:hAnsi="Arial" w:cs="Arial"/>
          <w:i/>
          <w:iCs/>
          <w:sz w:val="20"/>
          <w:szCs w:val="20"/>
        </w:rPr>
        <w:t>Azadirachta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indica</w:t>
      </w:r>
      <w:proofErr w:type="spellEnd"/>
      <w:r w:rsidRPr="00F36C9C">
        <w:rPr>
          <w:rFonts w:ascii="Arial" w:hAnsi="Arial" w:cs="Arial"/>
          <w:sz w:val="20"/>
          <w:szCs w:val="20"/>
        </w:rPr>
        <w:t xml:space="preserve">, </w:t>
      </w:r>
      <w:proofErr w:type="spellStart"/>
      <w:r w:rsidRPr="00F36C9C">
        <w:rPr>
          <w:rFonts w:ascii="Arial" w:hAnsi="Arial" w:cs="Arial"/>
          <w:i/>
          <w:iCs/>
          <w:sz w:val="20"/>
          <w:szCs w:val="20"/>
        </w:rPr>
        <w:t>Enantia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chlorantha</w:t>
      </w:r>
      <w:proofErr w:type="spellEnd"/>
      <w:r w:rsidRPr="00F36C9C">
        <w:rPr>
          <w:rFonts w:ascii="Arial" w:hAnsi="Arial" w:cs="Arial"/>
          <w:sz w:val="20"/>
          <w:szCs w:val="20"/>
        </w:rPr>
        <w:t xml:space="preserve"> and </w:t>
      </w:r>
      <w:proofErr w:type="spellStart"/>
      <w:r w:rsidRPr="00F36C9C">
        <w:rPr>
          <w:rFonts w:ascii="Arial" w:hAnsi="Arial" w:cs="Arial"/>
          <w:i/>
          <w:iCs/>
          <w:sz w:val="20"/>
          <w:szCs w:val="20"/>
        </w:rPr>
        <w:t>Dacryodes</w:t>
      </w:r>
      <w:proofErr w:type="spellEnd"/>
      <w:r w:rsidRPr="00F36C9C">
        <w:rPr>
          <w:rFonts w:ascii="Arial" w:hAnsi="Arial" w:cs="Arial"/>
          <w:i/>
          <w:iCs/>
          <w:sz w:val="20"/>
          <w:szCs w:val="20"/>
        </w:rPr>
        <w:t xml:space="preserve"> edulis</w:t>
      </w:r>
      <w:r w:rsidRPr="00F36C9C">
        <w:rPr>
          <w:rFonts w:ascii="Arial" w:hAnsi="Arial" w:cs="Arial"/>
          <w:sz w:val="20"/>
          <w:szCs w:val="20"/>
        </w:rPr>
        <w:t xml:space="preserve">, where alkaloid-rich fractions exhibited superior antimicrobial activities following bioassay-guided purification (Akpan et al., 2016; Akpan et al., 2017;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w:t>
      </w:r>
    </w:p>
    <w:p w14:paraId="3DD6E067"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The detection of flavonoids in most of the extracts is equally noteworthy because flavonoids constitute one of the most biologically active groups of plant polyphenols. Flavonoids possess broad-spectrum antibacterial, antifungal, antiviral, antioxidant and anti-inflammatory activities, making them attractive candidates for pharmaceutical development (</w:t>
      </w:r>
      <w:proofErr w:type="spellStart"/>
      <w:r w:rsidRPr="00F36C9C">
        <w:rPr>
          <w:rFonts w:ascii="Arial" w:hAnsi="Arial" w:cs="Arial"/>
          <w:sz w:val="20"/>
          <w:szCs w:val="20"/>
        </w:rPr>
        <w:t>Górniak</w:t>
      </w:r>
      <w:proofErr w:type="spellEnd"/>
      <w:r w:rsidRPr="00F36C9C">
        <w:rPr>
          <w:rFonts w:ascii="Arial" w:hAnsi="Arial" w:cs="Arial"/>
          <w:sz w:val="20"/>
          <w:szCs w:val="20"/>
        </w:rPr>
        <w:t xml:space="preserve"> et al., 2019; Sharma et al., 2013; Singh et al., 2017). Their antimicrobial effects are mediated through disruption of microbial membranes, inhibition of nucleic acid synthesis, alteration of membrane permeability and suppression of microbial enzyme systems (Taylor</w:t>
      </w:r>
      <w:r w:rsidRPr="00F36C9C">
        <w:rPr>
          <w:rFonts w:ascii="Arial" w:hAnsi="Arial" w:cs="Arial"/>
          <w:color w:val="FF0000"/>
          <w:sz w:val="20"/>
          <w:szCs w:val="20"/>
        </w:rPr>
        <w:t xml:space="preserve"> </w:t>
      </w:r>
      <w:r w:rsidRPr="00F36C9C">
        <w:rPr>
          <w:rFonts w:ascii="Arial" w:hAnsi="Arial" w:cs="Arial"/>
          <w:sz w:val="20"/>
          <w:szCs w:val="20"/>
        </w:rPr>
        <w:t xml:space="preserve">et al., 2018; Xu et al., 2018). Furthermore, flavonoids are potent antioxidants capable of scavenging reactive oxygen species generated during microbial infections, thereby protecting host tissues against oxidative damage (Kumar &amp; Pandey, 2020). The presence of abundant flavonoids therefore enhances both the antimicrobial and antioxidant potential of </w:t>
      </w:r>
      <w:r w:rsidRPr="00F36C9C">
        <w:rPr>
          <w:rFonts w:ascii="Arial" w:hAnsi="Arial" w:cs="Arial"/>
          <w:i/>
          <w:iCs/>
          <w:sz w:val="20"/>
          <w:szCs w:val="20"/>
        </w:rPr>
        <w:t>M. piperita</w:t>
      </w:r>
      <w:r w:rsidRPr="00F36C9C">
        <w:rPr>
          <w:rFonts w:ascii="Arial" w:hAnsi="Arial" w:cs="Arial"/>
          <w:sz w:val="20"/>
          <w:szCs w:val="20"/>
        </w:rPr>
        <w:t>.</w:t>
      </w:r>
    </w:p>
    <w:p w14:paraId="776B9BB1"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The occurrence of tannins and polyphenols in almost all the extracts further contributes to the medicinal significance of the plant. Tannins possess strong protein-precipitating properties and exert antimicrobial activity by complexing with microbial cell wall proteins, inactivating extracellular enzymes and disrupting membrane integrity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xml:space="preserve">, 2012). Polyphenolic compounds similarly inhibit microbial growth through oxidation-reduction reactions, enzyme inhibition and membrane destabilization while simultaneously providing antioxidant protection (Akpan et al., 2021; Kumar &amp; Pandey, 2020). Previous studies on </w:t>
      </w:r>
      <w:proofErr w:type="spellStart"/>
      <w:r w:rsidRPr="00F36C9C">
        <w:rPr>
          <w:rFonts w:ascii="Arial" w:hAnsi="Arial" w:cs="Arial"/>
          <w:i/>
          <w:iCs/>
          <w:sz w:val="20"/>
          <w:szCs w:val="20"/>
        </w:rPr>
        <w:t>Tragia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involucrata</w:t>
      </w:r>
      <w:proofErr w:type="spellEnd"/>
      <w:r w:rsidRPr="00F36C9C">
        <w:rPr>
          <w:rFonts w:ascii="Arial" w:hAnsi="Arial" w:cs="Arial"/>
          <w:sz w:val="20"/>
          <w:szCs w:val="20"/>
        </w:rPr>
        <w:t xml:space="preserve">, </w:t>
      </w:r>
      <w:proofErr w:type="spellStart"/>
      <w:r w:rsidRPr="00F36C9C">
        <w:rPr>
          <w:rFonts w:ascii="Arial" w:hAnsi="Arial" w:cs="Arial"/>
          <w:i/>
          <w:iCs/>
          <w:sz w:val="20"/>
          <w:szCs w:val="20"/>
        </w:rPr>
        <w:t>Juglans</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regia</w:t>
      </w:r>
      <w:proofErr w:type="spellEnd"/>
      <w:r w:rsidRPr="00F36C9C">
        <w:rPr>
          <w:rFonts w:ascii="Arial" w:hAnsi="Arial" w:cs="Arial"/>
          <w:sz w:val="20"/>
          <w:szCs w:val="20"/>
        </w:rPr>
        <w:t xml:space="preserve"> and </w:t>
      </w:r>
      <w:r w:rsidRPr="00F36C9C">
        <w:rPr>
          <w:rFonts w:ascii="Arial" w:hAnsi="Arial" w:cs="Arial"/>
          <w:i/>
          <w:iCs/>
          <w:sz w:val="20"/>
          <w:szCs w:val="20"/>
        </w:rPr>
        <w:t>Larrea tridentata</w:t>
      </w:r>
      <w:r w:rsidRPr="00F36C9C">
        <w:rPr>
          <w:rFonts w:ascii="Arial" w:hAnsi="Arial" w:cs="Arial"/>
          <w:sz w:val="20"/>
          <w:szCs w:val="20"/>
        </w:rPr>
        <w:t xml:space="preserve"> likewise reported that phenolic-rich extracts exhibited remarkable antibacterial activities against both Gram-positive and Gram-negative bacteria (</w:t>
      </w:r>
      <w:proofErr w:type="spellStart"/>
      <w:r w:rsidRPr="00F36C9C">
        <w:rPr>
          <w:rFonts w:ascii="Arial" w:hAnsi="Arial" w:cs="Arial"/>
          <w:sz w:val="20"/>
          <w:szCs w:val="20"/>
        </w:rPr>
        <w:t>Gobalakrishnan</w:t>
      </w:r>
      <w:proofErr w:type="spellEnd"/>
      <w:r w:rsidRPr="00F36C9C">
        <w:rPr>
          <w:rFonts w:ascii="Arial" w:hAnsi="Arial" w:cs="Arial"/>
          <w:sz w:val="20"/>
          <w:szCs w:val="20"/>
        </w:rPr>
        <w:t xml:space="preserve"> et al., 2013; Sharma et al., 2013; López et al., 2008). The abundance of these compounds in </w:t>
      </w:r>
      <w:r w:rsidRPr="00F36C9C">
        <w:rPr>
          <w:rFonts w:ascii="Arial" w:hAnsi="Arial" w:cs="Arial"/>
          <w:i/>
          <w:iCs/>
          <w:sz w:val="20"/>
          <w:szCs w:val="20"/>
        </w:rPr>
        <w:t>M. piperita</w:t>
      </w:r>
      <w:r w:rsidRPr="00F36C9C">
        <w:rPr>
          <w:rFonts w:ascii="Arial" w:hAnsi="Arial" w:cs="Arial"/>
          <w:sz w:val="20"/>
          <w:szCs w:val="20"/>
        </w:rPr>
        <w:t xml:space="preserve"> therefore provides a plausible explanation for its broad antimicrobial spectrum.</w:t>
      </w:r>
    </w:p>
    <w:p w14:paraId="7640D20E"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Cardiac glycosides, detected in several extracts, have traditionally been recognized for their cardiotonic properties; however, increasing evidence indicates that these compounds also possess antibacterial, antifungal, antiviral and anticancer activities (Gupta &amp; Varma, 2019). Their antimicrobial action has been associated with disruption of membrane ion transport and interference with essential cellular metabolic pathways. The occurrence of cardiac glycosides alongside alkaloids and flavonoids may therefore enhance the overall biological activity of the extracts through complementary mechanisms of action.</w:t>
      </w:r>
    </w:p>
    <w:p w14:paraId="2FC74D8F"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lastRenderedPageBreak/>
        <w:t xml:space="preserve">The presence of triterpenoids and steroids further strengthens the therapeutic profile of </w:t>
      </w:r>
      <w:r w:rsidRPr="00F36C9C">
        <w:rPr>
          <w:rFonts w:ascii="Arial" w:hAnsi="Arial" w:cs="Arial"/>
          <w:i/>
          <w:iCs/>
          <w:sz w:val="20"/>
          <w:szCs w:val="20"/>
        </w:rPr>
        <w:t>M. piperita</w:t>
      </w:r>
      <w:r w:rsidRPr="00F36C9C">
        <w:rPr>
          <w:rFonts w:ascii="Arial" w:hAnsi="Arial" w:cs="Arial"/>
          <w:sz w:val="20"/>
          <w:szCs w:val="20"/>
        </w:rPr>
        <w:t xml:space="preserve">. Terpenoids are widely recognized for their antimicrobial, anti-inflammatory and antioxidant properties and exert their antimicrobial effects primarily through disruption of microbial membrane integrity and inhibition of respiratory enzymes (Akpan et al., 2021; </w:t>
      </w:r>
      <w:proofErr w:type="spellStart"/>
      <w:r w:rsidRPr="00F36C9C">
        <w:rPr>
          <w:rFonts w:ascii="Arial" w:hAnsi="Arial" w:cs="Arial"/>
          <w:sz w:val="20"/>
          <w:szCs w:val="20"/>
        </w:rPr>
        <w:t>Rangari</w:t>
      </w:r>
      <w:proofErr w:type="spellEnd"/>
      <w:r w:rsidRPr="00F36C9C">
        <w:rPr>
          <w:rFonts w:ascii="Arial" w:hAnsi="Arial" w:cs="Arial"/>
          <w:sz w:val="20"/>
          <w:szCs w:val="20"/>
        </w:rPr>
        <w:t xml:space="preserve">, 2012). Steroidal compounds also contribute to membrane stabilization and have been reported to exhibit antibacterial and anti-inflammatory activities that may complement those of other phytochemicals (Trevisan et al., 2017). The simultaneous occurrence of these metabolites suggests that </w:t>
      </w:r>
      <w:r w:rsidRPr="00F36C9C">
        <w:rPr>
          <w:rFonts w:ascii="Arial" w:hAnsi="Arial" w:cs="Arial"/>
          <w:i/>
          <w:iCs/>
          <w:sz w:val="20"/>
          <w:szCs w:val="20"/>
        </w:rPr>
        <w:t>M. piperita</w:t>
      </w:r>
      <w:r w:rsidRPr="00F36C9C">
        <w:rPr>
          <w:rFonts w:ascii="Arial" w:hAnsi="Arial" w:cs="Arial"/>
          <w:sz w:val="20"/>
          <w:szCs w:val="20"/>
        </w:rPr>
        <w:t xml:space="preserve"> possesses multiple classes of bioactive compounds capable of acting on different microbial targets.</w:t>
      </w:r>
    </w:p>
    <w:p w14:paraId="0BF74523" w14:textId="1C39D1C9" w:rsidR="003069BE" w:rsidRPr="00F36C9C" w:rsidRDefault="003069BE" w:rsidP="003069BE">
      <w:pPr>
        <w:jc w:val="both"/>
        <w:rPr>
          <w:rFonts w:ascii="Arial" w:hAnsi="Arial" w:cs="Arial"/>
          <w:sz w:val="20"/>
          <w:szCs w:val="20"/>
        </w:rPr>
      </w:pPr>
      <w:r w:rsidRPr="00F36C9C">
        <w:rPr>
          <w:rFonts w:ascii="Arial" w:hAnsi="Arial" w:cs="Arial"/>
          <w:sz w:val="20"/>
          <w:szCs w:val="20"/>
        </w:rPr>
        <w:t xml:space="preserve">Interestingly, saponins were absent or only weakly detected in most of the extracts (Table </w:t>
      </w:r>
      <w:r w:rsidR="0094173F">
        <w:rPr>
          <w:rFonts w:ascii="Arial" w:hAnsi="Arial" w:cs="Arial"/>
          <w:sz w:val="20"/>
          <w:szCs w:val="20"/>
        </w:rPr>
        <w:t>1</w:t>
      </w:r>
      <w:r w:rsidRPr="00F36C9C">
        <w:rPr>
          <w:rFonts w:ascii="Arial" w:hAnsi="Arial" w:cs="Arial"/>
          <w:sz w:val="20"/>
          <w:szCs w:val="20"/>
        </w:rPr>
        <w:t>). Although saponins are generally recognized for their ability to increase membrane permeability through interactions with membrane sterols (</w:t>
      </w:r>
      <w:proofErr w:type="spellStart"/>
      <w:r w:rsidRPr="00F36C9C">
        <w:rPr>
          <w:rFonts w:ascii="Arial" w:hAnsi="Arial" w:cs="Arial"/>
          <w:sz w:val="20"/>
          <w:szCs w:val="20"/>
        </w:rPr>
        <w:t>Zablotowicz</w:t>
      </w:r>
      <w:proofErr w:type="spellEnd"/>
      <w:r w:rsidRPr="00F36C9C">
        <w:rPr>
          <w:rFonts w:ascii="Arial" w:hAnsi="Arial" w:cs="Arial"/>
          <w:sz w:val="20"/>
          <w:szCs w:val="20"/>
        </w:rPr>
        <w:t xml:space="preserve"> et al., 1996), their low abundance in the present study suggests that they may not be the principal contributors to the antimicrobial activity of </w:t>
      </w:r>
      <w:r w:rsidRPr="00F36C9C">
        <w:rPr>
          <w:rFonts w:ascii="Arial" w:hAnsi="Arial" w:cs="Arial"/>
          <w:i/>
          <w:iCs/>
          <w:sz w:val="20"/>
          <w:szCs w:val="20"/>
        </w:rPr>
        <w:t>M. piperita</w:t>
      </w:r>
      <w:r w:rsidRPr="00F36C9C">
        <w:rPr>
          <w:rFonts w:ascii="Arial" w:hAnsi="Arial" w:cs="Arial"/>
          <w:sz w:val="20"/>
          <w:szCs w:val="20"/>
        </w:rPr>
        <w:t>. Similar variability in saponin content has been reported in medicinal plants and is often influenced by plant age, environmental conditions, extraction solvent and geographical origin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2012).</w:t>
      </w:r>
    </w:p>
    <w:p w14:paraId="28240F8E" w14:textId="77777777" w:rsidR="003069BE" w:rsidRPr="00F36C9C" w:rsidRDefault="003069BE" w:rsidP="003069BE">
      <w:pPr>
        <w:jc w:val="both"/>
        <w:rPr>
          <w:rFonts w:ascii="Arial" w:hAnsi="Arial" w:cs="Arial"/>
          <w:sz w:val="20"/>
          <w:szCs w:val="20"/>
        </w:rPr>
      </w:pPr>
      <w:r w:rsidRPr="00F36C9C">
        <w:rPr>
          <w:rFonts w:ascii="Arial" w:hAnsi="Arial" w:cs="Arial"/>
          <w:sz w:val="20"/>
          <w:szCs w:val="20"/>
        </w:rPr>
        <w:t>Differences observed between fresh and dried leaves and stems further indicate that plant part and processing conditions influence phytochemical composition. Drying may enhance the concentration of certain metabolites through moisture removal while simultaneously reducing thermolabile constituents susceptible to enzymatic degradation. Likewise, leaves generally accumulate higher concentrations of secondary metabolites because they are the primary sites of photosynthesis and biosynthesis, whereas stems mainly serve structural and transport functions (Akpan et al., 2021; Trevisan et al., 2017). Such variations emphasize the importance of selecting appropriate plant materials during the development of herbal medicines.</w:t>
      </w:r>
    </w:p>
    <w:p w14:paraId="70F927C1" w14:textId="51804C9F" w:rsidR="003069BE" w:rsidRPr="00F36C9C" w:rsidRDefault="004D3F41" w:rsidP="00A64E90">
      <w:pPr>
        <w:jc w:val="both"/>
        <w:rPr>
          <w:rFonts w:ascii="Arial" w:hAnsi="Arial" w:cs="Arial"/>
          <w:sz w:val="20"/>
          <w:szCs w:val="20"/>
        </w:rPr>
      </w:pPr>
      <w:r w:rsidRPr="00F36C9C">
        <w:rPr>
          <w:rFonts w:ascii="Arial" w:hAnsi="Arial" w:cs="Arial"/>
          <w:sz w:val="20"/>
          <w:szCs w:val="20"/>
        </w:rPr>
        <w:t>T</w:t>
      </w:r>
      <w:r w:rsidR="003069BE" w:rsidRPr="00F36C9C">
        <w:rPr>
          <w:rFonts w:ascii="Arial" w:hAnsi="Arial" w:cs="Arial"/>
          <w:sz w:val="20"/>
          <w:szCs w:val="20"/>
        </w:rPr>
        <w:t xml:space="preserve">he phytochemical profile of </w:t>
      </w:r>
      <w:r w:rsidR="003069BE" w:rsidRPr="00F36C9C">
        <w:rPr>
          <w:rFonts w:ascii="Arial" w:hAnsi="Arial" w:cs="Arial"/>
          <w:i/>
          <w:iCs/>
          <w:sz w:val="20"/>
          <w:szCs w:val="20"/>
        </w:rPr>
        <w:t>Mentha piperita</w:t>
      </w:r>
      <w:r w:rsidR="003069BE" w:rsidRPr="00F36C9C">
        <w:rPr>
          <w:rFonts w:ascii="Arial" w:hAnsi="Arial" w:cs="Arial"/>
          <w:sz w:val="20"/>
          <w:szCs w:val="20"/>
        </w:rPr>
        <w:t xml:space="preserve"> demonstrates the coexistence of numerous bioactive constituents capable of acting synergistically against pathogenic microorganisms. Increasing evidence suggests that crude plant extracts frequently exhibit greater biological activity than isolated compounds because multiple metabolites simultaneously target different biochemical pathways, thereby enhancing efficacy and reducing the likelihood of resistance development (Akpan et al., 2016; </w:t>
      </w:r>
      <w:proofErr w:type="spellStart"/>
      <w:r w:rsidR="003069BE" w:rsidRPr="00F36C9C">
        <w:rPr>
          <w:rFonts w:ascii="Arial" w:hAnsi="Arial" w:cs="Arial"/>
          <w:sz w:val="20"/>
          <w:szCs w:val="20"/>
        </w:rPr>
        <w:t>Ejele</w:t>
      </w:r>
      <w:proofErr w:type="spellEnd"/>
      <w:r w:rsidR="003069BE" w:rsidRPr="00F36C9C">
        <w:rPr>
          <w:rFonts w:ascii="Arial" w:hAnsi="Arial" w:cs="Arial"/>
          <w:sz w:val="20"/>
          <w:szCs w:val="20"/>
        </w:rPr>
        <w:t xml:space="preserve"> et al., 2012; </w:t>
      </w:r>
      <w:proofErr w:type="spellStart"/>
      <w:r w:rsidR="003069BE" w:rsidRPr="00F36C9C">
        <w:rPr>
          <w:rFonts w:ascii="Arial" w:hAnsi="Arial" w:cs="Arial"/>
          <w:sz w:val="20"/>
          <w:szCs w:val="20"/>
        </w:rPr>
        <w:t>Malczak</w:t>
      </w:r>
      <w:proofErr w:type="spellEnd"/>
      <w:r w:rsidR="003069BE" w:rsidRPr="00F36C9C">
        <w:rPr>
          <w:rFonts w:ascii="Arial" w:hAnsi="Arial" w:cs="Arial"/>
          <w:sz w:val="20"/>
          <w:szCs w:val="20"/>
        </w:rPr>
        <w:t xml:space="preserve"> &amp; </w:t>
      </w:r>
      <w:proofErr w:type="spellStart"/>
      <w:r w:rsidR="003069BE" w:rsidRPr="00F36C9C">
        <w:rPr>
          <w:rFonts w:ascii="Arial" w:hAnsi="Arial" w:cs="Arial"/>
          <w:sz w:val="20"/>
          <w:szCs w:val="20"/>
        </w:rPr>
        <w:t>Gajda</w:t>
      </w:r>
      <w:proofErr w:type="spellEnd"/>
      <w:r w:rsidR="003069BE" w:rsidRPr="00F36C9C">
        <w:rPr>
          <w:rFonts w:ascii="Arial" w:hAnsi="Arial" w:cs="Arial"/>
          <w:sz w:val="20"/>
          <w:szCs w:val="20"/>
        </w:rPr>
        <w:t xml:space="preserve">, 2023). This phytochemical diversity therefore provides a strong scientific explanation for the antimicrobial activities observed in the present study and supports the continued investigation of </w:t>
      </w:r>
      <w:r w:rsidR="003069BE" w:rsidRPr="00F36C9C">
        <w:rPr>
          <w:rFonts w:ascii="Arial" w:hAnsi="Arial" w:cs="Arial"/>
          <w:i/>
          <w:iCs/>
          <w:sz w:val="20"/>
          <w:szCs w:val="20"/>
        </w:rPr>
        <w:t>M. piperita</w:t>
      </w:r>
      <w:r w:rsidR="003069BE" w:rsidRPr="00F36C9C">
        <w:rPr>
          <w:rFonts w:ascii="Arial" w:hAnsi="Arial" w:cs="Arial"/>
          <w:sz w:val="20"/>
          <w:szCs w:val="20"/>
        </w:rPr>
        <w:t xml:space="preserve"> as a valuable source of novel plant-derived antimicrobial agents. Moreover, these findings align with Sustainable Development Goal 3 (Good Health and Well-being) by supporting the discovery of affordable natural therapeutics, SDG 12 (Responsible Consumption and Production) through sustainable utilization of medicinal plant resources, and SDG 15 (Life on Land) by promoting the conservation and scientific exploitation of plant biodiversity for pharmaceutical development (United Nations, 2015; United Nations Environment </w:t>
      </w:r>
      <w:proofErr w:type="spellStart"/>
      <w:r w:rsidR="003069BE" w:rsidRPr="00F36C9C">
        <w:rPr>
          <w:rFonts w:ascii="Arial" w:hAnsi="Arial" w:cs="Arial"/>
          <w:sz w:val="20"/>
          <w:szCs w:val="20"/>
        </w:rPr>
        <w:t>Programme</w:t>
      </w:r>
      <w:proofErr w:type="spellEnd"/>
      <w:r w:rsidR="003069BE" w:rsidRPr="00F36C9C">
        <w:rPr>
          <w:rFonts w:ascii="Arial" w:hAnsi="Arial" w:cs="Arial"/>
          <w:sz w:val="20"/>
          <w:szCs w:val="20"/>
        </w:rPr>
        <w:t>, 2021; UNESCO, 2021).</w:t>
      </w:r>
    </w:p>
    <w:p w14:paraId="3F2BCF90" w14:textId="2088AEE6" w:rsidR="00D94E70" w:rsidRPr="00F36C9C" w:rsidRDefault="00D94E70" w:rsidP="00D94E70">
      <w:pPr>
        <w:spacing w:before="240" w:line="360" w:lineRule="auto"/>
        <w:jc w:val="both"/>
        <w:rPr>
          <w:rFonts w:ascii="Arial" w:hAnsi="Arial" w:cs="Arial"/>
          <w:b/>
          <w:bCs/>
          <w:sz w:val="20"/>
          <w:szCs w:val="20"/>
        </w:rPr>
      </w:pPr>
      <w:r w:rsidRPr="00F36C9C">
        <w:rPr>
          <w:rFonts w:ascii="Arial" w:hAnsi="Arial" w:cs="Arial"/>
          <w:b/>
          <w:bCs/>
          <w:sz w:val="20"/>
          <w:szCs w:val="20"/>
        </w:rPr>
        <w:t xml:space="preserve">Table </w:t>
      </w:r>
      <w:r w:rsidR="0094173F">
        <w:rPr>
          <w:rFonts w:ascii="Arial" w:hAnsi="Arial" w:cs="Arial"/>
          <w:b/>
          <w:bCs/>
          <w:sz w:val="20"/>
          <w:szCs w:val="20"/>
        </w:rPr>
        <w:t>2</w:t>
      </w:r>
      <w:r w:rsidRPr="00F36C9C">
        <w:rPr>
          <w:rFonts w:ascii="Arial" w:hAnsi="Arial" w:cs="Arial"/>
          <w:b/>
          <w:bCs/>
          <w:sz w:val="20"/>
          <w:szCs w:val="20"/>
        </w:rPr>
        <w:t>: Percentage of crude cardiac glycosides, alkaloids and flavonoids</w:t>
      </w:r>
    </w:p>
    <w:tbl>
      <w:tblPr>
        <w:tblStyle w:val="LightShading1"/>
        <w:tblW w:w="0" w:type="auto"/>
        <w:shd w:val="clear" w:color="auto" w:fill="FFFFFF" w:themeFill="background1"/>
        <w:tblLook w:val="04A0" w:firstRow="1" w:lastRow="0" w:firstColumn="1" w:lastColumn="0" w:noHBand="0" w:noVBand="1"/>
      </w:tblPr>
      <w:tblGrid>
        <w:gridCol w:w="4712"/>
        <w:gridCol w:w="4126"/>
      </w:tblGrid>
      <w:tr w:rsidR="00D94E70" w:rsidRPr="00F36C9C" w14:paraId="38F7B590" w14:textId="77777777" w:rsidTr="00391EF9">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0EC6AD71" w14:textId="77777777" w:rsidR="00D94E70" w:rsidRPr="00F36C9C" w:rsidRDefault="00D94E70" w:rsidP="00391EF9">
            <w:pPr>
              <w:spacing w:before="240"/>
              <w:jc w:val="both"/>
              <w:rPr>
                <w:rFonts w:ascii="Arial" w:hAnsi="Arial" w:cs="Arial"/>
                <w:bCs w:val="0"/>
                <w:sz w:val="20"/>
                <w:szCs w:val="20"/>
              </w:rPr>
            </w:pPr>
            <w:r w:rsidRPr="00F36C9C">
              <w:rPr>
                <w:rFonts w:ascii="Arial" w:hAnsi="Arial" w:cs="Arial"/>
                <w:bCs w:val="0"/>
                <w:sz w:val="20"/>
                <w:szCs w:val="20"/>
              </w:rPr>
              <w:t>Phytochemicals</w:t>
            </w:r>
          </w:p>
        </w:tc>
        <w:tc>
          <w:tcPr>
            <w:tcW w:w="4126" w:type="dxa"/>
            <w:shd w:val="clear" w:color="auto" w:fill="FFFFFF" w:themeFill="background1"/>
            <w:hideMark/>
          </w:tcPr>
          <w:p w14:paraId="76F891A1" w14:textId="77777777" w:rsidR="00D94E70" w:rsidRPr="00F36C9C" w:rsidRDefault="00D94E70" w:rsidP="00391EF9">
            <w:pPr>
              <w:spacing w:before="240"/>
              <w:jc w:val="both"/>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rPr>
            </w:pPr>
            <w:r w:rsidRPr="00F36C9C">
              <w:rPr>
                <w:rFonts w:ascii="Arial" w:hAnsi="Arial" w:cs="Arial"/>
                <w:bCs w:val="0"/>
                <w:sz w:val="20"/>
                <w:szCs w:val="20"/>
              </w:rPr>
              <w:t>Quantity (%)</w:t>
            </w:r>
          </w:p>
        </w:tc>
      </w:tr>
      <w:tr w:rsidR="00D94E70" w:rsidRPr="00F36C9C" w14:paraId="28E310A9" w14:textId="77777777" w:rsidTr="00391EF9">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11FD3AB2" w14:textId="77777777" w:rsidR="00D94E70" w:rsidRPr="00F36C9C" w:rsidRDefault="00D94E70" w:rsidP="00391EF9">
            <w:pPr>
              <w:spacing w:before="240"/>
              <w:jc w:val="both"/>
              <w:rPr>
                <w:rFonts w:ascii="Arial" w:hAnsi="Arial" w:cs="Arial"/>
                <w:b w:val="0"/>
                <w:sz w:val="20"/>
                <w:szCs w:val="20"/>
              </w:rPr>
            </w:pPr>
            <w:r w:rsidRPr="00F36C9C">
              <w:rPr>
                <w:rFonts w:ascii="Arial" w:hAnsi="Arial" w:cs="Arial"/>
                <w:b w:val="0"/>
                <w:sz w:val="20"/>
                <w:szCs w:val="20"/>
              </w:rPr>
              <w:t>Cardiac glycosides</w:t>
            </w:r>
          </w:p>
        </w:tc>
        <w:tc>
          <w:tcPr>
            <w:tcW w:w="4126" w:type="dxa"/>
            <w:shd w:val="clear" w:color="auto" w:fill="FFFFFF" w:themeFill="background1"/>
            <w:hideMark/>
          </w:tcPr>
          <w:p w14:paraId="3AC168ED" w14:textId="03607ACD" w:rsidR="00D94E70" w:rsidRPr="00F36C9C" w:rsidRDefault="00D94E70" w:rsidP="00391EF9">
            <w:pPr>
              <w:spacing w:before="24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bookmarkStart w:id="18" w:name="_Hlk133245025"/>
            <w:r w:rsidRPr="00F36C9C">
              <w:rPr>
                <w:rFonts w:ascii="Arial" w:hAnsi="Arial" w:cs="Arial"/>
                <w:sz w:val="20"/>
                <w:szCs w:val="20"/>
              </w:rPr>
              <w:t>9.33 ± 1.71</w:t>
            </w:r>
            <w:bookmarkEnd w:id="18"/>
          </w:p>
        </w:tc>
      </w:tr>
      <w:tr w:rsidR="00D94E70" w:rsidRPr="00F36C9C" w14:paraId="74677FB3" w14:textId="77777777" w:rsidTr="00391EF9">
        <w:trPr>
          <w:trHeight w:val="391"/>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hideMark/>
          </w:tcPr>
          <w:p w14:paraId="2A02DE97" w14:textId="77777777" w:rsidR="00D94E70" w:rsidRPr="00F36C9C" w:rsidRDefault="00D94E70" w:rsidP="00391EF9">
            <w:pPr>
              <w:spacing w:before="240"/>
              <w:jc w:val="both"/>
              <w:rPr>
                <w:rFonts w:ascii="Arial" w:hAnsi="Arial" w:cs="Arial"/>
                <w:b w:val="0"/>
                <w:sz w:val="20"/>
                <w:szCs w:val="20"/>
              </w:rPr>
            </w:pPr>
            <w:r w:rsidRPr="00F36C9C">
              <w:rPr>
                <w:rFonts w:ascii="Arial" w:hAnsi="Arial" w:cs="Arial"/>
                <w:b w:val="0"/>
                <w:sz w:val="20"/>
                <w:szCs w:val="20"/>
              </w:rPr>
              <w:t>Alkaloids</w:t>
            </w:r>
          </w:p>
        </w:tc>
        <w:tc>
          <w:tcPr>
            <w:tcW w:w="4126" w:type="dxa"/>
            <w:shd w:val="clear" w:color="auto" w:fill="FFFFFF" w:themeFill="background1"/>
            <w:hideMark/>
          </w:tcPr>
          <w:p w14:paraId="4B220D5D" w14:textId="24DE37B9" w:rsidR="00D94E70" w:rsidRPr="00F36C9C" w:rsidRDefault="00D94E70" w:rsidP="00391EF9">
            <w:pPr>
              <w:spacing w:before="2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bookmarkStart w:id="19" w:name="_Hlk133244848"/>
            <w:r w:rsidRPr="00F36C9C">
              <w:rPr>
                <w:rFonts w:ascii="Arial" w:hAnsi="Arial" w:cs="Arial"/>
                <w:sz w:val="20"/>
                <w:szCs w:val="20"/>
              </w:rPr>
              <w:t>4.47 ± 0.25</w:t>
            </w:r>
            <w:bookmarkEnd w:id="19"/>
          </w:p>
        </w:tc>
      </w:tr>
      <w:tr w:rsidR="00D94E70" w:rsidRPr="00F36C9C" w14:paraId="238270B1" w14:textId="77777777" w:rsidTr="00391EF9">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4712" w:type="dxa"/>
            <w:shd w:val="clear" w:color="auto" w:fill="FFFFFF" w:themeFill="background1"/>
          </w:tcPr>
          <w:p w14:paraId="419AEAD7" w14:textId="77777777" w:rsidR="00D94E70" w:rsidRPr="00F36C9C" w:rsidRDefault="00D94E70" w:rsidP="00391EF9">
            <w:pPr>
              <w:spacing w:before="240"/>
              <w:jc w:val="both"/>
              <w:rPr>
                <w:rFonts w:ascii="Arial" w:hAnsi="Arial" w:cs="Arial"/>
                <w:b w:val="0"/>
                <w:sz w:val="20"/>
                <w:szCs w:val="20"/>
              </w:rPr>
            </w:pPr>
            <w:r w:rsidRPr="00F36C9C">
              <w:rPr>
                <w:rFonts w:ascii="Arial" w:hAnsi="Arial" w:cs="Arial"/>
                <w:b w:val="0"/>
                <w:sz w:val="20"/>
                <w:szCs w:val="20"/>
              </w:rPr>
              <w:t>Flavonoids</w:t>
            </w:r>
          </w:p>
        </w:tc>
        <w:tc>
          <w:tcPr>
            <w:tcW w:w="4126" w:type="dxa"/>
            <w:shd w:val="clear" w:color="auto" w:fill="FFFFFF" w:themeFill="background1"/>
          </w:tcPr>
          <w:p w14:paraId="6F301AD6" w14:textId="77777777" w:rsidR="00D94E70" w:rsidRPr="00F36C9C" w:rsidRDefault="00D94E70" w:rsidP="00391EF9">
            <w:pPr>
              <w:spacing w:before="24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21.80 ± 2.40</w:t>
            </w:r>
          </w:p>
        </w:tc>
      </w:tr>
    </w:tbl>
    <w:p w14:paraId="6344CAE6" w14:textId="77777777" w:rsidR="00A24957" w:rsidRPr="00F36C9C" w:rsidRDefault="00A24957" w:rsidP="00D94E70">
      <w:pPr>
        <w:spacing w:line="480" w:lineRule="auto"/>
        <w:jc w:val="both"/>
        <w:rPr>
          <w:rFonts w:ascii="Arial" w:hAnsi="Arial" w:cs="Arial"/>
          <w:b/>
          <w:bCs/>
          <w:sz w:val="20"/>
          <w:szCs w:val="20"/>
        </w:rPr>
      </w:pPr>
    </w:p>
    <w:p w14:paraId="6128CFDD" w14:textId="579C4B0C" w:rsidR="00A24957" w:rsidRPr="00F36C9C" w:rsidRDefault="00282E92" w:rsidP="00A24957">
      <w:pPr>
        <w:jc w:val="both"/>
        <w:rPr>
          <w:rFonts w:ascii="Arial" w:hAnsi="Arial" w:cs="Arial"/>
          <w:b/>
        </w:rPr>
      </w:pPr>
      <w:r w:rsidRPr="00F36C9C">
        <w:rPr>
          <w:rFonts w:ascii="Arial" w:hAnsi="Arial" w:cs="Arial"/>
          <w:b/>
        </w:rPr>
        <w:lastRenderedPageBreak/>
        <w:t xml:space="preserve">3.2 </w:t>
      </w:r>
      <w:r w:rsidR="00A24957" w:rsidRPr="00F36C9C">
        <w:rPr>
          <w:rFonts w:ascii="Arial" w:hAnsi="Arial" w:cs="Arial"/>
          <w:b/>
        </w:rPr>
        <w:t xml:space="preserve">Fourier Transform Infrared (FTIR) Spectroscopic Characterization of the Antimicrobial Components of </w:t>
      </w:r>
      <w:r w:rsidR="00A24957" w:rsidRPr="00F36C9C">
        <w:rPr>
          <w:rStyle w:val="Emphasis"/>
          <w:rFonts w:ascii="Arial" w:hAnsi="Arial" w:cs="Arial"/>
          <w:b/>
        </w:rPr>
        <w:t>Mentha piperita</w:t>
      </w:r>
    </w:p>
    <w:p w14:paraId="75BB4A37" w14:textId="05A5B1B4" w:rsidR="00A24957" w:rsidRPr="00F36C9C" w:rsidRDefault="00A24957" w:rsidP="00A24957">
      <w:pPr>
        <w:jc w:val="both"/>
        <w:rPr>
          <w:rFonts w:ascii="Arial" w:hAnsi="Arial" w:cs="Arial"/>
          <w:sz w:val="20"/>
          <w:szCs w:val="20"/>
        </w:rPr>
      </w:pPr>
      <w:r w:rsidRPr="00F36C9C">
        <w:rPr>
          <w:rFonts w:ascii="Arial" w:hAnsi="Arial" w:cs="Arial"/>
          <w:sz w:val="20"/>
          <w:szCs w:val="20"/>
        </w:rPr>
        <w:t xml:space="preserve">The Fourier Transform Infrared (FTIR) spectroscopic analysis of the isolated phytochemical fractions from </w:t>
      </w:r>
      <w:r w:rsidRPr="00F36C9C">
        <w:rPr>
          <w:rStyle w:val="Emphasis"/>
          <w:rFonts w:ascii="Arial" w:hAnsi="Arial" w:cs="Arial"/>
          <w:sz w:val="20"/>
          <w:szCs w:val="20"/>
        </w:rPr>
        <w:t>Mentha piperita</w:t>
      </w:r>
      <w:r w:rsidRPr="00F36C9C">
        <w:rPr>
          <w:rFonts w:ascii="Arial" w:hAnsi="Arial" w:cs="Arial"/>
          <w:sz w:val="20"/>
          <w:szCs w:val="20"/>
        </w:rPr>
        <w:t xml:space="preserve"> revealed the presence of several characteristic functional groups associated with biologically active secondary metabolites. The spectra obtained provide valuable structural information on the chemical composition of the isolated antimicrobial constituents and further support their potential therapeutic significance.</w:t>
      </w:r>
    </w:p>
    <w:p w14:paraId="13516040" w14:textId="371F681B" w:rsidR="00F55B65" w:rsidRPr="00F36C9C" w:rsidRDefault="000955F6" w:rsidP="00A24957">
      <w:pPr>
        <w:jc w:val="both"/>
        <w:rPr>
          <w:rFonts w:ascii="Arial" w:hAnsi="Arial" w:cs="Arial"/>
          <w:sz w:val="20"/>
          <w:szCs w:val="20"/>
        </w:rPr>
      </w:pPr>
      <w:r w:rsidRPr="00F36C9C">
        <w:rPr>
          <w:rFonts w:ascii="Arial" w:hAnsi="Arial" w:cs="Arial"/>
          <w:b/>
          <w:bCs/>
          <w:noProof/>
          <w:sz w:val="20"/>
          <w:szCs w:val="20"/>
        </w:rPr>
        <w:drawing>
          <wp:anchor distT="0" distB="0" distL="114300" distR="114300" simplePos="0" relativeHeight="251666432" behindDoc="0" locked="0" layoutInCell="1" allowOverlap="1" wp14:anchorId="1DB71EB2" wp14:editId="10C9C192">
            <wp:simplePos x="0" y="0"/>
            <wp:positionH relativeFrom="margin">
              <wp:posOffset>-38100</wp:posOffset>
            </wp:positionH>
            <wp:positionV relativeFrom="paragraph">
              <wp:posOffset>1770380</wp:posOffset>
            </wp:positionV>
            <wp:extent cx="5654675" cy="1543050"/>
            <wp:effectExtent l="0" t="0" r="3175" b="0"/>
            <wp:wrapNone/>
            <wp:docPr id="3" name="Picture 3" descr="Screenshot 2023-04-04 22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2023-04-04 2222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467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24957" w:rsidRPr="00F36C9C">
        <w:rPr>
          <w:rFonts w:ascii="Arial" w:hAnsi="Arial" w:cs="Arial"/>
          <w:sz w:val="20"/>
          <w:szCs w:val="20"/>
        </w:rPr>
        <w:t xml:space="preserve">The FTIR spectrum of the </w:t>
      </w:r>
      <w:r w:rsidR="00A24957" w:rsidRPr="00F36C9C">
        <w:rPr>
          <w:rStyle w:val="Strong"/>
          <w:rFonts w:ascii="Arial" w:hAnsi="Arial" w:cs="Arial"/>
          <w:b w:val="0"/>
          <w:sz w:val="20"/>
          <w:szCs w:val="20"/>
        </w:rPr>
        <w:t>cardiac glycoside isolate</w:t>
      </w:r>
      <w:r w:rsidR="00A24957" w:rsidRPr="00F36C9C">
        <w:rPr>
          <w:rFonts w:ascii="Arial" w:hAnsi="Arial" w:cs="Arial"/>
          <w:b/>
          <w:sz w:val="20"/>
          <w:szCs w:val="20"/>
        </w:rPr>
        <w:t xml:space="preserve"> (</w:t>
      </w:r>
      <w:r w:rsidR="00A24957" w:rsidRPr="00F36C9C">
        <w:rPr>
          <w:rStyle w:val="Strong"/>
          <w:rFonts w:ascii="Arial" w:hAnsi="Arial" w:cs="Arial"/>
          <w:b w:val="0"/>
          <w:sz w:val="20"/>
          <w:szCs w:val="20"/>
        </w:rPr>
        <w:t>Fig. 1</w:t>
      </w:r>
      <w:r w:rsidR="00A24957" w:rsidRPr="00F36C9C">
        <w:rPr>
          <w:rFonts w:ascii="Arial" w:hAnsi="Arial" w:cs="Arial"/>
          <w:sz w:val="20"/>
          <w:szCs w:val="20"/>
        </w:rPr>
        <w:t xml:space="preserve">) exhibited several characteristic absorption bands indicative of oxygenated organic compounds. A broad absorption peak at </w:t>
      </w:r>
      <w:r w:rsidR="00A24957" w:rsidRPr="00F36C9C">
        <w:rPr>
          <w:rStyle w:val="Strong"/>
          <w:rFonts w:ascii="Arial" w:hAnsi="Arial" w:cs="Arial"/>
          <w:b w:val="0"/>
          <w:sz w:val="20"/>
          <w:szCs w:val="20"/>
        </w:rPr>
        <w:t>3256.20 cm</w:t>
      </w:r>
      <w:r w:rsidR="00A24957" w:rsidRPr="00F36C9C">
        <w:rPr>
          <w:rStyle w:val="Strong"/>
          <w:rFonts w:ascii="Cambria Math" w:hAnsi="Cambria Math" w:cs="Cambria Math"/>
          <w:b w:val="0"/>
          <w:sz w:val="20"/>
          <w:szCs w:val="20"/>
        </w:rPr>
        <w:t>⁻</w:t>
      </w:r>
      <w:r w:rsidR="00A24957" w:rsidRPr="00F36C9C">
        <w:rPr>
          <w:rStyle w:val="Strong"/>
          <w:rFonts w:ascii="Arial" w:hAnsi="Arial" w:cs="Arial"/>
          <w:b w:val="0"/>
          <w:sz w:val="20"/>
          <w:szCs w:val="20"/>
        </w:rPr>
        <w:t>¹</w:t>
      </w:r>
      <w:r w:rsidR="00A24957" w:rsidRPr="00F36C9C">
        <w:rPr>
          <w:rFonts w:ascii="Arial" w:hAnsi="Arial" w:cs="Arial"/>
          <w:sz w:val="20"/>
          <w:szCs w:val="20"/>
        </w:rPr>
        <w:t xml:space="preserve"> was assigned to </w:t>
      </w:r>
      <w:r w:rsidR="00A24957" w:rsidRPr="00F36C9C">
        <w:rPr>
          <w:rStyle w:val="Strong"/>
          <w:rFonts w:ascii="Arial" w:hAnsi="Arial" w:cs="Arial"/>
          <w:b w:val="0"/>
          <w:sz w:val="20"/>
          <w:szCs w:val="20"/>
        </w:rPr>
        <w:t>O–H stretching vibrations</w:t>
      </w:r>
      <w:r w:rsidR="00A24957" w:rsidRPr="00F36C9C">
        <w:rPr>
          <w:rFonts w:ascii="Arial" w:hAnsi="Arial" w:cs="Arial"/>
          <w:sz w:val="20"/>
          <w:szCs w:val="20"/>
        </w:rPr>
        <w:t xml:space="preserve"> of alcohols and phenolic compounds, suggesting the presence of hydrogen-bonded hydroxyl groups commonly found in glycosidic molecules. The absorption band observed at </w:t>
      </w:r>
      <w:r w:rsidR="00A24957" w:rsidRPr="00F36C9C">
        <w:rPr>
          <w:rStyle w:val="Strong"/>
          <w:rFonts w:ascii="Arial" w:hAnsi="Arial" w:cs="Arial"/>
          <w:b w:val="0"/>
          <w:sz w:val="20"/>
          <w:szCs w:val="20"/>
        </w:rPr>
        <w:t>1580.51 cm</w:t>
      </w:r>
      <w:r w:rsidR="00A24957" w:rsidRPr="00F36C9C">
        <w:rPr>
          <w:rStyle w:val="Strong"/>
          <w:rFonts w:ascii="Cambria Math" w:hAnsi="Cambria Math" w:cs="Cambria Math"/>
          <w:b w:val="0"/>
          <w:sz w:val="20"/>
          <w:szCs w:val="20"/>
        </w:rPr>
        <w:t>⁻</w:t>
      </w:r>
      <w:r w:rsidR="00A24957" w:rsidRPr="00F36C9C">
        <w:rPr>
          <w:rStyle w:val="Strong"/>
          <w:rFonts w:ascii="Arial" w:hAnsi="Arial" w:cs="Arial"/>
          <w:b w:val="0"/>
          <w:sz w:val="20"/>
          <w:szCs w:val="20"/>
        </w:rPr>
        <w:t>¹</w:t>
      </w:r>
      <w:r w:rsidR="00A24957" w:rsidRPr="00F36C9C">
        <w:rPr>
          <w:rFonts w:ascii="Arial" w:hAnsi="Arial" w:cs="Arial"/>
          <w:sz w:val="20"/>
          <w:szCs w:val="20"/>
        </w:rPr>
        <w:t xml:space="preserve"> corresponded to </w:t>
      </w:r>
      <w:r w:rsidR="00A24957" w:rsidRPr="00F36C9C">
        <w:rPr>
          <w:rStyle w:val="Strong"/>
          <w:rFonts w:ascii="Arial" w:hAnsi="Arial" w:cs="Arial"/>
          <w:b w:val="0"/>
          <w:sz w:val="20"/>
          <w:szCs w:val="20"/>
        </w:rPr>
        <w:t>C–O stretching vibrations</w:t>
      </w:r>
      <w:r w:rsidR="00A24957" w:rsidRPr="00F36C9C">
        <w:rPr>
          <w:rFonts w:ascii="Arial" w:hAnsi="Arial" w:cs="Arial"/>
          <w:sz w:val="20"/>
          <w:szCs w:val="20"/>
        </w:rPr>
        <w:t xml:space="preserve"> associated with ketones, aldehydes, carboxylic acids, esters, lactones, anhydrides, amides and lactams. The peak at </w:t>
      </w:r>
      <w:r w:rsidR="00A24957" w:rsidRPr="00F36C9C">
        <w:rPr>
          <w:rStyle w:val="Strong"/>
          <w:rFonts w:ascii="Arial" w:hAnsi="Arial" w:cs="Arial"/>
          <w:b w:val="0"/>
          <w:sz w:val="20"/>
          <w:szCs w:val="20"/>
        </w:rPr>
        <w:t>1389.05 cm</w:t>
      </w:r>
      <w:r w:rsidR="00A24957" w:rsidRPr="00F36C9C">
        <w:rPr>
          <w:rStyle w:val="Strong"/>
          <w:rFonts w:ascii="Cambria Math" w:hAnsi="Cambria Math" w:cs="Cambria Math"/>
          <w:b w:val="0"/>
          <w:sz w:val="20"/>
          <w:szCs w:val="20"/>
        </w:rPr>
        <w:t>⁻</w:t>
      </w:r>
      <w:r w:rsidR="00A24957" w:rsidRPr="00F36C9C">
        <w:rPr>
          <w:rStyle w:val="Strong"/>
          <w:rFonts w:ascii="Arial" w:hAnsi="Arial" w:cs="Arial"/>
          <w:b w:val="0"/>
          <w:sz w:val="20"/>
          <w:szCs w:val="20"/>
        </w:rPr>
        <w:t>¹</w:t>
      </w:r>
      <w:r w:rsidR="00A24957" w:rsidRPr="00F36C9C">
        <w:rPr>
          <w:rFonts w:ascii="Arial" w:hAnsi="Arial" w:cs="Arial"/>
          <w:sz w:val="20"/>
          <w:szCs w:val="20"/>
        </w:rPr>
        <w:t xml:space="preserve"> was attributed to </w:t>
      </w:r>
      <w:r w:rsidR="00A24957" w:rsidRPr="00F36C9C">
        <w:rPr>
          <w:rStyle w:val="Strong"/>
          <w:rFonts w:ascii="Arial" w:hAnsi="Arial" w:cs="Arial"/>
          <w:b w:val="0"/>
          <w:sz w:val="20"/>
          <w:szCs w:val="20"/>
        </w:rPr>
        <w:t>alkyl C–H stretching vibrations</w:t>
      </w:r>
      <w:r w:rsidR="00A24957" w:rsidRPr="00F36C9C">
        <w:rPr>
          <w:rFonts w:ascii="Arial" w:hAnsi="Arial" w:cs="Arial"/>
          <w:sz w:val="20"/>
          <w:szCs w:val="20"/>
        </w:rPr>
        <w:t xml:space="preserve">, indicating aliphatic hydrocarbon chains, while the absorption band at </w:t>
      </w:r>
      <w:r w:rsidR="00A24957" w:rsidRPr="00F36C9C">
        <w:rPr>
          <w:rStyle w:val="Strong"/>
          <w:rFonts w:ascii="Arial" w:hAnsi="Arial" w:cs="Arial"/>
          <w:b w:val="0"/>
          <w:sz w:val="20"/>
          <w:szCs w:val="20"/>
        </w:rPr>
        <w:t>1067.15 cm</w:t>
      </w:r>
      <w:r w:rsidR="00A24957" w:rsidRPr="00F36C9C">
        <w:rPr>
          <w:rStyle w:val="Strong"/>
          <w:rFonts w:ascii="Cambria Math" w:hAnsi="Cambria Math" w:cs="Cambria Math"/>
          <w:b w:val="0"/>
          <w:sz w:val="20"/>
          <w:szCs w:val="20"/>
        </w:rPr>
        <w:t>⁻</w:t>
      </w:r>
      <w:r w:rsidR="00A24957" w:rsidRPr="00F36C9C">
        <w:rPr>
          <w:rStyle w:val="Strong"/>
          <w:rFonts w:ascii="Arial" w:hAnsi="Arial" w:cs="Arial"/>
          <w:b w:val="0"/>
          <w:sz w:val="20"/>
          <w:szCs w:val="20"/>
        </w:rPr>
        <w:t>¹</w:t>
      </w:r>
      <w:r w:rsidR="00A24957" w:rsidRPr="00F36C9C">
        <w:rPr>
          <w:rFonts w:ascii="Arial" w:hAnsi="Arial" w:cs="Arial"/>
          <w:sz w:val="20"/>
          <w:szCs w:val="20"/>
        </w:rPr>
        <w:t xml:space="preserve"> represented </w:t>
      </w:r>
      <w:r w:rsidR="00A24957" w:rsidRPr="00F36C9C">
        <w:rPr>
          <w:rStyle w:val="Strong"/>
          <w:rFonts w:ascii="Arial" w:hAnsi="Arial" w:cs="Arial"/>
          <w:b w:val="0"/>
          <w:sz w:val="20"/>
          <w:szCs w:val="20"/>
        </w:rPr>
        <w:t>C–O stretching vibrations</w:t>
      </w:r>
      <w:r w:rsidR="00A24957" w:rsidRPr="00F36C9C">
        <w:rPr>
          <w:rFonts w:ascii="Arial" w:hAnsi="Arial" w:cs="Arial"/>
          <w:sz w:val="20"/>
          <w:szCs w:val="20"/>
        </w:rPr>
        <w:t xml:space="preserve"> of secondary cyclic alcohols within five- or six-membered alicyclic rings. These characteristic absorption bands are consistent with the structural features of cardiac glycosides and support the presence of oxygenated bioactive metabolites with potential antimicrobial properties (Silverstein et al., 2005).</w:t>
      </w:r>
    </w:p>
    <w:p w14:paraId="099B41BA" w14:textId="26FC463D" w:rsidR="00D94E70" w:rsidRPr="00F36C9C" w:rsidRDefault="00D94E70" w:rsidP="00D94E70">
      <w:pPr>
        <w:spacing w:line="480" w:lineRule="auto"/>
        <w:jc w:val="both"/>
        <w:rPr>
          <w:rFonts w:ascii="Arial" w:hAnsi="Arial" w:cs="Arial"/>
          <w:b/>
          <w:bCs/>
          <w:sz w:val="20"/>
          <w:szCs w:val="20"/>
        </w:rPr>
      </w:pPr>
    </w:p>
    <w:p w14:paraId="24352F00" w14:textId="77777777" w:rsidR="00D94E70" w:rsidRPr="00F36C9C" w:rsidRDefault="00D94E70" w:rsidP="00D94E70">
      <w:pPr>
        <w:spacing w:line="480" w:lineRule="auto"/>
        <w:jc w:val="both"/>
        <w:rPr>
          <w:rFonts w:ascii="Arial" w:hAnsi="Arial" w:cs="Arial"/>
          <w:b/>
          <w:bCs/>
          <w:sz w:val="20"/>
          <w:szCs w:val="20"/>
        </w:rPr>
      </w:pPr>
    </w:p>
    <w:p w14:paraId="2758CFD8" w14:textId="77777777" w:rsidR="00D94E70" w:rsidRPr="00F36C9C" w:rsidRDefault="00D94E70" w:rsidP="00D94E70">
      <w:pPr>
        <w:spacing w:line="480" w:lineRule="auto"/>
        <w:jc w:val="both"/>
        <w:rPr>
          <w:rFonts w:ascii="Arial" w:hAnsi="Arial" w:cs="Arial"/>
          <w:b/>
          <w:bCs/>
          <w:sz w:val="20"/>
          <w:szCs w:val="20"/>
        </w:rPr>
      </w:pPr>
    </w:p>
    <w:p w14:paraId="3ACE6EBD" w14:textId="77777777" w:rsidR="000955F6" w:rsidRPr="00F36C9C" w:rsidRDefault="000955F6" w:rsidP="00D94E70">
      <w:pPr>
        <w:spacing w:line="480" w:lineRule="auto"/>
        <w:jc w:val="both"/>
        <w:rPr>
          <w:rFonts w:ascii="Arial" w:hAnsi="Arial" w:cs="Arial"/>
          <w:b/>
          <w:bCs/>
          <w:sz w:val="20"/>
          <w:szCs w:val="20"/>
        </w:rPr>
      </w:pPr>
    </w:p>
    <w:p w14:paraId="3D8303B6" w14:textId="6214BFC8" w:rsidR="00FC4877" w:rsidRPr="00F36C9C" w:rsidRDefault="000955F6" w:rsidP="00D94E70">
      <w:pPr>
        <w:spacing w:line="480" w:lineRule="auto"/>
        <w:jc w:val="both"/>
        <w:rPr>
          <w:rFonts w:ascii="Arial" w:hAnsi="Arial" w:cs="Arial"/>
          <w:b/>
          <w:bCs/>
          <w:sz w:val="20"/>
          <w:szCs w:val="20"/>
        </w:rPr>
      </w:pPr>
      <w:r w:rsidRPr="00F36C9C">
        <w:rPr>
          <w:rFonts w:ascii="Arial" w:hAnsi="Arial" w:cs="Arial"/>
          <w:b/>
          <w:bCs/>
          <w:sz w:val="20"/>
          <w:szCs w:val="20"/>
        </w:rPr>
        <w:t>Fig. 1. FTIR spectrum of crude cardiac glycosides</w:t>
      </w:r>
      <w:r w:rsidRPr="00F36C9C">
        <w:rPr>
          <w:rFonts w:ascii="Arial" w:hAnsi="Arial" w:cs="Arial"/>
          <w:b/>
          <w:bCs/>
          <w:noProof/>
          <w:sz w:val="20"/>
          <w:szCs w:val="20"/>
        </w:rPr>
        <w:t xml:space="preserve"> </w:t>
      </w:r>
    </w:p>
    <w:p w14:paraId="72F631D7" w14:textId="784AF71A" w:rsidR="00691A01" w:rsidRPr="00F36C9C" w:rsidRDefault="00691A01" w:rsidP="00D94E70">
      <w:pPr>
        <w:spacing w:line="480" w:lineRule="auto"/>
        <w:jc w:val="both"/>
        <w:rPr>
          <w:rFonts w:ascii="Arial" w:hAnsi="Arial" w:cs="Arial"/>
          <w:b/>
          <w:bCs/>
          <w:sz w:val="20"/>
          <w:szCs w:val="20"/>
        </w:rPr>
      </w:pPr>
    </w:p>
    <w:p w14:paraId="401CBBE1" w14:textId="77777777" w:rsidR="00D94E70" w:rsidRPr="00F36C9C" w:rsidRDefault="00D94E70" w:rsidP="00D94E70">
      <w:pPr>
        <w:spacing w:line="480" w:lineRule="auto"/>
        <w:jc w:val="both"/>
        <w:rPr>
          <w:rFonts w:ascii="Arial" w:hAnsi="Arial" w:cs="Arial"/>
          <w:b/>
          <w:i/>
          <w:iCs/>
          <w:sz w:val="20"/>
          <w:szCs w:val="20"/>
        </w:rPr>
      </w:pPr>
    </w:p>
    <w:p w14:paraId="296085AD" w14:textId="77777777" w:rsidR="00D94E70" w:rsidRPr="00F36C9C" w:rsidRDefault="00D94E70" w:rsidP="00D94E70">
      <w:pPr>
        <w:spacing w:line="480" w:lineRule="auto"/>
        <w:jc w:val="both"/>
        <w:rPr>
          <w:rFonts w:ascii="Arial" w:hAnsi="Arial" w:cs="Arial"/>
          <w:b/>
          <w:bCs/>
          <w:sz w:val="20"/>
          <w:szCs w:val="20"/>
        </w:rPr>
      </w:pPr>
    </w:p>
    <w:p w14:paraId="76F4F6A4" w14:textId="77777777" w:rsidR="00D94E70" w:rsidRPr="00F36C9C" w:rsidRDefault="00D94E70" w:rsidP="00D94E70">
      <w:pPr>
        <w:spacing w:line="480" w:lineRule="auto"/>
        <w:jc w:val="both"/>
        <w:rPr>
          <w:rFonts w:ascii="Arial" w:hAnsi="Arial" w:cs="Arial"/>
          <w:b/>
          <w:bCs/>
          <w:sz w:val="20"/>
          <w:szCs w:val="20"/>
        </w:rPr>
      </w:pPr>
    </w:p>
    <w:p w14:paraId="3B14E87D" w14:textId="790ADFD8" w:rsidR="00D94E70" w:rsidRPr="00F36C9C" w:rsidRDefault="00A24957" w:rsidP="00D94E70">
      <w:pPr>
        <w:spacing w:line="480" w:lineRule="auto"/>
        <w:jc w:val="both"/>
        <w:rPr>
          <w:rFonts w:ascii="Arial" w:hAnsi="Arial" w:cs="Arial"/>
          <w:b/>
          <w:i/>
          <w:iCs/>
          <w:sz w:val="20"/>
          <w:szCs w:val="20"/>
        </w:rPr>
      </w:pPr>
      <w:r w:rsidRPr="00F36C9C">
        <w:rPr>
          <w:rFonts w:ascii="Arial" w:hAnsi="Arial" w:cs="Arial"/>
          <w:b/>
          <w:bCs/>
          <w:noProof/>
          <w:sz w:val="20"/>
          <w:szCs w:val="20"/>
        </w:rPr>
        <w:drawing>
          <wp:anchor distT="0" distB="0" distL="114300" distR="114300" simplePos="0" relativeHeight="251668480" behindDoc="0" locked="0" layoutInCell="1" allowOverlap="1" wp14:anchorId="29E1A12E" wp14:editId="67005600">
            <wp:simplePos x="0" y="0"/>
            <wp:positionH relativeFrom="margin">
              <wp:align>right</wp:align>
            </wp:positionH>
            <wp:positionV relativeFrom="paragraph">
              <wp:posOffset>277495</wp:posOffset>
            </wp:positionV>
            <wp:extent cx="5942330" cy="1676400"/>
            <wp:effectExtent l="0" t="0" r="127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233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E70" w:rsidRPr="00F36C9C">
        <w:rPr>
          <w:rFonts w:ascii="Arial" w:hAnsi="Arial" w:cs="Arial"/>
          <w:b/>
          <w:sz w:val="20"/>
          <w:szCs w:val="20"/>
        </w:rPr>
        <w:t xml:space="preserve">Fig. 2. FTIR spectrum of crude alkaloid </w:t>
      </w:r>
    </w:p>
    <w:p w14:paraId="2C27DD8D" w14:textId="4D23FF6D" w:rsidR="00D94E70" w:rsidRPr="00F36C9C" w:rsidRDefault="00D94E70" w:rsidP="00D94E70">
      <w:pPr>
        <w:spacing w:line="480" w:lineRule="auto"/>
        <w:jc w:val="both"/>
        <w:rPr>
          <w:rFonts w:ascii="Arial" w:hAnsi="Arial" w:cs="Arial"/>
          <w:b/>
          <w:i/>
          <w:iCs/>
          <w:sz w:val="20"/>
          <w:szCs w:val="20"/>
        </w:rPr>
      </w:pPr>
    </w:p>
    <w:p w14:paraId="106B3168" w14:textId="77777777" w:rsidR="00D94E70" w:rsidRPr="00F36C9C" w:rsidRDefault="00D94E70" w:rsidP="00D94E70">
      <w:pPr>
        <w:spacing w:line="480" w:lineRule="auto"/>
        <w:jc w:val="both"/>
        <w:rPr>
          <w:rFonts w:ascii="Arial" w:hAnsi="Arial" w:cs="Arial"/>
          <w:b/>
          <w:bCs/>
          <w:sz w:val="20"/>
          <w:szCs w:val="20"/>
        </w:rPr>
      </w:pPr>
    </w:p>
    <w:p w14:paraId="7B532BAF" w14:textId="77777777" w:rsidR="00D94E70" w:rsidRPr="00F36C9C" w:rsidRDefault="00D94E70" w:rsidP="00D94E70">
      <w:pPr>
        <w:spacing w:line="480" w:lineRule="auto"/>
        <w:jc w:val="both"/>
        <w:rPr>
          <w:rFonts w:ascii="Arial" w:hAnsi="Arial" w:cs="Arial"/>
          <w:b/>
          <w:bCs/>
          <w:sz w:val="20"/>
          <w:szCs w:val="20"/>
        </w:rPr>
      </w:pPr>
    </w:p>
    <w:p w14:paraId="40BFCEA9" w14:textId="77777777" w:rsidR="00D94E70" w:rsidRPr="00F36C9C" w:rsidRDefault="00D94E70" w:rsidP="00D94E70">
      <w:pPr>
        <w:spacing w:line="480" w:lineRule="auto"/>
        <w:jc w:val="both"/>
        <w:rPr>
          <w:rFonts w:ascii="Arial" w:hAnsi="Arial" w:cs="Arial"/>
          <w:b/>
          <w:bCs/>
          <w:sz w:val="20"/>
          <w:szCs w:val="20"/>
        </w:rPr>
      </w:pPr>
    </w:p>
    <w:p w14:paraId="3E0EA41D" w14:textId="40C87485" w:rsidR="00D94E70" w:rsidRPr="00F36C9C" w:rsidRDefault="00D94E70" w:rsidP="00D94E70">
      <w:pPr>
        <w:spacing w:line="480" w:lineRule="auto"/>
        <w:jc w:val="both"/>
        <w:rPr>
          <w:rFonts w:ascii="Arial" w:hAnsi="Arial" w:cs="Arial"/>
          <w:b/>
          <w:sz w:val="20"/>
          <w:szCs w:val="20"/>
        </w:rPr>
      </w:pPr>
      <w:r w:rsidRPr="00F36C9C">
        <w:rPr>
          <w:rFonts w:ascii="Arial" w:hAnsi="Arial" w:cs="Arial"/>
          <w:b/>
          <w:sz w:val="20"/>
          <w:szCs w:val="20"/>
        </w:rPr>
        <w:t xml:space="preserve">Fig. 3. FTIR spectrum of crude flavonoids </w:t>
      </w:r>
    </w:p>
    <w:p w14:paraId="3CB2352F" w14:textId="77777777" w:rsidR="003713E0" w:rsidRPr="00F36C9C" w:rsidRDefault="003713E0" w:rsidP="003713E0">
      <w:pPr>
        <w:jc w:val="both"/>
        <w:rPr>
          <w:rFonts w:ascii="Arial" w:hAnsi="Arial" w:cs="Arial"/>
          <w:sz w:val="20"/>
          <w:szCs w:val="20"/>
        </w:rPr>
      </w:pPr>
      <w:r w:rsidRPr="00F36C9C">
        <w:rPr>
          <w:rFonts w:ascii="Arial" w:hAnsi="Arial" w:cs="Arial"/>
          <w:sz w:val="20"/>
          <w:szCs w:val="20"/>
        </w:rPr>
        <w:t xml:space="preserve">The FTIR spectrum of the </w:t>
      </w:r>
      <w:r w:rsidRPr="00F36C9C">
        <w:rPr>
          <w:rStyle w:val="Strong"/>
          <w:rFonts w:ascii="Arial" w:hAnsi="Arial" w:cs="Arial"/>
          <w:b w:val="0"/>
          <w:sz w:val="20"/>
          <w:szCs w:val="20"/>
        </w:rPr>
        <w:t>crude alkaloid fraction</w:t>
      </w:r>
      <w:r w:rsidRPr="00F36C9C">
        <w:rPr>
          <w:rFonts w:ascii="Arial" w:hAnsi="Arial" w:cs="Arial"/>
          <w:b/>
          <w:sz w:val="20"/>
          <w:szCs w:val="20"/>
        </w:rPr>
        <w:t xml:space="preserve"> (</w:t>
      </w:r>
      <w:r w:rsidRPr="00F36C9C">
        <w:rPr>
          <w:rStyle w:val="Strong"/>
          <w:rFonts w:ascii="Arial" w:hAnsi="Arial" w:cs="Arial"/>
          <w:b w:val="0"/>
          <w:sz w:val="20"/>
          <w:szCs w:val="20"/>
        </w:rPr>
        <w:t>Fig. 2</w:t>
      </w:r>
      <w:r w:rsidRPr="00F36C9C">
        <w:rPr>
          <w:rFonts w:ascii="Arial" w:hAnsi="Arial" w:cs="Arial"/>
          <w:sz w:val="20"/>
          <w:szCs w:val="20"/>
        </w:rPr>
        <w:t xml:space="preserve">) revealed a complex chemical profile characteristic of nitrogen-containing secondary metabolites. Strong absorption bands </w:t>
      </w:r>
      <w:r w:rsidRPr="00F36C9C">
        <w:rPr>
          <w:rFonts w:ascii="Arial" w:hAnsi="Arial" w:cs="Arial"/>
          <w:b/>
          <w:sz w:val="20"/>
          <w:szCs w:val="20"/>
        </w:rPr>
        <w:t xml:space="preserve">at </w:t>
      </w:r>
      <w:r w:rsidRPr="00F36C9C">
        <w:rPr>
          <w:rStyle w:val="Strong"/>
          <w:rFonts w:ascii="Arial" w:hAnsi="Arial" w:cs="Arial"/>
          <w:b w:val="0"/>
          <w:sz w:val="20"/>
          <w:szCs w:val="20"/>
        </w:rPr>
        <w:t>2921.38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and </w:t>
      </w:r>
      <w:r w:rsidRPr="00F36C9C">
        <w:rPr>
          <w:rStyle w:val="Strong"/>
          <w:rFonts w:ascii="Arial" w:hAnsi="Arial" w:cs="Arial"/>
          <w:b w:val="0"/>
          <w:sz w:val="20"/>
          <w:szCs w:val="20"/>
        </w:rPr>
        <w:t>2851.56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were assigned to </w:t>
      </w:r>
      <w:r w:rsidRPr="00F36C9C">
        <w:rPr>
          <w:rStyle w:val="Strong"/>
          <w:rFonts w:ascii="Arial" w:hAnsi="Arial" w:cs="Arial"/>
          <w:b w:val="0"/>
          <w:sz w:val="20"/>
          <w:szCs w:val="20"/>
        </w:rPr>
        <w:t>sp³ C–H stretching vibrations</w:t>
      </w:r>
      <w:r w:rsidRPr="00F36C9C">
        <w:rPr>
          <w:rFonts w:ascii="Arial" w:hAnsi="Arial" w:cs="Arial"/>
          <w:sz w:val="20"/>
          <w:szCs w:val="20"/>
        </w:rPr>
        <w:t xml:space="preserve"> arising from methyl, methylene and methine groups. A distinct peak at </w:t>
      </w:r>
      <w:r w:rsidRPr="00F36C9C">
        <w:rPr>
          <w:rStyle w:val="Strong"/>
          <w:rFonts w:ascii="Arial" w:hAnsi="Arial" w:cs="Arial"/>
          <w:b w:val="0"/>
          <w:sz w:val="20"/>
          <w:szCs w:val="20"/>
        </w:rPr>
        <w:t>1711.36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corresponded to the </w:t>
      </w:r>
      <w:r w:rsidRPr="00F36C9C">
        <w:rPr>
          <w:rStyle w:val="Strong"/>
          <w:rFonts w:ascii="Arial" w:hAnsi="Arial" w:cs="Arial"/>
          <w:b w:val="0"/>
          <w:sz w:val="20"/>
          <w:szCs w:val="20"/>
        </w:rPr>
        <w:t>carbonyl (C=O) stretching vibration</w:t>
      </w:r>
      <w:r w:rsidRPr="00F36C9C">
        <w:rPr>
          <w:rFonts w:ascii="Arial" w:hAnsi="Arial" w:cs="Arial"/>
          <w:sz w:val="20"/>
          <w:szCs w:val="20"/>
        </w:rPr>
        <w:t xml:space="preserve"> of carboxylic acids or lactams. Additional absorption bands at </w:t>
      </w:r>
      <w:r w:rsidRPr="00F36C9C">
        <w:rPr>
          <w:rStyle w:val="Strong"/>
          <w:rFonts w:ascii="Arial" w:hAnsi="Arial" w:cs="Arial"/>
          <w:b w:val="0"/>
          <w:sz w:val="20"/>
          <w:szCs w:val="20"/>
        </w:rPr>
        <w:t>1654.00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and </w:t>
      </w:r>
      <w:r w:rsidRPr="00F36C9C">
        <w:rPr>
          <w:rStyle w:val="Strong"/>
          <w:rFonts w:ascii="Arial" w:hAnsi="Arial" w:cs="Arial"/>
          <w:b w:val="0"/>
          <w:sz w:val="20"/>
          <w:szCs w:val="20"/>
        </w:rPr>
        <w:t>1605.09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were attributed to </w:t>
      </w:r>
      <w:r w:rsidRPr="00F36C9C">
        <w:rPr>
          <w:rStyle w:val="Strong"/>
          <w:rFonts w:ascii="Arial" w:hAnsi="Arial" w:cs="Arial"/>
          <w:b w:val="0"/>
          <w:sz w:val="20"/>
          <w:szCs w:val="20"/>
        </w:rPr>
        <w:t>N–H bending vibrations</w:t>
      </w:r>
      <w:r w:rsidRPr="00F36C9C">
        <w:rPr>
          <w:rFonts w:ascii="Arial" w:hAnsi="Arial" w:cs="Arial"/>
          <w:sz w:val="20"/>
          <w:szCs w:val="20"/>
        </w:rPr>
        <w:t xml:space="preserve"> of primary amines and </w:t>
      </w:r>
      <w:r w:rsidRPr="00F36C9C">
        <w:rPr>
          <w:rStyle w:val="Strong"/>
          <w:rFonts w:ascii="Arial" w:hAnsi="Arial" w:cs="Arial"/>
          <w:b w:val="0"/>
          <w:sz w:val="20"/>
          <w:szCs w:val="20"/>
        </w:rPr>
        <w:t>amide carbonyl stretching</w:t>
      </w:r>
      <w:r w:rsidRPr="00F36C9C">
        <w:rPr>
          <w:rFonts w:ascii="Arial" w:hAnsi="Arial" w:cs="Arial"/>
          <w:sz w:val="20"/>
          <w:szCs w:val="20"/>
        </w:rPr>
        <w:t xml:space="preserve">, although the latter band may also indicate terminal </w:t>
      </w:r>
      <w:r w:rsidRPr="00F36C9C">
        <w:rPr>
          <w:rStyle w:val="Strong"/>
          <w:rFonts w:ascii="Arial" w:hAnsi="Arial" w:cs="Arial"/>
          <w:b w:val="0"/>
          <w:sz w:val="20"/>
          <w:szCs w:val="20"/>
        </w:rPr>
        <w:t>C=CH</w:t>
      </w:r>
      <w:r w:rsidRPr="00F36C9C">
        <w:rPr>
          <w:rStyle w:val="Strong"/>
          <w:rFonts w:ascii="Cambria Math" w:hAnsi="Cambria Math" w:cs="Cambria Math"/>
          <w:b w:val="0"/>
          <w:sz w:val="20"/>
          <w:szCs w:val="20"/>
        </w:rPr>
        <w:t>₂</w:t>
      </w:r>
      <w:r w:rsidRPr="00F36C9C">
        <w:rPr>
          <w:rStyle w:val="Strong"/>
          <w:rFonts w:ascii="Arial" w:hAnsi="Arial" w:cs="Arial"/>
          <w:b w:val="0"/>
          <w:sz w:val="20"/>
          <w:szCs w:val="20"/>
        </w:rPr>
        <w:t xml:space="preserve"> stretching</w:t>
      </w:r>
      <w:r w:rsidRPr="00F36C9C">
        <w:rPr>
          <w:rFonts w:ascii="Arial" w:hAnsi="Arial" w:cs="Arial"/>
          <w:sz w:val="20"/>
          <w:szCs w:val="20"/>
        </w:rPr>
        <w:t xml:space="preserve"> in substituted aromatic systems. The peak at </w:t>
      </w:r>
      <w:r w:rsidRPr="00F36C9C">
        <w:rPr>
          <w:rStyle w:val="Strong"/>
          <w:rFonts w:ascii="Arial" w:hAnsi="Arial" w:cs="Arial"/>
          <w:b w:val="0"/>
          <w:sz w:val="20"/>
          <w:szCs w:val="20"/>
        </w:rPr>
        <w:t>1243.05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was assigned to </w:t>
      </w:r>
      <w:r w:rsidRPr="00F36C9C">
        <w:rPr>
          <w:rStyle w:val="Strong"/>
          <w:rFonts w:ascii="Arial" w:hAnsi="Arial" w:cs="Arial"/>
          <w:b w:val="0"/>
          <w:sz w:val="20"/>
          <w:szCs w:val="20"/>
        </w:rPr>
        <w:t>C–N stretching vibrations</w:t>
      </w:r>
      <w:r w:rsidRPr="00F36C9C">
        <w:rPr>
          <w:rFonts w:ascii="Arial" w:hAnsi="Arial" w:cs="Arial"/>
          <w:sz w:val="20"/>
          <w:szCs w:val="20"/>
        </w:rPr>
        <w:t xml:space="preserve"> of primary, secondary and tertiary aliphatic amines, while the bands at </w:t>
      </w:r>
      <w:r w:rsidRPr="00F36C9C">
        <w:rPr>
          <w:rStyle w:val="Strong"/>
          <w:rFonts w:ascii="Arial" w:hAnsi="Arial" w:cs="Arial"/>
          <w:b w:val="0"/>
          <w:sz w:val="20"/>
          <w:szCs w:val="20"/>
        </w:rPr>
        <w:t>1158.00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b/>
          <w:sz w:val="20"/>
          <w:szCs w:val="20"/>
        </w:rPr>
        <w:t xml:space="preserve"> </w:t>
      </w:r>
      <w:r w:rsidRPr="00F36C9C">
        <w:rPr>
          <w:rFonts w:ascii="Arial" w:hAnsi="Arial" w:cs="Arial"/>
          <w:sz w:val="20"/>
          <w:szCs w:val="20"/>
        </w:rPr>
        <w:t>and</w:t>
      </w:r>
      <w:r w:rsidRPr="00F36C9C">
        <w:rPr>
          <w:rFonts w:ascii="Arial" w:hAnsi="Arial" w:cs="Arial"/>
          <w:b/>
          <w:sz w:val="20"/>
          <w:szCs w:val="20"/>
        </w:rPr>
        <w:t xml:space="preserve"> </w:t>
      </w:r>
      <w:r w:rsidRPr="00F36C9C">
        <w:rPr>
          <w:rStyle w:val="Strong"/>
          <w:rFonts w:ascii="Arial" w:hAnsi="Arial" w:cs="Arial"/>
          <w:b w:val="0"/>
          <w:sz w:val="20"/>
          <w:szCs w:val="20"/>
        </w:rPr>
        <w:t>1032.61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corresponded to </w:t>
      </w:r>
      <w:r w:rsidRPr="00F36C9C">
        <w:rPr>
          <w:rStyle w:val="Strong"/>
          <w:rFonts w:ascii="Arial" w:hAnsi="Arial" w:cs="Arial"/>
          <w:b w:val="0"/>
          <w:sz w:val="20"/>
          <w:szCs w:val="20"/>
        </w:rPr>
        <w:t>C–O stretching vibrations</w:t>
      </w:r>
      <w:r w:rsidRPr="00F36C9C">
        <w:rPr>
          <w:rFonts w:ascii="Arial" w:hAnsi="Arial" w:cs="Arial"/>
          <w:sz w:val="20"/>
          <w:szCs w:val="20"/>
        </w:rPr>
        <w:t xml:space="preserve"> of alcohols and phenols. Furthermore, the absorption at </w:t>
      </w:r>
      <w:r w:rsidRPr="00F36C9C">
        <w:rPr>
          <w:rStyle w:val="Strong"/>
          <w:rFonts w:ascii="Arial" w:hAnsi="Arial" w:cs="Arial"/>
          <w:b w:val="0"/>
          <w:sz w:val="20"/>
          <w:szCs w:val="20"/>
        </w:rPr>
        <w:t>1376.00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indicated </w:t>
      </w:r>
      <w:r w:rsidRPr="00F36C9C">
        <w:rPr>
          <w:rStyle w:val="Strong"/>
          <w:rFonts w:ascii="Arial" w:hAnsi="Arial" w:cs="Arial"/>
          <w:b w:val="0"/>
          <w:sz w:val="20"/>
          <w:szCs w:val="20"/>
        </w:rPr>
        <w:t>C–H bending vibrations</w:t>
      </w:r>
      <w:r w:rsidRPr="00F36C9C">
        <w:rPr>
          <w:rFonts w:ascii="Arial" w:hAnsi="Arial" w:cs="Arial"/>
          <w:sz w:val="20"/>
          <w:szCs w:val="20"/>
        </w:rPr>
        <w:t xml:space="preserve"> of tert-butyl and isopropyl groups, whereas the peaks at </w:t>
      </w:r>
      <w:r w:rsidRPr="00F36C9C">
        <w:rPr>
          <w:rStyle w:val="Strong"/>
          <w:rFonts w:ascii="Arial" w:hAnsi="Arial" w:cs="Arial"/>
          <w:b w:val="0"/>
          <w:sz w:val="20"/>
          <w:szCs w:val="20"/>
        </w:rPr>
        <w:t>839.54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and </w:t>
      </w:r>
      <w:r w:rsidRPr="00F36C9C">
        <w:rPr>
          <w:rStyle w:val="Strong"/>
          <w:rFonts w:ascii="Arial" w:hAnsi="Arial" w:cs="Arial"/>
          <w:b w:val="0"/>
          <w:sz w:val="20"/>
          <w:szCs w:val="20"/>
        </w:rPr>
        <w:t>719.95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were assigned to </w:t>
      </w:r>
      <w:r w:rsidRPr="00F36C9C">
        <w:rPr>
          <w:rStyle w:val="Strong"/>
          <w:rFonts w:ascii="Arial" w:hAnsi="Arial" w:cs="Arial"/>
          <w:b w:val="0"/>
          <w:sz w:val="20"/>
          <w:szCs w:val="20"/>
        </w:rPr>
        <w:t>N–H wagging</w:t>
      </w:r>
      <w:r w:rsidRPr="00F36C9C">
        <w:rPr>
          <w:rFonts w:ascii="Arial" w:hAnsi="Arial" w:cs="Arial"/>
          <w:sz w:val="20"/>
          <w:szCs w:val="20"/>
        </w:rPr>
        <w:t xml:space="preserve"> or aromatic </w:t>
      </w:r>
      <w:r w:rsidRPr="00F36C9C">
        <w:rPr>
          <w:rStyle w:val="Strong"/>
          <w:rFonts w:ascii="Arial" w:hAnsi="Arial" w:cs="Arial"/>
          <w:b w:val="0"/>
          <w:sz w:val="20"/>
          <w:szCs w:val="20"/>
        </w:rPr>
        <w:t>C–H out-of-plane</w:t>
      </w:r>
      <w:r w:rsidRPr="00F36C9C">
        <w:rPr>
          <w:rStyle w:val="Strong"/>
          <w:rFonts w:ascii="Arial" w:hAnsi="Arial" w:cs="Arial"/>
          <w:sz w:val="20"/>
          <w:szCs w:val="20"/>
        </w:rPr>
        <w:t xml:space="preserve"> </w:t>
      </w:r>
      <w:r w:rsidRPr="00F36C9C">
        <w:rPr>
          <w:rStyle w:val="Strong"/>
          <w:rFonts w:ascii="Arial" w:hAnsi="Arial" w:cs="Arial"/>
          <w:b w:val="0"/>
          <w:sz w:val="20"/>
          <w:szCs w:val="20"/>
        </w:rPr>
        <w:t>bending</w:t>
      </w:r>
      <w:r w:rsidRPr="00F36C9C">
        <w:rPr>
          <w:rFonts w:ascii="Arial" w:hAnsi="Arial" w:cs="Arial"/>
          <w:sz w:val="20"/>
          <w:szCs w:val="20"/>
        </w:rPr>
        <w:t xml:space="preserve"> vibrations. These characteristic functional groups confirm the successful isolation of alkaloidal compounds and agree with standard FTIR spectral assignments for nitrogen-containing phytochemicals (Silverstein et al., 2005).</w:t>
      </w:r>
    </w:p>
    <w:p w14:paraId="1BAF20D2" w14:textId="77777777" w:rsidR="003713E0" w:rsidRPr="00F36C9C" w:rsidRDefault="003713E0" w:rsidP="003713E0">
      <w:pPr>
        <w:jc w:val="both"/>
        <w:rPr>
          <w:rFonts w:ascii="Arial" w:hAnsi="Arial" w:cs="Arial"/>
          <w:sz w:val="20"/>
          <w:szCs w:val="20"/>
        </w:rPr>
      </w:pPr>
      <w:r w:rsidRPr="00F36C9C">
        <w:rPr>
          <w:rFonts w:ascii="Arial" w:hAnsi="Arial" w:cs="Arial"/>
          <w:sz w:val="20"/>
          <w:szCs w:val="20"/>
        </w:rPr>
        <w:t xml:space="preserve">The FTIR spectrum of the </w:t>
      </w:r>
      <w:r w:rsidRPr="00F36C9C">
        <w:rPr>
          <w:rStyle w:val="Strong"/>
          <w:rFonts w:ascii="Arial" w:hAnsi="Arial" w:cs="Arial"/>
          <w:b w:val="0"/>
          <w:sz w:val="20"/>
          <w:szCs w:val="20"/>
        </w:rPr>
        <w:t>crude flavonoid fraction</w:t>
      </w:r>
      <w:r w:rsidRPr="00F36C9C">
        <w:rPr>
          <w:rFonts w:ascii="Arial" w:hAnsi="Arial" w:cs="Arial"/>
          <w:sz w:val="20"/>
          <w:szCs w:val="20"/>
        </w:rPr>
        <w:t xml:space="preserve"> (</w:t>
      </w:r>
      <w:r w:rsidRPr="00F36C9C">
        <w:rPr>
          <w:rStyle w:val="Strong"/>
          <w:rFonts w:ascii="Arial" w:hAnsi="Arial" w:cs="Arial"/>
          <w:b w:val="0"/>
          <w:sz w:val="20"/>
          <w:szCs w:val="20"/>
        </w:rPr>
        <w:t>Fig. 3</w:t>
      </w:r>
      <w:r w:rsidRPr="00F36C9C">
        <w:rPr>
          <w:rFonts w:ascii="Arial" w:hAnsi="Arial" w:cs="Arial"/>
          <w:sz w:val="20"/>
          <w:szCs w:val="20"/>
        </w:rPr>
        <w:t xml:space="preserve">) exhibited several prominent absorption bands typical of polyphenolic compounds. A broad peak at </w:t>
      </w:r>
      <w:r w:rsidRPr="00F36C9C">
        <w:rPr>
          <w:rStyle w:val="Strong"/>
          <w:rFonts w:ascii="Arial" w:hAnsi="Arial" w:cs="Arial"/>
          <w:b w:val="0"/>
          <w:sz w:val="20"/>
          <w:szCs w:val="20"/>
        </w:rPr>
        <w:t>3235.29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corresponded to </w:t>
      </w:r>
      <w:r w:rsidRPr="00F36C9C">
        <w:rPr>
          <w:rStyle w:val="Strong"/>
          <w:rFonts w:ascii="Arial" w:hAnsi="Arial" w:cs="Arial"/>
          <w:b w:val="0"/>
          <w:sz w:val="20"/>
          <w:szCs w:val="20"/>
        </w:rPr>
        <w:t>O–H stretching vibrations</w:t>
      </w:r>
      <w:r w:rsidRPr="00F36C9C">
        <w:rPr>
          <w:rFonts w:ascii="Arial" w:hAnsi="Arial" w:cs="Arial"/>
          <w:sz w:val="20"/>
          <w:szCs w:val="20"/>
        </w:rPr>
        <w:t xml:space="preserve"> of hydroxyl groups in alcohols and phenols, reflecting the highly hydroxylated nature of flavonoids. The absorption band at </w:t>
      </w:r>
      <w:r w:rsidRPr="00F36C9C">
        <w:rPr>
          <w:rStyle w:val="Strong"/>
          <w:rFonts w:ascii="Arial" w:hAnsi="Arial" w:cs="Arial"/>
          <w:b w:val="0"/>
          <w:sz w:val="20"/>
          <w:szCs w:val="20"/>
        </w:rPr>
        <w:t>2927.20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was assigned to </w:t>
      </w:r>
      <w:r w:rsidRPr="00F36C9C">
        <w:rPr>
          <w:rStyle w:val="Strong"/>
          <w:rFonts w:ascii="Arial" w:hAnsi="Arial" w:cs="Arial"/>
          <w:b w:val="0"/>
          <w:sz w:val="20"/>
          <w:szCs w:val="20"/>
        </w:rPr>
        <w:t>O–H stretching</w:t>
      </w:r>
      <w:r w:rsidRPr="00F36C9C">
        <w:rPr>
          <w:rFonts w:ascii="Arial" w:hAnsi="Arial" w:cs="Arial"/>
          <w:sz w:val="20"/>
          <w:szCs w:val="20"/>
        </w:rPr>
        <w:t xml:space="preserve"> associated with carboxylic acid groups. A strong band at </w:t>
      </w:r>
      <w:r w:rsidRPr="00F36C9C">
        <w:rPr>
          <w:rStyle w:val="Strong"/>
          <w:rFonts w:ascii="Arial" w:hAnsi="Arial" w:cs="Arial"/>
          <w:b w:val="0"/>
          <w:sz w:val="20"/>
          <w:szCs w:val="20"/>
        </w:rPr>
        <w:t>1584.07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represented </w:t>
      </w:r>
      <w:r w:rsidRPr="00F36C9C">
        <w:rPr>
          <w:rStyle w:val="Strong"/>
          <w:rFonts w:ascii="Arial" w:hAnsi="Arial" w:cs="Arial"/>
          <w:b w:val="0"/>
          <w:sz w:val="20"/>
          <w:szCs w:val="20"/>
        </w:rPr>
        <w:t>aromatic C=C stretching vibrations</w:t>
      </w:r>
      <w:r w:rsidRPr="00F36C9C">
        <w:rPr>
          <w:rFonts w:ascii="Arial" w:hAnsi="Arial" w:cs="Arial"/>
          <w:sz w:val="20"/>
          <w:szCs w:val="20"/>
        </w:rPr>
        <w:t xml:space="preserve">, confirming the benzene ring system characteristic of flavonoid structures. Additional absorption bands at </w:t>
      </w:r>
      <w:r w:rsidRPr="00F36C9C">
        <w:rPr>
          <w:rStyle w:val="Strong"/>
          <w:rFonts w:ascii="Arial" w:hAnsi="Arial" w:cs="Arial"/>
          <w:b w:val="0"/>
          <w:sz w:val="20"/>
          <w:szCs w:val="20"/>
        </w:rPr>
        <w:t>1257.20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b/>
          <w:sz w:val="20"/>
          <w:szCs w:val="20"/>
        </w:rPr>
        <w:t xml:space="preserve">, </w:t>
      </w:r>
      <w:r w:rsidRPr="00F36C9C">
        <w:rPr>
          <w:rStyle w:val="Strong"/>
          <w:rFonts w:ascii="Arial" w:hAnsi="Arial" w:cs="Arial"/>
          <w:b w:val="0"/>
          <w:sz w:val="20"/>
          <w:szCs w:val="20"/>
        </w:rPr>
        <w:t>1157.55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b/>
          <w:sz w:val="20"/>
          <w:szCs w:val="20"/>
        </w:rPr>
        <w:t xml:space="preserve"> </w:t>
      </w:r>
      <w:r w:rsidRPr="00F36C9C">
        <w:rPr>
          <w:rFonts w:ascii="Arial" w:hAnsi="Arial" w:cs="Arial"/>
          <w:sz w:val="20"/>
          <w:szCs w:val="20"/>
        </w:rPr>
        <w:t>and</w:t>
      </w:r>
      <w:r w:rsidRPr="00F36C9C">
        <w:rPr>
          <w:rFonts w:ascii="Arial" w:hAnsi="Arial" w:cs="Arial"/>
          <w:b/>
          <w:sz w:val="20"/>
          <w:szCs w:val="20"/>
        </w:rPr>
        <w:t xml:space="preserve"> </w:t>
      </w:r>
      <w:r w:rsidRPr="00F36C9C">
        <w:rPr>
          <w:rStyle w:val="Strong"/>
          <w:rFonts w:ascii="Arial" w:hAnsi="Arial" w:cs="Arial"/>
          <w:b w:val="0"/>
          <w:sz w:val="20"/>
          <w:szCs w:val="20"/>
        </w:rPr>
        <w:t>1074.68 cm</w:t>
      </w:r>
      <w:r w:rsidRPr="00F36C9C">
        <w:rPr>
          <w:rStyle w:val="Strong"/>
          <w:rFonts w:ascii="Cambria Math" w:hAnsi="Cambria Math" w:cs="Cambria Math"/>
          <w:b w:val="0"/>
          <w:sz w:val="20"/>
          <w:szCs w:val="20"/>
        </w:rPr>
        <w:t>⁻</w:t>
      </w:r>
      <w:r w:rsidRPr="00F36C9C">
        <w:rPr>
          <w:rStyle w:val="Strong"/>
          <w:rFonts w:ascii="Arial" w:hAnsi="Arial" w:cs="Arial"/>
          <w:b w:val="0"/>
          <w:sz w:val="20"/>
          <w:szCs w:val="20"/>
        </w:rPr>
        <w:t>¹</w:t>
      </w:r>
      <w:r w:rsidRPr="00F36C9C">
        <w:rPr>
          <w:rFonts w:ascii="Arial" w:hAnsi="Arial" w:cs="Arial"/>
          <w:sz w:val="20"/>
          <w:szCs w:val="20"/>
        </w:rPr>
        <w:t xml:space="preserve"> were attributed to </w:t>
      </w:r>
      <w:r w:rsidRPr="00F36C9C">
        <w:rPr>
          <w:rStyle w:val="Strong"/>
          <w:rFonts w:ascii="Arial" w:hAnsi="Arial" w:cs="Arial"/>
          <w:b w:val="0"/>
          <w:sz w:val="20"/>
          <w:szCs w:val="20"/>
        </w:rPr>
        <w:t>C–O stretching vibrations</w:t>
      </w:r>
      <w:r w:rsidRPr="00F36C9C">
        <w:rPr>
          <w:rFonts w:ascii="Arial" w:hAnsi="Arial" w:cs="Arial"/>
          <w:sz w:val="20"/>
          <w:szCs w:val="20"/>
        </w:rPr>
        <w:t xml:space="preserve"> of phenolic and alcoholic functional groups. These spectral characteristics are consistent with those commonly reported for flavonoids and other polyphenolic compounds (Silverstein et al., 2005).</w:t>
      </w:r>
    </w:p>
    <w:p w14:paraId="652AF97E" w14:textId="2CE78FFC" w:rsidR="003713E0" w:rsidRPr="00F36C9C" w:rsidRDefault="003713E0" w:rsidP="00691A01">
      <w:pPr>
        <w:jc w:val="both"/>
        <w:rPr>
          <w:rFonts w:ascii="Arial" w:hAnsi="Arial" w:cs="Arial"/>
          <w:sz w:val="20"/>
          <w:szCs w:val="20"/>
        </w:rPr>
      </w:pPr>
      <w:r w:rsidRPr="00F36C9C">
        <w:rPr>
          <w:rFonts w:ascii="Arial" w:hAnsi="Arial" w:cs="Arial"/>
          <w:sz w:val="20"/>
          <w:szCs w:val="20"/>
        </w:rPr>
        <w:t xml:space="preserve">The FTIR spectra of the cardiac glycoside, alkaloid and flavonoid fractions confirmed the presence of diverse functional groups, including hydroxyl, carbonyl, amino, aromatic and ether linkages, all of which are characteristic of pharmacologically active phytochemicals. These functional groups are known to contribute to antimicrobial activity through mechanisms such as disruption of microbial cell membranes, inhibition of essential enzymes, interference with nucleic acid synthesis and modulation of oxidative stress. Consequently, the FTIR findings corroborate the phytochemical screening results and provide molecular evidence supporting the antimicrobial potential of </w:t>
      </w:r>
      <w:r w:rsidRPr="00F36C9C">
        <w:rPr>
          <w:rStyle w:val="Emphasis"/>
          <w:rFonts w:ascii="Arial" w:hAnsi="Arial" w:cs="Arial"/>
          <w:sz w:val="20"/>
          <w:szCs w:val="20"/>
        </w:rPr>
        <w:t>Mentha piperita</w:t>
      </w:r>
      <w:r w:rsidRPr="00F36C9C">
        <w:rPr>
          <w:rFonts w:ascii="Arial" w:hAnsi="Arial" w:cs="Arial"/>
          <w:sz w:val="20"/>
          <w:szCs w:val="20"/>
        </w:rPr>
        <w:t xml:space="preserve">. The observed spectral assignments are consistent with standard infrared spectroscopic interpretations reported by </w:t>
      </w:r>
      <w:r w:rsidRPr="00F36C9C">
        <w:rPr>
          <w:rStyle w:val="Strong"/>
          <w:rFonts w:ascii="Arial" w:hAnsi="Arial" w:cs="Arial"/>
          <w:b w:val="0"/>
          <w:sz w:val="20"/>
          <w:szCs w:val="20"/>
        </w:rPr>
        <w:t>Silverstein et al. (2005)</w:t>
      </w:r>
      <w:r w:rsidRPr="00F36C9C">
        <w:rPr>
          <w:rFonts w:ascii="Arial" w:hAnsi="Arial" w:cs="Arial"/>
          <w:sz w:val="20"/>
          <w:szCs w:val="20"/>
        </w:rPr>
        <w:t>, thereby strengthening the reliability of the structural characterization presented in this study.</w:t>
      </w:r>
    </w:p>
    <w:p w14:paraId="19CF3BD8" w14:textId="77777777" w:rsidR="004D7BD3" w:rsidRPr="00F36C9C" w:rsidRDefault="004D7BD3" w:rsidP="00D94E70">
      <w:pPr>
        <w:spacing w:line="240" w:lineRule="auto"/>
        <w:jc w:val="both"/>
        <w:rPr>
          <w:rFonts w:ascii="Arial" w:hAnsi="Arial" w:cs="Arial"/>
          <w:b/>
          <w:bCs/>
          <w:sz w:val="20"/>
          <w:szCs w:val="20"/>
        </w:rPr>
      </w:pPr>
    </w:p>
    <w:p w14:paraId="72661511" w14:textId="77777777" w:rsidR="004D7BD3" w:rsidRPr="00F36C9C" w:rsidRDefault="004D7BD3" w:rsidP="00D94E70">
      <w:pPr>
        <w:spacing w:line="240" w:lineRule="auto"/>
        <w:jc w:val="both"/>
        <w:rPr>
          <w:rFonts w:ascii="Arial" w:hAnsi="Arial" w:cs="Arial"/>
          <w:b/>
          <w:bCs/>
          <w:sz w:val="20"/>
          <w:szCs w:val="20"/>
        </w:rPr>
      </w:pPr>
    </w:p>
    <w:p w14:paraId="52BAC759" w14:textId="464448EF" w:rsidR="00D94E70" w:rsidRPr="00F36C9C" w:rsidRDefault="000955F6" w:rsidP="00D94E70">
      <w:pPr>
        <w:spacing w:line="240" w:lineRule="auto"/>
        <w:jc w:val="both"/>
        <w:rPr>
          <w:rFonts w:ascii="Arial" w:hAnsi="Arial" w:cs="Arial"/>
          <w:b/>
          <w:bCs/>
          <w:sz w:val="20"/>
          <w:szCs w:val="20"/>
        </w:rPr>
      </w:pPr>
      <w:r w:rsidRPr="00F36C9C">
        <w:rPr>
          <w:rFonts w:ascii="Arial" w:hAnsi="Arial" w:cs="Arial"/>
          <w:b/>
          <w:bCs/>
          <w:noProof/>
          <w:sz w:val="20"/>
          <w:szCs w:val="20"/>
        </w:rPr>
        <w:drawing>
          <wp:anchor distT="0" distB="0" distL="114300" distR="114300" simplePos="0" relativeHeight="251667456" behindDoc="0" locked="0" layoutInCell="1" allowOverlap="1" wp14:anchorId="380B4A92" wp14:editId="6AEBC35A">
            <wp:simplePos x="0" y="0"/>
            <wp:positionH relativeFrom="margin">
              <wp:posOffset>-114300</wp:posOffset>
            </wp:positionH>
            <wp:positionV relativeFrom="paragraph">
              <wp:posOffset>-13582650</wp:posOffset>
            </wp:positionV>
            <wp:extent cx="5676900" cy="1447800"/>
            <wp:effectExtent l="0" t="0" r="0" b="0"/>
            <wp:wrapNone/>
            <wp:docPr id="12" name="Picture 12" descr="Screenshot 2023-04-04 22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2023-04-04 2238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69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E70" w:rsidRPr="00F36C9C">
        <w:rPr>
          <w:rFonts w:ascii="Arial" w:hAnsi="Arial" w:cs="Arial"/>
          <w:b/>
          <w:bCs/>
          <w:sz w:val="20"/>
          <w:szCs w:val="20"/>
        </w:rPr>
        <w:t xml:space="preserve">Table </w:t>
      </w:r>
      <w:r w:rsidR="0094173F">
        <w:rPr>
          <w:rFonts w:ascii="Arial" w:hAnsi="Arial" w:cs="Arial"/>
          <w:b/>
          <w:bCs/>
          <w:sz w:val="20"/>
          <w:szCs w:val="20"/>
        </w:rPr>
        <w:t>3</w:t>
      </w:r>
      <w:r w:rsidR="00D94E70" w:rsidRPr="00F36C9C">
        <w:rPr>
          <w:rFonts w:ascii="Arial" w:hAnsi="Arial" w:cs="Arial"/>
          <w:b/>
          <w:bCs/>
          <w:sz w:val="20"/>
          <w:szCs w:val="20"/>
        </w:rPr>
        <w:t>: Minimum inhibitory concentration (mic) of extracts on test organisms</w:t>
      </w:r>
    </w:p>
    <w:tbl>
      <w:tblPr>
        <w:tblStyle w:val="LightShading1"/>
        <w:tblW w:w="9175" w:type="dxa"/>
        <w:tblLayout w:type="fixed"/>
        <w:tblLook w:val="04A0" w:firstRow="1" w:lastRow="0" w:firstColumn="1" w:lastColumn="0" w:noHBand="0" w:noVBand="1"/>
      </w:tblPr>
      <w:tblGrid>
        <w:gridCol w:w="1638"/>
        <w:gridCol w:w="1422"/>
        <w:gridCol w:w="1975"/>
        <w:gridCol w:w="1980"/>
        <w:gridCol w:w="2160"/>
      </w:tblGrid>
      <w:tr w:rsidR="00ED576E" w:rsidRPr="00F36C9C" w14:paraId="2645DB49" w14:textId="77777777" w:rsidTr="00ED57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hideMark/>
          </w:tcPr>
          <w:p w14:paraId="627E80DD" w14:textId="77777777" w:rsidR="00D94E70" w:rsidRPr="00F36C9C" w:rsidRDefault="00D94E70" w:rsidP="00391EF9">
            <w:pPr>
              <w:jc w:val="both"/>
              <w:rPr>
                <w:rFonts w:ascii="Arial" w:hAnsi="Arial" w:cs="Arial"/>
                <w:b w:val="0"/>
                <w:sz w:val="20"/>
                <w:szCs w:val="20"/>
              </w:rPr>
            </w:pPr>
            <w:r w:rsidRPr="00F36C9C">
              <w:rPr>
                <w:rFonts w:ascii="Arial" w:hAnsi="Arial" w:cs="Arial"/>
                <w:b w:val="0"/>
                <w:sz w:val="20"/>
                <w:szCs w:val="20"/>
              </w:rPr>
              <w:t>Test organisms</w:t>
            </w:r>
          </w:p>
        </w:tc>
        <w:tc>
          <w:tcPr>
            <w:tcW w:w="1422" w:type="dxa"/>
            <w:hideMark/>
          </w:tcPr>
          <w:p w14:paraId="2A228ED4"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Extract conc. (mg/mL) of alkaloids</w:t>
            </w:r>
          </w:p>
        </w:tc>
        <w:tc>
          <w:tcPr>
            <w:tcW w:w="1975" w:type="dxa"/>
            <w:hideMark/>
          </w:tcPr>
          <w:p w14:paraId="0ACE2E1D"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 xml:space="preserve"> Extract conc.(mg/mL) of cardiac glycosides</w:t>
            </w:r>
          </w:p>
        </w:tc>
        <w:tc>
          <w:tcPr>
            <w:tcW w:w="1980" w:type="dxa"/>
          </w:tcPr>
          <w:p w14:paraId="22CBD2DF"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Extract conc. (mg/mL) of flavonoids</w:t>
            </w:r>
          </w:p>
        </w:tc>
        <w:tc>
          <w:tcPr>
            <w:tcW w:w="2160" w:type="dxa"/>
            <w:hideMark/>
          </w:tcPr>
          <w:p w14:paraId="006581AB"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 xml:space="preserve"> Extract conc.(mg/mL)</w:t>
            </w:r>
          </w:p>
          <w:p w14:paraId="512C29A1" w14:textId="77777777" w:rsidR="00D94E70" w:rsidRPr="00F36C9C" w:rsidRDefault="00D94E70" w:rsidP="00391EF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F36C9C">
              <w:rPr>
                <w:rFonts w:ascii="Arial" w:hAnsi="Arial" w:cs="Arial"/>
                <w:b w:val="0"/>
                <w:bCs w:val="0"/>
                <w:sz w:val="20"/>
                <w:szCs w:val="20"/>
              </w:rPr>
              <w:t>(crude ethanol extracts)</w:t>
            </w:r>
          </w:p>
        </w:tc>
      </w:tr>
      <w:tr w:rsidR="00D94E70" w:rsidRPr="00F36C9C" w14:paraId="579C90ED"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60FA408E" w14:textId="77777777" w:rsidR="00D94E70" w:rsidRPr="00F36C9C" w:rsidRDefault="00D94E70" w:rsidP="00391EF9">
            <w:pPr>
              <w:jc w:val="both"/>
              <w:rPr>
                <w:rFonts w:ascii="Arial" w:hAnsi="Arial" w:cs="Arial"/>
                <w:i/>
                <w:iCs/>
                <w:sz w:val="20"/>
                <w:szCs w:val="20"/>
              </w:rPr>
            </w:pPr>
            <w:proofErr w:type="spellStart"/>
            <w:r w:rsidRPr="00F36C9C">
              <w:rPr>
                <w:rFonts w:ascii="Arial" w:hAnsi="Arial" w:cs="Arial"/>
                <w:i/>
                <w:iCs/>
                <w:sz w:val="20"/>
                <w:szCs w:val="20"/>
              </w:rPr>
              <w:t>Stapylococcus</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aureaus</w:t>
            </w:r>
            <w:proofErr w:type="spellEnd"/>
          </w:p>
        </w:tc>
        <w:tc>
          <w:tcPr>
            <w:tcW w:w="1422" w:type="dxa"/>
            <w:shd w:val="clear" w:color="auto" w:fill="auto"/>
            <w:hideMark/>
          </w:tcPr>
          <w:p w14:paraId="7B8B7AE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c>
          <w:tcPr>
            <w:tcW w:w="1975" w:type="dxa"/>
            <w:shd w:val="clear" w:color="auto" w:fill="auto"/>
            <w:hideMark/>
          </w:tcPr>
          <w:p w14:paraId="30F6B84D"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shd w:val="clear" w:color="auto" w:fill="auto"/>
          </w:tcPr>
          <w:p w14:paraId="0409276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250</w:t>
            </w:r>
          </w:p>
        </w:tc>
        <w:tc>
          <w:tcPr>
            <w:tcW w:w="2160" w:type="dxa"/>
            <w:shd w:val="clear" w:color="auto" w:fill="auto"/>
            <w:hideMark/>
          </w:tcPr>
          <w:p w14:paraId="6E3A8F69"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350</w:t>
            </w:r>
          </w:p>
        </w:tc>
      </w:tr>
      <w:tr w:rsidR="00ED576E" w:rsidRPr="00F36C9C" w14:paraId="11996607"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2C70AF96" w14:textId="77777777" w:rsidR="00D94E70" w:rsidRPr="00F36C9C" w:rsidRDefault="00D94E70" w:rsidP="00391EF9">
            <w:pPr>
              <w:jc w:val="both"/>
              <w:rPr>
                <w:rFonts w:ascii="Arial" w:hAnsi="Arial" w:cs="Arial"/>
                <w:i/>
                <w:iCs/>
                <w:sz w:val="20"/>
                <w:szCs w:val="20"/>
              </w:rPr>
            </w:pPr>
            <w:proofErr w:type="spellStart"/>
            <w:r w:rsidRPr="00F36C9C">
              <w:rPr>
                <w:rFonts w:ascii="Arial" w:hAnsi="Arial" w:cs="Arial"/>
                <w:i/>
                <w:iCs/>
                <w:sz w:val="20"/>
                <w:szCs w:val="20"/>
              </w:rPr>
              <w:t>Vibro</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cholerae</w:t>
            </w:r>
            <w:proofErr w:type="spellEnd"/>
          </w:p>
        </w:tc>
        <w:tc>
          <w:tcPr>
            <w:tcW w:w="1422" w:type="dxa"/>
            <w:hideMark/>
          </w:tcPr>
          <w:p w14:paraId="7A0CDF0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200</w:t>
            </w:r>
          </w:p>
        </w:tc>
        <w:tc>
          <w:tcPr>
            <w:tcW w:w="1975" w:type="dxa"/>
            <w:hideMark/>
          </w:tcPr>
          <w:p w14:paraId="5AD467E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tcPr>
          <w:p w14:paraId="21A305D3"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200</w:t>
            </w:r>
          </w:p>
        </w:tc>
        <w:tc>
          <w:tcPr>
            <w:tcW w:w="2160" w:type="dxa"/>
            <w:hideMark/>
          </w:tcPr>
          <w:p w14:paraId="062341A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r>
      <w:tr w:rsidR="00D94E70" w:rsidRPr="00F36C9C" w14:paraId="621529D0"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44EBD849"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 xml:space="preserve">Salmonella </w:t>
            </w:r>
            <w:proofErr w:type="spellStart"/>
            <w:r w:rsidRPr="00F36C9C">
              <w:rPr>
                <w:rFonts w:ascii="Arial" w:hAnsi="Arial" w:cs="Arial"/>
                <w:i/>
                <w:iCs/>
                <w:sz w:val="20"/>
                <w:szCs w:val="20"/>
              </w:rPr>
              <w:t>sp</w:t>
            </w:r>
            <w:proofErr w:type="spellEnd"/>
          </w:p>
        </w:tc>
        <w:tc>
          <w:tcPr>
            <w:tcW w:w="1422" w:type="dxa"/>
            <w:shd w:val="clear" w:color="auto" w:fill="auto"/>
            <w:hideMark/>
          </w:tcPr>
          <w:p w14:paraId="26D535C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50</w:t>
            </w:r>
          </w:p>
        </w:tc>
        <w:tc>
          <w:tcPr>
            <w:tcW w:w="1975" w:type="dxa"/>
            <w:shd w:val="clear" w:color="auto" w:fill="auto"/>
            <w:hideMark/>
          </w:tcPr>
          <w:p w14:paraId="5C7CAAD2"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shd w:val="clear" w:color="auto" w:fill="auto"/>
          </w:tcPr>
          <w:p w14:paraId="35B2157A"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2160" w:type="dxa"/>
            <w:shd w:val="clear" w:color="auto" w:fill="auto"/>
            <w:hideMark/>
          </w:tcPr>
          <w:p w14:paraId="0BEEC55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r>
      <w:tr w:rsidR="00ED576E" w:rsidRPr="00F36C9C" w14:paraId="2906790A"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60F20BE5" w14:textId="77777777" w:rsidR="00D94E70" w:rsidRPr="00F36C9C" w:rsidRDefault="00D94E70" w:rsidP="00391EF9">
            <w:pPr>
              <w:jc w:val="both"/>
              <w:rPr>
                <w:rFonts w:ascii="Arial" w:hAnsi="Arial" w:cs="Arial"/>
                <w:i/>
                <w:iCs/>
                <w:sz w:val="20"/>
                <w:szCs w:val="20"/>
              </w:rPr>
            </w:pPr>
            <w:proofErr w:type="spellStart"/>
            <w:r w:rsidRPr="00F36C9C">
              <w:rPr>
                <w:rFonts w:ascii="Arial" w:hAnsi="Arial" w:cs="Arial"/>
                <w:i/>
                <w:iCs/>
                <w:sz w:val="20"/>
                <w:szCs w:val="20"/>
              </w:rPr>
              <w:lastRenderedPageBreak/>
              <w:t>Shigella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sp</w:t>
            </w:r>
            <w:proofErr w:type="spellEnd"/>
          </w:p>
        </w:tc>
        <w:tc>
          <w:tcPr>
            <w:tcW w:w="1422" w:type="dxa"/>
            <w:hideMark/>
          </w:tcPr>
          <w:p w14:paraId="40BF2948"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ND</w:t>
            </w:r>
          </w:p>
        </w:tc>
        <w:tc>
          <w:tcPr>
            <w:tcW w:w="1975" w:type="dxa"/>
            <w:hideMark/>
          </w:tcPr>
          <w:p w14:paraId="009F87E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tcPr>
          <w:p w14:paraId="032C524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200</w:t>
            </w:r>
          </w:p>
        </w:tc>
        <w:tc>
          <w:tcPr>
            <w:tcW w:w="2160" w:type="dxa"/>
          </w:tcPr>
          <w:p w14:paraId="565C2BB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r>
      <w:tr w:rsidR="00D94E70" w:rsidRPr="00F36C9C" w14:paraId="2331C2F2"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785E4687"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Escherichia coli</w:t>
            </w:r>
          </w:p>
        </w:tc>
        <w:tc>
          <w:tcPr>
            <w:tcW w:w="1422" w:type="dxa"/>
            <w:shd w:val="clear" w:color="auto" w:fill="auto"/>
            <w:hideMark/>
          </w:tcPr>
          <w:p w14:paraId="53C4975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ND</w:t>
            </w:r>
          </w:p>
        </w:tc>
        <w:tc>
          <w:tcPr>
            <w:tcW w:w="1975" w:type="dxa"/>
            <w:shd w:val="clear" w:color="auto" w:fill="auto"/>
            <w:hideMark/>
          </w:tcPr>
          <w:p w14:paraId="37EEA67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shd w:val="clear" w:color="auto" w:fill="auto"/>
          </w:tcPr>
          <w:p w14:paraId="5975167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c>
          <w:tcPr>
            <w:tcW w:w="2160" w:type="dxa"/>
            <w:shd w:val="clear" w:color="auto" w:fill="auto"/>
            <w:hideMark/>
          </w:tcPr>
          <w:p w14:paraId="7BEBE15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350</w:t>
            </w:r>
          </w:p>
        </w:tc>
      </w:tr>
      <w:tr w:rsidR="00ED576E" w:rsidRPr="00F36C9C" w14:paraId="526B6A35"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471071B0"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Pseudomonas aeruginosa</w:t>
            </w:r>
          </w:p>
        </w:tc>
        <w:tc>
          <w:tcPr>
            <w:tcW w:w="1422" w:type="dxa"/>
            <w:hideMark/>
          </w:tcPr>
          <w:p w14:paraId="5CE65A7B"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150</w:t>
            </w:r>
          </w:p>
        </w:tc>
        <w:tc>
          <w:tcPr>
            <w:tcW w:w="1975" w:type="dxa"/>
            <w:hideMark/>
          </w:tcPr>
          <w:p w14:paraId="0C2A0FF5"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c>
          <w:tcPr>
            <w:tcW w:w="1980" w:type="dxa"/>
          </w:tcPr>
          <w:p w14:paraId="44B2D35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300</w:t>
            </w:r>
          </w:p>
        </w:tc>
        <w:tc>
          <w:tcPr>
            <w:tcW w:w="2160" w:type="dxa"/>
            <w:hideMark/>
          </w:tcPr>
          <w:p w14:paraId="1B637AD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ND</w:t>
            </w:r>
          </w:p>
        </w:tc>
      </w:tr>
      <w:tr w:rsidR="00D94E70" w:rsidRPr="00F36C9C" w14:paraId="192DA813"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7DD65BA0" w14:textId="77777777" w:rsidR="00D94E70" w:rsidRPr="00F36C9C" w:rsidRDefault="00D94E70" w:rsidP="00391EF9">
            <w:pPr>
              <w:jc w:val="both"/>
              <w:rPr>
                <w:rFonts w:ascii="Arial" w:hAnsi="Arial" w:cs="Arial"/>
                <w:sz w:val="20"/>
                <w:szCs w:val="20"/>
              </w:rPr>
            </w:pPr>
            <w:r w:rsidRPr="00F36C9C">
              <w:rPr>
                <w:rFonts w:ascii="Arial" w:hAnsi="Arial" w:cs="Arial"/>
                <w:sz w:val="20"/>
                <w:szCs w:val="20"/>
              </w:rPr>
              <w:t>Aspergillus flavus</w:t>
            </w:r>
          </w:p>
        </w:tc>
        <w:tc>
          <w:tcPr>
            <w:tcW w:w="1422" w:type="dxa"/>
            <w:shd w:val="clear" w:color="auto" w:fill="auto"/>
            <w:hideMark/>
          </w:tcPr>
          <w:p w14:paraId="23860A4E"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150</w:t>
            </w:r>
          </w:p>
        </w:tc>
        <w:tc>
          <w:tcPr>
            <w:tcW w:w="1975" w:type="dxa"/>
            <w:shd w:val="clear" w:color="auto" w:fill="auto"/>
            <w:hideMark/>
          </w:tcPr>
          <w:p w14:paraId="68460B8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c>
          <w:tcPr>
            <w:tcW w:w="1980" w:type="dxa"/>
            <w:shd w:val="clear" w:color="auto" w:fill="auto"/>
          </w:tcPr>
          <w:p w14:paraId="62344467"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c>
          <w:tcPr>
            <w:tcW w:w="2160" w:type="dxa"/>
            <w:shd w:val="clear" w:color="auto" w:fill="auto"/>
            <w:hideMark/>
          </w:tcPr>
          <w:p w14:paraId="0A311CE1"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r>
      <w:tr w:rsidR="00ED576E" w:rsidRPr="00F36C9C" w14:paraId="3CF35F5F"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0795AD8F"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Candida albicans</w:t>
            </w:r>
          </w:p>
        </w:tc>
        <w:tc>
          <w:tcPr>
            <w:tcW w:w="1422" w:type="dxa"/>
            <w:hideMark/>
          </w:tcPr>
          <w:p w14:paraId="142FF37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350</w:t>
            </w:r>
          </w:p>
        </w:tc>
        <w:tc>
          <w:tcPr>
            <w:tcW w:w="1975" w:type="dxa"/>
            <w:hideMark/>
          </w:tcPr>
          <w:p w14:paraId="0E9BA54D"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50</w:t>
            </w:r>
          </w:p>
        </w:tc>
        <w:tc>
          <w:tcPr>
            <w:tcW w:w="1980" w:type="dxa"/>
          </w:tcPr>
          <w:p w14:paraId="04212DA1"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350</w:t>
            </w:r>
          </w:p>
        </w:tc>
        <w:tc>
          <w:tcPr>
            <w:tcW w:w="2160" w:type="dxa"/>
            <w:hideMark/>
          </w:tcPr>
          <w:p w14:paraId="07E024E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r>
      <w:tr w:rsidR="00D94E70" w:rsidRPr="00F36C9C" w14:paraId="0D1722FA" w14:textId="77777777" w:rsidTr="00ED5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shd w:val="clear" w:color="auto" w:fill="auto"/>
            <w:hideMark/>
          </w:tcPr>
          <w:p w14:paraId="5F9E899D" w14:textId="77777777" w:rsidR="00D94E70" w:rsidRPr="00F36C9C" w:rsidRDefault="00D94E70" w:rsidP="00391EF9">
            <w:pPr>
              <w:jc w:val="both"/>
              <w:rPr>
                <w:rFonts w:ascii="Arial" w:hAnsi="Arial" w:cs="Arial"/>
                <w:i/>
                <w:iCs/>
                <w:sz w:val="20"/>
                <w:szCs w:val="20"/>
              </w:rPr>
            </w:pPr>
            <w:r w:rsidRPr="00F36C9C">
              <w:rPr>
                <w:rFonts w:ascii="Arial" w:hAnsi="Arial" w:cs="Arial"/>
                <w:i/>
                <w:iCs/>
                <w:sz w:val="20"/>
                <w:szCs w:val="20"/>
              </w:rPr>
              <w:t xml:space="preserve">Aspergillus </w:t>
            </w:r>
            <w:proofErr w:type="spellStart"/>
            <w:r w:rsidRPr="00F36C9C">
              <w:rPr>
                <w:rFonts w:ascii="Arial" w:hAnsi="Arial" w:cs="Arial"/>
                <w:i/>
                <w:iCs/>
                <w:sz w:val="20"/>
                <w:szCs w:val="20"/>
              </w:rPr>
              <w:t>niger</w:t>
            </w:r>
            <w:proofErr w:type="spellEnd"/>
          </w:p>
        </w:tc>
        <w:tc>
          <w:tcPr>
            <w:tcW w:w="1422" w:type="dxa"/>
            <w:shd w:val="clear" w:color="auto" w:fill="auto"/>
            <w:hideMark/>
          </w:tcPr>
          <w:p w14:paraId="60123E86"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350</w:t>
            </w:r>
          </w:p>
        </w:tc>
        <w:tc>
          <w:tcPr>
            <w:tcW w:w="1975" w:type="dxa"/>
            <w:shd w:val="clear" w:color="auto" w:fill="auto"/>
            <w:hideMark/>
          </w:tcPr>
          <w:p w14:paraId="36F58980"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c>
          <w:tcPr>
            <w:tcW w:w="1980" w:type="dxa"/>
            <w:shd w:val="clear" w:color="auto" w:fill="auto"/>
          </w:tcPr>
          <w:p w14:paraId="04A8BFC8"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350</w:t>
            </w:r>
          </w:p>
        </w:tc>
        <w:tc>
          <w:tcPr>
            <w:tcW w:w="2160" w:type="dxa"/>
            <w:shd w:val="clear" w:color="auto" w:fill="auto"/>
            <w:hideMark/>
          </w:tcPr>
          <w:p w14:paraId="58D20BAF" w14:textId="77777777" w:rsidR="00D94E70" w:rsidRPr="00F36C9C" w:rsidRDefault="00D94E70" w:rsidP="00391EF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36C9C">
              <w:rPr>
                <w:rFonts w:ascii="Arial" w:hAnsi="Arial" w:cs="Arial"/>
                <w:sz w:val="20"/>
                <w:szCs w:val="20"/>
              </w:rPr>
              <w:t>200</w:t>
            </w:r>
          </w:p>
        </w:tc>
      </w:tr>
      <w:tr w:rsidR="00ED576E" w:rsidRPr="00F36C9C" w14:paraId="7C05D6BB" w14:textId="77777777" w:rsidTr="00ED576E">
        <w:tc>
          <w:tcPr>
            <w:cnfStyle w:val="001000000000" w:firstRow="0" w:lastRow="0" w:firstColumn="1" w:lastColumn="0" w:oddVBand="0" w:evenVBand="0" w:oddHBand="0" w:evenHBand="0" w:firstRowFirstColumn="0" w:firstRowLastColumn="0" w:lastRowFirstColumn="0" w:lastRowLastColumn="0"/>
            <w:tcW w:w="1638" w:type="dxa"/>
            <w:hideMark/>
          </w:tcPr>
          <w:p w14:paraId="4BA58199" w14:textId="77777777" w:rsidR="00D94E70" w:rsidRPr="00F36C9C" w:rsidRDefault="00D94E70" w:rsidP="00391EF9">
            <w:pPr>
              <w:jc w:val="both"/>
              <w:rPr>
                <w:rFonts w:ascii="Arial" w:hAnsi="Arial" w:cs="Arial"/>
                <w:i/>
                <w:iCs/>
                <w:sz w:val="20"/>
                <w:szCs w:val="20"/>
              </w:rPr>
            </w:pPr>
            <w:proofErr w:type="spellStart"/>
            <w:r w:rsidRPr="00F36C9C">
              <w:rPr>
                <w:rFonts w:ascii="Arial" w:hAnsi="Arial" w:cs="Arial"/>
                <w:i/>
                <w:iCs/>
                <w:sz w:val="20"/>
                <w:szCs w:val="20"/>
              </w:rPr>
              <w:t>Saccaromyces</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cerevisea</w:t>
            </w:r>
            <w:proofErr w:type="spellEnd"/>
          </w:p>
        </w:tc>
        <w:tc>
          <w:tcPr>
            <w:tcW w:w="1422" w:type="dxa"/>
            <w:hideMark/>
          </w:tcPr>
          <w:p w14:paraId="2769ADF0"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 xml:space="preserve"> ND</w:t>
            </w:r>
          </w:p>
        </w:tc>
        <w:tc>
          <w:tcPr>
            <w:tcW w:w="1975" w:type="dxa"/>
            <w:hideMark/>
          </w:tcPr>
          <w:p w14:paraId="1C42A47C"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150</w:t>
            </w:r>
          </w:p>
        </w:tc>
        <w:tc>
          <w:tcPr>
            <w:tcW w:w="1980" w:type="dxa"/>
          </w:tcPr>
          <w:p w14:paraId="43ACE9C9"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c>
          <w:tcPr>
            <w:tcW w:w="2160" w:type="dxa"/>
            <w:hideMark/>
          </w:tcPr>
          <w:p w14:paraId="5B919B76" w14:textId="77777777" w:rsidR="00D94E70" w:rsidRPr="00F36C9C" w:rsidRDefault="00D94E70" w:rsidP="00391EF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36C9C">
              <w:rPr>
                <w:rFonts w:ascii="Arial" w:hAnsi="Arial" w:cs="Arial"/>
                <w:sz w:val="20"/>
                <w:szCs w:val="20"/>
              </w:rPr>
              <w:t>100</w:t>
            </w:r>
          </w:p>
        </w:tc>
      </w:tr>
    </w:tbl>
    <w:p w14:paraId="7B13640B" w14:textId="72AB8929" w:rsidR="001A123B" w:rsidRPr="00F36C9C" w:rsidRDefault="00D94E70" w:rsidP="00D94E70">
      <w:pPr>
        <w:spacing w:line="480" w:lineRule="auto"/>
        <w:jc w:val="both"/>
        <w:rPr>
          <w:rFonts w:ascii="Arial" w:hAnsi="Arial" w:cs="Arial"/>
          <w:b/>
          <w:sz w:val="20"/>
          <w:szCs w:val="20"/>
        </w:rPr>
      </w:pPr>
      <w:r w:rsidRPr="00F36C9C">
        <w:rPr>
          <w:rFonts w:ascii="Arial" w:hAnsi="Arial" w:cs="Arial"/>
          <w:b/>
          <w:sz w:val="20"/>
          <w:szCs w:val="20"/>
        </w:rPr>
        <w:t xml:space="preserve">KEY: ND – Not Determined. </w:t>
      </w:r>
    </w:p>
    <w:p w14:paraId="2C1F6816" w14:textId="1866F3FB" w:rsidR="000F3DCE" w:rsidRPr="00F36C9C" w:rsidRDefault="00282E92" w:rsidP="0044514E">
      <w:pPr>
        <w:jc w:val="both"/>
        <w:rPr>
          <w:rFonts w:ascii="Arial" w:hAnsi="Arial" w:cs="Arial"/>
        </w:rPr>
      </w:pPr>
      <w:r w:rsidRPr="00F36C9C">
        <w:rPr>
          <w:rFonts w:ascii="Arial" w:hAnsi="Arial" w:cs="Arial"/>
          <w:b/>
        </w:rPr>
        <w:t xml:space="preserve">3.3 </w:t>
      </w:r>
      <w:r w:rsidR="000F3DCE" w:rsidRPr="00F36C9C">
        <w:rPr>
          <w:rFonts w:ascii="Arial" w:hAnsi="Arial" w:cs="Arial"/>
          <w:b/>
        </w:rPr>
        <w:t>Minimum Inhibitory Concentration (MIC) of the Isolated Phytochemicals and Crude Ethanol Extract</w:t>
      </w:r>
    </w:p>
    <w:p w14:paraId="2A512A1C" w14:textId="01789992"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minimum inhibitory concentration (MIC) values presented in </w:t>
      </w:r>
      <w:r w:rsidRPr="00F36C9C">
        <w:rPr>
          <w:rStyle w:val="Strong"/>
          <w:rFonts w:ascii="Arial" w:hAnsi="Arial" w:cs="Arial"/>
          <w:b w:val="0"/>
          <w:sz w:val="20"/>
          <w:szCs w:val="20"/>
        </w:rPr>
        <w:t xml:space="preserve">Table </w:t>
      </w:r>
      <w:r w:rsidR="0094173F">
        <w:rPr>
          <w:rStyle w:val="Strong"/>
          <w:rFonts w:ascii="Arial" w:hAnsi="Arial" w:cs="Arial"/>
          <w:b w:val="0"/>
          <w:sz w:val="20"/>
          <w:szCs w:val="20"/>
        </w:rPr>
        <w:t>3</w:t>
      </w:r>
      <w:r w:rsidRPr="00F36C9C">
        <w:rPr>
          <w:rFonts w:ascii="Arial" w:hAnsi="Arial" w:cs="Arial"/>
          <w:sz w:val="20"/>
          <w:szCs w:val="20"/>
        </w:rPr>
        <w:t xml:space="preserve"> provide quantitative evidence of the antimicrobial potency of the crude ethanol extract and the isolated alkaloid, flavonoid and cardiac glycoside fractions of </w:t>
      </w:r>
      <w:r w:rsidRPr="00F36C9C">
        <w:rPr>
          <w:rStyle w:val="Emphasis"/>
          <w:rFonts w:ascii="Arial" w:hAnsi="Arial" w:cs="Arial"/>
          <w:sz w:val="20"/>
          <w:szCs w:val="20"/>
        </w:rPr>
        <w:t>Mentha piperita</w:t>
      </w:r>
      <w:r w:rsidRPr="00F36C9C">
        <w:rPr>
          <w:rFonts w:ascii="Arial" w:hAnsi="Arial" w:cs="Arial"/>
          <w:sz w:val="20"/>
          <w:szCs w:val="20"/>
        </w:rPr>
        <w:t>. The MIC represents the lowest concentration of an antimicrobial agent capable of preventing visible microbial growth and is widely regarded as one of the most reliable indicators of antimicrobial efficacy. Lower MIC values indicate greater antimicrobial potency because smaller quantities of the extract are required to inhibit microbial proliferation (Taylor et al., 2018).</w:t>
      </w:r>
    </w:p>
    <w:p w14:paraId="06C93B0F" w14:textId="2356E754"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results demonstrate considerable differences in antimicrobial activity among the isolated phytochemical fractions. The </w:t>
      </w:r>
      <w:r w:rsidRPr="00F36C9C">
        <w:rPr>
          <w:rStyle w:val="Strong"/>
          <w:rFonts w:ascii="Arial" w:hAnsi="Arial" w:cs="Arial"/>
          <w:b w:val="0"/>
          <w:sz w:val="20"/>
          <w:szCs w:val="20"/>
        </w:rPr>
        <w:t>alkaloid fraction</w:t>
      </w:r>
      <w:r w:rsidRPr="00F36C9C">
        <w:rPr>
          <w:rFonts w:ascii="Arial" w:hAnsi="Arial" w:cs="Arial"/>
          <w:sz w:val="20"/>
          <w:szCs w:val="20"/>
        </w:rPr>
        <w:t xml:space="preserve"> exhibited the broadest antibacterial spectrum, with MIC values ranging from </w:t>
      </w:r>
      <w:r w:rsidRPr="00F36C9C">
        <w:rPr>
          <w:rStyle w:val="Strong"/>
          <w:rFonts w:ascii="Arial" w:hAnsi="Arial" w:cs="Arial"/>
          <w:b w:val="0"/>
          <w:sz w:val="20"/>
          <w:szCs w:val="20"/>
        </w:rPr>
        <w:t>50 to 350 mg/mL</w:t>
      </w:r>
      <w:r w:rsidRPr="00F36C9C">
        <w:rPr>
          <w:rFonts w:ascii="Arial" w:hAnsi="Arial" w:cs="Arial"/>
          <w:sz w:val="20"/>
          <w:szCs w:val="20"/>
        </w:rPr>
        <w:t xml:space="preserve"> depending on the test organism. Particularly noteworthy was its activity against </w:t>
      </w:r>
      <w:r w:rsidRPr="00F36C9C">
        <w:rPr>
          <w:rStyle w:val="Strong"/>
          <w:rFonts w:ascii="Arial" w:hAnsi="Arial" w:cs="Arial"/>
          <w:b w:val="0"/>
          <w:i/>
          <w:sz w:val="20"/>
          <w:szCs w:val="20"/>
        </w:rPr>
        <w:t>Salmonella</w:t>
      </w:r>
      <w:r w:rsidRPr="00F36C9C">
        <w:rPr>
          <w:rFonts w:ascii="Arial" w:hAnsi="Arial" w:cs="Arial"/>
          <w:i/>
          <w:sz w:val="20"/>
          <w:szCs w:val="20"/>
        </w:rPr>
        <w:t xml:space="preserve"> spp</w:t>
      </w:r>
      <w:r w:rsidRPr="00F36C9C">
        <w:rPr>
          <w:rFonts w:ascii="Arial" w:hAnsi="Arial" w:cs="Arial"/>
          <w:sz w:val="20"/>
          <w:szCs w:val="20"/>
        </w:rPr>
        <w:t>., which recorded the lowest MIC (</w:t>
      </w:r>
      <w:r w:rsidRPr="00F36C9C">
        <w:rPr>
          <w:rStyle w:val="Strong"/>
          <w:rFonts w:ascii="Arial" w:hAnsi="Arial" w:cs="Arial"/>
          <w:b w:val="0"/>
          <w:sz w:val="20"/>
          <w:szCs w:val="20"/>
        </w:rPr>
        <w:t>50 mg/mL</w:t>
      </w:r>
      <w:r w:rsidRPr="00F36C9C">
        <w:rPr>
          <w:rFonts w:ascii="Arial" w:hAnsi="Arial" w:cs="Arial"/>
          <w:sz w:val="20"/>
          <w:szCs w:val="20"/>
        </w:rPr>
        <w:t xml:space="preserve">), indicating that this pathogen was highly susceptible to the alkaloidal constituents of </w:t>
      </w:r>
      <w:r w:rsidRPr="00F36C9C">
        <w:rPr>
          <w:rStyle w:val="Emphasis"/>
          <w:rFonts w:ascii="Arial" w:hAnsi="Arial" w:cs="Arial"/>
          <w:sz w:val="20"/>
          <w:szCs w:val="20"/>
        </w:rPr>
        <w:t>M. piperita</w:t>
      </w:r>
      <w:r w:rsidRPr="00F36C9C">
        <w:rPr>
          <w:rFonts w:ascii="Arial" w:hAnsi="Arial" w:cs="Arial"/>
          <w:sz w:val="20"/>
          <w:szCs w:val="20"/>
        </w:rPr>
        <w:t xml:space="preserve">. Moderate inhibitory activity was also observed against </w:t>
      </w:r>
      <w:r w:rsidRPr="00F36C9C">
        <w:rPr>
          <w:rStyle w:val="Emphasis"/>
          <w:rFonts w:ascii="Arial" w:hAnsi="Arial" w:cs="Arial"/>
          <w:sz w:val="20"/>
          <w:szCs w:val="20"/>
        </w:rPr>
        <w:t>Staphylococcus aureus</w:t>
      </w:r>
      <w:r w:rsidRPr="00F36C9C">
        <w:rPr>
          <w:rFonts w:ascii="Arial" w:hAnsi="Arial" w:cs="Arial"/>
          <w:sz w:val="20"/>
          <w:szCs w:val="20"/>
        </w:rPr>
        <w:t xml:space="preserve"> (100 mg/mL), </w:t>
      </w:r>
      <w:r w:rsidRPr="00F36C9C">
        <w:rPr>
          <w:rStyle w:val="Emphasis"/>
          <w:rFonts w:ascii="Arial" w:hAnsi="Arial" w:cs="Arial"/>
          <w:sz w:val="20"/>
          <w:szCs w:val="20"/>
        </w:rPr>
        <w:t>Vibrio cholerae</w:t>
      </w:r>
      <w:r w:rsidRPr="00F36C9C">
        <w:rPr>
          <w:rFonts w:ascii="Arial" w:hAnsi="Arial" w:cs="Arial"/>
          <w:sz w:val="20"/>
          <w:szCs w:val="20"/>
        </w:rPr>
        <w:t xml:space="preserve"> (200 mg/mL), </w:t>
      </w:r>
      <w:r w:rsidRPr="00F36C9C">
        <w:rPr>
          <w:rStyle w:val="Emphasis"/>
          <w:rFonts w:ascii="Arial" w:hAnsi="Arial" w:cs="Arial"/>
          <w:sz w:val="20"/>
          <w:szCs w:val="20"/>
        </w:rPr>
        <w:t>Pseudomonas aeruginosa</w:t>
      </w:r>
      <w:r w:rsidRPr="00F36C9C">
        <w:rPr>
          <w:rFonts w:ascii="Arial" w:hAnsi="Arial" w:cs="Arial"/>
          <w:sz w:val="20"/>
          <w:szCs w:val="20"/>
        </w:rPr>
        <w:t xml:space="preserve"> (150 mg/mL) and </w:t>
      </w:r>
      <w:r w:rsidRPr="00F36C9C">
        <w:rPr>
          <w:rStyle w:val="Emphasis"/>
          <w:rFonts w:ascii="Arial" w:hAnsi="Arial" w:cs="Arial"/>
          <w:sz w:val="20"/>
          <w:szCs w:val="20"/>
        </w:rPr>
        <w:t>Escherichia coli</w:t>
      </w:r>
      <w:r w:rsidRPr="00F36C9C">
        <w:rPr>
          <w:rFonts w:ascii="Arial" w:hAnsi="Arial" w:cs="Arial"/>
          <w:sz w:val="20"/>
          <w:szCs w:val="20"/>
        </w:rPr>
        <w:t xml:space="preserve"> (150 mg/mL), whereas no inhibitory concentration was determined for </w:t>
      </w:r>
      <w:r w:rsidRPr="00F36C9C">
        <w:rPr>
          <w:rStyle w:val="Emphasis"/>
          <w:rFonts w:ascii="Arial" w:hAnsi="Arial" w:cs="Arial"/>
          <w:sz w:val="20"/>
          <w:szCs w:val="20"/>
        </w:rPr>
        <w:t>Shigella</w:t>
      </w:r>
      <w:r w:rsidRPr="00F36C9C">
        <w:rPr>
          <w:rFonts w:ascii="Arial" w:hAnsi="Arial" w:cs="Arial"/>
          <w:sz w:val="20"/>
          <w:szCs w:val="20"/>
        </w:rPr>
        <w:t xml:space="preserve"> spp. The high activity against </w:t>
      </w:r>
      <w:r w:rsidRPr="00F36C9C">
        <w:rPr>
          <w:rStyle w:val="Emphasis"/>
          <w:rFonts w:ascii="Arial" w:hAnsi="Arial" w:cs="Arial"/>
          <w:sz w:val="20"/>
          <w:szCs w:val="20"/>
        </w:rPr>
        <w:t>Salmonella</w:t>
      </w:r>
      <w:r w:rsidRPr="00F36C9C">
        <w:rPr>
          <w:rFonts w:ascii="Arial" w:hAnsi="Arial" w:cs="Arial"/>
          <w:sz w:val="20"/>
          <w:szCs w:val="20"/>
        </w:rPr>
        <w:t xml:space="preserve"> is particularly significant because this organism remains an important cause of food-borne and enteric infections worldwide. Similar antibacterial activities of alkaloid-rich plant extracts have been reported for </w:t>
      </w:r>
      <w:proofErr w:type="spellStart"/>
      <w:r w:rsidRPr="00F36C9C">
        <w:rPr>
          <w:rStyle w:val="Emphasis"/>
          <w:rFonts w:ascii="Arial" w:hAnsi="Arial" w:cs="Arial"/>
          <w:sz w:val="20"/>
          <w:szCs w:val="20"/>
        </w:rPr>
        <w:t>Azadirachta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indica</w:t>
      </w:r>
      <w:proofErr w:type="spellEnd"/>
      <w:r w:rsidRPr="00F36C9C">
        <w:rPr>
          <w:rFonts w:ascii="Arial" w:hAnsi="Arial" w:cs="Arial"/>
          <w:sz w:val="20"/>
          <w:szCs w:val="20"/>
        </w:rPr>
        <w:t xml:space="preserve">, </w:t>
      </w:r>
      <w:proofErr w:type="spellStart"/>
      <w:r w:rsidRPr="00F36C9C">
        <w:rPr>
          <w:rStyle w:val="Emphasis"/>
          <w:rFonts w:ascii="Arial" w:hAnsi="Arial" w:cs="Arial"/>
          <w:sz w:val="20"/>
          <w:szCs w:val="20"/>
        </w:rPr>
        <w:t>Enantia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chlorantha</w:t>
      </w:r>
      <w:proofErr w:type="spellEnd"/>
      <w:r w:rsidRPr="00F36C9C">
        <w:rPr>
          <w:rFonts w:ascii="Arial" w:hAnsi="Arial" w:cs="Arial"/>
          <w:sz w:val="20"/>
          <w:szCs w:val="20"/>
        </w:rPr>
        <w:t xml:space="preserve"> and </w:t>
      </w:r>
      <w:proofErr w:type="spellStart"/>
      <w:r w:rsidRPr="00F36C9C">
        <w:rPr>
          <w:rStyle w:val="Emphasis"/>
          <w:rFonts w:ascii="Arial" w:hAnsi="Arial" w:cs="Arial"/>
          <w:sz w:val="20"/>
          <w:szCs w:val="20"/>
        </w:rPr>
        <w:t>Landolphia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owerrience</w:t>
      </w:r>
      <w:proofErr w:type="spellEnd"/>
      <w:r w:rsidRPr="00F36C9C">
        <w:rPr>
          <w:rFonts w:ascii="Arial" w:hAnsi="Arial" w:cs="Arial"/>
          <w:sz w:val="20"/>
          <w:szCs w:val="20"/>
        </w:rPr>
        <w:t xml:space="preserve">, where alkaloids interfered with bacterial DNA replication, protein synthesis and membrane integrity </w:t>
      </w:r>
      <w:commentRangeStart w:id="20"/>
      <w:r w:rsidRPr="00F36C9C">
        <w:rPr>
          <w:rFonts w:ascii="Arial" w:hAnsi="Arial" w:cs="Arial"/>
          <w:sz w:val="20"/>
          <w:szCs w:val="20"/>
        </w:rPr>
        <w:t>(Akpan et al., 2016; Okeke et al., 2001; Chen et al., 2020; Li et al., 2016).</w:t>
      </w:r>
      <w:commentRangeEnd w:id="20"/>
      <w:r w:rsidR="001928C1">
        <w:rPr>
          <w:rStyle w:val="CommentReference"/>
        </w:rPr>
        <w:commentReference w:id="20"/>
      </w:r>
    </w:p>
    <w:p w14:paraId="70EB5B7A" w14:textId="77777777"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In contrast, the </w:t>
      </w:r>
      <w:r w:rsidRPr="00F36C9C">
        <w:rPr>
          <w:rStyle w:val="Strong"/>
          <w:rFonts w:ascii="Arial" w:hAnsi="Arial" w:cs="Arial"/>
          <w:b w:val="0"/>
          <w:sz w:val="20"/>
          <w:szCs w:val="20"/>
        </w:rPr>
        <w:t>cardiac glycoside fraction</w:t>
      </w:r>
      <w:r w:rsidRPr="00F36C9C">
        <w:rPr>
          <w:rFonts w:ascii="Arial" w:hAnsi="Arial" w:cs="Arial"/>
          <w:sz w:val="20"/>
          <w:szCs w:val="20"/>
        </w:rPr>
        <w:t xml:space="preserve"> exhibited comparatively limited antibacterial activity, with no measurable MIC recorded against most of the bacterial pathogens investigated. However, this fraction demonstrated remarkable antifungal potency, particularly against </w:t>
      </w:r>
      <w:r w:rsidRPr="00F36C9C">
        <w:rPr>
          <w:rStyle w:val="Emphasis"/>
          <w:rFonts w:ascii="Arial" w:hAnsi="Arial" w:cs="Arial"/>
          <w:sz w:val="20"/>
          <w:szCs w:val="20"/>
        </w:rPr>
        <w:t>Candida albicans</w:t>
      </w:r>
      <w:r w:rsidRPr="00F36C9C">
        <w:rPr>
          <w:rFonts w:ascii="Arial" w:hAnsi="Arial" w:cs="Arial"/>
          <w:sz w:val="20"/>
          <w:szCs w:val="20"/>
        </w:rPr>
        <w:t xml:space="preserve">, where the MIC was only </w:t>
      </w:r>
      <w:r w:rsidRPr="00F36C9C">
        <w:rPr>
          <w:rStyle w:val="Strong"/>
          <w:rFonts w:ascii="Arial" w:hAnsi="Arial" w:cs="Arial"/>
          <w:b w:val="0"/>
          <w:sz w:val="20"/>
          <w:szCs w:val="20"/>
        </w:rPr>
        <w:t>50 mg/mL</w:t>
      </w:r>
      <w:r w:rsidRPr="00F36C9C">
        <w:rPr>
          <w:rFonts w:ascii="Arial" w:hAnsi="Arial" w:cs="Arial"/>
          <w:sz w:val="20"/>
          <w:szCs w:val="20"/>
        </w:rPr>
        <w:t xml:space="preserve">, and against </w:t>
      </w:r>
      <w:r w:rsidRPr="00F36C9C">
        <w:rPr>
          <w:rStyle w:val="Emphasis"/>
          <w:rFonts w:ascii="Arial" w:hAnsi="Arial" w:cs="Arial"/>
          <w:sz w:val="20"/>
          <w:szCs w:val="20"/>
        </w:rPr>
        <w:t xml:space="preserve">Aspergillus </w:t>
      </w:r>
      <w:proofErr w:type="spellStart"/>
      <w:r w:rsidRPr="00F36C9C">
        <w:rPr>
          <w:rStyle w:val="Emphasis"/>
          <w:rFonts w:ascii="Arial" w:hAnsi="Arial" w:cs="Arial"/>
          <w:sz w:val="20"/>
          <w:szCs w:val="20"/>
        </w:rPr>
        <w:t>flavus</w:t>
      </w:r>
      <w:proofErr w:type="spellEnd"/>
      <w:r w:rsidRPr="00F36C9C">
        <w:rPr>
          <w:rFonts w:ascii="Arial" w:hAnsi="Arial" w:cs="Arial"/>
          <w:sz w:val="20"/>
          <w:szCs w:val="20"/>
        </w:rPr>
        <w:t xml:space="preserve"> and </w:t>
      </w:r>
      <w:r w:rsidRPr="00F36C9C">
        <w:rPr>
          <w:rStyle w:val="Emphasis"/>
          <w:rFonts w:ascii="Arial" w:hAnsi="Arial" w:cs="Arial"/>
          <w:sz w:val="20"/>
          <w:szCs w:val="20"/>
        </w:rPr>
        <w:t xml:space="preserve">Aspergillus </w:t>
      </w:r>
      <w:proofErr w:type="spellStart"/>
      <w:r w:rsidRPr="00F36C9C">
        <w:rPr>
          <w:rStyle w:val="Emphasis"/>
          <w:rFonts w:ascii="Arial" w:hAnsi="Arial" w:cs="Arial"/>
          <w:sz w:val="20"/>
          <w:szCs w:val="20"/>
        </w:rPr>
        <w:t>niger</w:t>
      </w:r>
      <w:proofErr w:type="spellEnd"/>
      <w:r w:rsidRPr="00F36C9C">
        <w:rPr>
          <w:rFonts w:ascii="Arial" w:hAnsi="Arial" w:cs="Arial"/>
          <w:sz w:val="20"/>
          <w:szCs w:val="20"/>
        </w:rPr>
        <w:t xml:space="preserve">, both inhibited at </w:t>
      </w:r>
      <w:r w:rsidRPr="00F36C9C">
        <w:rPr>
          <w:rStyle w:val="Strong"/>
          <w:rFonts w:ascii="Arial" w:hAnsi="Arial" w:cs="Arial"/>
          <w:b w:val="0"/>
          <w:sz w:val="20"/>
          <w:szCs w:val="20"/>
        </w:rPr>
        <w:t>100 mg/</w:t>
      </w:r>
      <w:proofErr w:type="spellStart"/>
      <w:r w:rsidRPr="00F36C9C">
        <w:rPr>
          <w:rStyle w:val="Strong"/>
          <w:rFonts w:ascii="Arial" w:hAnsi="Arial" w:cs="Arial"/>
          <w:b w:val="0"/>
          <w:sz w:val="20"/>
          <w:szCs w:val="20"/>
        </w:rPr>
        <w:t>mL</w:t>
      </w:r>
      <w:r w:rsidRPr="00F36C9C">
        <w:rPr>
          <w:rFonts w:ascii="Arial" w:hAnsi="Arial" w:cs="Arial"/>
          <w:sz w:val="20"/>
          <w:szCs w:val="20"/>
        </w:rPr>
        <w:t>.</w:t>
      </w:r>
      <w:proofErr w:type="spellEnd"/>
      <w:r w:rsidRPr="00F36C9C">
        <w:rPr>
          <w:rFonts w:ascii="Arial" w:hAnsi="Arial" w:cs="Arial"/>
          <w:sz w:val="20"/>
          <w:szCs w:val="20"/>
        </w:rPr>
        <w:t xml:space="preserve"> </w:t>
      </w:r>
      <w:r w:rsidRPr="00F36C9C">
        <w:rPr>
          <w:rStyle w:val="Emphasis"/>
          <w:rFonts w:ascii="Arial" w:hAnsi="Arial" w:cs="Arial"/>
          <w:sz w:val="20"/>
          <w:szCs w:val="20"/>
        </w:rPr>
        <w:t>Saccharomyces cerevisiae</w:t>
      </w:r>
      <w:r w:rsidRPr="00F36C9C">
        <w:rPr>
          <w:rFonts w:ascii="Arial" w:hAnsi="Arial" w:cs="Arial"/>
          <w:sz w:val="20"/>
          <w:szCs w:val="20"/>
        </w:rPr>
        <w:t xml:space="preserve"> exhibited a higher MIC (</w:t>
      </w:r>
      <w:r w:rsidRPr="00F36C9C">
        <w:rPr>
          <w:rStyle w:val="Strong"/>
          <w:rFonts w:ascii="Arial" w:hAnsi="Arial" w:cs="Arial"/>
          <w:b w:val="0"/>
          <w:sz w:val="20"/>
          <w:szCs w:val="20"/>
        </w:rPr>
        <w:t>150 mg/mL</w:t>
      </w:r>
      <w:r w:rsidRPr="00F36C9C">
        <w:rPr>
          <w:rFonts w:ascii="Arial" w:hAnsi="Arial" w:cs="Arial"/>
          <w:sz w:val="20"/>
          <w:szCs w:val="20"/>
        </w:rPr>
        <w:t xml:space="preserve">), suggesting relatively lower susceptibility. These observations indicate that cardiac glycosides may possess greater affinity for fungal rather than bacterial cellular targets. Previous studies have shown that cardiac glycosides interfere with membrane ion transport and intracellular </w:t>
      </w:r>
      <w:proofErr w:type="spellStart"/>
      <w:r w:rsidRPr="00F36C9C">
        <w:rPr>
          <w:rFonts w:ascii="Arial" w:hAnsi="Arial" w:cs="Arial"/>
          <w:sz w:val="20"/>
          <w:szCs w:val="20"/>
        </w:rPr>
        <w:t>signalling</w:t>
      </w:r>
      <w:proofErr w:type="spellEnd"/>
      <w:r w:rsidRPr="00F36C9C">
        <w:rPr>
          <w:rFonts w:ascii="Arial" w:hAnsi="Arial" w:cs="Arial"/>
          <w:sz w:val="20"/>
          <w:szCs w:val="20"/>
        </w:rPr>
        <w:t xml:space="preserve"> pathways while also exhibiting antifungal and anticancer activities (Gupta &amp; Varma, 2019). The pronounced activity against </w:t>
      </w:r>
      <w:r w:rsidRPr="00F36C9C">
        <w:rPr>
          <w:rStyle w:val="Emphasis"/>
          <w:rFonts w:ascii="Arial" w:hAnsi="Arial" w:cs="Arial"/>
          <w:sz w:val="20"/>
          <w:szCs w:val="20"/>
        </w:rPr>
        <w:t>Candida albicans</w:t>
      </w:r>
      <w:r w:rsidRPr="00F36C9C">
        <w:rPr>
          <w:rFonts w:ascii="Arial" w:hAnsi="Arial" w:cs="Arial"/>
          <w:sz w:val="20"/>
          <w:szCs w:val="20"/>
        </w:rPr>
        <w:t xml:space="preserve"> is particularly encouraging because candidiasis remains one of the most common opportunistic fungal infections, especially among immunocompromised patients.</w:t>
      </w:r>
    </w:p>
    <w:p w14:paraId="10215DE5" w14:textId="77777777"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w:t>
      </w:r>
      <w:r w:rsidRPr="00F36C9C">
        <w:rPr>
          <w:rStyle w:val="Strong"/>
          <w:rFonts w:ascii="Arial" w:hAnsi="Arial" w:cs="Arial"/>
          <w:b w:val="0"/>
          <w:sz w:val="20"/>
          <w:szCs w:val="20"/>
        </w:rPr>
        <w:t>flavonoid fraction</w:t>
      </w:r>
      <w:r w:rsidRPr="00F36C9C">
        <w:rPr>
          <w:rFonts w:ascii="Arial" w:hAnsi="Arial" w:cs="Arial"/>
          <w:sz w:val="20"/>
          <w:szCs w:val="20"/>
        </w:rPr>
        <w:t xml:space="preserve"> exhibited broad-spectrum activity against both bacteria and fungi. MIC values of </w:t>
      </w:r>
      <w:r w:rsidRPr="00F36C9C">
        <w:rPr>
          <w:rStyle w:val="Strong"/>
          <w:rFonts w:ascii="Arial" w:hAnsi="Arial" w:cs="Arial"/>
          <w:b w:val="0"/>
          <w:sz w:val="20"/>
          <w:szCs w:val="20"/>
        </w:rPr>
        <w:t>150–350 mg/mL</w:t>
      </w:r>
      <w:r w:rsidRPr="00F36C9C">
        <w:rPr>
          <w:rFonts w:ascii="Arial" w:hAnsi="Arial" w:cs="Arial"/>
          <w:sz w:val="20"/>
          <w:szCs w:val="20"/>
        </w:rPr>
        <w:t xml:space="preserve"> were recorded against bacterial pathogens, with the greatest antibacterial activity observed against </w:t>
      </w:r>
      <w:r w:rsidRPr="00F36C9C">
        <w:rPr>
          <w:rStyle w:val="Emphasis"/>
          <w:rFonts w:ascii="Arial" w:hAnsi="Arial" w:cs="Arial"/>
          <w:sz w:val="20"/>
          <w:szCs w:val="20"/>
        </w:rPr>
        <w:t>Escherichia coli</w:t>
      </w:r>
      <w:r w:rsidRPr="00F36C9C">
        <w:rPr>
          <w:rFonts w:ascii="Arial" w:hAnsi="Arial" w:cs="Arial"/>
          <w:sz w:val="20"/>
          <w:szCs w:val="20"/>
        </w:rPr>
        <w:t xml:space="preserve"> (</w:t>
      </w:r>
      <w:r w:rsidRPr="00F36C9C">
        <w:rPr>
          <w:rStyle w:val="Strong"/>
          <w:rFonts w:ascii="Arial" w:hAnsi="Arial" w:cs="Arial"/>
          <w:b w:val="0"/>
          <w:sz w:val="20"/>
          <w:szCs w:val="20"/>
        </w:rPr>
        <w:t>150 mg/mL</w:t>
      </w:r>
      <w:r w:rsidRPr="00F36C9C">
        <w:rPr>
          <w:rFonts w:ascii="Arial" w:hAnsi="Arial" w:cs="Arial"/>
          <w:sz w:val="20"/>
          <w:szCs w:val="20"/>
        </w:rPr>
        <w:t xml:space="preserve">) and </w:t>
      </w:r>
      <w:r w:rsidRPr="00F36C9C">
        <w:rPr>
          <w:rStyle w:val="Emphasis"/>
          <w:rFonts w:ascii="Arial" w:hAnsi="Arial" w:cs="Arial"/>
          <w:sz w:val="20"/>
          <w:szCs w:val="20"/>
        </w:rPr>
        <w:t>Vibrio cholerae</w:t>
      </w:r>
      <w:r w:rsidRPr="00F36C9C">
        <w:rPr>
          <w:rFonts w:ascii="Arial" w:hAnsi="Arial" w:cs="Arial"/>
          <w:sz w:val="20"/>
          <w:szCs w:val="20"/>
        </w:rPr>
        <w:t xml:space="preserve"> (</w:t>
      </w:r>
      <w:r w:rsidRPr="00F36C9C">
        <w:rPr>
          <w:rStyle w:val="Strong"/>
          <w:rFonts w:ascii="Arial" w:hAnsi="Arial" w:cs="Arial"/>
          <w:b w:val="0"/>
          <w:sz w:val="20"/>
          <w:szCs w:val="20"/>
        </w:rPr>
        <w:t>200 mg/mL</w:t>
      </w:r>
      <w:r w:rsidRPr="00F36C9C">
        <w:rPr>
          <w:rFonts w:ascii="Arial" w:hAnsi="Arial" w:cs="Arial"/>
          <w:sz w:val="20"/>
          <w:szCs w:val="20"/>
        </w:rPr>
        <w:t xml:space="preserve">), while higher </w:t>
      </w:r>
      <w:r w:rsidRPr="00F36C9C">
        <w:rPr>
          <w:rFonts w:ascii="Arial" w:hAnsi="Arial" w:cs="Arial"/>
          <w:sz w:val="20"/>
          <w:szCs w:val="20"/>
        </w:rPr>
        <w:lastRenderedPageBreak/>
        <w:t xml:space="preserve">concentrations were required to inhibit </w:t>
      </w:r>
      <w:r w:rsidRPr="00F36C9C">
        <w:rPr>
          <w:rStyle w:val="Emphasis"/>
          <w:rFonts w:ascii="Arial" w:hAnsi="Arial" w:cs="Arial"/>
          <w:sz w:val="20"/>
          <w:szCs w:val="20"/>
        </w:rPr>
        <w:t>Staphylococcus aureus</w:t>
      </w:r>
      <w:r w:rsidRPr="00F36C9C">
        <w:rPr>
          <w:rFonts w:ascii="Arial" w:hAnsi="Arial" w:cs="Arial"/>
          <w:sz w:val="20"/>
          <w:szCs w:val="20"/>
        </w:rPr>
        <w:t xml:space="preserve"> and </w:t>
      </w:r>
      <w:r w:rsidRPr="00F36C9C">
        <w:rPr>
          <w:rStyle w:val="Emphasis"/>
          <w:rFonts w:ascii="Arial" w:hAnsi="Arial" w:cs="Arial"/>
          <w:sz w:val="20"/>
          <w:szCs w:val="20"/>
        </w:rPr>
        <w:t>Pseudomonas aeruginosa</w:t>
      </w:r>
      <w:r w:rsidRPr="00F36C9C">
        <w:rPr>
          <w:rFonts w:ascii="Arial" w:hAnsi="Arial" w:cs="Arial"/>
          <w:sz w:val="20"/>
          <w:szCs w:val="20"/>
        </w:rPr>
        <w:t xml:space="preserve">. Among the fungal isolates, the flavonoid fraction demonstrated appreciable activity against </w:t>
      </w:r>
      <w:r w:rsidRPr="00F36C9C">
        <w:rPr>
          <w:rStyle w:val="Emphasis"/>
          <w:rFonts w:ascii="Arial" w:hAnsi="Arial" w:cs="Arial"/>
          <w:sz w:val="20"/>
          <w:szCs w:val="20"/>
        </w:rPr>
        <w:t>Saccharomyces cerevisiae</w:t>
      </w:r>
      <w:r w:rsidRPr="00F36C9C">
        <w:rPr>
          <w:rFonts w:ascii="Arial" w:hAnsi="Arial" w:cs="Arial"/>
          <w:sz w:val="20"/>
          <w:szCs w:val="20"/>
        </w:rPr>
        <w:t xml:space="preserve"> (</w:t>
      </w:r>
      <w:r w:rsidRPr="00F36C9C">
        <w:rPr>
          <w:rStyle w:val="Strong"/>
          <w:rFonts w:ascii="Arial" w:hAnsi="Arial" w:cs="Arial"/>
          <w:b w:val="0"/>
          <w:sz w:val="20"/>
          <w:szCs w:val="20"/>
        </w:rPr>
        <w:t>100 mg/mL</w:t>
      </w:r>
      <w:r w:rsidRPr="00F36C9C">
        <w:rPr>
          <w:rFonts w:ascii="Arial" w:hAnsi="Arial" w:cs="Arial"/>
          <w:sz w:val="20"/>
          <w:szCs w:val="20"/>
        </w:rPr>
        <w:t xml:space="preserve">) and </w:t>
      </w:r>
      <w:r w:rsidRPr="00F36C9C">
        <w:rPr>
          <w:rStyle w:val="Emphasis"/>
          <w:rFonts w:ascii="Arial" w:hAnsi="Arial" w:cs="Arial"/>
          <w:sz w:val="20"/>
          <w:szCs w:val="20"/>
        </w:rPr>
        <w:t>Aspergillus flavus</w:t>
      </w:r>
      <w:r w:rsidRPr="00F36C9C">
        <w:rPr>
          <w:rFonts w:ascii="Arial" w:hAnsi="Arial" w:cs="Arial"/>
          <w:sz w:val="20"/>
          <w:szCs w:val="20"/>
        </w:rPr>
        <w:t xml:space="preserve"> (</w:t>
      </w:r>
      <w:r w:rsidRPr="00F36C9C">
        <w:rPr>
          <w:rStyle w:val="Strong"/>
          <w:rFonts w:ascii="Arial" w:hAnsi="Arial" w:cs="Arial"/>
          <w:b w:val="0"/>
          <w:sz w:val="20"/>
          <w:szCs w:val="20"/>
        </w:rPr>
        <w:t>150 mg/mL</w:t>
      </w:r>
      <w:r w:rsidRPr="00F36C9C">
        <w:rPr>
          <w:rFonts w:ascii="Arial" w:hAnsi="Arial" w:cs="Arial"/>
          <w:sz w:val="20"/>
          <w:szCs w:val="20"/>
        </w:rPr>
        <w:t xml:space="preserve">). The broad antimicrobial spectrum of flavonoids agrees with previous reports that these polyphenolic compounds disrupt microbial membranes, inhibit nucleic acid synthesis, suppress energy metabolism and interfere with microbial enzyme systems (Sharma et al., 2013; Taylor et al., 2018; </w:t>
      </w:r>
      <w:proofErr w:type="spellStart"/>
      <w:r w:rsidRPr="00F36C9C">
        <w:rPr>
          <w:rFonts w:ascii="Arial" w:hAnsi="Arial" w:cs="Arial"/>
          <w:sz w:val="20"/>
          <w:szCs w:val="20"/>
        </w:rPr>
        <w:t>Górniak</w:t>
      </w:r>
      <w:proofErr w:type="spellEnd"/>
      <w:r w:rsidRPr="00F36C9C">
        <w:rPr>
          <w:rFonts w:ascii="Arial" w:hAnsi="Arial" w:cs="Arial"/>
          <w:sz w:val="20"/>
          <w:szCs w:val="20"/>
        </w:rPr>
        <w:t xml:space="preserve"> et al., 2019; Xu et al., 2018). Their well-established antioxidant activity may further enhance antimicrobial effectiveness by reducing oxidative stress associated with microbial infections (Kumar &amp; Pandey, 2020).</w:t>
      </w:r>
    </w:p>
    <w:p w14:paraId="6B1BD65B" w14:textId="77777777"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w:t>
      </w:r>
      <w:r w:rsidRPr="00F36C9C">
        <w:rPr>
          <w:rStyle w:val="Strong"/>
          <w:rFonts w:ascii="Arial" w:hAnsi="Arial" w:cs="Arial"/>
          <w:b w:val="0"/>
          <w:sz w:val="20"/>
          <w:szCs w:val="20"/>
        </w:rPr>
        <w:t>crude ethanol extract</w:t>
      </w:r>
      <w:r w:rsidRPr="00F36C9C">
        <w:rPr>
          <w:rFonts w:ascii="Arial" w:hAnsi="Arial" w:cs="Arial"/>
          <w:sz w:val="20"/>
          <w:szCs w:val="20"/>
        </w:rPr>
        <w:t xml:space="preserve"> also exhibited broad-spectrum antimicrobial activity, with MIC values ranging from </w:t>
      </w:r>
      <w:r w:rsidRPr="00F36C9C">
        <w:rPr>
          <w:rStyle w:val="Strong"/>
          <w:rFonts w:ascii="Arial" w:hAnsi="Arial" w:cs="Arial"/>
          <w:b w:val="0"/>
          <w:sz w:val="20"/>
          <w:szCs w:val="20"/>
        </w:rPr>
        <w:t>100 to 350 mg/</w:t>
      </w:r>
      <w:proofErr w:type="spellStart"/>
      <w:r w:rsidRPr="00F36C9C">
        <w:rPr>
          <w:rStyle w:val="Strong"/>
          <w:rFonts w:ascii="Arial" w:hAnsi="Arial" w:cs="Arial"/>
          <w:b w:val="0"/>
          <w:sz w:val="20"/>
          <w:szCs w:val="20"/>
        </w:rPr>
        <w:t>mL</w:t>
      </w:r>
      <w:r w:rsidRPr="00F36C9C">
        <w:rPr>
          <w:rFonts w:ascii="Arial" w:hAnsi="Arial" w:cs="Arial"/>
          <w:sz w:val="20"/>
          <w:szCs w:val="20"/>
        </w:rPr>
        <w:t>.</w:t>
      </w:r>
      <w:proofErr w:type="spellEnd"/>
      <w:r w:rsidRPr="00F36C9C">
        <w:rPr>
          <w:rFonts w:ascii="Arial" w:hAnsi="Arial" w:cs="Arial"/>
          <w:sz w:val="20"/>
          <w:szCs w:val="20"/>
        </w:rPr>
        <w:t xml:space="preserve"> The lowest MIC values (</w:t>
      </w:r>
      <w:r w:rsidRPr="00F36C9C">
        <w:rPr>
          <w:rStyle w:val="Strong"/>
          <w:rFonts w:ascii="Arial" w:hAnsi="Arial" w:cs="Arial"/>
          <w:b w:val="0"/>
          <w:sz w:val="20"/>
          <w:szCs w:val="20"/>
        </w:rPr>
        <w:t>100 mg/mL</w:t>
      </w:r>
      <w:r w:rsidRPr="00F36C9C">
        <w:rPr>
          <w:rFonts w:ascii="Arial" w:hAnsi="Arial" w:cs="Arial"/>
          <w:sz w:val="20"/>
          <w:szCs w:val="20"/>
        </w:rPr>
        <w:t xml:space="preserve">) were recorded against </w:t>
      </w:r>
      <w:r w:rsidRPr="00F36C9C">
        <w:rPr>
          <w:rStyle w:val="Emphasis"/>
          <w:rFonts w:ascii="Arial" w:hAnsi="Arial" w:cs="Arial"/>
          <w:sz w:val="20"/>
          <w:szCs w:val="20"/>
        </w:rPr>
        <w:t>Saccharomyces cerevisiae</w:t>
      </w:r>
      <w:r w:rsidRPr="00F36C9C">
        <w:rPr>
          <w:rFonts w:ascii="Arial" w:hAnsi="Arial" w:cs="Arial"/>
          <w:sz w:val="20"/>
          <w:szCs w:val="20"/>
        </w:rPr>
        <w:t xml:space="preserve">, whereas values of </w:t>
      </w:r>
      <w:r w:rsidRPr="00F36C9C">
        <w:rPr>
          <w:rStyle w:val="Strong"/>
          <w:rFonts w:ascii="Arial" w:hAnsi="Arial" w:cs="Arial"/>
          <w:b w:val="0"/>
          <w:sz w:val="20"/>
          <w:szCs w:val="20"/>
        </w:rPr>
        <w:t>150 mg/mL</w:t>
      </w:r>
      <w:r w:rsidRPr="00F36C9C">
        <w:rPr>
          <w:rFonts w:ascii="Arial" w:hAnsi="Arial" w:cs="Arial"/>
          <w:sz w:val="20"/>
          <w:szCs w:val="20"/>
        </w:rPr>
        <w:t xml:space="preserve"> were observed for </w:t>
      </w:r>
      <w:r w:rsidRPr="00F36C9C">
        <w:rPr>
          <w:rStyle w:val="Emphasis"/>
          <w:rFonts w:ascii="Arial" w:hAnsi="Arial" w:cs="Arial"/>
          <w:sz w:val="20"/>
          <w:szCs w:val="20"/>
        </w:rPr>
        <w:t>Vibrio cholerae</w:t>
      </w:r>
      <w:r w:rsidRPr="00F36C9C">
        <w:rPr>
          <w:rFonts w:ascii="Arial" w:hAnsi="Arial" w:cs="Arial"/>
          <w:sz w:val="20"/>
          <w:szCs w:val="20"/>
        </w:rPr>
        <w:t xml:space="preserve">, </w:t>
      </w:r>
      <w:r w:rsidRPr="00F36C9C">
        <w:rPr>
          <w:rStyle w:val="Emphasis"/>
          <w:rFonts w:ascii="Arial" w:hAnsi="Arial" w:cs="Arial"/>
          <w:sz w:val="20"/>
          <w:szCs w:val="20"/>
        </w:rPr>
        <w:t>Shigella</w:t>
      </w:r>
      <w:r w:rsidRPr="00F36C9C">
        <w:rPr>
          <w:rFonts w:ascii="Arial" w:hAnsi="Arial" w:cs="Arial"/>
          <w:sz w:val="20"/>
          <w:szCs w:val="20"/>
        </w:rPr>
        <w:t xml:space="preserve"> spp., </w:t>
      </w:r>
      <w:r w:rsidRPr="00F36C9C">
        <w:rPr>
          <w:rStyle w:val="Emphasis"/>
          <w:rFonts w:ascii="Arial" w:hAnsi="Arial" w:cs="Arial"/>
          <w:sz w:val="20"/>
          <w:szCs w:val="20"/>
        </w:rPr>
        <w:t>Aspergillus flavus</w:t>
      </w:r>
      <w:r w:rsidRPr="00F36C9C">
        <w:rPr>
          <w:rFonts w:ascii="Arial" w:hAnsi="Arial" w:cs="Arial"/>
          <w:sz w:val="20"/>
          <w:szCs w:val="20"/>
        </w:rPr>
        <w:t xml:space="preserve"> and </w:t>
      </w:r>
      <w:r w:rsidRPr="00F36C9C">
        <w:rPr>
          <w:rStyle w:val="Emphasis"/>
          <w:rFonts w:ascii="Arial" w:hAnsi="Arial" w:cs="Arial"/>
          <w:sz w:val="20"/>
          <w:szCs w:val="20"/>
        </w:rPr>
        <w:t>Candida albicans</w:t>
      </w:r>
      <w:r w:rsidRPr="00F36C9C">
        <w:rPr>
          <w:rFonts w:ascii="Arial" w:hAnsi="Arial" w:cs="Arial"/>
          <w:sz w:val="20"/>
          <w:szCs w:val="20"/>
        </w:rPr>
        <w:t xml:space="preserve">. Higher concentrations were required to inhibit </w:t>
      </w:r>
      <w:r w:rsidRPr="00F36C9C">
        <w:rPr>
          <w:rStyle w:val="Emphasis"/>
          <w:rFonts w:ascii="Arial" w:hAnsi="Arial" w:cs="Arial"/>
          <w:sz w:val="20"/>
          <w:szCs w:val="20"/>
        </w:rPr>
        <w:t>Staphylococcus aureus</w:t>
      </w:r>
      <w:r w:rsidRPr="00F36C9C">
        <w:rPr>
          <w:rFonts w:ascii="Arial" w:hAnsi="Arial" w:cs="Arial"/>
          <w:sz w:val="20"/>
          <w:szCs w:val="20"/>
        </w:rPr>
        <w:t xml:space="preserve">, </w:t>
      </w:r>
      <w:r w:rsidRPr="00F36C9C">
        <w:rPr>
          <w:rStyle w:val="Emphasis"/>
          <w:rFonts w:ascii="Arial" w:hAnsi="Arial" w:cs="Arial"/>
          <w:sz w:val="20"/>
          <w:szCs w:val="20"/>
        </w:rPr>
        <w:t>Escherichia coli</w:t>
      </w:r>
      <w:r w:rsidRPr="00F36C9C">
        <w:rPr>
          <w:rFonts w:ascii="Arial" w:hAnsi="Arial" w:cs="Arial"/>
          <w:sz w:val="20"/>
          <w:szCs w:val="20"/>
        </w:rPr>
        <w:t xml:space="preserve"> and </w:t>
      </w:r>
      <w:r w:rsidRPr="00F36C9C">
        <w:rPr>
          <w:rStyle w:val="Emphasis"/>
          <w:rFonts w:ascii="Arial" w:hAnsi="Arial" w:cs="Arial"/>
          <w:sz w:val="20"/>
          <w:szCs w:val="20"/>
        </w:rPr>
        <w:t xml:space="preserve">Aspergillus </w:t>
      </w:r>
      <w:proofErr w:type="spellStart"/>
      <w:r w:rsidRPr="00F36C9C">
        <w:rPr>
          <w:rStyle w:val="Emphasis"/>
          <w:rFonts w:ascii="Arial" w:hAnsi="Arial" w:cs="Arial"/>
          <w:sz w:val="20"/>
          <w:szCs w:val="20"/>
        </w:rPr>
        <w:t>niger</w:t>
      </w:r>
      <w:proofErr w:type="spellEnd"/>
      <w:r w:rsidRPr="00F36C9C">
        <w:rPr>
          <w:rFonts w:ascii="Arial" w:hAnsi="Arial" w:cs="Arial"/>
          <w:sz w:val="20"/>
          <w:szCs w:val="20"/>
        </w:rPr>
        <w:t xml:space="preserve">. These findings indicate that the crude extract possesses appreciable antimicrobial activity despite containing numerous inactive constituents. Similar observations have been reported in </w:t>
      </w:r>
      <w:proofErr w:type="spellStart"/>
      <w:r w:rsidRPr="00F36C9C">
        <w:rPr>
          <w:rStyle w:val="Emphasis"/>
          <w:rFonts w:ascii="Arial" w:hAnsi="Arial" w:cs="Arial"/>
          <w:sz w:val="20"/>
          <w:szCs w:val="20"/>
        </w:rPr>
        <w:t>Dacryodes</w:t>
      </w:r>
      <w:proofErr w:type="spellEnd"/>
      <w:r w:rsidRPr="00F36C9C">
        <w:rPr>
          <w:rStyle w:val="Emphasis"/>
          <w:rFonts w:ascii="Arial" w:hAnsi="Arial" w:cs="Arial"/>
          <w:sz w:val="20"/>
          <w:szCs w:val="20"/>
        </w:rPr>
        <w:t xml:space="preserve"> edulis</w:t>
      </w:r>
      <w:r w:rsidRPr="00F36C9C">
        <w:rPr>
          <w:rFonts w:ascii="Arial" w:hAnsi="Arial" w:cs="Arial"/>
          <w:sz w:val="20"/>
          <w:szCs w:val="20"/>
        </w:rPr>
        <w:t xml:space="preserve">, </w:t>
      </w:r>
      <w:proofErr w:type="spellStart"/>
      <w:r w:rsidRPr="00F36C9C">
        <w:rPr>
          <w:rStyle w:val="Emphasis"/>
          <w:rFonts w:ascii="Arial" w:hAnsi="Arial" w:cs="Arial"/>
          <w:sz w:val="20"/>
          <w:szCs w:val="20"/>
        </w:rPr>
        <w:t>Enantia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chlorantha</w:t>
      </w:r>
      <w:proofErr w:type="spellEnd"/>
      <w:r w:rsidRPr="00F36C9C">
        <w:rPr>
          <w:rFonts w:ascii="Arial" w:hAnsi="Arial" w:cs="Arial"/>
          <w:sz w:val="20"/>
          <w:szCs w:val="20"/>
        </w:rPr>
        <w:t xml:space="preserve"> and </w:t>
      </w:r>
      <w:r w:rsidRPr="00F36C9C">
        <w:rPr>
          <w:rStyle w:val="Emphasis"/>
          <w:rFonts w:ascii="Arial" w:hAnsi="Arial" w:cs="Arial"/>
          <w:sz w:val="20"/>
          <w:szCs w:val="20"/>
        </w:rPr>
        <w:t>Senna alata</w:t>
      </w:r>
      <w:r w:rsidRPr="00F36C9C">
        <w:rPr>
          <w:rFonts w:ascii="Arial" w:hAnsi="Arial" w:cs="Arial"/>
          <w:sz w:val="20"/>
          <w:szCs w:val="20"/>
        </w:rPr>
        <w:t xml:space="preserve">, where crude extracts exhibited lower potency than purified fractions because active metabolites remained diluted within complex phytochemical mixtures (Akpan et al., 2017;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 Adedayo et al., 2001).</w:t>
      </w:r>
    </w:p>
    <w:p w14:paraId="25FB5BCB" w14:textId="77777777"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Comparison of the isolated fractions with the crude ethanol extract suggests that purification enhances antimicrobial activity by concentrating the active phytochemicals. This observation agrees with the principles of </w:t>
      </w:r>
      <w:r w:rsidRPr="00F36C9C">
        <w:rPr>
          <w:rStyle w:val="Strong"/>
          <w:rFonts w:ascii="Arial" w:hAnsi="Arial" w:cs="Arial"/>
          <w:b w:val="0"/>
          <w:sz w:val="20"/>
          <w:szCs w:val="20"/>
        </w:rPr>
        <w:t>bioassay-guided fractionation</w:t>
      </w:r>
      <w:r w:rsidRPr="00F36C9C">
        <w:rPr>
          <w:rFonts w:ascii="Arial" w:hAnsi="Arial" w:cs="Arial"/>
          <w:sz w:val="20"/>
          <w:szCs w:val="20"/>
        </w:rPr>
        <w:t>, where chromatographic separation enriches biologically active constituents while eliminating inactive compounds (</w:t>
      </w:r>
      <w:proofErr w:type="spellStart"/>
      <w:r w:rsidRPr="00F36C9C">
        <w:rPr>
          <w:rFonts w:ascii="Arial" w:hAnsi="Arial" w:cs="Arial"/>
          <w:sz w:val="20"/>
          <w:szCs w:val="20"/>
        </w:rPr>
        <w:t>Ejele</w:t>
      </w:r>
      <w:proofErr w:type="spellEnd"/>
      <w:r w:rsidRPr="00F36C9C">
        <w:rPr>
          <w:rFonts w:ascii="Arial" w:hAnsi="Arial" w:cs="Arial"/>
          <w:sz w:val="20"/>
          <w:szCs w:val="20"/>
        </w:rPr>
        <w:t xml:space="preserve"> et al., 2012; Akpan et al., 2016). Nevertheless, the relatively good activity of the crude extract indicates that synergistic interactions among flavonoids, alkaloids, cardiac glycosides and other secondary metabolites also contribute significantly to the overall antimicrobial effect. Such synergism has become increasingly recognized as one of the major advantages of plant-derived medicines because multiple compounds simultaneously target different biochemical pathways, thereby reducing the probability of resistance development (</w:t>
      </w:r>
      <w:proofErr w:type="spellStart"/>
      <w:r w:rsidRPr="00F36C9C">
        <w:rPr>
          <w:rFonts w:ascii="Arial" w:hAnsi="Arial" w:cs="Arial"/>
          <w:sz w:val="20"/>
          <w:szCs w:val="20"/>
        </w:rPr>
        <w:t>Malczak</w:t>
      </w:r>
      <w:proofErr w:type="spellEnd"/>
      <w:r w:rsidRPr="00F36C9C">
        <w:rPr>
          <w:rFonts w:ascii="Arial" w:hAnsi="Arial" w:cs="Arial"/>
          <w:sz w:val="20"/>
          <w:szCs w:val="20"/>
        </w:rPr>
        <w:t xml:space="preserve"> &amp; </w:t>
      </w:r>
      <w:proofErr w:type="spellStart"/>
      <w:r w:rsidRPr="00F36C9C">
        <w:rPr>
          <w:rFonts w:ascii="Arial" w:hAnsi="Arial" w:cs="Arial"/>
          <w:sz w:val="20"/>
          <w:szCs w:val="20"/>
        </w:rPr>
        <w:t>Gajda</w:t>
      </w:r>
      <w:proofErr w:type="spellEnd"/>
      <w:r w:rsidRPr="00F36C9C">
        <w:rPr>
          <w:rFonts w:ascii="Arial" w:hAnsi="Arial" w:cs="Arial"/>
          <w:sz w:val="20"/>
          <w:szCs w:val="20"/>
        </w:rPr>
        <w:t>, 2023; Strobel &amp; Daisy, 2003).</w:t>
      </w:r>
    </w:p>
    <w:p w14:paraId="36FD429A" w14:textId="51431C72" w:rsidR="0044514E" w:rsidRPr="00F36C9C" w:rsidRDefault="0044514E" w:rsidP="0044514E">
      <w:pPr>
        <w:jc w:val="both"/>
        <w:rPr>
          <w:rFonts w:ascii="Arial" w:hAnsi="Arial" w:cs="Arial"/>
          <w:sz w:val="20"/>
          <w:szCs w:val="20"/>
        </w:rPr>
      </w:pPr>
      <w:r w:rsidRPr="00F36C9C">
        <w:rPr>
          <w:rFonts w:ascii="Arial" w:hAnsi="Arial" w:cs="Arial"/>
          <w:sz w:val="20"/>
          <w:szCs w:val="20"/>
        </w:rPr>
        <w:t xml:space="preserve">The broad-spectrum MIC profile observed in this study is particularly important in the context of the global increase in antimicrobial resistance. Resistant bacterial pathogens, including </w:t>
      </w:r>
      <w:r w:rsidRPr="00F36C9C">
        <w:rPr>
          <w:rStyle w:val="Emphasis"/>
          <w:rFonts w:ascii="Arial" w:hAnsi="Arial" w:cs="Arial"/>
          <w:sz w:val="20"/>
          <w:szCs w:val="20"/>
        </w:rPr>
        <w:t>Staphylococcus aureus</w:t>
      </w:r>
      <w:r w:rsidRPr="00F36C9C">
        <w:rPr>
          <w:rFonts w:ascii="Arial" w:hAnsi="Arial" w:cs="Arial"/>
          <w:sz w:val="20"/>
          <w:szCs w:val="20"/>
        </w:rPr>
        <w:t xml:space="preserve">, </w:t>
      </w:r>
      <w:r w:rsidRPr="00F36C9C">
        <w:rPr>
          <w:rStyle w:val="Emphasis"/>
          <w:rFonts w:ascii="Arial" w:hAnsi="Arial" w:cs="Arial"/>
          <w:sz w:val="20"/>
          <w:szCs w:val="20"/>
        </w:rPr>
        <w:t>Escherichia coli</w:t>
      </w:r>
      <w:r w:rsidRPr="00F36C9C">
        <w:rPr>
          <w:rFonts w:ascii="Arial" w:hAnsi="Arial" w:cs="Arial"/>
          <w:sz w:val="20"/>
          <w:szCs w:val="20"/>
        </w:rPr>
        <w:t xml:space="preserve">, </w:t>
      </w:r>
      <w:r w:rsidRPr="00F36C9C">
        <w:rPr>
          <w:rStyle w:val="Emphasis"/>
          <w:rFonts w:ascii="Arial" w:hAnsi="Arial" w:cs="Arial"/>
          <w:sz w:val="20"/>
          <w:szCs w:val="20"/>
        </w:rPr>
        <w:t>Pseudomonas aeruginosa</w:t>
      </w:r>
      <w:r w:rsidRPr="00F36C9C">
        <w:rPr>
          <w:rFonts w:ascii="Arial" w:hAnsi="Arial" w:cs="Arial"/>
          <w:sz w:val="20"/>
          <w:szCs w:val="20"/>
        </w:rPr>
        <w:t xml:space="preserve"> and </w:t>
      </w:r>
      <w:r w:rsidRPr="00F36C9C">
        <w:rPr>
          <w:rStyle w:val="Emphasis"/>
          <w:rFonts w:ascii="Arial" w:hAnsi="Arial" w:cs="Arial"/>
          <w:sz w:val="20"/>
          <w:szCs w:val="20"/>
        </w:rPr>
        <w:t>Salmonella</w:t>
      </w:r>
      <w:r w:rsidRPr="00F36C9C">
        <w:rPr>
          <w:rFonts w:ascii="Arial" w:hAnsi="Arial" w:cs="Arial"/>
          <w:sz w:val="20"/>
          <w:szCs w:val="20"/>
        </w:rPr>
        <w:t xml:space="preserve"> spp., continue to pose major therapeutic challenges worldwide (Williams, 2000; </w:t>
      </w:r>
      <w:proofErr w:type="spellStart"/>
      <w:r w:rsidRPr="00F36C9C">
        <w:rPr>
          <w:rFonts w:ascii="Arial" w:hAnsi="Arial" w:cs="Arial"/>
          <w:sz w:val="20"/>
          <w:szCs w:val="20"/>
        </w:rPr>
        <w:t>Albinu</w:t>
      </w:r>
      <w:proofErr w:type="spellEnd"/>
      <w:r w:rsidRPr="00F36C9C">
        <w:rPr>
          <w:rFonts w:ascii="Arial" w:hAnsi="Arial" w:cs="Arial"/>
          <w:sz w:val="20"/>
          <w:szCs w:val="20"/>
        </w:rPr>
        <w:t xml:space="preserve"> et al., 2003; </w:t>
      </w:r>
      <w:proofErr w:type="spellStart"/>
      <w:r w:rsidRPr="00F36C9C">
        <w:rPr>
          <w:rFonts w:ascii="Arial" w:hAnsi="Arial" w:cs="Arial"/>
          <w:sz w:val="20"/>
          <w:szCs w:val="20"/>
        </w:rPr>
        <w:t>Albinu</w:t>
      </w:r>
      <w:proofErr w:type="spellEnd"/>
      <w:r w:rsidRPr="00F36C9C">
        <w:rPr>
          <w:rFonts w:ascii="Arial" w:hAnsi="Arial" w:cs="Arial"/>
          <w:sz w:val="20"/>
          <w:szCs w:val="20"/>
        </w:rPr>
        <w:t xml:space="preserve"> et al., 2004; World Health Organization, 2020). Consequently, the relatively low MIC values obtained for several pathogens suggest that </w:t>
      </w:r>
      <w:r w:rsidRPr="00F36C9C">
        <w:rPr>
          <w:rStyle w:val="Emphasis"/>
          <w:rFonts w:ascii="Arial" w:hAnsi="Arial" w:cs="Arial"/>
          <w:sz w:val="20"/>
          <w:szCs w:val="20"/>
        </w:rPr>
        <w:t>Mentha piperita</w:t>
      </w:r>
      <w:r w:rsidRPr="00F36C9C">
        <w:rPr>
          <w:rFonts w:ascii="Arial" w:hAnsi="Arial" w:cs="Arial"/>
          <w:sz w:val="20"/>
          <w:szCs w:val="20"/>
        </w:rPr>
        <w:t xml:space="preserve"> contains potent bioactive metabolites worthy of further purification and structural characterization. These findings reinforce the growing evidence that medicinal plants remain an invaluable source of novel antimicrobial lead compounds and support continued research aimed at developing safe, affordable and environmentally sustainable therapeutics. Such efforts directly contribute to </w:t>
      </w:r>
      <w:r w:rsidRPr="00F36C9C">
        <w:rPr>
          <w:rStyle w:val="Strong"/>
          <w:rFonts w:ascii="Arial" w:hAnsi="Arial" w:cs="Arial"/>
          <w:b w:val="0"/>
          <w:sz w:val="20"/>
          <w:szCs w:val="20"/>
        </w:rPr>
        <w:t>Sustainable Development Goal 3 (Good Health and Well-being)</w:t>
      </w:r>
      <w:r w:rsidRPr="00F36C9C">
        <w:rPr>
          <w:rFonts w:ascii="Arial" w:hAnsi="Arial" w:cs="Arial"/>
          <w:sz w:val="20"/>
          <w:szCs w:val="20"/>
        </w:rPr>
        <w:t xml:space="preserve"> by promoting the discovery of new antimicrobial agents capable of combating infectious diseases and antimicrobial resistance while also supporting </w:t>
      </w:r>
      <w:r w:rsidRPr="00F36C9C">
        <w:rPr>
          <w:rStyle w:val="Strong"/>
          <w:rFonts w:ascii="Arial" w:hAnsi="Arial" w:cs="Arial"/>
          <w:b w:val="0"/>
          <w:sz w:val="20"/>
          <w:szCs w:val="20"/>
        </w:rPr>
        <w:t>SDG 12</w:t>
      </w:r>
      <w:r w:rsidRPr="00F36C9C">
        <w:rPr>
          <w:rFonts w:ascii="Arial" w:hAnsi="Arial" w:cs="Arial"/>
          <w:sz w:val="20"/>
          <w:szCs w:val="20"/>
        </w:rPr>
        <w:t xml:space="preserve"> and </w:t>
      </w:r>
      <w:r w:rsidRPr="00F36C9C">
        <w:rPr>
          <w:rStyle w:val="Strong"/>
          <w:rFonts w:ascii="Arial" w:hAnsi="Arial" w:cs="Arial"/>
          <w:b w:val="0"/>
          <w:sz w:val="20"/>
          <w:szCs w:val="20"/>
        </w:rPr>
        <w:t>SDG 15</w:t>
      </w:r>
      <w:r w:rsidRPr="00F36C9C">
        <w:rPr>
          <w:rFonts w:ascii="Arial" w:hAnsi="Arial" w:cs="Arial"/>
          <w:sz w:val="20"/>
          <w:szCs w:val="20"/>
        </w:rPr>
        <w:t xml:space="preserve"> through the sustainable utilization and conservation of medicinal plant resources (United Nations, 2015; United Nations Environment </w:t>
      </w:r>
      <w:proofErr w:type="spellStart"/>
      <w:r w:rsidRPr="00F36C9C">
        <w:rPr>
          <w:rFonts w:ascii="Arial" w:hAnsi="Arial" w:cs="Arial"/>
          <w:sz w:val="20"/>
          <w:szCs w:val="20"/>
        </w:rPr>
        <w:t>Programme</w:t>
      </w:r>
      <w:proofErr w:type="spellEnd"/>
      <w:r w:rsidRPr="00F36C9C">
        <w:rPr>
          <w:rFonts w:ascii="Arial" w:hAnsi="Arial" w:cs="Arial"/>
          <w:sz w:val="20"/>
          <w:szCs w:val="20"/>
        </w:rPr>
        <w:t>, 2021; UNESCO, 2021).</w:t>
      </w:r>
    </w:p>
    <w:p w14:paraId="16A71137" w14:textId="77777777" w:rsidR="004D7BD3" w:rsidRPr="00F36C9C" w:rsidRDefault="004D7BD3" w:rsidP="0044514E">
      <w:pPr>
        <w:jc w:val="both"/>
        <w:rPr>
          <w:rFonts w:ascii="Arial" w:hAnsi="Arial" w:cs="Arial"/>
          <w:sz w:val="20"/>
          <w:szCs w:val="20"/>
        </w:rPr>
      </w:pPr>
    </w:p>
    <w:p w14:paraId="66232A7B" w14:textId="27AD3396" w:rsidR="00D94E70" w:rsidRPr="00F36C9C" w:rsidRDefault="00D94E70" w:rsidP="00D94E70">
      <w:pPr>
        <w:spacing w:line="480" w:lineRule="auto"/>
        <w:jc w:val="both"/>
        <w:rPr>
          <w:rFonts w:ascii="Arial" w:hAnsi="Arial" w:cs="Arial"/>
          <w:b/>
          <w:sz w:val="20"/>
          <w:szCs w:val="20"/>
        </w:rPr>
      </w:pPr>
      <w:r w:rsidRPr="00F36C9C">
        <w:rPr>
          <w:rFonts w:ascii="Arial" w:hAnsi="Arial" w:cs="Arial"/>
          <w:noProof/>
          <w:sz w:val="20"/>
          <w:szCs w:val="20"/>
        </w:rPr>
        <w:drawing>
          <wp:anchor distT="0" distB="0" distL="114300" distR="114300" simplePos="0" relativeHeight="251659264" behindDoc="0" locked="0" layoutInCell="1" allowOverlap="1" wp14:anchorId="732A918A" wp14:editId="5E24BA8D">
            <wp:simplePos x="0" y="0"/>
            <wp:positionH relativeFrom="margin">
              <wp:align>left</wp:align>
            </wp:positionH>
            <wp:positionV relativeFrom="paragraph">
              <wp:posOffset>127093</wp:posOffset>
            </wp:positionV>
            <wp:extent cx="4800600" cy="2143125"/>
            <wp:effectExtent l="0" t="0" r="0" b="9525"/>
            <wp:wrapNone/>
            <wp:docPr id="1" name="Chart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A8F85D-74B5-4C3D-85B5-21017D1DFD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6E21A75E" w14:textId="77777777" w:rsidR="00D94E70" w:rsidRPr="00F36C9C" w:rsidRDefault="00D94E70" w:rsidP="00D94E70">
      <w:pPr>
        <w:rPr>
          <w:rFonts w:ascii="Arial" w:hAnsi="Arial" w:cs="Arial"/>
          <w:sz w:val="20"/>
          <w:szCs w:val="20"/>
        </w:rPr>
      </w:pPr>
    </w:p>
    <w:p w14:paraId="1C1EB690" w14:textId="77777777" w:rsidR="00D94E70" w:rsidRPr="00F36C9C" w:rsidRDefault="00D94E70" w:rsidP="00D94E70">
      <w:pPr>
        <w:rPr>
          <w:rFonts w:ascii="Arial" w:hAnsi="Arial" w:cs="Arial"/>
          <w:sz w:val="20"/>
          <w:szCs w:val="20"/>
        </w:rPr>
      </w:pPr>
    </w:p>
    <w:p w14:paraId="614E7E10" w14:textId="77777777" w:rsidR="00D94E70" w:rsidRPr="00F36C9C" w:rsidRDefault="00D94E70" w:rsidP="00D94E70">
      <w:pPr>
        <w:rPr>
          <w:rFonts w:ascii="Arial" w:hAnsi="Arial" w:cs="Arial"/>
          <w:sz w:val="20"/>
          <w:szCs w:val="20"/>
        </w:rPr>
      </w:pPr>
    </w:p>
    <w:p w14:paraId="1B471E28" w14:textId="77777777" w:rsidR="00D94E70" w:rsidRPr="00F36C9C" w:rsidRDefault="00D94E70" w:rsidP="00D94E70">
      <w:pPr>
        <w:rPr>
          <w:rFonts w:ascii="Arial" w:hAnsi="Arial" w:cs="Arial"/>
          <w:sz w:val="20"/>
          <w:szCs w:val="20"/>
        </w:rPr>
      </w:pPr>
    </w:p>
    <w:p w14:paraId="125C9F0E" w14:textId="77777777" w:rsidR="00D94E70" w:rsidRPr="00F36C9C" w:rsidRDefault="00D94E70" w:rsidP="00D94E70">
      <w:pPr>
        <w:rPr>
          <w:rFonts w:ascii="Arial" w:hAnsi="Arial" w:cs="Arial"/>
          <w:sz w:val="20"/>
          <w:szCs w:val="20"/>
        </w:rPr>
      </w:pPr>
    </w:p>
    <w:p w14:paraId="064E8A3F" w14:textId="77777777" w:rsidR="00D94E70" w:rsidRPr="00F36C9C" w:rsidRDefault="00D94E70" w:rsidP="00D94E70">
      <w:pPr>
        <w:rPr>
          <w:rFonts w:ascii="Arial" w:hAnsi="Arial" w:cs="Arial"/>
          <w:sz w:val="20"/>
          <w:szCs w:val="20"/>
        </w:rPr>
      </w:pPr>
    </w:p>
    <w:p w14:paraId="0E1A422B" w14:textId="77777777" w:rsidR="00D94E70" w:rsidRPr="00F36C9C" w:rsidRDefault="00D94E70" w:rsidP="00D94E70">
      <w:pPr>
        <w:spacing w:after="0"/>
        <w:rPr>
          <w:rFonts w:ascii="Arial" w:hAnsi="Arial" w:cs="Arial"/>
          <w:b/>
          <w:sz w:val="20"/>
          <w:szCs w:val="20"/>
        </w:rPr>
      </w:pPr>
    </w:p>
    <w:p w14:paraId="206936B4" w14:textId="77777777" w:rsidR="00D94E70" w:rsidRPr="00F36C9C" w:rsidRDefault="00D94E70" w:rsidP="00D94E70">
      <w:pPr>
        <w:spacing w:after="0"/>
        <w:rPr>
          <w:rFonts w:ascii="Arial" w:hAnsi="Arial" w:cs="Arial"/>
          <w:b/>
          <w:sz w:val="20"/>
          <w:szCs w:val="20"/>
        </w:rPr>
      </w:pPr>
    </w:p>
    <w:p w14:paraId="501C2D1F" w14:textId="77777777" w:rsidR="00F55B65" w:rsidRPr="00F36C9C" w:rsidRDefault="00F55B65" w:rsidP="00D94E70">
      <w:pPr>
        <w:spacing w:after="0"/>
        <w:rPr>
          <w:rFonts w:ascii="Arial" w:hAnsi="Arial" w:cs="Arial"/>
          <w:b/>
          <w:sz w:val="20"/>
          <w:szCs w:val="20"/>
        </w:rPr>
      </w:pPr>
    </w:p>
    <w:p w14:paraId="7F644B03" w14:textId="23D43FB9" w:rsidR="00D94E70" w:rsidRPr="00F36C9C" w:rsidRDefault="00D94E70" w:rsidP="00D94E70">
      <w:pPr>
        <w:spacing w:after="0"/>
        <w:rPr>
          <w:rFonts w:ascii="Arial" w:hAnsi="Arial" w:cs="Arial"/>
          <w:b/>
          <w:sz w:val="20"/>
          <w:szCs w:val="20"/>
        </w:rPr>
      </w:pPr>
      <w:r w:rsidRPr="00F36C9C">
        <w:rPr>
          <w:rFonts w:ascii="Arial" w:hAnsi="Arial" w:cs="Arial"/>
          <w:b/>
          <w:sz w:val="20"/>
          <w:szCs w:val="20"/>
        </w:rPr>
        <w:t>Fig</w:t>
      </w:r>
      <w:r w:rsidR="00F55B65" w:rsidRPr="00F36C9C">
        <w:rPr>
          <w:rFonts w:ascii="Arial" w:hAnsi="Arial" w:cs="Arial"/>
          <w:b/>
          <w:sz w:val="20"/>
          <w:szCs w:val="20"/>
        </w:rPr>
        <w:t>.</w:t>
      </w:r>
      <w:r w:rsidRPr="00F36C9C">
        <w:rPr>
          <w:rFonts w:ascii="Arial" w:hAnsi="Arial" w:cs="Arial"/>
          <w:b/>
          <w:sz w:val="20"/>
          <w:szCs w:val="20"/>
        </w:rPr>
        <w:t xml:space="preserve"> 4</w:t>
      </w:r>
      <w:r w:rsidR="00F55B65" w:rsidRPr="00F36C9C">
        <w:rPr>
          <w:rFonts w:ascii="Arial" w:hAnsi="Arial" w:cs="Arial"/>
          <w:b/>
          <w:sz w:val="20"/>
          <w:szCs w:val="20"/>
        </w:rPr>
        <w:t>.</w:t>
      </w:r>
      <w:r w:rsidRPr="00F36C9C">
        <w:rPr>
          <w:rFonts w:ascii="Arial" w:hAnsi="Arial" w:cs="Arial"/>
          <w:b/>
          <w:sz w:val="20"/>
          <w:szCs w:val="20"/>
        </w:rPr>
        <w:t xml:space="preserve"> Antibacterial activity of ethanol extract of </w:t>
      </w:r>
      <w:r w:rsidRPr="00F36C9C">
        <w:rPr>
          <w:rFonts w:ascii="Arial" w:hAnsi="Arial" w:cs="Arial"/>
          <w:b/>
          <w:bCs/>
          <w:i/>
          <w:iCs/>
          <w:sz w:val="20"/>
          <w:szCs w:val="20"/>
        </w:rPr>
        <w:t>Mentha piperita</w:t>
      </w:r>
      <w:r w:rsidRPr="00F36C9C">
        <w:rPr>
          <w:rFonts w:ascii="Arial" w:hAnsi="Arial" w:cs="Arial"/>
          <w:b/>
          <w:sz w:val="20"/>
          <w:szCs w:val="20"/>
        </w:rPr>
        <w:t xml:space="preserve">  </w:t>
      </w:r>
    </w:p>
    <w:p w14:paraId="459EB810" w14:textId="5DE5FEC1" w:rsidR="00D94E70" w:rsidRPr="00F36C9C" w:rsidRDefault="00D94E70" w:rsidP="00D94E70">
      <w:pPr>
        <w:spacing w:after="0"/>
        <w:rPr>
          <w:rFonts w:ascii="Arial" w:hAnsi="Arial" w:cs="Arial"/>
          <w:b/>
          <w:sz w:val="20"/>
          <w:szCs w:val="20"/>
        </w:rPr>
      </w:pPr>
    </w:p>
    <w:p w14:paraId="75080EF5" w14:textId="777C50B6" w:rsidR="00D94E70" w:rsidRPr="00F36C9C" w:rsidRDefault="003C5742" w:rsidP="00D94E70">
      <w:pPr>
        <w:spacing w:after="0"/>
        <w:rPr>
          <w:rFonts w:ascii="Arial" w:hAnsi="Arial" w:cs="Arial"/>
          <w:b/>
          <w:sz w:val="20"/>
          <w:szCs w:val="20"/>
        </w:rPr>
      </w:pPr>
      <w:r w:rsidRPr="00F36C9C">
        <w:rPr>
          <w:rFonts w:ascii="Arial" w:hAnsi="Arial" w:cs="Arial"/>
          <w:noProof/>
          <w:sz w:val="20"/>
          <w:szCs w:val="20"/>
        </w:rPr>
        <w:drawing>
          <wp:anchor distT="0" distB="0" distL="114300" distR="114300" simplePos="0" relativeHeight="251665408" behindDoc="0" locked="0" layoutInCell="1" allowOverlap="1" wp14:anchorId="7E8EA4D1" wp14:editId="647494B4">
            <wp:simplePos x="0" y="0"/>
            <wp:positionH relativeFrom="margin">
              <wp:align>left</wp:align>
            </wp:positionH>
            <wp:positionV relativeFrom="paragraph">
              <wp:posOffset>5081</wp:posOffset>
            </wp:positionV>
            <wp:extent cx="4848225" cy="2152650"/>
            <wp:effectExtent l="0" t="0" r="9525" b="0"/>
            <wp:wrapNone/>
            <wp:docPr id="2" name="Chart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E693A4-EA63-497D-B2D6-FE13BDC762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5132C257" w14:textId="7F1C3005" w:rsidR="00D94E70" w:rsidRPr="00F36C9C" w:rsidRDefault="00D94E70" w:rsidP="00D94E70">
      <w:pPr>
        <w:spacing w:after="0"/>
        <w:rPr>
          <w:rFonts w:ascii="Arial" w:hAnsi="Arial" w:cs="Arial"/>
          <w:b/>
          <w:sz w:val="20"/>
          <w:szCs w:val="20"/>
        </w:rPr>
      </w:pPr>
    </w:p>
    <w:p w14:paraId="23566ED4" w14:textId="747C715D" w:rsidR="00D94E70" w:rsidRPr="00F36C9C" w:rsidRDefault="00D94E70" w:rsidP="00D94E70">
      <w:pPr>
        <w:spacing w:after="0"/>
        <w:rPr>
          <w:rFonts w:ascii="Arial" w:hAnsi="Arial" w:cs="Arial"/>
          <w:b/>
          <w:sz w:val="20"/>
          <w:szCs w:val="20"/>
        </w:rPr>
      </w:pPr>
    </w:p>
    <w:p w14:paraId="45E69215" w14:textId="77777777" w:rsidR="00D94E70" w:rsidRPr="00F36C9C" w:rsidRDefault="00D94E70" w:rsidP="00D94E70">
      <w:pPr>
        <w:spacing w:after="0"/>
        <w:rPr>
          <w:rFonts w:ascii="Arial" w:hAnsi="Arial" w:cs="Arial"/>
          <w:b/>
          <w:sz w:val="20"/>
          <w:szCs w:val="20"/>
        </w:rPr>
      </w:pPr>
    </w:p>
    <w:p w14:paraId="397F0C04" w14:textId="77777777" w:rsidR="00D94E70" w:rsidRPr="00F36C9C" w:rsidRDefault="00D94E70" w:rsidP="00D94E70">
      <w:pPr>
        <w:spacing w:after="0"/>
        <w:rPr>
          <w:rFonts w:ascii="Arial" w:hAnsi="Arial" w:cs="Arial"/>
          <w:b/>
          <w:sz w:val="20"/>
          <w:szCs w:val="20"/>
        </w:rPr>
      </w:pPr>
    </w:p>
    <w:p w14:paraId="59FCCDDE" w14:textId="77777777" w:rsidR="00D94E70" w:rsidRPr="00F36C9C" w:rsidRDefault="00D94E70" w:rsidP="00D94E70">
      <w:pPr>
        <w:spacing w:after="0"/>
        <w:rPr>
          <w:rFonts w:ascii="Arial" w:hAnsi="Arial" w:cs="Arial"/>
          <w:b/>
          <w:sz w:val="20"/>
          <w:szCs w:val="20"/>
        </w:rPr>
      </w:pPr>
    </w:p>
    <w:p w14:paraId="5272A460" w14:textId="77777777" w:rsidR="00D94E70" w:rsidRPr="00F36C9C" w:rsidRDefault="00D94E70" w:rsidP="00D94E70">
      <w:pPr>
        <w:spacing w:after="0"/>
        <w:rPr>
          <w:rFonts w:ascii="Arial" w:hAnsi="Arial" w:cs="Arial"/>
          <w:b/>
          <w:sz w:val="20"/>
          <w:szCs w:val="20"/>
        </w:rPr>
      </w:pPr>
    </w:p>
    <w:p w14:paraId="1318D1D7" w14:textId="77777777" w:rsidR="00D94E70" w:rsidRPr="00F36C9C" w:rsidRDefault="00D94E70" w:rsidP="00D94E70">
      <w:pPr>
        <w:spacing w:after="0"/>
        <w:rPr>
          <w:rFonts w:ascii="Arial" w:hAnsi="Arial" w:cs="Arial"/>
          <w:b/>
          <w:sz w:val="20"/>
          <w:szCs w:val="20"/>
        </w:rPr>
      </w:pPr>
    </w:p>
    <w:p w14:paraId="3A36EC37" w14:textId="77777777" w:rsidR="00D94E70" w:rsidRPr="00F36C9C" w:rsidRDefault="00D94E70" w:rsidP="00D94E70">
      <w:pPr>
        <w:spacing w:after="0"/>
        <w:rPr>
          <w:rFonts w:ascii="Arial" w:hAnsi="Arial" w:cs="Arial"/>
          <w:b/>
          <w:sz w:val="20"/>
          <w:szCs w:val="20"/>
        </w:rPr>
      </w:pPr>
    </w:p>
    <w:p w14:paraId="6810BBEA" w14:textId="77777777" w:rsidR="00D94E70" w:rsidRPr="00F36C9C" w:rsidRDefault="00D94E70" w:rsidP="00D94E70">
      <w:pPr>
        <w:spacing w:after="0"/>
        <w:rPr>
          <w:rFonts w:ascii="Arial" w:hAnsi="Arial" w:cs="Arial"/>
          <w:b/>
          <w:sz w:val="20"/>
          <w:szCs w:val="20"/>
        </w:rPr>
      </w:pPr>
    </w:p>
    <w:p w14:paraId="6505FA37" w14:textId="77777777" w:rsidR="00D94E70" w:rsidRPr="00F36C9C" w:rsidRDefault="00D94E70" w:rsidP="00D94E70">
      <w:pPr>
        <w:spacing w:after="0"/>
        <w:rPr>
          <w:rFonts w:ascii="Arial" w:hAnsi="Arial" w:cs="Arial"/>
          <w:b/>
          <w:sz w:val="20"/>
          <w:szCs w:val="20"/>
        </w:rPr>
      </w:pPr>
    </w:p>
    <w:p w14:paraId="315CF3A3" w14:textId="77777777" w:rsidR="00D94E70" w:rsidRPr="00F36C9C" w:rsidRDefault="00D94E70" w:rsidP="00D94E70">
      <w:pPr>
        <w:spacing w:after="0"/>
        <w:rPr>
          <w:rFonts w:ascii="Arial" w:hAnsi="Arial" w:cs="Arial"/>
          <w:b/>
          <w:sz w:val="20"/>
          <w:szCs w:val="20"/>
        </w:rPr>
      </w:pPr>
    </w:p>
    <w:p w14:paraId="55FB7E05" w14:textId="77777777" w:rsidR="00D94E70" w:rsidRPr="00F36C9C" w:rsidRDefault="00D94E70" w:rsidP="00D94E70">
      <w:pPr>
        <w:spacing w:after="0"/>
        <w:rPr>
          <w:rFonts w:ascii="Arial" w:hAnsi="Arial" w:cs="Arial"/>
          <w:b/>
          <w:sz w:val="20"/>
          <w:szCs w:val="20"/>
        </w:rPr>
      </w:pPr>
    </w:p>
    <w:p w14:paraId="2C1E5C6F" w14:textId="77777777" w:rsidR="00D94E70" w:rsidRPr="00F36C9C" w:rsidRDefault="00D94E70" w:rsidP="00D94E70">
      <w:pPr>
        <w:spacing w:after="0"/>
        <w:rPr>
          <w:rFonts w:ascii="Arial" w:hAnsi="Arial" w:cs="Arial"/>
          <w:b/>
          <w:sz w:val="20"/>
          <w:szCs w:val="20"/>
        </w:rPr>
      </w:pPr>
      <w:r w:rsidRPr="00F36C9C">
        <w:rPr>
          <w:rFonts w:ascii="Arial" w:hAnsi="Arial" w:cs="Arial"/>
          <w:b/>
          <w:sz w:val="20"/>
          <w:szCs w:val="20"/>
        </w:rPr>
        <w:t xml:space="preserve">         </w:t>
      </w:r>
    </w:p>
    <w:p w14:paraId="2E53E041" w14:textId="4850A7F6" w:rsidR="003C5742" w:rsidRPr="00F36C9C" w:rsidRDefault="00D94E70" w:rsidP="00D94E70">
      <w:pPr>
        <w:spacing w:after="0"/>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5</w:t>
      </w:r>
      <w:r w:rsidR="00F55B65" w:rsidRPr="00F36C9C">
        <w:rPr>
          <w:rFonts w:ascii="Arial" w:hAnsi="Arial" w:cs="Arial"/>
          <w:b/>
          <w:sz w:val="20"/>
          <w:szCs w:val="20"/>
        </w:rPr>
        <w:t>.</w:t>
      </w:r>
      <w:r w:rsidRPr="00F36C9C">
        <w:rPr>
          <w:rFonts w:ascii="Arial" w:hAnsi="Arial" w:cs="Arial"/>
          <w:b/>
          <w:sz w:val="20"/>
          <w:szCs w:val="20"/>
        </w:rPr>
        <w:t xml:space="preserve"> Antibacterial activity of alkaloids extracted from </w:t>
      </w:r>
      <w:proofErr w:type="gramStart"/>
      <w:r w:rsidRPr="00F36C9C">
        <w:rPr>
          <w:rFonts w:ascii="Arial" w:hAnsi="Arial" w:cs="Arial"/>
          <w:b/>
          <w:bCs/>
          <w:i/>
          <w:iCs/>
          <w:sz w:val="20"/>
          <w:szCs w:val="20"/>
        </w:rPr>
        <w:t>Mentha  piperita</w:t>
      </w:r>
      <w:proofErr w:type="gramEnd"/>
      <w:r w:rsidRPr="00F36C9C">
        <w:rPr>
          <w:rFonts w:ascii="Arial" w:hAnsi="Arial" w:cs="Arial"/>
          <w:b/>
          <w:bCs/>
          <w:i/>
          <w:iCs/>
          <w:sz w:val="20"/>
          <w:szCs w:val="20"/>
        </w:rPr>
        <w:t xml:space="preserve"> </w:t>
      </w:r>
    </w:p>
    <w:p w14:paraId="1B45AC0C" w14:textId="5AE5FCCF" w:rsidR="00F55B65" w:rsidRPr="00F36C9C" w:rsidRDefault="00F55B65" w:rsidP="00D94E70">
      <w:pPr>
        <w:spacing w:after="0"/>
        <w:rPr>
          <w:rFonts w:ascii="Arial" w:hAnsi="Arial" w:cs="Arial"/>
          <w:b/>
          <w:bCs/>
          <w:i/>
          <w:iCs/>
          <w:sz w:val="20"/>
          <w:szCs w:val="20"/>
        </w:rPr>
      </w:pPr>
    </w:p>
    <w:p w14:paraId="442070BC" w14:textId="77777777" w:rsidR="00F55B65" w:rsidRPr="00F36C9C" w:rsidRDefault="00F55B65" w:rsidP="00D94E70">
      <w:pPr>
        <w:spacing w:after="0"/>
        <w:rPr>
          <w:rFonts w:ascii="Arial" w:hAnsi="Arial" w:cs="Arial"/>
          <w:b/>
          <w:bCs/>
          <w:i/>
          <w:iCs/>
          <w:sz w:val="20"/>
          <w:szCs w:val="20"/>
        </w:rPr>
      </w:pPr>
    </w:p>
    <w:p w14:paraId="06D0E67C" w14:textId="0FE89123" w:rsidR="00D94E70" w:rsidRPr="00F36C9C" w:rsidRDefault="003069BE" w:rsidP="00D94E70">
      <w:pPr>
        <w:spacing w:after="0"/>
        <w:rPr>
          <w:rFonts w:ascii="Arial" w:hAnsi="Arial" w:cs="Arial"/>
          <w:b/>
          <w:bCs/>
          <w:i/>
          <w:iCs/>
          <w:sz w:val="20"/>
          <w:szCs w:val="20"/>
        </w:rPr>
      </w:pPr>
      <w:r w:rsidRPr="00F36C9C">
        <w:rPr>
          <w:rFonts w:ascii="Arial" w:hAnsi="Arial" w:cs="Arial"/>
          <w:noProof/>
          <w:sz w:val="20"/>
          <w:szCs w:val="20"/>
        </w:rPr>
        <w:drawing>
          <wp:anchor distT="0" distB="0" distL="114300" distR="114300" simplePos="0" relativeHeight="251660288" behindDoc="0" locked="0" layoutInCell="1" allowOverlap="1" wp14:anchorId="15EC0303" wp14:editId="10B2155D">
            <wp:simplePos x="0" y="0"/>
            <wp:positionH relativeFrom="margin">
              <wp:align>left</wp:align>
            </wp:positionH>
            <wp:positionV relativeFrom="paragraph">
              <wp:posOffset>161925</wp:posOffset>
            </wp:positionV>
            <wp:extent cx="4867275" cy="2219325"/>
            <wp:effectExtent l="0" t="0" r="9525" b="9525"/>
            <wp:wrapNone/>
            <wp:docPr id="4" name="Chart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2CA922-92C9-434F-AE11-3654F07A0D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D94E70" w:rsidRPr="00F36C9C">
        <w:rPr>
          <w:rFonts w:ascii="Arial" w:hAnsi="Arial" w:cs="Arial"/>
          <w:b/>
          <w:bCs/>
          <w:i/>
          <w:iCs/>
          <w:sz w:val="20"/>
          <w:szCs w:val="20"/>
        </w:rPr>
        <w:t xml:space="preserve">                             </w:t>
      </w:r>
    </w:p>
    <w:p w14:paraId="1726E12A" w14:textId="6C0705CD" w:rsidR="00D94E70" w:rsidRPr="00F36C9C" w:rsidRDefault="00D94E70" w:rsidP="00D94E70">
      <w:pPr>
        <w:rPr>
          <w:rFonts w:ascii="Arial" w:hAnsi="Arial" w:cs="Arial"/>
          <w:sz w:val="20"/>
          <w:szCs w:val="20"/>
        </w:rPr>
      </w:pPr>
    </w:p>
    <w:p w14:paraId="4998D1FD" w14:textId="77777777" w:rsidR="00D94E70" w:rsidRPr="00F36C9C" w:rsidRDefault="00D94E70" w:rsidP="00D94E70">
      <w:pPr>
        <w:rPr>
          <w:rFonts w:ascii="Arial" w:hAnsi="Arial" w:cs="Arial"/>
          <w:b/>
          <w:sz w:val="20"/>
          <w:szCs w:val="20"/>
        </w:rPr>
      </w:pPr>
    </w:p>
    <w:p w14:paraId="06BCA690" w14:textId="7EC47459" w:rsidR="00D94E70" w:rsidRPr="00F36C9C" w:rsidRDefault="00D94E70" w:rsidP="00D94E70">
      <w:pPr>
        <w:rPr>
          <w:rFonts w:ascii="Arial" w:hAnsi="Arial" w:cs="Arial"/>
          <w:b/>
          <w:sz w:val="20"/>
          <w:szCs w:val="20"/>
        </w:rPr>
      </w:pPr>
    </w:p>
    <w:p w14:paraId="0E4E9903" w14:textId="56217B50" w:rsidR="00D94E70" w:rsidRPr="00F36C9C" w:rsidRDefault="00D94E70" w:rsidP="00D94E70">
      <w:pPr>
        <w:rPr>
          <w:rFonts w:ascii="Arial" w:hAnsi="Arial" w:cs="Arial"/>
          <w:b/>
          <w:sz w:val="20"/>
          <w:szCs w:val="20"/>
        </w:rPr>
      </w:pPr>
    </w:p>
    <w:p w14:paraId="7850D27E" w14:textId="77777777" w:rsidR="00D94E70" w:rsidRPr="00F36C9C" w:rsidRDefault="00D94E70" w:rsidP="00D94E70">
      <w:pPr>
        <w:rPr>
          <w:rFonts w:ascii="Arial" w:hAnsi="Arial" w:cs="Arial"/>
          <w:b/>
          <w:sz w:val="20"/>
          <w:szCs w:val="20"/>
        </w:rPr>
      </w:pPr>
    </w:p>
    <w:p w14:paraId="4FA813C6" w14:textId="77777777" w:rsidR="00D94E70" w:rsidRPr="00F36C9C" w:rsidRDefault="00D94E70" w:rsidP="00D94E70">
      <w:pPr>
        <w:rPr>
          <w:rFonts w:ascii="Arial" w:hAnsi="Arial" w:cs="Arial"/>
          <w:b/>
          <w:sz w:val="20"/>
          <w:szCs w:val="20"/>
        </w:rPr>
      </w:pPr>
    </w:p>
    <w:p w14:paraId="7E0B7143" w14:textId="77777777" w:rsidR="00D94E70" w:rsidRPr="00F36C9C" w:rsidRDefault="00D94E70" w:rsidP="00D94E70">
      <w:pPr>
        <w:rPr>
          <w:rFonts w:ascii="Arial" w:hAnsi="Arial" w:cs="Arial"/>
          <w:b/>
          <w:sz w:val="20"/>
          <w:szCs w:val="20"/>
        </w:rPr>
      </w:pPr>
    </w:p>
    <w:p w14:paraId="18050B7B" w14:textId="77777777" w:rsidR="00D94E70" w:rsidRPr="00F36C9C" w:rsidRDefault="00D94E70" w:rsidP="00D94E70">
      <w:pPr>
        <w:rPr>
          <w:rFonts w:ascii="Arial" w:hAnsi="Arial" w:cs="Arial"/>
          <w:b/>
          <w:sz w:val="20"/>
          <w:szCs w:val="20"/>
        </w:rPr>
      </w:pPr>
    </w:p>
    <w:p w14:paraId="6942CD10" w14:textId="77777777" w:rsidR="003C5742"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6346A22C" w14:textId="4B0A20D6" w:rsidR="00D94E70" w:rsidRPr="00F36C9C" w:rsidRDefault="00D94E70" w:rsidP="00D94E70">
      <w:pPr>
        <w:rPr>
          <w:rFonts w:ascii="Arial" w:hAnsi="Arial" w:cs="Arial"/>
          <w:b/>
          <w:bCs/>
          <w:i/>
          <w:iCs/>
          <w:sz w:val="20"/>
          <w:szCs w:val="20"/>
        </w:rPr>
      </w:pPr>
      <w:r w:rsidRPr="00F36C9C">
        <w:rPr>
          <w:rFonts w:ascii="Arial" w:hAnsi="Arial" w:cs="Arial"/>
          <w:b/>
          <w:sz w:val="20"/>
          <w:szCs w:val="20"/>
        </w:rPr>
        <w:t>Fig</w:t>
      </w:r>
      <w:r w:rsidR="00F55B65" w:rsidRPr="00F36C9C">
        <w:rPr>
          <w:rFonts w:ascii="Arial" w:hAnsi="Arial" w:cs="Arial"/>
          <w:b/>
          <w:sz w:val="20"/>
          <w:szCs w:val="20"/>
        </w:rPr>
        <w:t>.</w:t>
      </w:r>
      <w:r w:rsidRPr="00F36C9C">
        <w:rPr>
          <w:rFonts w:ascii="Arial" w:hAnsi="Arial" w:cs="Arial"/>
          <w:b/>
          <w:sz w:val="20"/>
          <w:szCs w:val="20"/>
        </w:rPr>
        <w:t xml:space="preserve"> 6</w:t>
      </w:r>
      <w:r w:rsidR="00F55B65" w:rsidRPr="00F36C9C">
        <w:rPr>
          <w:rFonts w:ascii="Arial" w:hAnsi="Arial" w:cs="Arial"/>
          <w:b/>
          <w:sz w:val="20"/>
          <w:szCs w:val="20"/>
        </w:rPr>
        <w:t>.</w:t>
      </w:r>
      <w:r w:rsidRPr="00F36C9C">
        <w:rPr>
          <w:rFonts w:ascii="Arial" w:hAnsi="Arial" w:cs="Arial"/>
          <w:b/>
          <w:sz w:val="20"/>
          <w:szCs w:val="20"/>
        </w:rPr>
        <w:t xml:space="preserve"> Antibacterial activity of flavonoids extracted from </w:t>
      </w:r>
      <w:r w:rsidRPr="00F36C9C">
        <w:rPr>
          <w:rFonts w:ascii="Arial" w:hAnsi="Arial" w:cs="Arial"/>
          <w:b/>
          <w:bCs/>
          <w:i/>
          <w:iCs/>
          <w:sz w:val="20"/>
          <w:szCs w:val="20"/>
        </w:rPr>
        <w:t>Mentha piperita</w:t>
      </w:r>
    </w:p>
    <w:p w14:paraId="27C86F7E" w14:textId="54FD87B9" w:rsidR="00D94E70" w:rsidRPr="00F36C9C" w:rsidRDefault="00D94E70" w:rsidP="00D94E70">
      <w:pPr>
        <w:rPr>
          <w:rFonts w:ascii="Arial" w:hAnsi="Arial" w:cs="Arial"/>
          <w:b/>
          <w:bCs/>
          <w:i/>
          <w:iCs/>
          <w:sz w:val="20"/>
          <w:szCs w:val="20"/>
        </w:rPr>
      </w:pPr>
      <w:r w:rsidRPr="00F36C9C">
        <w:rPr>
          <w:rFonts w:ascii="Arial" w:hAnsi="Arial" w:cs="Arial"/>
          <w:noProof/>
          <w:sz w:val="20"/>
          <w:szCs w:val="20"/>
        </w:rPr>
        <w:drawing>
          <wp:anchor distT="0" distB="0" distL="114300" distR="114300" simplePos="0" relativeHeight="251661312" behindDoc="0" locked="0" layoutInCell="1" allowOverlap="1" wp14:anchorId="17BEAB10" wp14:editId="41C01C65">
            <wp:simplePos x="0" y="0"/>
            <wp:positionH relativeFrom="margin">
              <wp:align>left</wp:align>
            </wp:positionH>
            <wp:positionV relativeFrom="paragraph">
              <wp:posOffset>127000</wp:posOffset>
            </wp:positionV>
            <wp:extent cx="4724400" cy="2276475"/>
            <wp:effectExtent l="0" t="0" r="0" b="9525"/>
            <wp:wrapNone/>
            <wp:docPr id="5" name="Chart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2A89745-822B-47AE-BC70-DE8626E14F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4F69F1C4" w14:textId="77777777" w:rsidR="00D94E70" w:rsidRPr="00F36C9C" w:rsidRDefault="00D94E70" w:rsidP="00D94E70">
      <w:pPr>
        <w:rPr>
          <w:rFonts w:ascii="Arial" w:hAnsi="Arial" w:cs="Arial"/>
          <w:sz w:val="20"/>
          <w:szCs w:val="20"/>
        </w:rPr>
      </w:pPr>
    </w:p>
    <w:p w14:paraId="2E6CC080" w14:textId="77777777" w:rsidR="00D94E70" w:rsidRPr="00F36C9C" w:rsidRDefault="00D94E70" w:rsidP="00D94E70">
      <w:pPr>
        <w:rPr>
          <w:rFonts w:ascii="Arial" w:hAnsi="Arial" w:cs="Arial"/>
          <w:sz w:val="20"/>
          <w:szCs w:val="20"/>
        </w:rPr>
      </w:pPr>
    </w:p>
    <w:p w14:paraId="1D21AF3E" w14:textId="77777777" w:rsidR="00D94E70" w:rsidRPr="00F36C9C" w:rsidRDefault="00D94E70" w:rsidP="00D94E70">
      <w:pPr>
        <w:rPr>
          <w:rFonts w:ascii="Arial" w:hAnsi="Arial" w:cs="Arial"/>
          <w:sz w:val="20"/>
          <w:szCs w:val="20"/>
        </w:rPr>
      </w:pPr>
    </w:p>
    <w:p w14:paraId="304C8E9A" w14:textId="77777777" w:rsidR="00D94E70" w:rsidRPr="00F36C9C" w:rsidRDefault="00D94E70" w:rsidP="00D94E70">
      <w:pPr>
        <w:rPr>
          <w:rFonts w:ascii="Arial" w:hAnsi="Arial" w:cs="Arial"/>
          <w:sz w:val="20"/>
          <w:szCs w:val="20"/>
        </w:rPr>
      </w:pPr>
    </w:p>
    <w:p w14:paraId="040782D0" w14:textId="77777777" w:rsidR="00D94E70" w:rsidRPr="00F36C9C" w:rsidRDefault="00D94E70" w:rsidP="00D94E70">
      <w:pPr>
        <w:rPr>
          <w:rFonts w:ascii="Arial" w:hAnsi="Arial" w:cs="Arial"/>
          <w:sz w:val="20"/>
          <w:szCs w:val="20"/>
        </w:rPr>
      </w:pPr>
    </w:p>
    <w:p w14:paraId="2F322960" w14:textId="77777777" w:rsidR="00D94E70" w:rsidRPr="00F36C9C" w:rsidRDefault="00D94E70" w:rsidP="00D94E70">
      <w:pPr>
        <w:rPr>
          <w:rFonts w:ascii="Arial" w:hAnsi="Arial" w:cs="Arial"/>
          <w:sz w:val="20"/>
          <w:szCs w:val="20"/>
        </w:rPr>
      </w:pPr>
    </w:p>
    <w:p w14:paraId="1267E0A1" w14:textId="1D89A207" w:rsidR="003C5742" w:rsidRPr="00F36C9C" w:rsidRDefault="003C5742" w:rsidP="00D94E70">
      <w:pPr>
        <w:rPr>
          <w:rFonts w:ascii="Arial" w:hAnsi="Arial" w:cs="Arial"/>
          <w:sz w:val="20"/>
          <w:szCs w:val="20"/>
        </w:rPr>
      </w:pPr>
    </w:p>
    <w:p w14:paraId="4419AB1A" w14:textId="27C5E601" w:rsidR="00526251" w:rsidRPr="00F36C9C" w:rsidRDefault="00526251" w:rsidP="00D94E70">
      <w:pPr>
        <w:rPr>
          <w:rFonts w:ascii="Arial" w:hAnsi="Arial" w:cs="Arial"/>
          <w:b/>
          <w:sz w:val="20"/>
          <w:szCs w:val="20"/>
        </w:rPr>
      </w:pPr>
    </w:p>
    <w:p w14:paraId="4E1A4BAF" w14:textId="77777777" w:rsidR="00DC39B9" w:rsidRPr="00F36C9C" w:rsidRDefault="00DC39B9" w:rsidP="00D94E70">
      <w:pPr>
        <w:rPr>
          <w:rFonts w:ascii="Arial" w:hAnsi="Arial" w:cs="Arial"/>
          <w:b/>
          <w:sz w:val="20"/>
          <w:szCs w:val="20"/>
        </w:rPr>
      </w:pPr>
    </w:p>
    <w:p w14:paraId="0B852C4E" w14:textId="0541B182" w:rsidR="00D94E70" w:rsidRPr="00F36C9C" w:rsidRDefault="00D94E70" w:rsidP="00D94E70">
      <w:pPr>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7</w:t>
      </w:r>
      <w:r w:rsidR="00F55B65" w:rsidRPr="00F36C9C">
        <w:rPr>
          <w:rFonts w:ascii="Arial" w:hAnsi="Arial" w:cs="Arial"/>
          <w:b/>
          <w:sz w:val="20"/>
          <w:szCs w:val="20"/>
        </w:rPr>
        <w:t>.</w:t>
      </w:r>
      <w:r w:rsidRPr="00F36C9C">
        <w:rPr>
          <w:rFonts w:ascii="Arial" w:hAnsi="Arial" w:cs="Arial"/>
          <w:b/>
          <w:sz w:val="20"/>
          <w:szCs w:val="20"/>
        </w:rPr>
        <w:t xml:space="preserve"> Antibacterial activity of cardiac glycosides extracted from </w:t>
      </w:r>
      <w:r w:rsidRPr="00F36C9C">
        <w:rPr>
          <w:rFonts w:ascii="Arial" w:hAnsi="Arial" w:cs="Arial"/>
          <w:b/>
          <w:bCs/>
          <w:i/>
          <w:iCs/>
          <w:sz w:val="20"/>
          <w:szCs w:val="20"/>
        </w:rPr>
        <w:t>Mentha piperita</w:t>
      </w:r>
    </w:p>
    <w:p w14:paraId="0F0174DF" w14:textId="77777777" w:rsidR="00D94E70" w:rsidRPr="00F36C9C" w:rsidRDefault="00D94E70" w:rsidP="00D94E70">
      <w:pPr>
        <w:rPr>
          <w:rFonts w:ascii="Arial" w:hAnsi="Arial" w:cs="Arial"/>
          <w:sz w:val="20"/>
          <w:szCs w:val="20"/>
        </w:rPr>
      </w:pPr>
      <w:r w:rsidRPr="00F36C9C">
        <w:rPr>
          <w:rFonts w:ascii="Arial" w:hAnsi="Arial" w:cs="Arial"/>
          <w:noProof/>
          <w:sz w:val="20"/>
          <w:szCs w:val="20"/>
        </w:rPr>
        <w:drawing>
          <wp:anchor distT="0" distB="0" distL="114300" distR="114300" simplePos="0" relativeHeight="251662336" behindDoc="0" locked="0" layoutInCell="1" allowOverlap="1" wp14:anchorId="2A7129BD" wp14:editId="5F3A57EA">
            <wp:simplePos x="0" y="0"/>
            <wp:positionH relativeFrom="margin">
              <wp:align>left</wp:align>
            </wp:positionH>
            <wp:positionV relativeFrom="paragraph">
              <wp:posOffset>41275</wp:posOffset>
            </wp:positionV>
            <wp:extent cx="4762500" cy="2171700"/>
            <wp:effectExtent l="0" t="0" r="0" b="0"/>
            <wp:wrapNone/>
            <wp:docPr id="6" name="Chart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9B08696-B75B-4839-916F-3138BDEF17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F36C9C">
        <w:rPr>
          <w:rFonts w:ascii="Arial" w:hAnsi="Arial" w:cs="Arial"/>
          <w:sz w:val="20"/>
          <w:szCs w:val="20"/>
        </w:rPr>
        <w:t xml:space="preserve">                                                                                                                                                                      </w:t>
      </w:r>
    </w:p>
    <w:p w14:paraId="45ED3BE5" w14:textId="77777777" w:rsidR="00D94E70" w:rsidRPr="00F36C9C" w:rsidRDefault="00D94E70" w:rsidP="00D94E70">
      <w:pPr>
        <w:rPr>
          <w:rFonts w:ascii="Arial" w:hAnsi="Arial" w:cs="Arial"/>
          <w:sz w:val="20"/>
          <w:szCs w:val="20"/>
        </w:rPr>
      </w:pPr>
    </w:p>
    <w:p w14:paraId="391F9277" w14:textId="77777777" w:rsidR="00D94E70" w:rsidRPr="00F36C9C" w:rsidRDefault="00D94E70" w:rsidP="00D94E70">
      <w:pPr>
        <w:rPr>
          <w:rFonts w:ascii="Arial" w:hAnsi="Arial" w:cs="Arial"/>
          <w:sz w:val="20"/>
          <w:szCs w:val="20"/>
        </w:rPr>
      </w:pPr>
    </w:p>
    <w:p w14:paraId="0B42A3A5" w14:textId="77777777" w:rsidR="00D94E70" w:rsidRPr="00F36C9C" w:rsidRDefault="00D94E70" w:rsidP="00D94E70">
      <w:pPr>
        <w:rPr>
          <w:rFonts w:ascii="Arial" w:hAnsi="Arial" w:cs="Arial"/>
          <w:sz w:val="20"/>
          <w:szCs w:val="20"/>
        </w:rPr>
      </w:pPr>
    </w:p>
    <w:p w14:paraId="168C9E33" w14:textId="77777777" w:rsidR="00D94E70" w:rsidRPr="00F36C9C" w:rsidRDefault="00D94E70" w:rsidP="00D94E70">
      <w:pPr>
        <w:rPr>
          <w:rFonts w:ascii="Arial" w:hAnsi="Arial" w:cs="Arial"/>
          <w:sz w:val="20"/>
          <w:szCs w:val="20"/>
        </w:rPr>
      </w:pPr>
    </w:p>
    <w:p w14:paraId="2B9DD947" w14:textId="77777777" w:rsidR="00D94E70" w:rsidRPr="00F36C9C" w:rsidRDefault="00D94E70" w:rsidP="00D94E70">
      <w:pPr>
        <w:rPr>
          <w:rFonts w:ascii="Arial" w:hAnsi="Arial" w:cs="Arial"/>
          <w:sz w:val="20"/>
          <w:szCs w:val="20"/>
        </w:rPr>
      </w:pPr>
    </w:p>
    <w:p w14:paraId="61A54EF5" w14:textId="77777777" w:rsidR="00D94E70" w:rsidRPr="00F36C9C" w:rsidRDefault="00D94E70" w:rsidP="00D94E70">
      <w:pPr>
        <w:rPr>
          <w:rFonts w:ascii="Arial" w:hAnsi="Arial" w:cs="Arial"/>
          <w:sz w:val="20"/>
          <w:szCs w:val="20"/>
        </w:rPr>
      </w:pPr>
    </w:p>
    <w:p w14:paraId="1DD308DD" w14:textId="77777777" w:rsidR="00D94E70"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0BA8A8FD" w14:textId="77777777" w:rsidR="00526251"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78E10ED3" w14:textId="5CE515A8" w:rsidR="00D94E70" w:rsidRPr="00F36C9C" w:rsidRDefault="00D94E70" w:rsidP="00D94E70">
      <w:pPr>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8</w:t>
      </w:r>
      <w:r w:rsidR="00F55B65" w:rsidRPr="00F36C9C">
        <w:rPr>
          <w:rFonts w:ascii="Arial" w:hAnsi="Arial" w:cs="Arial"/>
          <w:b/>
          <w:sz w:val="20"/>
          <w:szCs w:val="20"/>
        </w:rPr>
        <w:t>.</w:t>
      </w:r>
      <w:r w:rsidRPr="00F36C9C">
        <w:rPr>
          <w:rFonts w:ascii="Arial" w:hAnsi="Arial" w:cs="Arial"/>
          <w:b/>
          <w:sz w:val="20"/>
          <w:szCs w:val="20"/>
        </w:rPr>
        <w:t xml:space="preserve"> Antifungal activity of ethanol extract of </w:t>
      </w:r>
      <w:r w:rsidRPr="00F36C9C">
        <w:rPr>
          <w:rFonts w:ascii="Arial" w:hAnsi="Arial" w:cs="Arial"/>
          <w:b/>
          <w:bCs/>
          <w:i/>
          <w:iCs/>
          <w:sz w:val="20"/>
          <w:szCs w:val="20"/>
        </w:rPr>
        <w:t>Mentha piperita</w:t>
      </w:r>
    </w:p>
    <w:p w14:paraId="6D02B9DF" w14:textId="7C541117" w:rsidR="00D94E70" w:rsidRPr="00F36C9C" w:rsidRDefault="00D94E70" w:rsidP="00D94E70">
      <w:pPr>
        <w:rPr>
          <w:rFonts w:ascii="Arial" w:hAnsi="Arial" w:cs="Arial"/>
          <w:b/>
          <w:bCs/>
          <w:iCs/>
          <w:sz w:val="20"/>
          <w:szCs w:val="20"/>
        </w:rPr>
      </w:pPr>
      <w:r w:rsidRPr="00F36C9C">
        <w:rPr>
          <w:rFonts w:ascii="Arial" w:hAnsi="Arial" w:cs="Arial"/>
          <w:noProof/>
          <w:sz w:val="20"/>
          <w:szCs w:val="20"/>
        </w:rPr>
        <w:drawing>
          <wp:anchor distT="0" distB="0" distL="114300" distR="114300" simplePos="0" relativeHeight="251663360" behindDoc="0" locked="0" layoutInCell="1" allowOverlap="1" wp14:anchorId="0884E6A7" wp14:editId="7D103A7F">
            <wp:simplePos x="0" y="0"/>
            <wp:positionH relativeFrom="margin">
              <wp:align>left</wp:align>
            </wp:positionH>
            <wp:positionV relativeFrom="paragraph">
              <wp:posOffset>120015</wp:posOffset>
            </wp:positionV>
            <wp:extent cx="4772025" cy="2076450"/>
            <wp:effectExtent l="0" t="0" r="9525" b="0"/>
            <wp:wrapNone/>
            <wp:docPr id="7" name="Chart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A720CE-4513-4BFF-A955-ED0337500B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1CA19EB8" w14:textId="77777777" w:rsidR="00D94E70" w:rsidRPr="00F36C9C" w:rsidRDefault="00D94E70" w:rsidP="00D94E70">
      <w:pPr>
        <w:rPr>
          <w:rFonts w:ascii="Arial" w:hAnsi="Arial" w:cs="Arial"/>
          <w:sz w:val="20"/>
          <w:szCs w:val="20"/>
        </w:rPr>
      </w:pPr>
      <w:r w:rsidRPr="00F36C9C">
        <w:rPr>
          <w:rFonts w:ascii="Arial" w:hAnsi="Arial" w:cs="Arial"/>
          <w:sz w:val="20"/>
          <w:szCs w:val="20"/>
        </w:rPr>
        <w:t xml:space="preserve">                                                                                                                                                                   </w:t>
      </w:r>
    </w:p>
    <w:p w14:paraId="7F52B24F" w14:textId="77777777" w:rsidR="00D94E70" w:rsidRPr="00F36C9C" w:rsidRDefault="00D94E70" w:rsidP="00D94E70">
      <w:pPr>
        <w:rPr>
          <w:rFonts w:ascii="Arial" w:hAnsi="Arial" w:cs="Arial"/>
          <w:sz w:val="20"/>
          <w:szCs w:val="20"/>
        </w:rPr>
      </w:pPr>
    </w:p>
    <w:p w14:paraId="228F8D1E" w14:textId="77777777" w:rsidR="00D94E70" w:rsidRPr="00F36C9C" w:rsidRDefault="00D94E70" w:rsidP="00D94E70">
      <w:pPr>
        <w:rPr>
          <w:rFonts w:ascii="Arial" w:hAnsi="Arial" w:cs="Arial"/>
          <w:sz w:val="20"/>
          <w:szCs w:val="20"/>
        </w:rPr>
      </w:pPr>
    </w:p>
    <w:p w14:paraId="78257AA8" w14:textId="77777777" w:rsidR="00D94E70" w:rsidRPr="00F36C9C" w:rsidRDefault="00D94E70" w:rsidP="00D94E70">
      <w:pPr>
        <w:rPr>
          <w:rFonts w:ascii="Arial" w:hAnsi="Arial" w:cs="Arial"/>
          <w:sz w:val="20"/>
          <w:szCs w:val="20"/>
        </w:rPr>
      </w:pPr>
    </w:p>
    <w:p w14:paraId="50DF792A" w14:textId="77777777" w:rsidR="00D94E70" w:rsidRPr="00F36C9C" w:rsidRDefault="00D94E70" w:rsidP="00D94E70">
      <w:pPr>
        <w:rPr>
          <w:rFonts w:ascii="Arial" w:hAnsi="Arial" w:cs="Arial"/>
          <w:sz w:val="20"/>
          <w:szCs w:val="20"/>
        </w:rPr>
      </w:pPr>
    </w:p>
    <w:p w14:paraId="28381D19" w14:textId="77777777" w:rsidR="00D94E70" w:rsidRPr="00F36C9C" w:rsidRDefault="00D94E70" w:rsidP="00D94E70">
      <w:pPr>
        <w:rPr>
          <w:rFonts w:ascii="Arial" w:hAnsi="Arial" w:cs="Arial"/>
          <w:sz w:val="20"/>
          <w:szCs w:val="20"/>
        </w:rPr>
      </w:pPr>
    </w:p>
    <w:p w14:paraId="0BC0FD96" w14:textId="77777777" w:rsidR="00D94E70"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39AC3CB8" w14:textId="77777777" w:rsidR="00700A5F"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05CD0B22" w14:textId="5E29958E" w:rsidR="00D94E70" w:rsidRPr="00F36C9C" w:rsidRDefault="00D94E70" w:rsidP="00D94E70">
      <w:pPr>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9</w:t>
      </w:r>
      <w:r w:rsidR="00F55B65" w:rsidRPr="00F36C9C">
        <w:rPr>
          <w:rFonts w:ascii="Arial" w:hAnsi="Arial" w:cs="Arial"/>
          <w:b/>
          <w:sz w:val="20"/>
          <w:szCs w:val="20"/>
        </w:rPr>
        <w:t>.</w:t>
      </w:r>
      <w:r w:rsidRPr="00F36C9C">
        <w:rPr>
          <w:rFonts w:ascii="Arial" w:hAnsi="Arial" w:cs="Arial"/>
          <w:b/>
          <w:sz w:val="20"/>
          <w:szCs w:val="20"/>
        </w:rPr>
        <w:t xml:space="preserve"> Antifungal activity of alkaloids extracted from </w:t>
      </w:r>
      <w:r w:rsidRPr="00F36C9C">
        <w:rPr>
          <w:rFonts w:ascii="Arial" w:hAnsi="Arial" w:cs="Arial"/>
          <w:b/>
          <w:bCs/>
          <w:i/>
          <w:iCs/>
          <w:sz w:val="20"/>
          <w:szCs w:val="20"/>
        </w:rPr>
        <w:t>Mentha piperita</w:t>
      </w:r>
    </w:p>
    <w:p w14:paraId="2630CE33" w14:textId="16BF004E" w:rsidR="00D94E70" w:rsidRPr="00F36C9C" w:rsidRDefault="00D94E70" w:rsidP="00D94E70">
      <w:pPr>
        <w:rPr>
          <w:rFonts w:ascii="Arial" w:hAnsi="Arial" w:cs="Arial"/>
          <w:sz w:val="20"/>
          <w:szCs w:val="20"/>
        </w:rPr>
      </w:pPr>
    </w:p>
    <w:p w14:paraId="396352DE" w14:textId="387B5B58" w:rsidR="00D94E70" w:rsidRPr="00F36C9C" w:rsidRDefault="00AF6BE1" w:rsidP="00D94E70">
      <w:pPr>
        <w:rPr>
          <w:rFonts w:ascii="Arial" w:hAnsi="Arial" w:cs="Arial"/>
          <w:sz w:val="20"/>
          <w:szCs w:val="20"/>
        </w:rPr>
      </w:pPr>
      <w:r w:rsidRPr="00F36C9C">
        <w:rPr>
          <w:rFonts w:ascii="Arial" w:hAnsi="Arial" w:cs="Arial"/>
          <w:noProof/>
          <w:sz w:val="20"/>
          <w:szCs w:val="20"/>
        </w:rPr>
        <w:drawing>
          <wp:anchor distT="0" distB="0" distL="114300" distR="114300" simplePos="0" relativeHeight="251664384" behindDoc="0" locked="0" layoutInCell="1" allowOverlap="1" wp14:anchorId="7A66DB27" wp14:editId="0808DEAF">
            <wp:simplePos x="0" y="0"/>
            <wp:positionH relativeFrom="margin">
              <wp:align>left</wp:align>
            </wp:positionH>
            <wp:positionV relativeFrom="paragraph">
              <wp:posOffset>13335</wp:posOffset>
            </wp:positionV>
            <wp:extent cx="4572000" cy="2019300"/>
            <wp:effectExtent l="0" t="0" r="0" b="0"/>
            <wp:wrapNone/>
            <wp:docPr id="8" name="Chart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D40F8E-6BCD-4945-AD88-4E6825C1C9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D94E70" w:rsidRPr="00F36C9C">
        <w:rPr>
          <w:rFonts w:ascii="Arial" w:hAnsi="Arial" w:cs="Arial"/>
          <w:sz w:val="20"/>
          <w:szCs w:val="20"/>
        </w:rPr>
        <w:t xml:space="preserve">                                                                                                                                                                    </w:t>
      </w:r>
    </w:p>
    <w:p w14:paraId="326EEE68" w14:textId="77777777" w:rsidR="00D94E70" w:rsidRPr="00F36C9C" w:rsidRDefault="00D94E70" w:rsidP="00D94E70">
      <w:pPr>
        <w:rPr>
          <w:rFonts w:ascii="Arial" w:hAnsi="Arial" w:cs="Arial"/>
          <w:sz w:val="20"/>
          <w:szCs w:val="20"/>
        </w:rPr>
      </w:pPr>
    </w:p>
    <w:p w14:paraId="64BCEADD" w14:textId="77777777" w:rsidR="00D94E70" w:rsidRPr="00F36C9C" w:rsidRDefault="00D94E70" w:rsidP="00D94E70">
      <w:pPr>
        <w:rPr>
          <w:rFonts w:ascii="Arial" w:hAnsi="Arial" w:cs="Arial"/>
          <w:sz w:val="20"/>
          <w:szCs w:val="20"/>
        </w:rPr>
      </w:pPr>
    </w:p>
    <w:p w14:paraId="3E8B0D62" w14:textId="77777777" w:rsidR="00D94E70" w:rsidRPr="00F36C9C" w:rsidRDefault="00D94E70" w:rsidP="00D94E70">
      <w:pPr>
        <w:rPr>
          <w:rFonts w:ascii="Arial" w:hAnsi="Arial" w:cs="Arial"/>
          <w:sz w:val="20"/>
          <w:szCs w:val="20"/>
        </w:rPr>
      </w:pPr>
    </w:p>
    <w:p w14:paraId="778D2E0F" w14:textId="77777777" w:rsidR="00D94E70" w:rsidRPr="00F36C9C" w:rsidRDefault="00D94E70" w:rsidP="00D94E70">
      <w:pPr>
        <w:rPr>
          <w:rFonts w:ascii="Arial" w:hAnsi="Arial" w:cs="Arial"/>
          <w:sz w:val="20"/>
          <w:szCs w:val="20"/>
        </w:rPr>
      </w:pPr>
    </w:p>
    <w:p w14:paraId="7E2CDDE5" w14:textId="77777777" w:rsidR="00D94E70" w:rsidRPr="00F36C9C" w:rsidRDefault="00D94E70" w:rsidP="00D94E70">
      <w:pPr>
        <w:rPr>
          <w:rFonts w:ascii="Arial" w:hAnsi="Arial" w:cs="Arial"/>
          <w:sz w:val="20"/>
          <w:szCs w:val="20"/>
        </w:rPr>
      </w:pPr>
    </w:p>
    <w:p w14:paraId="1A49A27D" w14:textId="77777777" w:rsidR="00D94E70" w:rsidRPr="00F36C9C" w:rsidRDefault="00D94E70" w:rsidP="00D94E70">
      <w:pPr>
        <w:rPr>
          <w:rFonts w:ascii="Arial" w:hAnsi="Arial" w:cs="Arial"/>
          <w:sz w:val="20"/>
          <w:szCs w:val="20"/>
        </w:rPr>
      </w:pPr>
    </w:p>
    <w:p w14:paraId="15EB5879" w14:textId="77777777" w:rsidR="00D94E70" w:rsidRPr="00F36C9C" w:rsidRDefault="00D94E70" w:rsidP="00D94E70">
      <w:pPr>
        <w:rPr>
          <w:rFonts w:ascii="Arial" w:hAnsi="Arial" w:cs="Arial"/>
          <w:b/>
          <w:sz w:val="20"/>
          <w:szCs w:val="20"/>
        </w:rPr>
      </w:pPr>
      <w:r w:rsidRPr="00F36C9C">
        <w:rPr>
          <w:rFonts w:ascii="Arial" w:hAnsi="Arial" w:cs="Arial"/>
          <w:b/>
          <w:sz w:val="20"/>
          <w:szCs w:val="20"/>
        </w:rPr>
        <w:t xml:space="preserve">              </w:t>
      </w:r>
    </w:p>
    <w:p w14:paraId="00ADE33E" w14:textId="0425BC41" w:rsidR="00D94E70" w:rsidRPr="00F36C9C" w:rsidRDefault="00D94E70" w:rsidP="00D94E70">
      <w:pPr>
        <w:rPr>
          <w:rFonts w:ascii="Arial" w:hAnsi="Arial" w:cs="Arial"/>
          <w:b/>
          <w:bCs/>
          <w:i/>
          <w:iCs/>
          <w:sz w:val="20"/>
          <w:szCs w:val="20"/>
        </w:rPr>
      </w:pPr>
      <w:r w:rsidRPr="00F36C9C">
        <w:rPr>
          <w:rFonts w:ascii="Arial" w:hAnsi="Arial" w:cs="Arial"/>
          <w:b/>
          <w:sz w:val="20"/>
          <w:szCs w:val="20"/>
        </w:rPr>
        <w:t xml:space="preserve">  Fig</w:t>
      </w:r>
      <w:r w:rsidR="00F55B65" w:rsidRPr="00F36C9C">
        <w:rPr>
          <w:rFonts w:ascii="Arial" w:hAnsi="Arial" w:cs="Arial"/>
          <w:b/>
          <w:sz w:val="20"/>
          <w:szCs w:val="20"/>
        </w:rPr>
        <w:t>.</w:t>
      </w:r>
      <w:r w:rsidRPr="00F36C9C">
        <w:rPr>
          <w:rFonts w:ascii="Arial" w:hAnsi="Arial" w:cs="Arial"/>
          <w:b/>
          <w:sz w:val="20"/>
          <w:szCs w:val="20"/>
        </w:rPr>
        <w:t xml:space="preserve"> 10</w:t>
      </w:r>
      <w:r w:rsidR="00F55B65" w:rsidRPr="00F36C9C">
        <w:rPr>
          <w:rFonts w:ascii="Arial" w:hAnsi="Arial" w:cs="Arial"/>
          <w:b/>
          <w:sz w:val="20"/>
          <w:szCs w:val="20"/>
        </w:rPr>
        <w:t>.</w:t>
      </w:r>
      <w:r w:rsidRPr="00F36C9C">
        <w:rPr>
          <w:rFonts w:ascii="Arial" w:hAnsi="Arial" w:cs="Arial"/>
          <w:b/>
          <w:sz w:val="20"/>
          <w:szCs w:val="20"/>
        </w:rPr>
        <w:t xml:space="preserve"> Antifungal activity of flavonoids extracted from </w:t>
      </w:r>
      <w:r w:rsidRPr="00F36C9C">
        <w:rPr>
          <w:rFonts w:ascii="Arial" w:hAnsi="Arial" w:cs="Arial"/>
          <w:b/>
          <w:bCs/>
          <w:i/>
          <w:iCs/>
          <w:sz w:val="20"/>
          <w:szCs w:val="20"/>
        </w:rPr>
        <w:t>Mentha piperita</w:t>
      </w:r>
    </w:p>
    <w:p w14:paraId="29F3675D" w14:textId="67312EE6" w:rsidR="00D94E70" w:rsidRPr="00F36C9C" w:rsidRDefault="00D94E70" w:rsidP="00D94E70">
      <w:pPr>
        <w:rPr>
          <w:rFonts w:ascii="Arial" w:hAnsi="Arial" w:cs="Arial"/>
          <w:sz w:val="20"/>
          <w:szCs w:val="20"/>
        </w:rPr>
      </w:pPr>
      <w:r w:rsidRPr="00F36C9C">
        <w:rPr>
          <w:rFonts w:ascii="Arial" w:hAnsi="Arial" w:cs="Arial"/>
          <w:noProof/>
          <w:sz w:val="20"/>
          <w:szCs w:val="20"/>
        </w:rPr>
        <w:drawing>
          <wp:inline distT="0" distB="0" distL="0" distR="0" wp14:anchorId="2AD68BE2" wp14:editId="275B93E5">
            <wp:extent cx="4581525" cy="2124075"/>
            <wp:effectExtent l="0" t="0" r="9525" b="9525"/>
            <wp:docPr id="9" name="Chart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5B9618-8B6D-4811-964C-DCE0A46AB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D12A35" w14:textId="3E872B71" w:rsidR="00D94E70" w:rsidRPr="00F36C9C" w:rsidRDefault="00D94E70" w:rsidP="00D94E70">
      <w:pPr>
        <w:rPr>
          <w:rFonts w:ascii="Arial" w:hAnsi="Arial" w:cs="Arial"/>
          <w:b/>
          <w:bCs/>
          <w:i/>
          <w:iCs/>
          <w:sz w:val="20"/>
          <w:szCs w:val="20"/>
        </w:rPr>
      </w:pPr>
      <w:r w:rsidRPr="00F36C9C">
        <w:rPr>
          <w:rFonts w:ascii="Arial" w:hAnsi="Arial" w:cs="Arial"/>
          <w:b/>
          <w:sz w:val="20"/>
          <w:szCs w:val="20"/>
        </w:rPr>
        <w:t>Fig</w:t>
      </w:r>
      <w:r w:rsidR="00F80711" w:rsidRPr="00F36C9C">
        <w:rPr>
          <w:rFonts w:ascii="Arial" w:hAnsi="Arial" w:cs="Arial"/>
          <w:b/>
          <w:sz w:val="20"/>
          <w:szCs w:val="20"/>
        </w:rPr>
        <w:t>.</w:t>
      </w:r>
      <w:r w:rsidRPr="00F36C9C">
        <w:rPr>
          <w:rFonts w:ascii="Arial" w:hAnsi="Arial" w:cs="Arial"/>
          <w:b/>
          <w:sz w:val="20"/>
          <w:szCs w:val="20"/>
        </w:rPr>
        <w:t xml:space="preserve"> 11</w:t>
      </w:r>
      <w:r w:rsidR="00F80711" w:rsidRPr="00F36C9C">
        <w:rPr>
          <w:rFonts w:ascii="Arial" w:hAnsi="Arial" w:cs="Arial"/>
          <w:b/>
          <w:sz w:val="20"/>
          <w:szCs w:val="20"/>
        </w:rPr>
        <w:t>.</w:t>
      </w:r>
      <w:r w:rsidRPr="00F36C9C">
        <w:rPr>
          <w:rFonts w:ascii="Arial" w:hAnsi="Arial" w:cs="Arial"/>
          <w:b/>
          <w:sz w:val="20"/>
          <w:szCs w:val="20"/>
        </w:rPr>
        <w:t xml:space="preserve"> Antifungal activity of cardiac glycosides extracted from </w:t>
      </w:r>
      <w:r w:rsidRPr="00F36C9C">
        <w:rPr>
          <w:rFonts w:ascii="Arial" w:hAnsi="Arial" w:cs="Arial"/>
          <w:b/>
          <w:bCs/>
          <w:i/>
          <w:iCs/>
          <w:sz w:val="20"/>
          <w:szCs w:val="20"/>
        </w:rPr>
        <w:t>Mentha piperita</w:t>
      </w:r>
    </w:p>
    <w:p w14:paraId="6ED28963" w14:textId="231EB4AF" w:rsidR="00391EF9" w:rsidRPr="00F36C9C" w:rsidRDefault="007500B5" w:rsidP="00391EF9">
      <w:pPr>
        <w:jc w:val="both"/>
        <w:rPr>
          <w:rFonts w:ascii="Arial" w:hAnsi="Arial" w:cs="Arial"/>
          <w:b/>
        </w:rPr>
      </w:pPr>
      <w:r w:rsidRPr="00F36C9C">
        <w:rPr>
          <w:rFonts w:ascii="Arial" w:hAnsi="Arial" w:cs="Arial"/>
          <w:b/>
        </w:rPr>
        <w:t xml:space="preserve">3.4 </w:t>
      </w:r>
      <w:r w:rsidR="00391EF9" w:rsidRPr="00F36C9C">
        <w:rPr>
          <w:rFonts w:ascii="Arial" w:hAnsi="Arial" w:cs="Arial"/>
          <w:b/>
        </w:rPr>
        <w:t xml:space="preserve">Quantitative Phytochemical Composition of </w:t>
      </w:r>
      <w:r w:rsidR="00391EF9" w:rsidRPr="00F36C9C">
        <w:rPr>
          <w:rStyle w:val="Emphasis"/>
          <w:rFonts w:ascii="Arial" w:hAnsi="Arial" w:cs="Arial"/>
          <w:b/>
        </w:rPr>
        <w:t>Mentha piperita</w:t>
      </w:r>
      <w:r w:rsidR="00391EF9" w:rsidRPr="00F36C9C">
        <w:rPr>
          <w:rFonts w:ascii="Arial" w:hAnsi="Arial" w:cs="Arial"/>
          <w:b/>
        </w:rPr>
        <w:t xml:space="preserve"> </w:t>
      </w:r>
      <w:r w:rsidR="00514C70" w:rsidRPr="00F36C9C">
        <w:rPr>
          <w:rFonts w:ascii="Arial" w:hAnsi="Arial" w:cs="Arial"/>
          <w:b/>
        </w:rPr>
        <w:t>and their Mechanisms of Action</w:t>
      </w:r>
    </w:p>
    <w:p w14:paraId="1DED7B8D"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quantitative estimation of the major bioactive constituents of </w:t>
      </w:r>
      <w:r w:rsidRPr="00F36C9C">
        <w:rPr>
          <w:rStyle w:val="Emphasis"/>
          <w:rFonts w:ascii="Arial" w:hAnsi="Arial" w:cs="Arial"/>
          <w:sz w:val="20"/>
          <w:szCs w:val="20"/>
        </w:rPr>
        <w:t>Mentha piperita</w:t>
      </w:r>
      <w:r w:rsidRPr="00F36C9C">
        <w:rPr>
          <w:rFonts w:ascii="Arial" w:hAnsi="Arial" w:cs="Arial"/>
          <w:sz w:val="20"/>
          <w:szCs w:val="20"/>
        </w:rPr>
        <w:t xml:space="preserve"> (</w:t>
      </w:r>
      <w:r w:rsidRPr="00F36C9C">
        <w:rPr>
          <w:rStyle w:val="Strong"/>
          <w:rFonts w:ascii="Arial" w:hAnsi="Arial" w:cs="Arial"/>
          <w:b w:val="0"/>
          <w:sz w:val="20"/>
          <w:szCs w:val="20"/>
        </w:rPr>
        <w:t>Table 3</w:t>
      </w:r>
      <w:r w:rsidRPr="00F36C9C">
        <w:rPr>
          <w:rFonts w:ascii="Arial" w:hAnsi="Arial" w:cs="Arial"/>
          <w:sz w:val="20"/>
          <w:szCs w:val="20"/>
        </w:rPr>
        <w:t xml:space="preserve">) revealed considerable variation in the abundance of the three isolated phytochemical classes, with </w:t>
      </w:r>
      <w:r w:rsidRPr="00F36C9C">
        <w:rPr>
          <w:rStyle w:val="Strong"/>
          <w:rFonts w:ascii="Arial" w:hAnsi="Arial" w:cs="Arial"/>
          <w:b w:val="0"/>
          <w:sz w:val="20"/>
          <w:szCs w:val="20"/>
        </w:rPr>
        <w:t>flavonoids (21.80 ± 2.40%)</w:t>
      </w:r>
      <w:r w:rsidRPr="00F36C9C">
        <w:rPr>
          <w:rFonts w:ascii="Arial" w:hAnsi="Arial" w:cs="Arial"/>
          <w:sz w:val="20"/>
          <w:szCs w:val="20"/>
        </w:rPr>
        <w:t xml:space="preserve"> occurring at the highest concentration, followed by </w:t>
      </w:r>
      <w:r w:rsidRPr="00F36C9C">
        <w:rPr>
          <w:rStyle w:val="Strong"/>
          <w:rFonts w:ascii="Arial" w:hAnsi="Arial" w:cs="Arial"/>
          <w:b w:val="0"/>
          <w:sz w:val="20"/>
          <w:szCs w:val="20"/>
        </w:rPr>
        <w:t>cardiac glycosides (9.33 ± 1.71%)</w:t>
      </w:r>
      <w:r w:rsidRPr="00F36C9C">
        <w:rPr>
          <w:rFonts w:ascii="Arial" w:hAnsi="Arial" w:cs="Arial"/>
          <w:sz w:val="20"/>
          <w:szCs w:val="20"/>
        </w:rPr>
        <w:t xml:space="preserve">, while </w:t>
      </w:r>
      <w:r w:rsidRPr="00F36C9C">
        <w:rPr>
          <w:rStyle w:val="Strong"/>
          <w:rFonts w:ascii="Arial" w:hAnsi="Arial" w:cs="Arial"/>
          <w:b w:val="0"/>
          <w:sz w:val="20"/>
          <w:szCs w:val="20"/>
        </w:rPr>
        <w:t>alkaloids (4.47 ± 0.25%)</w:t>
      </w:r>
      <w:r w:rsidRPr="00F36C9C">
        <w:rPr>
          <w:rFonts w:ascii="Arial" w:hAnsi="Arial" w:cs="Arial"/>
          <w:sz w:val="20"/>
          <w:szCs w:val="20"/>
        </w:rPr>
        <w:t xml:space="preserve"> were present at comparatively lower levels. These findings indicate that flavonoids constitute the predominant antimicrobial phytochemicals in the ethanol extracts of </w:t>
      </w:r>
      <w:r w:rsidRPr="00F36C9C">
        <w:rPr>
          <w:rStyle w:val="Emphasis"/>
          <w:rFonts w:ascii="Arial" w:hAnsi="Arial" w:cs="Arial"/>
          <w:sz w:val="20"/>
          <w:szCs w:val="20"/>
        </w:rPr>
        <w:t>M. piperita</w:t>
      </w:r>
      <w:r w:rsidRPr="00F36C9C">
        <w:rPr>
          <w:rFonts w:ascii="Arial" w:hAnsi="Arial" w:cs="Arial"/>
          <w:sz w:val="20"/>
          <w:szCs w:val="20"/>
        </w:rPr>
        <w:t>, suggesting that they may play a central role in the biological activities observed in this investigation.</w:t>
      </w:r>
    </w:p>
    <w:p w14:paraId="3AA988F2"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predominance of flavonoids is consistent with previous phytochemical studies on </w:t>
      </w:r>
      <w:r w:rsidRPr="00F36C9C">
        <w:rPr>
          <w:rStyle w:val="Emphasis"/>
          <w:rFonts w:ascii="Arial" w:hAnsi="Arial" w:cs="Arial"/>
          <w:sz w:val="20"/>
          <w:szCs w:val="20"/>
        </w:rPr>
        <w:t>Mentha</w:t>
      </w:r>
      <w:r w:rsidRPr="00F36C9C">
        <w:rPr>
          <w:rFonts w:ascii="Arial" w:hAnsi="Arial" w:cs="Arial"/>
          <w:sz w:val="20"/>
          <w:szCs w:val="20"/>
        </w:rPr>
        <w:t xml:space="preserve"> species and other medicinal plants, where flavonoids represent one of the largest groups of naturally occurring polyphenolic compounds responsible for diverse pharmacological activities (Trevisan et al., 2017; </w:t>
      </w:r>
      <w:proofErr w:type="spellStart"/>
      <w:r w:rsidRPr="00F36C9C">
        <w:rPr>
          <w:rFonts w:ascii="Arial" w:hAnsi="Arial" w:cs="Arial"/>
          <w:sz w:val="20"/>
          <w:szCs w:val="20"/>
        </w:rPr>
        <w:t>Edeoga</w:t>
      </w:r>
      <w:proofErr w:type="spellEnd"/>
      <w:r w:rsidRPr="00F36C9C">
        <w:rPr>
          <w:rFonts w:ascii="Arial" w:hAnsi="Arial" w:cs="Arial"/>
          <w:sz w:val="20"/>
          <w:szCs w:val="20"/>
        </w:rPr>
        <w:t xml:space="preserve"> et al., 2005; </w:t>
      </w:r>
      <w:proofErr w:type="spellStart"/>
      <w:r w:rsidRPr="00F36C9C">
        <w:rPr>
          <w:rFonts w:ascii="Arial" w:hAnsi="Arial" w:cs="Arial"/>
          <w:sz w:val="20"/>
          <w:szCs w:val="20"/>
        </w:rPr>
        <w:t>Rangari</w:t>
      </w:r>
      <w:proofErr w:type="spellEnd"/>
      <w:r w:rsidRPr="00F36C9C">
        <w:rPr>
          <w:rFonts w:ascii="Arial" w:hAnsi="Arial" w:cs="Arial"/>
          <w:sz w:val="20"/>
          <w:szCs w:val="20"/>
        </w:rPr>
        <w:t xml:space="preserve">, 2012). Flavonoids are well recognized for their antibacterial, antifungal, antiviral, antioxidant and anti-inflammatory properties and have attracted increasing attention as promising alternatives to synthetic antimicrobial agents (Sharma et al., 2013; </w:t>
      </w:r>
      <w:proofErr w:type="spellStart"/>
      <w:r w:rsidRPr="00F36C9C">
        <w:rPr>
          <w:rFonts w:ascii="Arial" w:hAnsi="Arial" w:cs="Arial"/>
          <w:sz w:val="20"/>
          <w:szCs w:val="20"/>
        </w:rPr>
        <w:t>Górniak</w:t>
      </w:r>
      <w:proofErr w:type="spellEnd"/>
      <w:r w:rsidRPr="00F36C9C">
        <w:rPr>
          <w:rFonts w:ascii="Arial" w:hAnsi="Arial" w:cs="Arial"/>
          <w:sz w:val="20"/>
          <w:szCs w:val="20"/>
        </w:rPr>
        <w:t xml:space="preserve"> et al., 2019; Singh et al., 2017). Their relatively high concentration in </w:t>
      </w:r>
      <w:r w:rsidRPr="00F36C9C">
        <w:rPr>
          <w:rStyle w:val="Emphasis"/>
          <w:rFonts w:ascii="Arial" w:hAnsi="Arial" w:cs="Arial"/>
          <w:sz w:val="20"/>
          <w:szCs w:val="20"/>
        </w:rPr>
        <w:t>M. piperita</w:t>
      </w:r>
      <w:r w:rsidRPr="00F36C9C">
        <w:rPr>
          <w:rFonts w:ascii="Arial" w:hAnsi="Arial" w:cs="Arial"/>
          <w:sz w:val="20"/>
          <w:szCs w:val="20"/>
        </w:rPr>
        <w:t xml:space="preserve"> therefore provides a convincing biochemical explanation for the broad-spectrum antimicrobial activity demonstrated by the extracts.</w:t>
      </w:r>
    </w:p>
    <w:p w14:paraId="14F772A6"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Several mechanisms have been proposed to explain the antimicrobial activity of flavonoids. These compounds interact with microbial cell membranes, causing increased membrane permeability and leakage of intracellular constituents. In addition, flavonoids inhibit nucleic acid synthesis, suppress ATP production, interfere with bacterial energy metabolism and inhibit enzymes required for microbial growth and replication (Taylor et al., 2018; </w:t>
      </w:r>
      <w:proofErr w:type="spellStart"/>
      <w:r w:rsidRPr="00F36C9C">
        <w:rPr>
          <w:rFonts w:ascii="Arial" w:hAnsi="Arial" w:cs="Arial"/>
          <w:sz w:val="20"/>
          <w:szCs w:val="20"/>
        </w:rPr>
        <w:t>Górniak</w:t>
      </w:r>
      <w:proofErr w:type="spellEnd"/>
      <w:r w:rsidRPr="00F36C9C">
        <w:rPr>
          <w:rFonts w:ascii="Arial" w:hAnsi="Arial" w:cs="Arial"/>
          <w:sz w:val="20"/>
          <w:szCs w:val="20"/>
        </w:rPr>
        <w:t xml:space="preserve"> et al., 2019; Xu et al., 2018). The presence of flavonoids at concentrations exceeding 20% therefore suggests that these compounds contributed substantially to the inhibitory effects observed against both bacterial and fungal pathogens.</w:t>
      </w:r>
    </w:p>
    <w:p w14:paraId="73F60FC3"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Beyond their antimicrobial activities, flavonoids possess remarkable antioxidant properties that enable them to neutralize reactive oxygen species generated during microbial infections and inflammatory responses (Kumar &amp; Pandey, 2020). This dual antimicrobial–antioxidant function is particularly advantageous because oxidative stress frequently accompanies infectious diseases, leading to tissue </w:t>
      </w:r>
      <w:r w:rsidRPr="00F36C9C">
        <w:rPr>
          <w:rFonts w:ascii="Arial" w:hAnsi="Arial" w:cs="Arial"/>
          <w:sz w:val="20"/>
          <w:szCs w:val="20"/>
        </w:rPr>
        <w:lastRenderedPageBreak/>
        <w:t xml:space="preserve">damage and delayed recovery. Similar observations have been reported in </w:t>
      </w:r>
      <w:proofErr w:type="spellStart"/>
      <w:r w:rsidRPr="00F36C9C">
        <w:rPr>
          <w:rStyle w:val="Emphasis"/>
          <w:rFonts w:ascii="Arial" w:hAnsi="Arial" w:cs="Arial"/>
          <w:sz w:val="20"/>
          <w:szCs w:val="20"/>
        </w:rPr>
        <w:t>Dacryodes</w:t>
      </w:r>
      <w:proofErr w:type="spellEnd"/>
      <w:r w:rsidRPr="00F36C9C">
        <w:rPr>
          <w:rStyle w:val="Emphasis"/>
          <w:rFonts w:ascii="Arial" w:hAnsi="Arial" w:cs="Arial"/>
          <w:sz w:val="20"/>
          <w:szCs w:val="20"/>
        </w:rPr>
        <w:t xml:space="preserve"> edulis</w:t>
      </w:r>
      <w:r w:rsidRPr="00F36C9C">
        <w:rPr>
          <w:rFonts w:ascii="Arial" w:hAnsi="Arial" w:cs="Arial"/>
          <w:sz w:val="20"/>
          <w:szCs w:val="20"/>
        </w:rPr>
        <w:t xml:space="preserve">, </w:t>
      </w:r>
      <w:proofErr w:type="spellStart"/>
      <w:r w:rsidRPr="00F36C9C">
        <w:rPr>
          <w:rStyle w:val="Emphasis"/>
          <w:rFonts w:ascii="Arial" w:hAnsi="Arial" w:cs="Arial"/>
          <w:sz w:val="20"/>
          <w:szCs w:val="20"/>
        </w:rPr>
        <w:t>Enantia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chlorantha</w:t>
      </w:r>
      <w:proofErr w:type="spellEnd"/>
      <w:r w:rsidRPr="00F36C9C">
        <w:rPr>
          <w:rFonts w:ascii="Arial" w:hAnsi="Arial" w:cs="Arial"/>
          <w:sz w:val="20"/>
          <w:szCs w:val="20"/>
        </w:rPr>
        <w:t xml:space="preserve"> and </w:t>
      </w:r>
      <w:proofErr w:type="spellStart"/>
      <w:r w:rsidRPr="00F36C9C">
        <w:rPr>
          <w:rStyle w:val="Emphasis"/>
          <w:rFonts w:ascii="Arial" w:hAnsi="Arial" w:cs="Arial"/>
          <w:sz w:val="20"/>
          <w:szCs w:val="20"/>
        </w:rPr>
        <w:t>Tragia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involucrata</w:t>
      </w:r>
      <w:proofErr w:type="spellEnd"/>
      <w:r w:rsidRPr="00F36C9C">
        <w:rPr>
          <w:rFonts w:ascii="Arial" w:hAnsi="Arial" w:cs="Arial"/>
          <w:sz w:val="20"/>
          <w:szCs w:val="20"/>
        </w:rPr>
        <w:t xml:space="preserve">, where flavonoid-rich extracts demonstrated enhanced biological activities attributable to their combined antimicrobial and antioxidant effects (Akpan et al., 2021; </w:t>
      </w:r>
      <w:proofErr w:type="spellStart"/>
      <w:r w:rsidRPr="00F36C9C">
        <w:rPr>
          <w:rFonts w:ascii="Arial" w:hAnsi="Arial" w:cs="Arial"/>
          <w:sz w:val="20"/>
          <w:szCs w:val="20"/>
        </w:rPr>
        <w:t>Oladejobi</w:t>
      </w:r>
      <w:proofErr w:type="spellEnd"/>
      <w:r w:rsidRPr="00F36C9C">
        <w:rPr>
          <w:rFonts w:ascii="Arial" w:hAnsi="Arial" w:cs="Arial"/>
          <w:sz w:val="20"/>
          <w:szCs w:val="20"/>
        </w:rPr>
        <w:t xml:space="preserve"> et al., 2022; </w:t>
      </w:r>
      <w:proofErr w:type="spellStart"/>
      <w:r w:rsidRPr="00F36C9C">
        <w:rPr>
          <w:rFonts w:ascii="Arial" w:hAnsi="Arial" w:cs="Arial"/>
          <w:sz w:val="20"/>
          <w:szCs w:val="20"/>
        </w:rPr>
        <w:t>Gobalakrishnan</w:t>
      </w:r>
      <w:proofErr w:type="spellEnd"/>
      <w:r w:rsidRPr="00F36C9C">
        <w:rPr>
          <w:rFonts w:ascii="Arial" w:hAnsi="Arial" w:cs="Arial"/>
          <w:sz w:val="20"/>
          <w:szCs w:val="20"/>
        </w:rPr>
        <w:t xml:space="preserve"> et al., 2013).</w:t>
      </w:r>
    </w:p>
    <w:p w14:paraId="41C7944A"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moderate concentration of </w:t>
      </w:r>
      <w:r w:rsidRPr="00F36C9C">
        <w:rPr>
          <w:rStyle w:val="Strong"/>
          <w:rFonts w:ascii="Arial" w:hAnsi="Arial" w:cs="Arial"/>
          <w:b w:val="0"/>
          <w:sz w:val="20"/>
          <w:szCs w:val="20"/>
        </w:rPr>
        <w:t>cardiac glycosides (9.33 ± 1.71%)</w:t>
      </w:r>
      <w:r w:rsidRPr="00F36C9C">
        <w:rPr>
          <w:rFonts w:ascii="Arial" w:hAnsi="Arial" w:cs="Arial"/>
          <w:sz w:val="20"/>
          <w:szCs w:val="20"/>
        </w:rPr>
        <w:t xml:space="preserve"> is equally noteworthy. Although cardiac glycosides are traditionally associated with cardiovascular therapy, increasing evidence indicates that they possess broad pharmacological activities, including antibacterial, antifungal, antiviral and anticancer properties (Gupta &amp; Varma, 2019). Their biological activity has been linked to inhibition of membrane-bound Na</w:t>
      </w:r>
      <w:r w:rsidRPr="00F36C9C">
        <w:rPr>
          <w:rFonts w:ascii="Cambria Math" w:hAnsi="Cambria Math" w:cs="Cambria Math"/>
          <w:sz w:val="20"/>
          <w:szCs w:val="20"/>
        </w:rPr>
        <w:t>⁺</w:t>
      </w:r>
      <w:r w:rsidRPr="00F36C9C">
        <w:rPr>
          <w:rFonts w:ascii="Arial" w:hAnsi="Arial" w:cs="Arial"/>
          <w:sz w:val="20"/>
          <w:szCs w:val="20"/>
        </w:rPr>
        <w:t>/K</w:t>
      </w:r>
      <w:r w:rsidRPr="00F36C9C">
        <w:rPr>
          <w:rFonts w:ascii="Cambria Math" w:hAnsi="Cambria Math" w:cs="Cambria Math"/>
          <w:sz w:val="20"/>
          <w:szCs w:val="20"/>
        </w:rPr>
        <w:t>⁺</w:t>
      </w:r>
      <w:r w:rsidRPr="00F36C9C">
        <w:rPr>
          <w:rFonts w:ascii="Arial" w:hAnsi="Arial" w:cs="Arial"/>
          <w:sz w:val="20"/>
          <w:szCs w:val="20"/>
        </w:rPr>
        <w:t xml:space="preserve">-ATPase, disruption of ionic homeostasis and modulation of intracellular </w:t>
      </w:r>
      <w:proofErr w:type="spellStart"/>
      <w:r w:rsidRPr="00F36C9C">
        <w:rPr>
          <w:rFonts w:ascii="Arial" w:hAnsi="Arial" w:cs="Arial"/>
          <w:sz w:val="20"/>
          <w:szCs w:val="20"/>
        </w:rPr>
        <w:t>signalling</w:t>
      </w:r>
      <w:proofErr w:type="spellEnd"/>
      <w:r w:rsidRPr="00F36C9C">
        <w:rPr>
          <w:rFonts w:ascii="Arial" w:hAnsi="Arial" w:cs="Arial"/>
          <w:sz w:val="20"/>
          <w:szCs w:val="20"/>
        </w:rPr>
        <w:t xml:space="preserve"> pathways that ultimately impair microbial survival. The appreciable quantity of cardiac glycosides observed in the present study therefore suggests that they contribute significantly to the antimicrobial efficacy of </w:t>
      </w:r>
      <w:r w:rsidRPr="00F36C9C">
        <w:rPr>
          <w:rStyle w:val="Emphasis"/>
          <w:rFonts w:ascii="Arial" w:hAnsi="Arial" w:cs="Arial"/>
          <w:sz w:val="20"/>
          <w:szCs w:val="20"/>
        </w:rPr>
        <w:t>M. piperita</w:t>
      </w:r>
      <w:r w:rsidRPr="00F36C9C">
        <w:rPr>
          <w:rFonts w:ascii="Arial" w:hAnsi="Arial" w:cs="Arial"/>
          <w:sz w:val="20"/>
          <w:szCs w:val="20"/>
        </w:rPr>
        <w:t>, particularly when acting synergistically with flavonoids and other secondary metabolites.</w:t>
      </w:r>
    </w:p>
    <w:p w14:paraId="2090BCD1"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relatively lower quantity of </w:t>
      </w:r>
      <w:r w:rsidRPr="00F36C9C">
        <w:rPr>
          <w:rStyle w:val="Strong"/>
          <w:rFonts w:ascii="Arial" w:hAnsi="Arial" w:cs="Arial"/>
          <w:b w:val="0"/>
          <w:sz w:val="20"/>
          <w:szCs w:val="20"/>
        </w:rPr>
        <w:t>alkaloids (4.47 ± 0.25%)</w:t>
      </w:r>
      <w:r w:rsidRPr="00F36C9C">
        <w:rPr>
          <w:rFonts w:ascii="Arial" w:hAnsi="Arial" w:cs="Arial"/>
          <w:sz w:val="20"/>
          <w:szCs w:val="20"/>
        </w:rPr>
        <w:t xml:space="preserve"> should not be interpreted as evidence of limited biological importance. Alkaloids are among the most potent naturally occurring antimicrobial compounds, and even at relatively low concentrations they exhibit significant pharmacological activity because of their high affinity for microbial molecular targets (Akpan et al., 2016; Chen et al., 2020). Numerous alkaloids inhibit DNA replication, interfere with protein synthesis, alter membrane permeability and suppress essential metabolic enzymes required for microbial proliferation (Li et al., 2016; Taylor et al., 2018). Consequently, the lower percentage recorded for alkaloids may still contribute substantially to the overall antimicrobial activity observed in this study.</w:t>
      </w:r>
    </w:p>
    <w:p w14:paraId="6BA860E9"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quantitative differences among flavonoids, cardiac glycosides and alkaloids further illustrate the complexity of secondary metabolite biosynthesis in medicinal plants. The production and accumulation of these metabolites are influenced by numerous factors, including plant genotype, environmental conditions, developmental stage, geographical location, harvesting period and extraction method (Akpan et al., 2021; Trevisan et al., 2017; </w:t>
      </w:r>
      <w:proofErr w:type="spellStart"/>
      <w:r w:rsidRPr="00F36C9C">
        <w:rPr>
          <w:rFonts w:ascii="Arial" w:hAnsi="Arial" w:cs="Arial"/>
          <w:sz w:val="20"/>
          <w:szCs w:val="20"/>
        </w:rPr>
        <w:t>Rangari</w:t>
      </w:r>
      <w:proofErr w:type="spellEnd"/>
      <w:r w:rsidRPr="00F36C9C">
        <w:rPr>
          <w:rFonts w:ascii="Arial" w:hAnsi="Arial" w:cs="Arial"/>
          <w:sz w:val="20"/>
          <w:szCs w:val="20"/>
        </w:rPr>
        <w:t>, 2012). Ethanol, the extraction solvent employed in the present study, is known to efficiently extract moderately polar phytochemicals such as flavonoids and glycosides, which may partly explain their higher abundance relative to alkaloids (Poojary et al., 2015).</w:t>
      </w:r>
    </w:p>
    <w:p w14:paraId="359AB352"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An important observation arising from </w:t>
      </w:r>
      <w:r w:rsidRPr="00F36C9C">
        <w:rPr>
          <w:rStyle w:val="Strong"/>
          <w:rFonts w:ascii="Arial" w:hAnsi="Arial" w:cs="Arial"/>
          <w:b w:val="0"/>
          <w:sz w:val="20"/>
          <w:szCs w:val="20"/>
        </w:rPr>
        <w:t>Table 3</w:t>
      </w:r>
      <w:r w:rsidRPr="00F36C9C">
        <w:rPr>
          <w:rFonts w:ascii="Arial" w:hAnsi="Arial" w:cs="Arial"/>
          <w:sz w:val="20"/>
          <w:szCs w:val="20"/>
        </w:rPr>
        <w:t xml:space="preserve"> is the potential relationship between phytochemical concentration and antimicrobial activity. The predominance of flavonoids corresponds closely with the strong antibacterial and antifungal activities exhibited by the flavonoid fraction in subsequent antimicrobial assays (</w:t>
      </w:r>
      <w:r w:rsidRPr="00F36C9C">
        <w:rPr>
          <w:rStyle w:val="Strong"/>
          <w:rFonts w:ascii="Arial" w:hAnsi="Arial" w:cs="Arial"/>
          <w:sz w:val="20"/>
          <w:szCs w:val="20"/>
        </w:rPr>
        <w:t>Figures 6 and 10</w:t>
      </w:r>
      <w:r w:rsidRPr="00F36C9C">
        <w:rPr>
          <w:rFonts w:ascii="Arial" w:hAnsi="Arial" w:cs="Arial"/>
          <w:sz w:val="20"/>
          <w:szCs w:val="20"/>
        </w:rPr>
        <w:t>), suggesting a positive relationship between flavonoid concentration and biological efficacy. Similarly, the measurable quantities of cardiac glycosides and alkaloids are reflected in the antimicrobial activities observed for their respective fractions (</w:t>
      </w:r>
      <w:r w:rsidRPr="00F36C9C">
        <w:rPr>
          <w:rStyle w:val="Strong"/>
          <w:rFonts w:ascii="Arial" w:hAnsi="Arial" w:cs="Arial"/>
          <w:sz w:val="20"/>
          <w:szCs w:val="20"/>
        </w:rPr>
        <w:t>Figures 5, 7, 9 and 11</w:t>
      </w:r>
      <w:r w:rsidRPr="00F36C9C">
        <w:rPr>
          <w:rFonts w:ascii="Arial" w:hAnsi="Arial" w:cs="Arial"/>
          <w:sz w:val="20"/>
          <w:szCs w:val="20"/>
        </w:rPr>
        <w:t xml:space="preserve">), indicating that all three phytochemical classes contribute to the overall antimicrobial potential of </w:t>
      </w:r>
      <w:r w:rsidRPr="00F36C9C">
        <w:rPr>
          <w:rStyle w:val="Emphasis"/>
          <w:rFonts w:ascii="Arial" w:hAnsi="Arial" w:cs="Arial"/>
          <w:sz w:val="20"/>
          <w:szCs w:val="20"/>
        </w:rPr>
        <w:t>M. piperita</w:t>
      </w:r>
      <w:r w:rsidRPr="00F36C9C">
        <w:rPr>
          <w:rFonts w:ascii="Arial" w:hAnsi="Arial" w:cs="Arial"/>
          <w:sz w:val="20"/>
          <w:szCs w:val="20"/>
        </w:rPr>
        <w:t>.</w:t>
      </w:r>
    </w:p>
    <w:p w14:paraId="0ADE2131" w14:textId="77777777"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biological activity of medicinal plants is increasingly understood to result from synergistic interactions among multiple phytochemicals rather than from individual compounds acting independently. Flavonoids may compromise microbial membranes, alkaloids inhibit intracellular metabolic processes, while cardiac glycosides interfere with membrane transport systems. The simultaneous action of these compounds on different biochemical targets enhances antimicrobial efficacy and reduces the likelihood of resistance development (Akpan et al., 2016; </w:t>
      </w:r>
      <w:proofErr w:type="spellStart"/>
      <w:r w:rsidRPr="00F36C9C">
        <w:rPr>
          <w:rFonts w:ascii="Arial" w:hAnsi="Arial" w:cs="Arial"/>
          <w:sz w:val="20"/>
          <w:szCs w:val="20"/>
        </w:rPr>
        <w:t>Ejele</w:t>
      </w:r>
      <w:proofErr w:type="spellEnd"/>
      <w:r w:rsidRPr="00F36C9C">
        <w:rPr>
          <w:rFonts w:ascii="Arial" w:hAnsi="Arial" w:cs="Arial"/>
          <w:sz w:val="20"/>
          <w:szCs w:val="20"/>
        </w:rPr>
        <w:t xml:space="preserve"> et al., 2012; </w:t>
      </w:r>
      <w:proofErr w:type="spellStart"/>
      <w:r w:rsidRPr="00F36C9C">
        <w:rPr>
          <w:rFonts w:ascii="Arial" w:hAnsi="Arial" w:cs="Arial"/>
          <w:sz w:val="20"/>
          <w:szCs w:val="20"/>
        </w:rPr>
        <w:t>Malczak</w:t>
      </w:r>
      <w:proofErr w:type="spellEnd"/>
      <w:r w:rsidRPr="00F36C9C">
        <w:rPr>
          <w:rFonts w:ascii="Arial" w:hAnsi="Arial" w:cs="Arial"/>
          <w:sz w:val="20"/>
          <w:szCs w:val="20"/>
        </w:rPr>
        <w:t xml:space="preserve"> &amp; </w:t>
      </w:r>
      <w:proofErr w:type="spellStart"/>
      <w:r w:rsidRPr="00F36C9C">
        <w:rPr>
          <w:rFonts w:ascii="Arial" w:hAnsi="Arial" w:cs="Arial"/>
          <w:sz w:val="20"/>
          <w:szCs w:val="20"/>
        </w:rPr>
        <w:t>Gajda</w:t>
      </w:r>
      <w:proofErr w:type="spellEnd"/>
      <w:r w:rsidRPr="00F36C9C">
        <w:rPr>
          <w:rFonts w:ascii="Arial" w:hAnsi="Arial" w:cs="Arial"/>
          <w:sz w:val="20"/>
          <w:szCs w:val="20"/>
        </w:rPr>
        <w:t>, 2023). Such phytochemical synergy represents one of the principal advantages of plant-derived medicines over many conventional synthetic antibiotics, which often act on a single molecular target.</w:t>
      </w:r>
    </w:p>
    <w:p w14:paraId="06AC0476" w14:textId="2E479488" w:rsidR="00391EF9" w:rsidRPr="00F36C9C" w:rsidRDefault="00391EF9" w:rsidP="00391EF9">
      <w:pPr>
        <w:jc w:val="both"/>
        <w:rPr>
          <w:rFonts w:ascii="Arial" w:hAnsi="Arial" w:cs="Arial"/>
          <w:sz w:val="20"/>
          <w:szCs w:val="20"/>
        </w:rPr>
      </w:pPr>
      <w:r w:rsidRPr="00F36C9C">
        <w:rPr>
          <w:rFonts w:ascii="Arial" w:hAnsi="Arial" w:cs="Arial"/>
          <w:sz w:val="20"/>
          <w:szCs w:val="20"/>
        </w:rPr>
        <w:t xml:space="preserve">The quantitative phytochemical profile obtained in this study therefore provides compelling evidence that </w:t>
      </w:r>
      <w:r w:rsidRPr="00F36C9C">
        <w:rPr>
          <w:rStyle w:val="Emphasis"/>
          <w:rFonts w:ascii="Arial" w:hAnsi="Arial" w:cs="Arial"/>
          <w:sz w:val="20"/>
          <w:szCs w:val="20"/>
        </w:rPr>
        <w:t>Mentha piperita</w:t>
      </w:r>
      <w:r w:rsidRPr="00F36C9C">
        <w:rPr>
          <w:rFonts w:ascii="Arial" w:hAnsi="Arial" w:cs="Arial"/>
          <w:sz w:val="20"/>
          <w:szCs w:val="20"/>
        </w:rPr>
        <w:t xml:space="preserve"> is an exceptionally rich source of biologically active secondary metabolites with considerable pharmaceutical potential. The predominance of flavonoids, supported by appreciable concentrations of cardiac glycosides and alkaloids, establishes a strong biochemical basis for the antimicrobial activities reported in this investigation. These findings reinforce previous reports on the medicinal importance of </w:t>
      </w:r>
      <w:r w:rsidRPr="00F36C9C">
        <w:rPr>
          <w:rStyle w:val="Emphasis"/>
          <w:rFonts w:ascii="Arial" w:hAnsi="Arial" w:cs="Arial"/>
          <w:sz w:val="20"/>
          <w:szCs w:val="20"/>
        </w:rPr>
        <w:t>M. piperita</w:t>
      </w:r>
      <w:r w:rsidRPr="00F36C9C">
        <w:rPr>
          <w:rFonts w:ascii="Arial" w:hAnsi="Arial" w:cs="Arial"/>
          <w:sz w:val="20"/>
          <w:szCs w:val="20"/>
        </w:rPr>
        <w:t xml:space="preserve"> and related species (Trevisan et al., 2017; Sharma et al., 2013; Singh </w:t>
      </w:r>
      <w:r w:rsidRPr="00F36C9C">
        <w:rPr>
          <w:rFonts w:ascii="Arial" w:hAnsi="Arial" w:cs="Arial"/>
          <w:sz w:val="20"/>
          <w:szCs w:val="20"/>
        </w:rPr>
        <w:lastRenderedPageBreak/>
        <w:t xml:space="preserve">et al., 2017), while further highlighting the plant as a promising candidate for the discovery of novel natural antimicrobial agents capable of addressing the growing challenge of antimicrobial resistance. </w:t>
      </w:r>
    </w:p>
    <w:p w14:paraId="58DA86C4" w14:textId="77777777" w:rsidR="00773604" w:rsidRPr="00F36C9C" w:rsidRDefault="00773604" w:rsidP="00773604">
      <w:pPr>
        <w:spacing w:before="100" w:beforeAutospacing="1" w:after="100" w:afterAutospacing="1" w:line="240" w:lineRule="auto"/>
        <w:outlineLvl w:val="1"/>
        <w:rPr>
          <w:rFonts w:ascii="Times New Roman" w:eastAsia="Times New Roman" w:hAnsi="Times New Roman" w:cs="Times New Roman"/>
          <w:b/>
          <w:bCs/>
          <w:sz w:val="36"/>
          <w:szCs w:val="36"/>
        </w:rPr>
      </w:pPr>
      <w:r w:rsidRPr="00F36C9C">
        <w:rPr>
          <w:rFonts w:ascii="Times New Roman" w:eastAsia="Times New Roman" w:hAnsi="Times New Roman" w:cs="Times New Roman"/>
          <w:b/>
          <w:bCs/>
          <w:sz w:val="36"/>
          <w:szCs w:val="36"/>
        </w:rPr>
        <w:t>Conclusion</w:t>
      </w:r>
    </w:p>
    <w:p w14:paraId="5270E95D" w14:textId="77777777" w:rsidR="00773604" w:rsidRPr="00F36C9C" w:rsidRDefault="00773604" w:rsidP="00773604">
      <w:pPr>
        <w:spacing w:before="100" w:beforeAutospacing="1" w:after="100" w:afterAutospacing="1" w:line="240" w:lineRule="auto"/>
        <w:rPr>
          <w:rFonts w:ascii="Times New Roman" w:eastAsia="Times New Roman" w:hAnsi="Times New Roman" w:cs="Times New Roman"/>
          <w:sz w:val="24"/>
          <w:szCs w:val="24"/>
        </w:rPr>
      </w:pPr>
      <w:r w:rsidRPr="00F36C9C">
        <w:rPr>
          <w:rFonts w:ascii="Times New Roman" w:eastAsia="Times New Roman" w:hAnsi="Times New Roman" w:cs="Times New Roman"/>
          <w:sz w:val="24"/>
          <w:szCs w:val="24"/>
        </w:rPr>
        <w:t xml:space="preserve">The study showed that </w:t>
      </w:r>
      <w:r w:rsidRPr="00F36C9C">
        <w:rPr>
          <w:rFonts w:ascii="Times New Roman" w:eastAsia="Times New Roman" w:hAnsi="Times New Roman" w:cs="Times New Roman"/>
          <w:i/>
          <w:iCs/>
          <w:sz w:val="24"/>
          <w:szCs w:val="24"/>
        </w:rPr>
        <w:t>Mentha piperita</w:t>
      </w:r>
      <w:r w:rsidRPr="00F36C9C">
        <w:rPr>
          <w:rFonts w:ascii="Times New Roman" w:eastAsia="Times New Roman" w:hAnsi="Times New Roman" w:cs="Times New Roman"/>
          <w:sz w:val="24"/>
          <w:szCs w:val="24"/>
        </w:rPr>
        <w:t xml:space="preserve"> contains several classes of secondary metabolites that may contribute to its observed antimicrobial activity. Qualitative screening revealed the presence of alkaloids, flavonoids, tannins, </w:t>
      </w:r>
      <w:proofErr w:type="spellStart"/>
      <w:r w:rsidRPr="00F36C9C">
        <w:rPr>
          <w:rFonts w:ascii="Times New Roman" w:eastAsia="Times New Roman" w:hAnsi="Times New Roman" w:cs="Times New Roman"/>
          <w:sz w:val="24"/>
          <w:szCs w:val="24"/>
        </w:rPr>
        <w:t>phlobatannins</w:t>
      </w:r>
      <w:proofErr w:type="spellEnd"/>
      <w:r w:rsidRPr="00F36C9C">
        <w:rPr>
          <w:rFonts w:ascii="Times New Roman" w:eastAsia="Times New Roman" w:hAnsi="Times New Roman" w:cs="Times New Roman"/>
          <w:sz w:val="24"/>
          <w:szCs w:val="24"/>
        </w:rPr>
        <w:t xml:space="preserve">, cardiac glycosides, steroids, triterpenoids, polyphenols, carbohydrates, and proteins, while quantitative analysis showed flavonoids as the dominant fraction, followed by cardiac glycosides and alkaloids. FTIR analysis indicated the presence of functional groups such as hydroxyl, carbonyl, amino, aromatic, alkyl, and ether-related groups, which are consistent with bioactive phytochemical fractions. The crude ethanol extract and the crude alkaloid, flavonoid, and cardiac glycoside fractions exhibited varying levels of antibacterial and antifungal activity against the tested organisms. Alkaloid fractions showed comparatively stronger activity against some bacterial isolates, while cardiac glycoside fractions showed activity against selected fungal isolates. These findings support further investigation of </w:t>
      </w:r>
      <w:r w:rsidRPr="00F36C9C">
        <w:rPr>
          <w:rFonts w:ascii="Times New Roman" w:eastAsia="Times New Roman" w:hAnsi="Times New Roman" w:cs="Times New Roman"/>
          <w:i/>
          <w:iCs/>
          <w:sz w:val="24"/>
          <w:szCs w:val="24"/>
        </w:rPr>
        <w:t>M. piperita</w:t>
      </w:r>
      <w:r w:rsidRPr="00F36C9C">
        <w:rPr>
          <w:rFonts w:ascii="Times New Roman" w:eastAsia="Times New Roman" w:hAnsi="Times New Roman" w:cs="Times New Roman"/>
          <w:sz w:val="24"/>
          <w:szCs w:val="24"/>
        </w:rPr>
        <w:t xml:space="preserve"> as a source of antimicrobial phytochemical fractions. However, purification, structural elucidation, toxicity testing, and stronger antimicrobial validation are required before practical application can be recommended.</w:t>
      </w:r>
    </w:p>
    <w:p w14:paraId="50B57EA8" w14:textId="77777777" w:rsidR="00773604" w:rsidRPr="00F36C9C" w:rsidRDefault="00773604" w:rsidP="00773604">
      <w:pPr>
        <w:spacing w:before="100" w:beforeAutospacing="1" w:after="100" w:afterAutospacing="1" w:line="240" w:lineRule="auto"/>
        <w:outlineLvl w:val="1"/>
        <w:rPr>
          <w:rFonts w:ascii="Times New Roman" w:eastAsia="Times New Roman" w:hAnsi="Times New Roman" w:cs="Times New Roman"/>
          <w:b/>
          <w:bCs/>
          <w:sz w:val="36"/>
          <w:szCs w:val="36"/>
        </w:rPr>
      </w:pPr>
      <w:r w:rsidRPr="00F36C9C">
        <w:rPr>
          <w:rFonts w:ascii="Times New Roman" w:eastAsia="Times New Roman" w:hAnsi="Times New Roman" w:cs="Times New Roman"/>
          <w:b/>
          <w:bCs/>
          <w:sz w:val="36"/>
          <w:szCs w:val="36"/>
        </w:rPr>
        <w:t>Limitations</w:t>
      </w:r>
    </w:p>
    <w:p w14:paraId="5DC8E61F" w14:textId="77777777" w:rsidR="00773604" w:rsidRPr="00F36C9C" w:rsidRDefault="00773604" w:rsidP="00773604">
      <w:pPr>
        <w:spacing w:before="100" w:beforeAutospacing="1" w:after="100" w:afterAutospacing="1" w:line="240" w:lineRule="auto"/>
        <w:rPr>
          <w:rFonts w:ascii="Times New Roman" w:eastAsia="Times New Roman" w:hAnsi="Times New Roman" w:cs="Times New Roman"/>
          <w:sz w:val="24"/>
          <w:szCs w:val="24"/>
        </w:rPr>
      </w:pPr>
      <w:r w:rsidRPr="00F36C9C">
        <w:rPr>
          <w:rFonts w:ascii="Times New Roman" w:eastAsia="Times New Roman" w:hAnsi="Times New Roman" w:cs="Times New Roman"/>
          <w:sz w:val="24"/>
          <w:szCs w:val="24"/>
        </w:rPr>
        <w:t xml:space="preserve">This study was limited to in vitro testing of crude ethanol extract and crude phytochemical fractions of </w:t>
      </w:r>
      <w:r w:rsidRPr="00F36C9C">
        <w:rPr>
          <w:rFonts w:ascii="Times New Roman" w:eastAsia="Times New Roman" w:hAnsi="Times New Roman" w:cs="Times New Roman"/>
          <w:i/>
          <w:iCs/>
          <w:sz w:val="24"/>
          <w:szCs w:val="24"/>
        </w:rPr>
        <w:t>Mentha piperita</w:t>
      </w:r>
      <w:r w:rsidRPr="00F36C9C">
        <w:rPr>
          <w:rFonts w:ascii="Times New Roman" w:eastAsia="Times New Roman" w:hAnsi="Times New Roman" w:cs="Times New Roman"/>
          <w:sz w:val="24"/>
          <w:szCs w:val="24"/>
        </w:rPr>
        <w:t>. The isolated fractions were not purified individual compounds, and FTIR analysis provided functional-group information rather than complete structural identification. The manuscript does not clearly present negative solvent-control results, replicate statistics, or error estimates for inhibition zones. MIC values were relatively high and should be interpreted cautiously. Further work using chromatographic purification, GC-MS/LC-MS/NMR analysis, cytotoxicity testing, standardized controls, and in vivo validation is needed to confirm antimicrobial potential.</w:t>
      </w:r>
    </w:p>
    <w:p w14:paraId="0DF90FFA" w14:textId="77777777" w:rsidR="00C90462" w:rsidRPr="00F36C9C" w:rsidRDefault="00C90462" w:rsidP="00241922">
      <w:pPr>
        <w:pStyle w:val="ReferHead"/>
        <w:spacing w:after="0"/>
        <w:jc w:val="both"/>
        <w:rPr>
          <w:rFonts w:ascii="Arial" w:hAnsi="Arial" w:cs="Arial"/>
          <w:bCs/>
        </w:rPr>
      </w:pPr>
    </w:p>
    <w:p w14:paraId="5E9BDE65" w14:textId="38897FD0" w:rsidR="00241922" w:rsidRPr="00F36C9C" w:rsidRDefault="00241922" w:rsidP="00241922">
      <w:pPr>
        <w:pStyle w:val="ReferHead"/>
        <w:spacing w:after="0"/>
        <w:jc w:val="both"/>
        <w:rPr>
          <w:rFonts w:ascii="Arial" w:hAnsi="Arial" w:cs="Arial"/>
          <w:bCs/>
        </w:rPr>
      </w:pPr>
      <w:r w:rsidRPr="00F36C9C">
        <w:rPr>
          <w:rFonts w:ascii="Arial" w:hAnsi="Arial" w:cs="Arial"/>
          <w:bCs/>
        </w:rPr>
        <w:t>Competing interests</w:t>
      </w:r>
    </w:p>
    <w:p w14:paraId="1CAF9F3C" w14:textId="77777777" w:rsidR="00241922" w:rsidRPr="00F36C9C" w:rsidRDefault="00241922" w:rsidP="00241922">
      <w:pPr>
        <w:pStyle w:val="ReferHead"/>
        <w:spacing w:after="0"/>
        <w:jc w:val="both"/>
        <w:rPr>
          <w:rFonts w:ascii="Arial" w:hAnsi="Arial" w:cs="Arial"/>
        </w:rPr>
      </w:pPr>
    </w:p>
    <w:p w14:paraId="187C92C5" w14:textId="2EBDD786" w:rsidR="00241922" w:rsidRPr="00F36C9C" w:rsidRDefault="00241922" w:rsidP="00241922">
      <w:pPr>
        <w:pStyle w:val="ReferHead"/>
        <w:spacing w:after="0"/>
        <w:jc w:val="both"/>
        <w:rPr>
          <w:rFonts w:ascii="Arial" w:hAnsi="Arial" w:cs="Arial"/>
          <w:b w:val="0"/>
          <w:caps w:val="0"/>
          <w:sz w:val="20"/>
        </w:rPr>
      </w:pPr>
      <w:r w:rsidRPr="00F36C9C">
        <w:rPr>
          <w:rFonts w:ascii="Arial" w:hAnsi="Arial" w:cs="Arial"/>
          <w:b w:val="0"/>
          <w:caps w:val="0"/>
          <w:sz w:val="20"/>
        </w:rPr>
        <w:t>Authors have declared that no competing interests exist.</w:t>
      </w:r>
    </w:p>
    <w:p w14:paraId="7E175E76" w14:textId="77777777" w:rsidR="00241922" w:rsidRPr="00F36C9C" w:rsidRDefault="00241922" w:rsidP="00241922">
      <w:pPr>
        <w:pStyle w:val="ReferHead"/>
        <w:spacing w:after="0"/>
        <w:jc w:val="both"/>
        <w:rPr>
          <w:rFonts w:ascii="Arial" w:hAnsi="Arial" w:cs="Arial"/>
          <w:b w:val="0"/>
          <w:caps w:val="0"/>
          <w:sz w:val="20"/>
        </w:rPr>
      </w:pPr>
    </w:p>
    <w:p w14:paraId="51BB9CA0" w14:textId="77777777" w:rsidR="00773604" w:rsidRPr="00F36C9C" w:rsidRDefault="00773604" w:rsidP="00773604">
      <w:pPr>
        <w:spacing w:after="0" w:line="240" w:lineRule="auto"/>
        <w:rPr>
          <w:rFonts w:ascii="Times New Roman" w:hAnsi="Times New Roman" w:cs="Times New Roman"/>
          <w:b/>
        </w:rPr>
      </w:pPr>
      <w:r w:rsidRPr="00F36C9C">
        <w:rPr>
          <w:rFonts w:ascii="Times New Roman" w:hAnsi="Times New Roman" w:cs="Times New Roman"/>
          <w:b/>
        </w:rPr>
        <w:t>Declaration of AI Use</w:t>
      </w:r>
    </w:p>
    <w:p w14:paraId="25748E81" w14:textId="77777777" w:rsidR="00773604" w:rsidRPr="00F36C9C" w:rsidRDefault="00773604" w:rsidP="00773604">
      <w:pPr>
        <w:spacing w:after="0" w:line="240" w:lineRule="auto"/>
        <w:rPr>
          <w:rFonts w:ascii="Times New Roman" w:hAnsi="Times New Roman" w:cs="Times New Roman"/>
        </w:rPr>
      </w:pPr>
    </w:p>
    <w:p w14:paraId="038B9F51" w14:textId="77777777" w:rsidR="00773604" w:rsidRPr="00F36C9C" w:rsidRDefault="00773604" w:rsidP="00773604">
      <w:pPr>
        <w:spacing w:after="0" w:line="240" w:lineRule="auto"/>
        <w:jc w:val="both"/>
        <w:rPr>
          <w:rFonts w:ascii="Times New Roman" w:hAnsi="Times New Roman" w:cs="Times New Roman"/>
        </w:rPr>
      </w:pPr>
      <w:r w:rsidRPr="00F36C9C">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FB51A38" w14:textId="77777777" w:rsidR="00773604" w:rsidRPr="00F36C9C" w:rsidRDefault="00773604" w:rsidP="00FF0CB0">
      <w:pPr>
        <w:pStyle w:val="ReferHead"/>
        <w:spacing w:after="0"/>
        <w:jc w:val="both"/>
        <w:rPr>
          <w:rFonts w:ascii="Arial" w:hAnsi="Arial" w:cs="Arial"/>
          <w:b w:val="0"/>
          <w:caps w:val="0"/>
          <w:sz w:val="20"/>
        </w:rPr>
      </w:pPr>
    </w:p>
    <w:p w14:paraId="17421E94" w14:textId="77777777" w:rsidR="00241922" w:rsidRPr="00F36C9C" w:rsidRDefault="00241922" w:rsidP="00ED5B69">
      <w:pPr>
        <w:pStyle w:val="NormalWeb"/>
        <w:jc w:val="both"/>
        <w:rPr>
          <w:rFonts w:ascii="Arial" w:hAnsi="Arial" w:cs="Arial"/>
          <w:sz w:val="20"/>
          <w:szCs w:val="20"/>
        </w:rPr>
      </w:pPr>
    </w:p>
    <w:p w14:paraId="05AE4C25" w14:textId="7C1D1082" w:rsidR="00735026" w:rsidRPr="00F36C9C" w:rsidRDefault="00735026" w:rsidP="00735026">
      <w:pPr>
        <w:pStyle w:val="ReferHead"/>
        <w:spacing w:after="0"/>
        <w:jc w:val="both"/>
        <w:rPr>
          <w:rFonts w:ascii="Arial" w:hAnsi="Arial" w:cs="Arial"/>
        </w:rPr>
      </w:pPr>
      <w:r w:rsidRPr="00F36C9C">
        <w:rPr>
          <w:rFonts w:ascii="Arial" w:hAnsi="Arial" w:cs="Arial"/>
        </w:rPr>
        <w:t>References</w:t>
      </w:r>
    </w:p>
    <w:p w14:paraId="4152D24B" w14:textId="431BBCD7" w:rsidR="000955F6" w:rsidRPr="00F36C9C" w:rsidRDefault="000955F6" w:rsidP="000955F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Akpan, I. O., </w:t>
      </w:r>
      <w:proofErr w:type="spellStart"/>
      <w:r w:rsidRPr="00F36C9C">
        <w:rPr>
          <w:rFonts w:ascii="Arial" w:hAnsi="Arial" w:cs="Arial"/>
          <w:sz w:val="20"/>
          <w:szCs w:val="20"/>
        </w:rPr>
        <w:t>Ogali</w:t>
      </w:r>
      <w:proofErr w:type="spellEnd"/>
      <w:r w:rsidRPr="00F36C9C">
        <w:rPr>
          <w:rFonts w:ascii="Arial" w:hAnsi="Arial" w:cs="Arial"/>
          <w:sz w:val="20"/>
          <w:szCs w:val="20"/>
        </w:rPr>
        <w:t xml:space="preserve">, R. E., &amp; </w:t>
      </w:r>
      <w:proofErr w:type="spellStart"/>
      <w:r w:rsidRPr="00F36C9C">
        <w:rPr>
          <w:rFonts w:ascii="Arial" w:hAnsi="Arial" w:cs="Arial"/>
          <w:sz w:val="20"/>
          <w:szCs w:val="20"/>
        </w:rPr>
        <w:t>Achugasim</w:t>
      </w:r>
      <w:proofErr w:type="spellEnd"/>
      <w:r w:rsidRPr="00F36C9C">
        <w:rPr>
          <w:rFonts w:ascii="Arial" w:hAnsi="Arial" w:cs="Arial"/>
          <w:sz w:val="20"/>
          <w:szCs w:val="20"/>
        </w:rPr>
        <w:t xml:space="preserve">, O. (2017). Antifungal activity of crude extract and metabolites of leaves of </w:t>
      </w:r>
      <w:proofErr w:type="spellStart"/>
      <w:r w:rsidRPr="00F36C9C">
        <w:rPr>
          <w:rFonts w:ascii="Arial" w:hAnsi="Arial" w:cs="Arial"/>
          <w:i/>
          <w:iCs/>
          <w:sz w:val="20"/>
          <w:szCs w:val="20"/>
        </w:rPr>
        <w:t>Enantia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chlorantha</w:t>
      </w:r>
      <w:proofErr w:type="spellEnd"/>
      <w:r w:rsidRPr="00F36C9C">
        <w:rPr>
          <w:rFonts w:ascii="Arial" w:hAnsi="Arial" w:cs="Arial"/>
          <w:sz w:val="20"/>
          <w:szCs w:val="20"/>
        </w:rPr>
        <w:t xml:space="preserve"> </w:t>
      </w:r>
      <w:proofErr w:type="spellStart"/>
      <w:r w:rsidRPr="00F36C9C">
        <w:rPr>
          <w:rFonts w:ascii="Arial" w:hAnsi="Arial" w:cs="Arial"/>
          <w:sz w:val="20"/>
          <w:szCs w:val="20"/>
        </w:rPr>
        <w:t>Oliv</w:t>
      </w:r>
      <w:proofErr w:type="spellEnd"/>
      <w:r w:rsidRPr="00F36C9C">
        <w:rPr>
          <w:rFonts w:ascii="Arial" w:hAnsi="Arial" w:cs="Arial"/>
          <w:sz w:val="20"/>
          <w:szCs w:val="20"/>
        </w:rPr>
        <w:t xml:space="preserve">. (African yellow wood). </w:t>
      </w:r>
      <w:r w:rsidRPr="00F36C9C">
        <w:rPr>
          <w:rFonts w:ascii="Arial" w:hAnsi="Arial" w:cs="Arial"/>
          <w:i/>
          <w:iCs/>
          <w:sz w:val="20"/>
          <w:szCs w:val="20"/>
        </w:rPr>
        <w:t>Journal of Natural Products and Resources, 3</w:t>
      </w:r>
      <w:r w:rsidRPr="00F36C9C">
        <w:rPr>
          <w:rFonts w:ascii="Arial" w:hAnsi="Arial" w:cs="Arial"/>
          <w:sz w:val="20"/>
          <w:szCs w:val="20"/>
        </w:rPr>
        <w:t>(2), 137–140.</w:t>
      </w:r>
    </w:p>
    <w:p w14:paraId="1A9773DB" w14:textId="77777777" w:rsidR="000955F6" w:rsidRPr="00F36C9C" w:rsidRDefault="000955F6" w:rsidP="000955F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Adedayo, O. A., Moo-Young, W. A., Snieckus, V., Patil, P. A., &amp; Kolawole, D. O. (2001). Phytochemistry and antibacterial activity of </w:t>
      </w:r>
      <w:r w:rsidRPr="00F36C9C">
        <w:rPr>
          <w:rStyle w:val="Emphasis"/>
          <w:rFonts w:ascii="Arial" w:hAnsi="Arial" w:cs="Arial"/>
          <w:sz w:val="20"/>
          <w:szCs w:val="20"/>
        </w:rPr>
        <w:t>Senna alata</w:t>
      </w:r>
      <w:r w:rsidRPr="00F36C9C">
        <w:rPr>
          <w:rFonts w:ascii="Arial" w:hAnsi="Arial" w:cs="Arial"/>
          <w:sz w:val="20"/>
          <w:szCs w:val="20"/>
        </w:rPr>
        <w:t xml:space="preserve"> flower. </w:t>
      </w:r>
      <w:r w:rsidRPr="00F36C9C">
        <w:rPr>
          <w:rStyle w:val="Emphasis"/>
          <w:rFonts w:ascii="Arial" w:hAnsi="Arial" w:cs="Arial"/>
          <w:sz w:val="20"/>
          <w:szCs w:val="20"/>
        </w:rPr>
        <w:t>Pharmaceutical Biology, 39</w:t>
      </w:r>
      <w:r w:rsidRPr="00F36C9C">
        <w:rPr>
          <w:rFonts w:ascii="Arial" w:hAnsi="Arial" w:cs="Arial"/>
          <w:sz w:val="20"/>
          <w:szCs w:val="20"/>
        </w:rPr>
        <w:t>, 408–412.</w:t>
      </w:r>
    </w:p>
    <w:p w14:paraId="0114C0B8"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Perumal, R. S., &amp; </w:t>
      </w:r>
      <w:proofErr w:type="spellStart"/>
      <w:r w:rsidRPr="00F36C9C">
        <w:rPr>
          <w:rFonts w:ascii="Arial" w:hAnsi="Arial" w:cs="Arial"/>
          <w:sz w:val="20"/>
          <w:szCs w:val="20"/>
        </w:rPr>
        <w:t>Ignacimuthu</w:t>
      </w:r>
      <w:proofErr w:type="spellEnd"/>
      <w:r w:rsidRPr="00F36C9C">
        <w:rPr>
          <w:rFonts w:ascii="Arial" w:hAnsi="Arial" w:cs="Arial"/>
          <w:sz w:val="20"/>
          <w:szCs w:val="20"/>
        </w:rPr>
        <w:t xml:space="preserve">, S. (2001). Antibacterial effect of the bark of </w:t>
      </w:r>
      <w:r w:rsidRPr="00F36C9C">
        <w:rPr>
          <w:rFonts w:ascii="Arial" w:hAnsi="Arial" w:cs="Arial"/>
          <w:i/>
          <w:iCs/>
          <w:sz w:val="20"/>
          <w:szCs w:val="20"/>
        </w:rPr>
        <w:t>Terminalia arjuna</w:t>
      </w:r>
      <w:r w:rsidRPr="00F36C9C">
        <w:rPr>
          <w:rFonts w:ascii="Arial" w:hAnsi="Arial" w:cs="Arial"/>
          <w:sz w:val="20"/>
          <w:szCs w:val="20"/>
        </w:rPr>
        <w:t xml:space="preserve">: Justification of folklore beliefs. </w:t>
      </w:r>
      <w:r w:rsidRPr="00F36C9C">
        <w:rPr>
          <w:rFonts w:ascii="Arial" w:hAnsi="Arial" w:cs="Arial"/>
          <w:i/>
          <w:iCs/>
          <w:sz w:val="20"/>
          <w:szCs w:val="20"/>
        </w:rPr>
        <w:t>Pharmaceutical Biology, 39</w:t>
      </w:r>
      <w:r w:rsidRPr="00F36C9C">
        <w:rPr>
          <w:rFonts w:ascii="Arial" w:hAnsi="Arial" w:cs="Arial"/>
          <w:sz w:val="20"/>
          <w:szCs w:val="20"/>
        </w:rPr>
        <w:t>(6), 417–420.</w:t>
      </w:r>
    </w:p>
    <w:p w14:paraId="5C437F51"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Sharma, P., Ravikumar, G., Kalaiselvi, M., Gomathi, D., &amp; Uma, C. (2013). In vitro antibacterial and free radical scavenging activity of green hull of </w:t>
      </w:r>
      <w:r w:rsidRPr="00F36C9C">
        <w:rPr>
          <w:rFonts w:ascii="Arial" w:hAnsi="Arial" w:cs="Arial"/>
          <w:i/>
          <w:iCs/>
          <w:sz w:val="20"/>
          <w:szCs w:val="20"/>
        </w:rPr>
        <w:t>Juglans regia</w:t>
      </w:r>
      <w:r w:rsidRPr="00F36C9C">
        <w:rPr>
          <w:rFonts w:ascii="Arial" w:hAnsi="Arial" w:cs="Arial"/>
          <w:sz w:val="20"/>
          <w:szCs w:val="20"/>
        </w:rPr>
        <w:t xml:space="preserve">. </w:t>
      </w:r>
      <w:r w:rsidRPr="00F36C9C">
        <w:rPr>
          <w:rFonts w:ascii="Arial" w:hAnsi="Arial" w:cs="Arial"/>
          <w:i/>
          <w:iCs/>
          <w:sz w:val="20"/>
          <w:szCs w:val="20"/>
        </w:rPr>
        <w:t>Journal of Pharmaceutical Analysis, 3</w:t>
      </w:r>
      <w:r w:rsidRPr="00F36C9C">
        <w:rPr>
          <w:rFonts w:ascii="Arial" w:hAnsi="Arial" w:cs="Arial"/>
          <w:sz w:val="20"/>
          <w:szCs w:val="20"/>
        </w:rPr>
        <w:t xml:space="preserve">(4), 298–302. </w:t>
      </w:r>
      <w:hyperlink r:id="rId20" w:history="1">
        <w:r w:rsidRPr="00F36C9C">
          <w:rPr>
            <w:rFonts w:ascii="Arial" w:hAnsi="Arial" w:cs="Arial"/>
            <w:color w:val="0000FF"/>
            <w:sz w:val="20"/>
            <w:szCs w:val="20"/>
            <w:u w:val="single"/>
          </w:rPr>
          <w:t>https://doi.org/10.1016/j.jpha.2012.11.001</w:t>
        </w:r>
      </w:hyperlink>
    </w:p>
    <w:p w14:paraId="3205B50C"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Akpan, I. O., Ejele, A. E., </w:t>
      </w:r>
      <w:proofErr w:type="spellStart"/>
      <w:r w:rsidRPr="00F36C9C">
        <w:rPr>
          <w:rFonts w:ascii="Arial" w:hAnsi="Arial" w:cs="Arial"/>
          <w:sz w:val="20"/>
          <w:szCs w:val="20"/>
        </w:rPr>
        <w:t>Ogali</w:t>
      </w:r>
      <w:proofErr w:type="spellEnd"/>
      <w:r w:rsidRPr="00F36C9C">
        <w:rPr>
          <w:rFonts w:ascii="Arial" w:hAnsi="Arial" w:cs="Arial"/>
          <w:sz w:val="20"/>
          <w:szCs w:val="20"/>
        </w:rPr>
        <w:t xml:space="preserve">, R. E., </w:t>
      </w:r>
      <w:proofErr w:type="spellStart"/>
      <w:r w:rsidRPr="00F36C9C">
        <w:rPr>
          <w:rFonts w:ascii="Arial" w:hAnsi="Arial" w:cs="Arial"/>
          <w:sz w:val="20"/>
          <w:szCs w:val="20"/>
        </w:rPr>
        <w:t>Achugasim</w:t>
      </w:r>
      <w:proofErr w:type="spellEnd"/>
      <w:r w:rsidRPr="00F36C9C">
        <w:rPr>
          <w:rFonts w:ascii="Arial" w:hAnsi="Arial" w:cs="Arial"/>
          <w:sz w:val="20"/>
          <w:szCs w:val="20"/>
        </w:rPr>
        <w:t xml:space="preserve">, O., &amp; Osuagwu, C. G. (2016). Bioassay-guided isolation of antimicrobial compound against </w:t>
      </w:r>
      <w:r w:rsidRPr="00F36C9C">
        <w:rPr>
          <w:rFonts w:ascii="Arial" w:hAnsi="Arial" w:cs="Arial"/>
          <w:i/>
          <w:iCs/>
          <w:sz w:val="20"/>
          <w:szCs w:val="20"/>
        </w:rPr>
        <w:t>Staphylococcus aureus</w:t>
      </w:r>
      <w:r w:rsidRPr="00F36C9C">
        <w:rPr>
          <w:rFonts w:ascii="Arial" w:hAnsi="Arial" w:cs="Arial"/>
          <w:sz w:val="20"/>
          <w:szCs w:val="20"/>
        </w:rPr>
        <w:t xml:space="preserve"> from </w:t>
      </w:r>
      <w:proofErr w:type="spellStart"/>
      <w:r w:rsidRPr="00F36C9C">
        <w:rPr>
          <w:rFonts w:ascii="Arial" w:hAnsi="Arial" w:cs="Arial"/>
          <w:i/>
          <w:iCs/>
          <w:sz w:val="20"/>
          <w:szCs w:val="20"/>
        </w:rPr>
        <w:t>Azadirachta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indica</w:t>
      </w:r>
      <w:proofErr w:type="spellEnd"/>
      <w:r w:rsidRPr="00F36C9C">
        <w:rPr>
          <w:rFonts w:ascii="Arial" w:hAnsi="Arial" w:cs="Arial"/>
          <w:sz w:val="20"/>
          <w:szCs w:val="20"/>
        </w:rPr>
        <w:t xml:space="preserve">. </w:t>
      </w:r>
      <w:r w:rsidRPr="00F36C9C">
        <w:rPr>
          <w:rFonts w:ascii="Arial" w:hAnsi="Arial" w:cs="Arial"/>
          <w:i/>
          <w:iCs/>
          <w:sz w:val="20"/>
          <w:szCs w:val="20"/>
        </w:rPr>
        <w:t>Journal of Current Chemical &amp; Pharmaceutical Sciences, 6</w:t>
      </w:r>
      <w:r w:rsidRPr="00F36C9C">
        <w:rPr>
          <w:rFonts w:ascii="Arial" w:hAnsi="Arial" w:cs="Arial"/>
          <w:sz w:val="20"/>
          <w:szCs w:val="20"/>
        </w:rPr>
        <w:t xml:space="preserve">(2), 17–26. </w:t>
      </w:r>
    </w:p>
    <w:p w14:paraId="21A8BDE9"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Oladejobi</w:t>
      </w:r>
      <w:proofErr w:type="spellEnd"/>
      <w:r w:rsidRPr="00F36C9C">
        <w:rPr>
          <w:rFonts w:ascii="Arial" w:hAnsi="Arial" w:cs="Arial"/>
          <w:sz w:val="20"/>
          <w:szCs w:val="20"/>
        </w:rPr>
        <w:t xml:space="preserve">, F. F., Akpan, I. O., Achugasim, O., &amp; </w:t>
      </w:r>
      <w:proofErr w:type="spellStart"/>
      <w:r w:rsidRPr="00F36C9C">
        <w:rPr>
          <w:rFonts w:ascii="Arial" w:hAnsi="Arial" w:cs="Arial"/>
          <w:sz w:val="20"/>
          <w:szCs w:val="20"/>
        </w:rPr>
        <w:t>Ogali</w:t>
      </w:r>
      <w:proofErr w:type="spellEnd"/>
      <w:r w:rsidRPr="00F36C9C">
        <w:rPr>
          <w:rFonts w:ascii="Arial" w:hAnsi="Arial" w:cs="Arial"/>
          <w:sz w:val="20"/>
          <w:szCs w:val="20"/>
        </w:rPr>
        <w:t xml:space="preserve">, R. E. (2022). Gas chromatography–mass spectrometry characterization and antibacterial activity of stem-bark extracts of </w:t>
      </w:r>
      <w:proofErr w:type="spellStart"/>
      <w:r w:rsidRPr="00F36C9C">
        <w:rPr>
          <w:rFonts w:ascii="Arial" w:hAnsi="Arial" w:cs="Arial"/>
          <w:i/>
          <w:iCs/>
          <w:sz w:val="20"/>
          <w:szCs w:val="20"/>
        </w:rPr>
        <w:t>Dacryodes</w:t>
      </w:r>
      <w:proofErr w:type="spellEnd"/>
      <w:r w:rsidRPr="00F36C9C">
        <w:rPr>
          <w:rFonts w:ascii="Arial" w:hAnsi="Arial" w:cs="Arial"/>
          <w:i/>
          <w:iCs/>
          <w:sz w:val="20"/>
          <w:szCs w:val="20"/>
        </w:rPr>
        <w:t xml:space="preserve"> edulis</w:t>
      </w:r>
      <w:r w:rsidRPr="00F36C9C">
        <w:rPr>
          <w:rFonts w:ascii="Arial" w:hAnsi="Arial" w:cs="Arial"/>
          <w:sz w:val="20"/>
          <w:szCs w:val="20"/>
        </w:rPr>
        <w:t xml:space="preserve"> (African pear). </w:t>
      </w:r>
      <w:r w:rsidRPr="00F36C9C">
        <w:rPr>
          <w:rFonts w:ascii="Arial" w:hAnsi="Arial" w:cs="Arial"/>
          <w:i/>
          <w:iCs/>
          <w:sz w:val="20"/>
          <w:szCs w:val="20"/>
        </w:rPr>
        <w:t>Researchers Journal of Science and Technology, 2</w:t>
      </w:r>
      <w:r w:rsidRPr="00F36C9C">
        <w:rPr>
          <w:rFonts w:ascii="Arial" w:hAnsi="Arial" w:cs="Arial"/>
          <w:sz w:val="20"/>
          <w:szCs w:val="20"/>
        </w:rPr>
        <w:t>(1), 34–49.</w:t>
      </w:r>
    </w:p>
    <w:p w14:paraId="1A28642B" w14:textId="77A46CA8" w:rsidR="000955F6" w:rsidRPr="00F36C9C" w:rsidRDefault="00583086" w:rsidP="000955F6">
      <w:pPr>
        <w:pStyle w:val="ListParagraph"/>
        <w:numPr>
          <w:ilvl w:val="0"/>
          <w:numId w:val="20"/>
        </w:numPr>
        <w:spacing w:after="160" w:line="259" w:lineRule="auto"/>
        <w:contextualSpacing/>
        <w:jc w:val="both"/>
        <w:rPr>
          <w:rStyle w:val="Hyperlink"/>
          <w:rFonts w:ascii="Arial" w:eastAsia="SimSun" w:hAnsi="Arial" w:cs="Arial"/>
          <w:color w:val="auto"/>
          <w:sz w:val="20"/>
          <w:szCs w:val="20"/>
          <w:u w:val="none"/>
          <w:lang w:eastAsia="zh-CN"/>
        </w:rPr>
      </w:pPr>
      <w:r w:rsidRPr="00F36C9C">
        <w:rPr>
          <w:rFonts w:ascii="Arial" w:hAnsi="Arial" w:cs="Arial"/>
          <w:sz w:val="20"/>
          <w:szCs w:val="20"/>
        </w:rPr>
        <w:t xml:space="preserve">Lichterman, B. (2004). Aspirin: The story of a wonder drug. </w:t>
      </w:r>
      <w:r w:rsidRPr="00F36C9C">
        <w:rPr>
          <w:rFonts w:ascii="Arial" w:hAnsi="Arial" w:cs="Arial"/>
          <w:i/>
          <w:iCs/>
          <w:sz w:val="20"/>
          <w:szCs w:val="20"/>
        </w:rPr>
        <w:t>BMJ, 329</w:t>
      </w:r>
      <w:r w:rsidRPr="00F36C9C">
        <w:rPr>
          <w:rFonts w:ascii="Arial" w:hAnsi="Arial" w:cs="Arial"/>
          <w:sz w:val="20"/>
          <w:szCs w:val="20"/>
        </w:rPr>
        <w:t xml:space="preserve">(7479), 1408. </w:t>
      </w:r>
      <w:r w:rsidRPr="00F36C9C">
        <w:rPr>
          <w:rFonts w:ascii="Roboto" w:hAnsi="Roboto"/>
          <w:color w:val="525254"/>
          <w:szCs w:val="21"/>
        </w:rPr>
        <w:t>DOI:</w:t>
      </w:r>
      <w:hyperlink r:id="rId21" w:tgtFrame="_blank" w:history="1">
        <w:r w:rsidRPr="00F36C9C">
          <w:rPr>
            <w:rStyle w:val="Hyperlink"/>
            <w:rFonts w:ascii="inherit" w:hAnsi="inherit"/>
            <w:szCs w:val="21"/>
            <w:bdr w:val="none" w:sz="0" w:space="0" w:color="auto" w:frame="1"/>
          </w:rPr>
          <w:t>10.1136/bmj.329.7479.1408</w:t>
        </w:r>
      </w:hyperlink>
    </w:p>
    <w:p w14:paraId="0AEFAF1E"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Edeoga</w:t>
      </w:r>
      <w:proofErr w:type="spellEnd"/>
      <w:r w:rsidRPr="00F36C9C">
        <w:rPr>
          <w:rFonts w:ascii="Arial" w:hAnsi="Arial" w:cs="Arial"/>
          <w:sz w:val="20"/>
          <w:szCs w:val="20"/>
        </w:rPr>
        <w:t xml:space="preserve">, H. O., Okwu, D. E., &amp; </w:t>
      </w:r>
      <w:proofErr w:type="spellStart"/>
      <w:r w:rsidRPr="00F36C9C">
        <w:rPr>
          <w:rFonts w:ascii="Arial" w:hAnsi="Arial" w:cs="Arial"/>
          <w:sz w:val="20"/>
          <w:szCs w:val="20"/>
        </w:rPr>
        <w:t>Mbaebie</w:t>
      </w:r>
      <w:proofErr w:type="spellEnd"/>
      <w:r w:rsidRPr="00F36C9C">
        <w:rPr>
          <w:rFonts w:ascii="Arial" w:hAnsi="Arial" w:cs="Arial"/>
          <w:sz w:val="20"/>
          <w:szCs w:val="20"/>
        </w:rPr>
        <w:t xml:space="preserve">, B. O. (2005). Phytochemical constituents of some Nigerian medicinal plants. </w:t>
      </w:r>
      <w:r w:rsidRPr="00F36C9C">
        <w:rPr>
          <w:rFonts w:ascii="Arial" w:hAnsi="Arial" w:cs="Arial"/>
          <w:i/>
          <w:iCs/>
          <w:sz w:val="20"/>
          <w:szCs w:val="20"/>
        </w:rPr>
        <w:t>African Journal of Biotechnology, 4</w:t>
      </w:r>
      <w:r w:rsidRPr="00F36C9C">
        <w:rPr>
          <w:rFonts w:ascii="Arial" w:hAnsi="Arial" w:cs="Arial"/>
          <w:sz w:val="20"/>
          <w:szCs w:val="20"/>
        </w:rPr>
        <w:t>(7), 685–688.</w:t>
      </w:r>
    </w:p>
    <w:p w14:paraId="663B1610"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bookmarkStart w:id="21" w:name="_Hlk233644568"/>
      <w:proofErr w:type="spellStart"/>
      <w:r w:rsidRPr="00F36C9C">
        <w:rPr>
          <w:rFonts w:ascii="Arial" w:hAnsi="Arial" w:cs="Arial"/>
          <w:sz w:val="20"/>
          <w:szCs w:val="20"/>
        </w:rPr>
        <w:t>Rangari</w:t>
      </w:r>
      <w:bookmarkEnd w:id="21"/>
      <w:proofErr w:type="spellEnd"/>
      <w:r w:rsidRPr="00F36C9C">
        <w:rPr>
          <w:rFonts w:ascii="Arial" w:hAnsi="Arial" w:cs="Arial"/>
          <w:sz w:val="20"/>
          <w:szCs w:val="20"/>
        </w:rPr>
        <w:t xml:space="preserve">, V. D. (2012). </w:t>
      </w:r>
      <w:r w:rsidRPr="00F36C9C">
        <w:rPr>
          <w:rFonts w:ascii="Arial" w:hAnsi="Arial" w:cs="Arial"/>
          <w:i/>
          <w:iCs/>
          <w:sz w:val="20"/>
          <w:szCs w:val="20"/>
        </w:rPr>
        <w:t>Pharmacognosy and phytochemistry</w:t>
      </w:r>
      <w:r w:rsidRPr="00F36C9C">
        <w:rPr>
          <w:rFonts w:ascii="Arial" w:hAnsi="Arial" w:cs="Arial"/>
          <w:sz w:val="20"/>
          <w:szCs w:val="20"/>
        </w:rPr>
        <w:t xml:space="preserve"> (Vol. 1, 3rd ed.). Career Publications.</w:t>
      </w:r>
    </w:p>
    <w:p w14:paraId="79E96C61" w14:textId="35766074" w:rsidR="00583086" w:rsidRPr="00F36C9C" w:rsidRDefault="00583086" w:rsidP="000955F6">
      <w:pPr>
        <w:pStyle w:val="ListParagraph"/>
        <w:numPr>
          <w:ilvl w:val="0"/>
          <w:numId w:val="20"/>
        </w:numPr>
        <w:spacing w:after="160" w:line="259" w:lineRule="auto"/>
        <w:contextualSpacing/>
        <w:jc w:val="both"/>
        <w:rPr>
          <w:rFonts w:ascii="Arial" w:hAnsi="Arial" w:cs="Arial"/>
          <w:sz w:val="20"/>
          <w:szCs w:val="20"/>
        </w:rPr>
      </w:pPr>
      <w:bookmarkStart w:id="22" w:name="_Hlk233649009"/>
      <w:r w:rsidRPr="00F36C9C">
        <w:rPr>
          <w:rFonts w:ascii="Arial" w:hAnsi="Arial" w:cs="Arial"/>
          <w:sz w:val="20"/>
          <w:szCs w:val="20"/>
        </w:rPr>
        <w:t>Akpan</w:t>
      </w:r>
      <w:bookmarkEnd w:id="22"/>
      <w:r w:rsidRPr="00F36C9C">
        <w:rPr>
          <w:rFonts w:ascii="Arial" w:hAnsi="Arial" w:cs="Arial"/>
          <w:sz w:val="20"/>
          <w:szCs w:val="20"/>
        </w:rPr>
        <w:t xml:space="preserve">, I. O., Achugasim, O., Eruteya, O. C., &amp; </w:t>
      </w:r>
      <w:proofErr w:type="spellStart"/>
      <w:r w:rsidRPr="00F36C9C">
        <w:rPr>
          <w:rFonts w:ascii="Arial" w:hAnsi="Arial" w:cs="Arial"/>
          <w:sz w:val="20"/>
          <w:szCs w:val="20"/>
        </w:rPr>
        <w:t>Ogali</w:t>
      </w:r>
      <w:proofErr w:type="spellEnd"/>
      <w:r w:rsidRPr="00F36C9C">
        <w:rPr>
          <w:rFonts w:ascii="Arial" w:hAnsi="Arial" w:cs="Arial"/>
          <w:sz w:val="20"/>
          <w:szCs w:val="20"/>
        </w:rPr>
        <w:t xml:space="preserve">, R. E. (2021). Biochemical profiling of leaf, stem bark and root of </w:t>
      </w:r>
      <w:proofErr w:type="spellStart"/>
      <w:r w:rsidRPr="00F36C9C">
        <w:rPr>
          <w:rStyle w:val="Emphasis"/>
          <w:rFonts w:ascii="Arial" w:hAnsi="Arial" w:cs="Arial"/>
          <w:sz w:val="20"/>
          <w:szCs w:val="20"/>
        </w:rPr>
        <w:t>Enantia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chlorantha</w:t>
      </w:r>
      <w:proofErr w:type="spellEnd"/>
      <w:r w:rsidRPr="00F36C9C">
        <w:rPr>
          <w:rFonts w:ascii="Arial" w:hAnsi="Arial" w:cs="Arial"/>
          <w:sz w:val="20"/>
          <w:szCs w:val="20"/>
        </w:rPr>
        <w:t xml:space="preserve"> native to Akwa Ibom, Nigeria: A comparative analysis. </w:t>
      </w:r>
      <w:r w:rsidRPr="00F36C9C">
        <w:rPr>
          <w:rStyle w:val="Emphasis"/>
          <w:rFonts w:ascii="Arial" w:hAnsi="Arial" w:cs="Arial"/>
          <w:sz w:val="20"/>
          <w:szCs w:val="20"/>
        </w:rPr>
        <w:t>Chemistry International, 7</w:t>
      </w:r>
      <w:r w:rsidRPr="00F36C9C">
        <w:rPr>
          <w:rFonts w:ascii="Arial" w:hAnsi="Arial" w:cs="Arial"/>
          <w:sz w:val="20"/>
          <w:szCs w:val="20"/>
        </w:rPr>
        <w:t xml:space="preserve">(2), 145–154. </w:t>
      </w:r>
      <w:hyperlink r:id="rId22" w:history="1">
        <w:r w:rsidRPr="00F36C9C">
          <w:rPr>
            <w:rStyle w:val="Hyperlink"/>
            <w:rFonts w:ascii="Arial" w:hAnsi="Arial" w:cs="Arial"/>
            <w:sz w:val="20"/>
            <w:szCs w:val="20"/>
          </w:rPr>
          <w:t>https://doi.org/10.5281/zenodo.4572671</w:t>
        </w:r>
      </w:hyperlink>
    </w:p>
    <w:p w14:paraId="6ECA347C" w14:textId="199FB5E5"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Albinu</w:t>
      </w:r>
      <w:proofErr w:type="spellEnd"/>
      <w:r w:rsidRPr="00F36C9C">
        <w:rPr>
          <w:rFonts w:ascii="Arial" w:hAnsi="Arial" w:cs="Arial"/>
          <w:sz w:val="20"/>
          <w:szCs w:val="20"/>
        </w:rPr>
        <w:t xml:space="preserve">, I. E., </w:t>
      </w:r>
      <w:proofErr w:type="spellStart"/>
      <w:r w:rsidRPr="00F36C9C">
        <w:rPr>
          <w:rFonts w:ascii="Arial" w:hAnsi="Arial" w:cs="Arial"/>
          <w:sz w:val="20"/>
          <w:szCs w:val="20"/>
        </w:rPr>
        <w:t>Ohaegbulam</w:t>
      </w:r>
      <w:proofErr w:type="spellEnd"/>
      <w:r w:rsidRPr="00F36C9C">
        <w:rPr>
          <w:rFonts w:ascii="Arial" w:hAnsi="Arial" w:cs="Arial"/>
          <w:sz w:val="20"/>
          <w:szCs w:val="20"/>
        </w:rPr>
        <w:t xml:space="preserve">, V. C., </w:t>
      </w:r>
      <w:proofErr w:type="spellStart"/>
      <w:r w:rsidRPr="00F36C9C">
        <w:rPr>
          <w:rFonts w:ascii="Arial" w:hAnsi="Arial" w:cs="Arial"/>
          <w:sz w:val="20"/>
          <w:szCs w:val="20"/>
        </w:rPr>
        <w:t>Adenipekun</w:t>
      </w:r>
      <w:proofErr w:type="spellEnd"/>
      <w:r w:rsidRPr="00F36C9C">
        <w:rPr>
          <w:rFonts w:ascii="Arial" w:hAnsi="Arial" w:cs="Arial"/>
          <w:sz w:val="20"/>
          <w:szCs w:val="20"/>
        </w:rPr>
        <w:t xml:space="preserve">, E. A., Ogunsola, F. T., </w:t>
      </w:r>
      <w:proofErr w:type="spellStart"/>
      <w:r w:rsidRPr="00F36C9C">
        <w:rPr>
          <w:rFonts w:ascii="Arial" w:hAnsi="Arial" w:cs="Arial"/>
          <w:sz w:val="20"/>
          <w:szCs w:val="20"/>
        </w:rPr>
        <w:t>Odugbemi</w:t>
      </w:r>
      <w:proofErr w:type="spellEnd"/>
      <w:r w:rsidRPr="00F36C9C">
        <w:rPr>
          <w:rFonts w:ascii="Arial" w:hAnsi="Arial" w:cs="Arial"/>
          <w:sz w:val="20"/>
          <w:szCs w:val="20"/>
        </w:rPr>
        <w:t xml:space="preserve">, T. O., &amp; Mee, B. J. (2003). Extended-spectrum beta-lactamase enzymes in clinical isolates of </w:t>
      </w:r>
      <w:r w:rsidRPr="00F36C9C">
        <w:rPr>
          <w:rFonts w:ascii="Arial" w:hAnsi="Arial" w:cs="Arial"/>
          <w:i/>
          <w:iCs/>
          <w:sz w:val="20"/>
          <w:szCs w:val="20"/>
        </w:rPr>
        <w:t>Enterobacter</w:t>
      </w:r>
      <w:r w:rsidRPr="00F36C9C">
        <w:rPr>
          <w:rFonts w:ascii="Arial" w:hAnsi="Arial" w:cs="Arial"/>
          <w:sz w:val="20"/>
          <w:szCs w:val="20"/>
        </w:rPr>
        <w:t xml:space="preserve"> species from Lagos, Nigeria. </w:t>
      </w:r>
      <w:r w:rsidRPr="00F36C9C">
        <w:rPr>
          <w:rFonts w:ascii="Arial" w:hAnsi="Arial" w:cs="Arial"/>
          <w:i/>
          <w:iCs/>
          <w:sz w:val="20"/>
          <w:szCs w:val="20"/>
        </w:rPr>
        <w:t>Journal of Clinical Microbiology, 41</w:t>
      </w:r>
      <w:r w:rsidRPr="00F36C9C">
        <w:rPr>
          <w:rFonts w:ascii="Arial" w:hAnsi="Arial" w:cs="Arial"/>
          <w:sz w:val="20"/>
          <w:szCs w:val="20"/>
        </w:rPr>
        <w:t>(5), 2197–2200.</w:t>
      </w:r>
    </w:p>
    <w:p w14:paraId="601B3444" w14:textId="0AE11FE1" w:rsidR="00735026" w:rsidRPr="00F36C9C" w:rsidRDefault="00735026" w:rsidP="00735026">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Albinu</w:t>
      </w:r>
      <w:proofErr w:type="spellEnd"/>
      <w:r w:rsidRPr="00F36C9C">
        <w:rPr>
          <w:rFonts w:ascii="Arial" w:hAnsi="Arial" w:cs="Arial"/>
          <w:sz w:val="20"/>
          <w:szCs w:val="20"/>
        </w:rPr>
        <w:t xml:space="preserve">, I. E., </w:t>
      </w:r>
      <w:proofErr w:type="spellStart"/>
      <w:r w:rsidRPr="00F36C9C">
        <w:rPr>
          <w:rFonts w:ascii="Arial" w:hAnsi="Arial" w:cs="Arial"/>
          <w:sz w:val="20"/>
          <w:szCs w:val="20"/>
        </w:rPr>
        <w:t>Adenipekun</w:t>
      </w:r>
      <w:proofErr w:type="spellEnd"/>
      <w:r w:rsidRPr="00F36C9C">
        <w:rPr>
          <w:rFonts w:ascii="Arial" w:hAnsi="Arial" w:cs="Arial"/>
          <w:sz w:val="20"/>
          <w:szCs w:val="20"/>
        </w:rPr>
        <w:t xml:space="preserve">, E., &amp; </w:t>
      </w:r>
      <w:proofErr w:type="spellStart"/>
      <w:r w:rsidRPr="00F36C9C">
        <w:rPr>
          <w:rFonts w:ascii="Arial" w:hAnsi="Arial" w:cs="Arial"/>
          <w:sz w:val="20"/>
          <w:szCs w:val="20"/>
        </w:rPr>
        <w:t>Odugbemi</w:t>
      </w:r>
      <w:proofErr w:type="spellEnd"/>
      <w:r w:rsidRPr="00F36C9C">
        <w:rPr>
          <w:rFonts w:ascii="Arial" w:hAnsi="Arial" w:cs="Arial"/>
          <w:sz w:val="20"/>
          <w:szCs w:val="20"/>
        </w:rPr>
        <w:t xml:space="preserve">, T. (2004). Emergence of quinolone resistance amongst </w:t>
      </w:r>
      <w:r w:rsidRPr="00F36C9C">
        <w:rPr>
          <w:rFonts w:ascii="Arial" w:hAnsi="Arial" w:cs="Arial"/>
          <w:i/>
          <w:iCs/>
          <w:sz w:val="20"/>
          <w:szCs w:val="20"/>
        </w:rPr>
        <w:t>Escherichia coli</w:t>
      </w:r>
      <w:r w:rsidRPr="00F36C9C">
        <w:rPr>
          <w:rFonts w:ascii="Arial" w:hAnsi="Arial" w:cs="Arial"/>
          <w:sz w:val="20"/>
          <w:szCs w:val="20"/>
        </w:rPr>
        <w:t xml:space="preserve"> strains isolated from clinical infections in some Lagos State hospitals in Nigeria. </w:t>
      </w:r>
      <w:r w:rsidRPr="00F36C9C">
        <w:rPr>
          <w:rFonts w:ascii="Arial" w:hAnsi="Arial" w:cs="Arial"/>
          <w:i/>
          <w:iCs/>
          <w:sz w:val="20"/>
          <w:szCs w:val="20"/>
        </w:rPr>
        <w:t>Nigerian Journal of Health and Biomedical Sciences, 3</w:t>
      </w:r>
      <w:r w:rsidRPr="00F36C9C">
        <w:rPr>
          <w:rFonts w:ascii="Arial" w:hAnsi="Arial" w:cs="Arial"/>
          <w:sz w:val="20"/>
          <w:szCs w:val="20"/>
        </w:rPr>
        <w:t>(2), 73–78.</w:t>
      </w:r>
    </w:p>
    <w:p w14:paraId="3E6146B0"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Williams, R. (2000). Antimicrobial resistance: A global threat. </w:t>
      </w:r>
      <w:r w:rsidRPr="00F36C9C">
        <w:rPr>
          <w:rStyle w:val="Emphasis"/>
          <w:rFonts w:ascii="Arial" w:hAnsi="Arial" w:cs="Arial"/>
          <w:sz w:val="20"/>
          <w:szCs w:val="20"/>
        </w:rPr>
        <w:t>Essential Drug Monitor</w:t>
      </w:r>
      <w:r w:rsidRPr="00F36C9C">
        <w:rPr>
          <w:rFonts w:ascii="Arial" w:hAnsi="Arial" w:cs="Arial"/>
          <w:sz w:val="20"/>
          <w:szCs w:val="20"/>
        </w:rPr>
        <w:t xml:space="preserve">, </w:t>
      </w:r>
      <w:r w:rsidRPr="00F36C9C">
        <w:rPr>
          <w:rStyle w:val="Emphasis"/>
          <w:rFonts w:ascii="Arial" w:hAnsi="Arial" w:cs="Arial"/>
          <w:sz w:val="20"/>
          <w:szCs w:val="20"/>
        </w:rPr>
        <w:t>1</w:t>
      </w:r>
      <w:r w:rsidRPr="00F36C9C">
        <w:rPr>
          <w:rFonts w:ascii="Arial" w:hAnsi="Arial" w:cs="Arial"/>
          <w:sz w:val="20"/>
          <w:szCs w:val="20"/>
        </w:rPr>
        <w:t>, 28–29.</w:t>
      </w:r>
    </w:p>
    <w:p w14:paraId="4C062B14"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World Health Organization. (2001). </w:t>
      </w:r>
      <w:r w:rsidRPr="00F36C9C">
        <w:rPr>
          <w:rStyle w:val="Emphasis"/>
          <w:rFonts w:ascii="Arial" w:hAnsi="Arial" w:cs="Arial"/>
          <w:sz w:val="20"/>
          <w:szCs w:val="20"/>
        </w:rPr>
        <w:t>Traditional medicine strategy</w:t>
      </w:r>
      <w:r w:rsidRPr="00F36C9C">
        <w:rPr>
          <w:rFonts w:ascii="Arial" w:hAnsi="Arial" w:cs="Arial"/>
          <w:sz w:val="20"/>
          <w:szCs w:val="20"/>
        </w:rPr>
        <w:t xml:space="preserve"> (Fact Sheet No. 134). World Health Organization.</w:t>
      </w:r>
    </w:p>
    <w:p w14:paraId="23AF691F"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World Health Organization. (2020). </w:t>
      </w:r>
      <w:r w:rsidRPr="00F36C9C">
        <w:rPr>
          <w:rStyle w:val="Emphasis"/>
          <w:rFonts w:ascii="Arial" w:hAnsi="Arial" w:cs="Arial"/>
          <w:sz w:val="20"/>
          <w:szCs w:val="20"/>
        </w:rPr>
        <w:t>Antimicrobial resistance: Global report on surveillance</w:t>
      </w:r>
      <w:r w:rsidRPr="00F36C9C">
        <w:rPr>
          <w:rFonts w:ascii="Arial" w:hAnsi="Arial" w:cs="Arial"/>
          <w:sz w:val="20"/>
          <w:szCs w:val="20"/>
        </w:rPr>
        <w:t>. World Health Organization.</w:t>
      </w:r>
    </w:p>
    <w:p w14:paraId="4D120393"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Longe, J. L. (2005). </w:t>
      </w:r>
      <w:r w:rsidRPr="00F36C9C">
        <w:rPr>
          <w:rFonts w:ascii="Arial" w:hAnsi="Arial" w:cs="Arial"/>
          <w:i/>
          <w:iCs/>
          <w:sz w:val="20"/>
          <w:szCs w:val="20"/>
        </w:rPr>
        <w:t>The Gale encyclopedia of alternative medicine</w:t>
      </w:r>
      <w:r w:rsidRPr="00F36C9C">
        <w:rPr>
          <w:rFonts w:ascii="Arial" w:hAnsi="Arial" w:cs="Arial"/>
          <w:sz w:val="20"/>
          <w:szCs w:val="20"/>
        </w:rPr>
        <w:t>. Thomson/Gale.</w:t>
      </w:r>
    </w:p>
    <w:p w14:paraId="3077B4B7"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Trevisan, S. C., Menezes, A. P. P., Barbalho, S. M., &amp; </w:t>
      </w:r>
      <w:proofErr w:type="spellStart"/>
      <w:r w:rsidRPr="00F36C9C">
        <w:rPr>
          <w:rFonts w:ascii="Arial" w:hAnsi="Arial" w:cs="Arial"/>
          <w:sz w:val="20"/>
          <w:szCs w:val="20"/>
        </w:rPr>
        <w:t>Guiguer</w:t>
      </w:r>
      <w:proofErr w:type="spellEnd"/>
      <w:r w:rsidRPr="00F36C9C">
        <w:rPr>
          <w:rFonts w:ascii="Arial" w:hAnsi="Arial" w:cs="Arial"/>
          <w:sz w:val="20"/>
          <w:szCs w:val="20"/>
        </w:rPr>
        <w:t xml:space="preserve">, É. L. (2017). Properties of </w:t>
      </w:r>
      <w:r w:rsidRPr="00F36C9C">
        <w:rPr>
          <w:rStyle w:val="Emphasis"/>
          <w:rFonts w:ascii="Arial" w:hAnsi="Arial" w:cs="Arial"/>
          <w:sz w:val="20"/>
          <w:szCs w:val="20"/>
        </w:rPr>
        <w:t>Mentha piperita</w:t>
      </w:r>
      <w:r w:rsidRPr="00F36C9C">
        <w:rPr>
          <w:rFonts w:ascii="Arial" w:hAnsi="Arial" w:cs="Arial"/>
          <w:sz w:val="20"/>
          <w:szCs w:val="20"/>
        </w:rPr>
        <w:t xml:space="preserve">: A brief review. </w:t>
      </w:r>
      <w:r w:rsidRPr="00F36C9C">
        <w:rPr>
          <w:rStyle w:val="Emphasis"/>
          <w:rFonts w:ascii="Arial" w:hAnsi="Arial" w:cs="Arial"/>
          <w:sz w:val="20"/>
          <w:szCs w:val="20"/>
        </w:rPr>
        <w:t>World Journal of Pharmaceutical and Medical Research, 3</w:t>
      </w:r>
      <w:r w:rsidRPr="00F36C9C">
        <w:rPr>
          <w:rFonts w:ascii="Arial" w:hAnsi="Arial" w:cs="Arial"/>
          <w:sz w:val="20"/>
          <w:szCs w:val="20"/>
        </w:rPr>
        <w:t>(1), 309–313.</w:t>
      </w:r>
    </w:p>
    <w:p w14:paraId="29A64400"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United Nations Environment </w:t>
      </w:r>
      <w:proofErr w:type="spellStart"/>
      <w:r w:rsidRPr="00F36C9C">
        <w:rPr>
          <w:rFonts w:ascii="Arial" w:hAnsi="Arial" w:cs="Arial"/>
          <w:sz w:val="20"/>
          <w:szCs w:val="20"/>
        </w:rPr>
        <w:t>Programme</w:t>
      </w:r>
      <w:proofErr w:type="spellEnd"/>
      <w:r w:rsidRPr="00F36C9C">
        <w:rPr>
          <w:rFonts w:ascii="Arial" w:hAnsi="Arial" w:cs="Arial"/>
          <w:sz w:val="20"/>
          <w:szCs w:val="20"/>
        </w:rPr>
        <w:t xml:space="preserve">. (2021). </w:t>
      </w:r>
      <w:r w:rsidRPr="00F36C9C">
        <w:rPr>
          <w:rStyle w:val="Emphasis"/>
          <w:rFonts w:ascii="Arial" w:hAnsi="Arial" w:cs="Arial"/>
          <w:sz w:val="20"/>
          <w:szCs w:val="20"/>
        </w:rPr>
        <w:t>Pollution and health</w:t>
      </w:r>
      <w:r w:rsidRPr="00F36C9C">
        <w:rPr>
          <w:rFonts w:ascii="Arial" w:hAnsi="Arial" w:cs="Arial"/>
          <w:sz w:val="20"/>
          <w:szCs w:val="20"/>
        </w:rPr>
        <w:t>. UNEP.</w:t>
      </w:r>
    </w:p>
    <w:p w14:paraId="06CD42C8"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United Nations. (2015). </w:t>
      </w:r>
      <w:r w:rsidRPr="00F36C9C">
        <w:rPr>
          <w:rStyle w:val="Emphasis"/>
          <w:rFonts w:ascii="Arial" w:hAnsi="Arial" w:cs="Arial"/>
          <w:sz w:val="20"/>
          <w:szCs w:val="20"/>
        </w:rPr>
        <w:t>Transforming our world: The 2030 agenda for sustainable development</w:t>
      </w:r>
      <w:r w:rsidRPr="00F36C9C">
        <w:rPr>
          <w:rFonts w:ascii="Arial" w:hAnsi="Arial" w:cs="Arial"/>
          <w:sz w:val="20"/>
          <w:szCs w:val="20"/>
        </w:rPr>
        <w:t>. United Nations.</w:t>
      </w:r>
    </w:p>
    <w:p w14:paraId="6DEBF8CC" w14:textId="77777777" w:rsidR="00583086" w:rsidRPr="00F36C9C" w:rsidRDefault="00583086" w:rsidP="0058308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United Nations Educational, Scientific and Cultural Organization. (2021). </w:t>
      </w:r>
      <w:r w:rsidRPr="00F36C9C">
        <w:rPr>
          <w:rStyle w:val="Emphasis"/>
          <w:rFonts w:ascii="Arial" w:hAnsi="Arial" w:cs="Arial"/>
          <w:sz w:val="20"/>
          <w:szCs w:val="20"/>
        </w:rPr>
        <w:t>Biodiversity conservation</w:t>
      </w:r>
      <w:r w:rsidRPr="00F36C9C">
        <w:rPr>
          <w:rFonts w:ascii="Arial" w:hAnsi="Arial" w:cs="Arial"/>
          <w:sz w:val="20"/>
          <w:szCs w:val="20"/>
        </w:rPr>
        <w:t>. UNESCO.</w:t>
      </w:r>
    </w:p>
    <w:p w14:paraId="151F779F" w14:textId="77777777" w:rsidR="00443675" w:rsidRPr="00F36C9C" w:rsidRDefault="00443675" w:rsidP="00443675">
      <w:pPr>
        <w:pStyle w:val="ListParagraph"/>
        <w:numPr>
          <w:ilvl w:val="0"/>
          <w:numId w:val="20"/>
        </w:numPr>
        <w:spacing w:after="200" w:line="240" w:lineRule="auto"/>
        <w:contextualSpacing/>
        <w:jc w:val="both"/>
        <w:rPr>
          <w:rFonts w:ascii="Arial" w:hAnsi="Arial" w:cs="Arial"/>
          <w:sz w:val="20"/>
          <w:szCs w:val="20"/>
        </w:rPr>
      </w:pPr>
      <w:r w:rsidRPr="00F36C9C">
        <w:rPr>
          <w:rFonts w:ascii="Arial" w:hAnsi="Arial" w:cs="Arial"/>
          <w:sz w:val="20"/>
          <w:szCs w:val="20"/>
        </w:rPr>
        <w:lastRenderedPageBreak/>
        <w:t xml:space="preserve">Gupta, V. K. (2012): Comprehensive Bioactive Natural Products: Efficacy, safety &amp; clinical evaluation II. Studium Press, LLC Texas, USA. Pp 124-148. </w:t>
      </w:r>
      <w:hyperlink r:id="rId23" w:history="1">
        <w:r w:rsidRPr="00F36C9C">
          <w:rPr>
            <w:rStyle w:val="Hyperlink"/>
            <w:rFonts w:ascii="Arial" w:hAnsi="Arial" w:cs="Arial"/>
            <w:sz w:val="20"/>
            <w:szCs w:val="20"/>
          </w:rPr>
          <w:t>https://www.amazon.com/-/he/GUPTA-V-K/dp/1933699523</w:t>
        </w:r>
      </w:hyperlink>
      <w:r w:rsidRPr="00F36C9C">
        <w:rPr>
          <w:rFonts w:ascii="Arial" w:hAnsi="Arial" w:cs="Arial"/>
          <w:sz w:val="20"/>
          <w:szCs w:val="20"/>
        </w:rPr>
        <w:t xml:space="preserve">. </w:t>
      </w:r>
    </w:p>
    <w:p w14:paraId="5CC6D26B" w14:textId="77777777" w:rsidR="00A01860" w:rsidRPr="00F36C9C" w:rsidRDefault="00A01860" w:rsidP="00A01860">
      <w:pPr>
        <w:pStyle w:val="ListParagraph"/>
        <w:numPr>
          <w:ilvl w:val="0"/>
          <w:numId w:val="20"/>
        </w:numPr>
        <w:spacing w:after="200"/>
        <w:contextualSpacing/>
        <w:jc w:val="both"/>
        <w:rPr>
          <w:rFonts w:ascii="Arial" w:hAnsi="Arial" w:cs="Arial"/>
          <w:sz w:val="20"/>
          <w:szCs w:val="20"/>
        </w:rPr>
      </w:pPr>
      <w:r w:rsidRPr="00F36C9C">
        <w:rPr>
          <w:rFonts w:ascii="Arial" w:hAnsi="Arial" w:cs="Arial"/>
          <w:sz w:val="20"/>
          <w:szCs w:val="20"/>
        </w:rPr>
        <w:t xml:space="preserve">Mohamed, I. E., Khalid, H. E., Mohamed, S. A., Osman, E. E., Koko, W. S., Taha, K. K., Dahab, M. M., Abdullahh, N. R.B., &amp; Ismail, Z. B. (2014). Anti- malarial activity of some medicinal Sudanese plants. </w:t>
      </w:r>
      <w:r w:rsidRPr="00F36C9C">
        <w:rPr>
          <w:rFonts w:ascii="Arial" w:hAnsi="Arial" w:cs="Arial"/>
          <w:i/>
          <w:sz w:val="20"/>
          <w:szCs w:val="20"/>
        </w:rPr>
        <w:t>Journal of Forest Products &amp; Industries</w:t>
      </w:r>
      <w:r w:rsidRPr="00F36C9C">
        <w:rPr>
          <w:rFonts w:ascii="Arial" w:hAnsi="Arial" w:cs="Arial"/>
          <w:sz w:val="20"/>
          <w:szCs w:val="20"/>
        </w:rPr>
        <w:t xml:space="preserve">, 3(6). </w:t>
      </w:r>
      <w:hyperlink r:id="rId24" w:history="1">
        <w:r w:rsidRPr="00F36C9C">
          <w:rPr>
            <w:rStyle w:val="Hyperlink"/>
            <w:rFonts w:ascii="Arial" w:hAnsi="Arial" w:cs="Arial"/>
            <w:sz w:val="20"/>
            <w:szCs w:val="20"/>
          </w:rPr>
          <w:t>https://www.researchgate.net/publication/269100708</w:t>
        </w:r>
      </w:hyperlink>
      <w:r w:rsidRPr="00F36C9C">
        <w:rPr>
          <w:rFonts w:ascii="Arial" w:hAnsi="Arial" w:cs="Arial"/>
          <w:sz w:val="20"/>
          <w:szCs w:val="20"/>
        </w:rPr>
        <w:t xml:space="preserve">. </w:t>
      </w:r>
      <w:bookmarkStart w:id="23" w:name="_GoBack"/>
      <w:bookmarkEnd w:id="23"/>
    </w:p>
    <w:p w14:paraId="2207227E" w14:textId="77777777" w:rsidR="00FB3C65" w:rsidRPr="00F36C9C" w:rsidRDefault="00895405" w:rsidP="00FB3C65">
      <w:pPr>
        <w:pStyle w:val="ListParagraph"/>
        <w:numPr>
          <w:ilvl w:val="0"/>
          <w:numId w:val="20"/>
        </w:numPr>
        <w:spacing w:after="160" w:line="259" w:lineRule="auto"/>
        <w:contextualSpacing/>
        <w:jc w:val="both"/>
        <w:rPr>
          <w:rFonts w:ascii="Arial" w:hAnsi="Arial" w:cs="Arial"/>
          <w:sz w:val="20"/>
          <w:szCs w:val="20"/>
        </w:rPr>
      </w:pPr>
      <w:bookmarkStart w:id="24" w:name="_Hlk233644193"/>
      <w:proofErr w:type="spellStart"/>
      <w:r w:rsidRPr="00F36C9C">
        <w:rPr>
          <w:rFonts w:ascii="Arial" w:hAnsi="Arial" w:cs="Arial"/>
          <w:sz w:val="20"/>
          <w:szCs w:val="20"/>
        </w:rPr>
        <w:t>Uwanta</w:t>
      </w:r>
      <w:proofErr w:type="spellEnd"/>
      <w:r w:rsidRPr="00F36C9C">
        <w:rPr>
          <w:rFonts w:ascii="Arial" w:hAnsi="Arial" w:cs="Arial"/>
          <w:sz w:val="20"/>
          <w:szCs w:val="20"/>
        </w:rPr>
        <w:t>, E., &amp; Akpan</w:t>
      </w:r>
      <w:bookmarkEnd w:id="24"/>
      <w:r w:rsidRPr="00F36C9C">
        <w:rPr>
          <w:rFonts w:ascii="Arial" w:hAnsi="Arial" w:cs="Arial"/>
          <w:sz w:val="20"/>
          <w:szCs w:val="20"/>
        </w:rPr>
        <w:t xml:space="preserve">, I. O. (2024). Phytochemical screening and antimicrobial evaluation of ethanol extract of </w:t>
      </w:r>
      <w:r w:rsidRPr="00F36C9C">
        <w:rPr>
          <w:rStyle w:val="Emphasis"/>
          <w:rFonts w:ascii="Arial" w:hAnsi="Arial" w:cs="Arial"/>
          <w:sz w:val="20"/>
          <w:szCs w:val="20"/>
        </w:rPr>
        <w:t xml:space="preserve">Cola </w:t>
      </w:r>
      <w:proofErr w:type="spellStart"/>
      <w:r w:rsidRPr="00F36C9C">
        <w:rPr>
          <w:rStyle w:val="Emphasis"/>
          <w:rFonts w:ascii="Arial" w:hAnsi="Arial" w:cs="Arial"/>
          <w:sz w:val="20"/>
          <w:szCs w:val="20"/>
        </w:rPr>
        <w:t>lepidota</w:t>
      </w:r>
      <w:proofErr w:type="spellEnd"/>
      <w:r w:rsidRPr="00F36C9C">
        <w:rPr>
          <w:rFonts w:ascii="Arial" w:hAnsi="Arial" w:cs="Arial"/>
          <w:sz w:val="20"/>
          <w:szCs w:val="20"/>
        </w:rPr>
        <w:t xml:space="preserve"> seeds. </w:t>
      </w:r>
      <w:r w:rsidRPr="00F36C9C">
        <w:rPr>
          <w:rStyle w:val="Emphasis"/>
          <w:rFonts w:ascii="Arial" w:hAnsi="Arial" w:cs="Arial"/>
          <w:sz w:val="20"/>
          <w:szCs w:val="20"/>
        </w:rPr>
        <w:t>Asian Journal of Research in Medicine and Medical Science, 6</w:t>
      </w:r>
      <w:r w:rsidRPr="00F36C9C">
        <w:rPr>
          <w:rFonts w:ascii="Arial" w:hAnsi="Arial" w:cs="Arial"/>
          <w:sz w:val="20"/>
          <w:szCs w:val="20"/>
        </w:rPr>
        <w:t>(1), 1–10.</w:t>
      </w:r>
    </w:p>
    <w:p w14:paraId="38A13E5C" w14:textId="77777777" w:rsidR="001667D9" w:rsidRPr="00F36C9C" w:rsidRDefault="001667D9" w:rsidP="001667D9">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Okeke, M. I., </w:t>
      </w:r>
      <w:proofErr w:type="spellStart"/>
      <w:r w:rsidRPr="00F36C9C">
        <w:rPr>
          <w:rFonts w:ascii="Arial" w:hAnsi="Arial" w:cs="Arial"/>
          <w:sz w:val="20"/>
          <w:szCs w:val="20"/>
        </w:rPr>
        <w:t>Iroegbu</w:t>
      </w:r>
      <w:proofErr w:type="spellEnd"/>
      <w:r w:rsidRPr="00F36C9C">
        <w:rPr>
          <w:rFonts w:ascii="Arial" w:hAnsi="Arial" w:cs="Arial"/>
          <w:sz w:val="20"/>
          <w:szCs w:val="20"/>
        </w:rPr>
        <w:t xml:space="preserve">, C. U., Eze, E. N., Okoli, A. S., &amp; </w:t>
      </w:r>
      <w:proofErr w:type="spellStart"/>
      <w:r w:rsidRPr="00F36C9C">
        <w:rPr>
          <w:rFonts w:ascii="Arial" w:hAnsi="Arial" w:cs="Arial"/>
          <w:sz w:val="20"/>
          <w:szCs w:val="20"/>
        </w:rPr>
        <w:t>Esimone</w:t>
      </w:r>
      <w:proofErr w:type="spellEnd"/>
      <w:r w:rsidRPr="00F36C9C">
        <w:rPr>
          <w:rFonts w:ascii="Arial" w:hAnsi="Arial" w:cs="Arial"/>
          <w:sz w:val="20"/>
          <w:szCs w:val="20"/>
        </w:rPr>
        <w:t xml:space="preserve">, C. O. (2001). Evaluation of extracts of the root of </w:t>
      </w:r>
      <w:proofErr w:type="spellStart"/>
      <w:r w:rsidRPr="00F36C9C">
        <w:rPr>
          <w:rFonts w:ascii="Arial" w:hAnsi="Arial" w:cs="Arial"/>
          <w:i/>
          <w:iCs/>
          <w:sz w:val="20"/>
          <w:szCs w:val="20"/>
        </w:rPr>
        <w:t>Landolphia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owerrience</w:t>
      </w:r>
      <w:proofErr w:type="spellEnd"/>
      <w:r w:rsidRPr="00F36C9C">
        <w:rPr>
          <w:rFonts w:ascii="Arial" w:hAnsi="Arial" w:cs="Arial"/>
          <w:sz w:val="20"/>
          <w:szCs w:val="20"/>
        </w:rPr>
        <w:t xml:space="preserve"> for antibacterial activity. </w:t>
      </w:r>
      <w:r w:rsidRPr="00F36C9C">
        <w:rPr>
          <w:rFonts w:ascii="Arial" w:hAnsi="Arial" w:cs="Arial"/>
          <w:i/>
          <w:iCs/>
          <w:sz w:val="20"/>
          <w:szCs w:val="20"/>
        </w:rPr>
        <w:t>Journal of Ethnopharmacology, 78</w:t>
      </w:r>
      <w:r w:rsidRPr="00F36C9C">
        <w:rPr>
          <w:rFonts w:ascii="Arial" w:hAnsi="Arial" w:cs="Arial"/>
          <w:sz w:val="20"/>
          <w:szCs w:val="20"/>
        </w:rPr>
        <w:t>(2–3), 119–127.</w:t>
      </w:r>
    </w:p>
    <w:p w14:paraId="5E2CDE81" w14:textId="2DDE44CE" w:rsidR="00FB3C65" w:rsidRPr="00F36C9C" w:rsidRDefault="00FB3C65" w:rsidP="00FB3C65">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Ekong, U. S., </w:t>
      </w:r>
      <w:proofErr w:type="spellStart"/>
      <w:r w:rsidRPr="00F36C9C">
        <w:rPr>
          <w:rFonts w:ascii="Arial" w:hAnsi="Arial" w:cs="Arial"/>
          <w:sz w:val="20"/>
          <w:szCs w:val="20"/>
        </w:rPr>
        <w:t>Mgbor</w:t>
      </w:r>
      <w:proofErr w:type="spellEnd"/>
      <w:r w:rsidRPr="00F36C9C">
        <w:rPr>
          <w:rFonts w:ascii="Arial" w:hAnsi="Arial" w:cs="Arial"/>
          <w:sz w:val="20"/>
          <w:szCs w:val="20"/>
        </w:rPr>
        <w:t xml:space="preserve">, N. C., Moneke, A. N., &amp; Obi, S. K. C. (2004).  Evaluation of the antimicrobial and some pharmacokinetic properties of an antibiotic substance produced by an environmental </w:t>
      </w:r>
      <w:r w:rsidRPr="00F36C9C">
        <w:rPr>
          <w:rFonts w:ascii="Arial" w:hAnsi="Arial" w:cs="Arial"/>
          <w:i/>
          <w:iCs/>
          <w:sz w:val="20"/>
          <w:szCs w:val="20"/>
        </w:rPr>
        <w:t xml:space="preserve">Aspergillus sp. </w:t>
      </w:r>
      <w:r w:rsidRPr="00F36C9C">
        <w:rPr>
          <w:rFonts w:ascii="Arial" w:hAnsi="Arial" w:cs="Arial"/>
          <w:sz w:val="20"/>
          <w:szCs w:val="20"/>
        </w:rPr>
        <w:t xml:space="preserve">SK2. </w:t>
      </w:r>
      <w:r w:rsidRPr="00F36C9C">
        <w:rPr>
          <w:rFonts w:ascii="Arial" w:hAnsi="Arial" w:cs="Arial"/>
          <w:i/>
          <w:sz w:val="20"/>
          <w:szCs w:val="20"/>
        </w:rPr>
        <w:t>Nigerian Journal of Microbiology</w:t>
      </w:r>
      <w:r w:rsidRPr="00F36C9C">
        <w:rPr>
          <w:rFonts w:ascii="Arial" w:hAnsi="Arial" w:cs="Arial"/>
          <w:sz w:val="20"/>
          <w:szCs w:val="20"/>
        </w:rPr>
        <w:t xml:space="preserve">.; 18(1-2):199-206. </w:t>
      </w:r>
    </w:p>
    <w:p w14:paraId="2DF3B97E" w14:textId="77777777" w:rsidR="00D36821" w:rsidRPr="00F36C9C" w:rsidRDefault="00D36821" w:rsidP="00D36821">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Chen, Y., Zhang, H., Wang, Y., Nie, H., &amp; Fan, S. (2020). Antifungal mechanisms of alkaloids. </w:t>
      </w:r>
      <w:r w:rsidRPr="00F36C9C">
        <w:rPr>
          <w:rStyle w:val="Emphasis"/>
          <w:rFonts w:ascii="Arial" w:hAnsi="Arial" w:cs="Arial"/>
          <w:sz w:val="20"/>
          <w:szCs w:val="20"/>
        </w:rPr>
        <w:t>International Journal of Molecular Sciences, 21</w:t>
      </w:r>
      <w:r w:rsidRPr="00F36C9C">
        <w:rPr>
          <w:rFonts w:ascii="Arial" w:hAnsi="Arial" w:cs="Arial"/>
          <w:sz w:val="20"/>
          <w:szCs w:val="20"/>
        </w:rPr>
        <w:t xml:space="preserve">(15), 5642. </w:t>
      </w:r>
      <w:hyperlink r:id="rId25" w:history="1">
        <w:r w:rsidRPr="00F36C9C">
          <w:rPr>
            <w:rStyle w:val="Hyperlink"/>
            <w:rFonts w:ascii="Arial" w:hAnsi="Arial" w:cs="Arial"/>
            <w:sz w:val="20"/>
            <w:szCs w:val="20"/>
          </w:rPr>
          <w:t>https://doi.org/10.3390/ijms21155642</w:t>
        </w:r>
      </w:hyperlink>
    </w:p>
    <w:p w14:paraId="63600AAC" w14:textId="77777777" w:rsidR="00125155" w:rsidRPr="00F36C9C" w:rsidRDefault="00125155" w:rsidP="00125155">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Li, D. D., Xu, Y., Zhang, D., Quan, H. Y., &amp; Tian, K. (2016). Antifungal activity of alkaloids against </w:t>
      </w:r>
      <w:r w:rsidRPr="00F36C9C">
        <w:rPr>
          <w:rStyle w:val="Emphasis"/>
          <w:rFonts w:ascii="Arial" w:hAnsi="Arial" w:cs="Arial"/>
          <w:sz w:val="20"/>
          <w:szCs w:val="20"/>
        </w:rPr>
        <w:t xml:space="preserve">Candida </w:t>
      </w:r>
      <w:proofErr w:type="spellStart"/>
      <w:r w:rsidRPr="00F36C9C">
        <w:rPr>
          <w:rStyle w:val="Emphasis"/>
          <w:rFonts w:ascii="Arial" w:hAnsi="Arial" w:cs="Arial"/>
          <w:sz w:val="20"/>
          <w:szCs w:val="20"/>
        </w:rPr>
        <w:t>albicans</w:t>
      </w:r>
      <w:proofErr w:type="spellEnd"/>
      <w:r w:rsidRPr="00F36C9C">
        <w:rPr>
          <w:rFonts w:ascii="Arial" w:hAnsi="Arial" w:cs="Arial"/>
          <w:sz w:val="20"/>
          <w:szCs w:val="20"/>
        </w:rPr>
        <w:t xml:space="preserve">: Identification of </w:t>
      </w:r>
      <w:proofErr w:type="spellStart"/>
      <w:r w:rsidRPr="00F36C9C">
        <w:rPr>
          <w:rFonts w:ascii="Arial" w:hAnsi="Arial" w:cs="Arial"/>
          <w:sz w:val="20"/>
          <w:szCs w:val="20"/>
        </w:rPr>
        <w:t>fangchinoline</w:t>
      </w:r>
      <w:proofErr w:type="spellEnd"/>
      <w:r w:rsidRPr="00F36C9C">
        <w:rPr>
          <w:rFonts w:ascii="Arial" w:hAnsi="Arial" w:cs="Arial"/>
          <w:sz w:val="20"/>
          <w:szCs w:val="20"/>
        </w:rPr>
        <w:t xml:space="preserve"> as a potent fungicide. </w:t>
      </w:r>
      <w:r w:rsidRPr="00F36C9C">
        <w:rPr>
          <w:rStyle w:val="Emphasis"/>
          <w:rFonts w:ascii="Arial" w:hAnsi="Arial" w:cs="Arial"/>
          <w:sz w:val="20"/>
          <w:szCs w:val="20"/>
        </w:rPr>
        <w:t>Journal of Microbiology, 54</w:t>
      </w:r>
      <w:r w:rsidRPr="00F36C9C">
        <w:rPr>
          <w:rFonts w:ascii="Arial" w:hAnsi="Arial" w:cs="Arial"/>
          <w:sz w:val="20"/>
          <w:szCs w:val="20"/>
        </w:rPr>
        <w:t xml:space="preserve">(9), 632–640. </w:t>
      </w:r>
      <w:hyperlink r:id="rId26" w:history="1">
        <w:r w:rsidRPr="00F36C9C">
          <w:rPr>
            <w:rStyle w:val="Hyperlink"/>
            <w:rFonts w:ascii="Arial" w:hAnsi="Arial" w:cs="Arial"/>
            <w:sz w:val="20"/>
            <w:szCs w:val="20"/>
          </w:rPr>
          <w:t>https://doi.org/10.1007/s12275-016-6223-2</w:t>
        </w:r>
      </w:hyperlink>
    </w:p>
    <w:p w14:paraId="1B76D01D" w14:textId="77777777" w:rsidR="00125155" w:rsidRPr="00F36C9C" w:rsidRDefault="00125155" w:rsidP="00125155">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Taylor, P. W., Hamilton-Miller, J. M. T., &amp; Stapleton, P. D. (2018). Antimicrobial properties of green tea catechins. </w:t>
      </w:r>
      <w:r w:rsidRPr="00F36C9C">
        <w:rPr>
          <w:rStyle w:val="Emphasis"/>
          <w:rFonts w:ascii="Arial" w:hAnsi="Arial" w:cs="Arial"/>
          <w:sz w:val="20"/>
          <w:szCs w:val="20"/>
        </w:rPr>
        <w:t>Food Science and Technology Bulletin, 2</w:t>
      </w:r>
      <w:r w:rsidRPr="00F36C9C">
        <w:rPr>
          <w:rFonts w:ascii="Arial" w:hAnsi="Arial" w:cs="Arial"/>
          <w:sz w:val="20"/>
          <w:szCs w:val="20"/>
        </w:rPr>
        <w:t>(7), 71–81.</w:t>
      </w:r>
    </w:p>
    <w:p w14:paraId="73C843C1" w14:textId="77777777" w:rsidR="00125155" w:rsidRPr="00F36C9C" w:rsidRDefault="00125155" w:rsidP="00125155">
      <w:pPr>
        <w:pStyle w:val="ListParagraph"/>
        <w:numPr>
          <w:ilvl w:val="0"/>
          <w:numId w:val="20"/>
        </w:numPr>
        <w:spacing w:after="160" w:line="259" w:lineRule="auto"/>
        <w:contextualSpacing/>
        <w:jc w:val="both"/>
        <w:rPr>
          <w:rFonts w:ascii="Arial" w:hAnsi="Arial" w:cs="Arial"/>
          <w:sz w:val="20"/>
          <w:szCs w:val="20"/>
        </w:rPr>
      </w:pPr>
      <w:proofErr w:type="spellStart"/>
      <w:r w:rsidRPr="00F36C9C">
        <w:rPr>
          <w:rFonts w:ascii="Arial" w:hAnsi="Arial" w:cs="Arial"/>
          <w:sz w:val="20"/>
          <w:szCs w:val="20"/>
        </w:rPr>
        <w:t>Górniak</w:t>
      </w:r>
      <w:proofErr w:type="spellEnd"/>
      <w:r w:rsidRPr="00F36C9C">
        <w:rPr>
          <w:rFonts w:ascii="Arial" w:hAnsi="Arial" w:cs="Arial"/>
          <w:sz w:val="20"/>
          <w:szCs w:val="20"/>
        </w:rPr>
        <w:t xml:space="preserve">, I., Bartoszewski, R., &amp; </w:t>
      </w:r>
      <w:proofErr w:type="spellStart"/>
      <w:r w:rsidRPr="00F36C9C">
        <w:rPr>
          <w:rFonts w:ascii="Arial" w:hAnsi="Arial" w:cs="Arial"/>
          <w:sz w:val="20"/>
          <w:szCs w:val="20"/>
        </w:rPr>
        <w:t>Króliczewski</w:t>
      </w:r>
      <w:proofErr w:type="spellEnd"/>
      <w:r w:rsidRPr="00F36C9C">
        <w:rPr>
          <w:rFonts w:ascii="Arial" w:hAnsi="Arial" w:cs="Arial"/>
          <w:sz w:val="20"/>
          <w:szCs w:val="20"/>
        </w:rPr>
        <w:t xml:space="preserve">, J. (2019). Comprehensive review of antimicrobial activities of plant flavonoids. </w:t>
      </w:r>
      <w:r w:rsidRPr="00F36C9C">
        <w:rPr>
          <w:rStyle w:val="Emphasis"/>
          <w:rFonts w:ascii="Arial" w:hAnsi="Arial" w:cs="Arial"/>
          <w:sz w:val="20"/>
          <w:szCs w:val="20"/>
        </w:rPr>
        <w:t>Phytochemistry Reviews, 18</w:t>
      </w:r>
      <w:r w:rsidRPr="00F36C9C">
        <w:rPr>
          <w:rFonts w:ascii="Arial" w:hAnsi="Arial" w:cs="Arial"/>
          <w:sz w:val="20"/>
          <w:szCs w:val="20"/>
        </w:rPr>
        <w:t xml:space="preserve">(1), 241–272. </w:t>
      </w:r>
      <w:hyperlink r:id="rId27" w:history="1">
        <w:r w:rsidRPr="00F36C9C">
          <w:rPr>
            <w:rStyle w:val="Hyperlink"/>
            <w:rFonts w:ascii="Arial" w:hAnsi="Arial" w:cs="Arial"/>
            <w:sz w:val="20"/>
            <w:szCs w:val="20"/>
          </w:rPr>
          <w:t>https://doi.org/10.1007/s11101-018-9591-z</w:t>
        </w:r>
      </w:hyperlink>
    </w:p>
    <w:p w14:paraId="0DF931E6" w14:textId="77777777" w:rsidR="00C80E33" w:rsidRPr="00F36C9C" w:rsidRDefault="00C80E33" w:rsidP="00C80E33">
      <w:pPr>
        <w:pStyle w:val="ListParagraph"/>
        <w:numPr>
          <w:ilvl w:val="0"/>
          <w:numId w:val="20"/>
        </w:numPr>
        <w:jc w:val="both"/>
        <w:rPr>
          <w:rFonts w:ascii="Arial" w:hAnsi="Arial" w:cs="Arial"/>
          <w:sz w:val="20"/>
          <w:szCs w:val="20"/>
        </w:rPr>
      </w:pPr>
      <w:r w:rsidRPr="00F36C9C">
        <w:rPr>
          <w:rFonts w:ascii="Arial" w:hAnsi="Arial" w:cs="Arial"/>
          <w:sz w:val="20"/>
          <w:szCs w:val="20"/>
        </w:rPr>
        <w:t xml:space="preserve">Singh, R., </w:t>
      </w:r>
      <w:proofErr w:type="spellStart"/>
      <w:r w:rsidRPr="00F36C9C">
        <w:rPr>
          <w:rFonts w:ascii="Arial" w:hAnsi="Arial" w:cs="Arial"/>
          <w:sz w:val="20"/>
          <w:szCs w:val="20"/>
        </w:rPr>
        <w:t>Shushni</w:t>
      </w:r>
      <w:proofErr w:type="spellEnd"/>
      <w:r w:rsidRPr="00F36C9C">
        <w:rPr>
          <w:rFonts w:ascii="Arial" w:hAnsi="Arial" w:cs="Arial"/>
          <w:sz w:val="20"/>
          <w:szCs w:val="20"/>
        </w:rPr>
        <w:t xml:space="preserve">, M. A. M., &amp; Belkheir, A. (2017). Antibacterial and antioxidant activities of </w:t>
      </w:r>
      <w:r w:rsidRPr="00F36C9C">
        <w:rPr>
          <w:rStyle w:val="Emphasis"/>
          <w:rFonts w:ascii="Arial" w:hAnsi="Arial" w:cs="Arial"/>
          <w:sz w:val="20"/>
          <w:szCs w:val="20"/>
        </w:rPr>
        <w:t>Mentha piperita</w:t>
      </w:r>
      <w:r w:rsidRPr="00F36C9C">
        <w:rPr>
          <w:rFonts w:ascii="Arial" w:hAnsi="Arial" w:cs="Arial"/>
          <w:sz w:val="20"/>
          <w:szCs w:val="20"/>
        </w:rPr>
        <w:t xml:space="preserve"> L. </w:t>
      </w:r>
      <w:r w:rsidRPr="00F36C9C">
        <w:rPr>
          <w:rStyle w:val="Emphasis"/>
          <w:rFonts w:ascii="Arial" w:hAnsi="Arial" w:cs="Arial"/>
          <w:sz w:val="20"/>
          <w:szCs w:val="20"/>
        </w:rPr>
        <w:t>Arabian Journal of Chemistry, 10</w:t>
      </w:r>
      <w:r w:rsidRPr="00F36C9C">
        <w:rPr>
          <w:rFonts w:ascii="Arial" w:hAnsi="Arial" w:cs="Arial"/>
          <w:sz w:val="20"/>
          <w:szCs w:val="20"/>
        </w:rPr>
        <w:t>, S3229–S3239.</w:t>
      </w:r>
    </w:p>
    <w:p w14:paraId="2D3D15EC" w14:textId="77777777" w:rsidR="00C80E33" w:rsidRPr="00F36C9C" w:rsidRDefault="00C80E33" w:rsidP="00C80E33">
      <w:pPr>
        <w:pStyle w:val="ListParagraph"/>
        <w:numPr>
          <w:ilvl w:val="0"/>
          <w:numId w:val="20"/>
        </w:numPr>
        <w:jc w:val="both"/>
        <w:rPr>
          <w:rFonts w:ascii="Arial" w:hAnsi="Arial" w:cs="Arial"/>
          <w:sz w:val="20"/>
          <w:szCs w:val="20"/>
        </w:rPr>
      </w:pPr>
      <w:r w:rsidRPr="00F36C9C">
        <w:rPr>
          <w:rFonts w:ascii="Arial" w:hAnsi="Arial" w:cs="Arial"/>
          <w:sz w:val="20"/>
          <w:szCs w:val="20"/>
        </w:rPr>
        <w:t xml:space="preserve">Xu, X., Zhang, X., &amp; Hu, J. (2018). Flavonoids from the leaves of </w:t>
      </w:r>
      <w:proofErr w:type="spellStart"/>
      <w:r w:rsidRPr="00F36C9C">
        <w:rPr>
          <w:rStyle w:val="Emphasis"/>
          <w:rFonts w:ascii="Arial" w:hAnsi="Arial" w:cs="Arial"/>
          <w:sz w:val="20"/>
          <w:szCs w:val="20"/>
        </w:rPr>
        <w:t>Zanthoxylum</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bungeanum</w:t>
      </w:r>
      <w:proofErr w:type="spellEnd"/>
      <w:r w:rsidRPr="00F36C9C">
        <w:rPr>
          <w:rFonts w:ascii="Arial" w:hAnsi="Arial" w:cs="Arial"/>
          <w:sz w:val="20"/>
          <w:szCs w:val="20"/>
        </w:rPr>
        <w:t xml:space="preserve"> and their antifungal activities. </w:t>
      </w:r>
      <w:r w:rsidRPr="00F36C9C">
        <w:rPr>
          <w:rStyle w:val="Emphasis"/>
          <w:rFonts w:ascii="Arial" w:hAnsi="Arial" w:cs="Arial"/>
          <w:sz w:val="20"/>
          <w:szCs w:val="20"/>
        </w:rPr>
        <w:t>Natural Product Research, 32</w:t>
      </w:r>
      <w:r w:rsidRPr="00F36C9C">
        <w:rPr>
          <w:rFonts w:ascii="Arial" w:hAnsi="Arial" w:cs="Arial"/>
          <w:sz w:val="20"/>
          <w:szCs w:val="20"/>
        </w:rPr>
        <w:t xml:space="preserve">(24), 2912–2917. </w:t>
      </w:r>
      <w:hyperlink r:id="rId28" w:history="1">
        <w:r w:rsidRPr="00F36C9C">
          <w:rPr>
            <w:rStyle w:val="Hyperlink"/>
            <w:rFonts w:ascii="Arial" w:hAnsi="Arial" w:cs="Arial"/>
            <w:sz w:val="20"/>
            <w:szCs w:val="20"/>
          </w:rPr>
          <w:t>https://doi.org/10.1080/14786419.2017.1375926</w:t>
        </w:r>
      </w:hyperlink>
    </w:p>
    <w:p w14:paraId="398E9C51" w14:textId="77777777" w:rsidR="00C80E33" w:rsidRPr="00F36C9C" w:rsidRDefault="00C80E33" w:rsidP="00C80E33">
      <w:pPr>
        <w:pStyle w:val="ListParagraph"/>
        <w:numPr>
          <w:ilvl w:val="0"/>
          <w:numId w:val="20"/>
        </w:numPr>
        <w:jc w:val="both"/>
        <w:rPr>
          <w:rFonts w:ascii="Arial" w:hAnsi="Arial" w:cs="Arial"/>
          <w:sz w:val="20"/>
          <w:szCs w:val="20"/>
        </w:rPr>
      </w:pPr>
      <w:r w:rsidRPr="00F36C9C">
        <w:rPr>
          <w:rFonts w:ascii="Arial" w:hAnsi="Arial" w:cs="Arial"/>
          <w:sz w:val="20"/>
          <w:szCs w:val="20"/>
        </w:rPr>
        <w:t xml:space="preserve">Kumar, S., &amp; Pandey, A. K. (2020). Role of free radicals and antioxidants in tuberculosis patients. </w:t>
      </w:r>
      <w:r w:rsidRPr="00F36C9C">
        <w:rPr>
          <w:rStyle w:val="Emphasis"/>
          <w:rFonts w:ascii="Arial" w:hAnsi="Arial" w:cs="Arial"/>
          <w:sz w:val="20"/>
          <w:szCs w:val="20"/>
        </w:rPr>
        <w:t xml:space="preserve">The Egyptian Journal of </w:t>
      </w:r>
      <w:proofErr w:type="spellStart"/>
      <w:r w:rsidRPr="00F36C9C">
        <w:rPr>
          <w:rStyle w:val="Emphasis"/>
          <w:rFonts w:ascii="Arial" w:hAnsi="Arial" w:cs="Arial"/>
          <w:sz w:val="20"/>
          <w:szCs w:val="20"/>
        </w:rPr>
        <w:t>Bronchology</w:t>
      </w:r>
      <w:proofErr w:type="spellEnd"/>
      <w:r w:rsidRPr="00F36C9C">
        <w:rPr>
          <w:rStyle w:val="Emphasis"/>
          <w:rFonts w:ascii="Arial" w:hAnsi="Arial" w:cs="Arial"/>
          <w:sz w:val="20"/>
          <w:szCs w:val="20"/>
        </w:rPr>
        <w:t>, 14</w:t>
      </w:r>
      <w:r w:rsidRPr="00F36C9C">
        <w:rPr>
          <w:rFonts w:ascii="Arial" w:hAnsi="Arial" w:cs="Arial"/>
          <w:sz w:val="20"/>
          <w:szCs w:val="20"/>
        </w:rPr>
        <w:t xml:space="preserve">(1), Article 23. </w:t>
      </w:r>
      <w:hyperlink r:id="rId29" w:history="1">
        <w:r w:rsidRPr="00F36C9C">
          <w:rPr>
            <w:rStyle w:val="Hyperlink"/>
            <w:rFonts w:ascii="Arial" w:hAnsi="Arial" w:cs="Arial"/>
            <w:sz w:val="20"/>
            <w:szCs w:val="20"/>
          </w:rPr>
          <w:t>https://doi.org/10.1186/s43168-020-00024-9</w:t>
        </w:r>
      </w:hyperlink>
    </w:p>
    <w:p w14:paraId="7B4228B5" w14:textId="77777777" w:rsidR="00C80E33" w:rsidRPr="00F36C9C" w:rsidRDefault="00C80E33" w:rsidP="00C80E33">
      <w:pPr>
        <w:pStyle w:val="ListParagraph"/>
        <w:numPr>
          <w:ilvl w:val="0"/>
          <w:numId w:val="20"/>
        </w:numPr>
        <w:jc w:val="both"/>
        <w:rPr>
          <w:rFonts w:ascii="Arial" w:hAnsi="Arial" w:cs="Arial"/>
          <w:sz w:val="20"/>
          <w:szCs w:val="20"/>
        </w:rPr>
      </w:pPr>
      <w:proofErr w:type="spellStart"/>
      <w:r w:rsidRPr="00F36C9C">
        <w:rPr>
          <w:rFonts w:ascii="Arial" w:hAnsi="Arial" w:cs="Arial"/>
          <w:sz w:val="20"/>
          <w:szCs w:val="20"/>
        </w:rPr>
        <w:t>Gobalakrishnan</w:t>
      </w:r>
      <w:proofErr w:type="spellEnd"/>
      <w:r w:rsidRPr="00F36C9C">
        <w:rPr>
          <w:rFonts w:ascii="Arial" w:hAnsi="Arial" w:cs="Arial"/>
          <w:sz w:val="20"/>
          <w:szCs w:val="20"/>
        </w:rPr>
        <w:t xml:space="preserve">, R., </w:t>
      </w:r>
      <w:proofErr w:type="spellStart"/>
      <w:r w:rsidRPr="00F36C9C">
        <w:rPr>
          <w:rFonts w:ascii="Arial" w:hAnsi="Arial" w:cs="Arial"/>
          <w:sz w:val="20"/>
          <w:szCs w:val="20"/>
        </w:rPr>
        <w:t>Kulandaivelu</w:t>
      </w:r>
      <w:proofErr w:type="spellEnd"/>
      <w:r w:rsidRPr="00F36C9C">
        <w:rPr>
          <w:rFonts w:ascii="Arial" w:hAnsi="Arial" w:cs="Arial"/>
          <w:sz w:val="20"/>
          <w:szCs w:val="20"/>
        </w:rPr>
        <w:t xml:space="preserve">, M., Bhuvaneswari, R., Kandavel, D., &amp; Kannan, L. (2013). Screening of wild plant species for antibacterial activity and phytochemical analysis of </w:t>
      </w:r>
      <w:proofErr w:type="spellStart"/>
      <w:r w:rsidRPr="00F36C9C">
        <w:rPr>
          <w:rStyle w:val="Emphasis"/>
          <w:rFonts w:ascii="Arial" w:hAnsi="Arial" w:cs="Arial"/>
          <w:sz w:val="20"/>
          <w:szCs w:val="20"/>
        </w:rPr>
        <w:t>Tragia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involucrata</w:t>
      </w:r>
      <w:proofErr w:type="spellEnd"/>
      <w:r w:rsidRPr="00F36C9C">
        <w:rPr>
          <w:rFonts w:ascii="Arial" w:hAnsi="Arial" w:cs="Arial"/>
          <w:sz w:val="20"/>
          <w:szCs w:val="20"/>
        </w:rPr>
        <w:t xml:space="preserve"> L. </w:t>
      </w:r>
      <w:r w:rsidRPr="00F36C9C">
        <w:rPr>
          <w:rStyle w:val="Emphasis"/>
          <w:rFonts w:ascii="Arial" w:hAnsi="Arial" w:cs="Arial"/>
          <w:sz w:val="20"/>
          <w:szCs w:val="20"/>
        </w:rPr>
        <w:t>Journal of Pharmaceutical Analysis, 3</w:t>
      </w:r>
      <w:r w:rsidRPr="00F36C9C">
        <w:rPr>
          <w:rFonts w:ascii="Arial" w:hAnsi="Arial" w:cs="Arial"/>
          <w:sz w:val="20"/>
          <w:szCs w:val="20"/>
        </w:rPr>
        <w:t xml:space="preserve">(6), 460–465. </w:t>
      </w:r>
      <w:hyperlink r:id="rId30" w:history="1">
        <w:r w:rsidRPr="00F36C9C">
          <w:rPr>
            <w:rStyle w:val="Hyperlink"/>
            <w:rFonts w:ascii="Arial" w:hAnsi="Arial" w:cs="Arial"/>
            <w:sz w:val="20"/>
            <w:szCs w:val="20"/>
          </w:rPr>
          <w:t>https://doi.org/10.1016/j.jpha.2013.06.001</w:t>
        </w:r>
      </w:hyperlink>
    </w:p>
    <w:p w14:paraId="4C7A8D8C" w14:textId="77777777" w:rsidR="00EF66BA" w:rsidRPr="00F36C9C" w:rsidRDefault="00EF66BA" w:rsidP="00EF66BA">
      <w:pPr>
        <w:pStyle w:val="ListParagraph"/>
        <w:numPr>
          <w:ilvl w:val="0"/>
          <w:numId w:val="20"/>
        </w:numPr>
        <w:jc w:val="both"/>
        <w:rPr>
          <w:rFonts w:ascii="Arial" w:hAnsi="Arial" w:cs="Arial"/>
          <w:sz w:val="20"/>
          <w:szCs w:val="20"/>
        </w:rPr>
      </w:pPr>
      <w:r w:rsidRPr="00F36C9C">
        <w:rPr>
          <w:rFonts w:ascii="Arial" w:hAnsi="Arial" w:cs="Arial"/>
          <w:sz w:val="20"/>
          <w:szCs w:val="20"/>
        </w:rPr>
        <w:t xml:space="preserve">López, E. C., Yañez, M. C., Monroy, F., Domínguez, Z., Hernández, J., &amp; Sierra, G. (2008). Antibacterial and antimycobacterial lignans and flavonoids from </w:t>
      </w:r>
      <w:r w:rsidRPr="00F36C9C">
        <w:rPr>
          <w:rStyle w:val="Emphasis"/>
          <w:rFonts w:ascii="Arial" w:hAnsi="Arial" w:cs="Arial"/>
          <w:sz w:val="20"/>
          <w:szCs w:val="20"/>
        </w:rPr>
        <w:t>Larrea tridentata</w:t>
      </w:r>
      <w:r w:rsidRPr="00F36C9C">
        <w:rPr>
          <w:rFonts w:ascii="Arial" w:hAnsi="Arial" w:cs="Arial"/>
          <w:sz w:val="20"/>
          <w:szCs w:val="20"/>
        </w:rPr>
        <w:t xml:space="preserve">. </w:t>
      </w:r>
      <w:r w:rsidRPr="00F36C9C">
        <w:rPr>
          <w:rStyle w:val="Emphasis"/>
          <w:rFonts w:ascii="Arial" w:hAnsi="Arial" w:cs="Arial"/>
          <w:sz w:val="20"/>
          <w:szCs w:val="20"/>
        </w:rPr>
        <w:t>Phytotherapy Research, 22</w:t>
      </w:r>
      <w:r w:rsidRPr="00F36C9C">
        <w:rPr>
          <w:rFonts w:ascii="Arial" w:hAnsi="Arial" w:cs="Arial"/>
          <w:sz w:val="20"/>
          <w:szCs w:val="20"/>
        </w:rPr>
        <w:t xml:space="preserve">(1), 97–101. </w:t>
      </w:r>
      <w:hyperlink r:id="rId31" w:history="1">
        <w:r w:rsidRPr="00F36C9C">
          <w:rPr>
            <w:rStyle w:val="Hyperlink"/>
            <w:rFonts w:ascii="Arial" w:hAnsi="Arial" w:cs="Arial"/>
            <w:sz w:val="20"/>
            <w:szCs w:val="20"/>
          </w:rPr>
          <w:t>https://doi.org/10.1002/ptr.2273</w:t>
        </w:r>
      </w:hyperlink>
    </w:p>
    <w:p w14:paraId="66022C97" w14:textId="77777777" w:rsidR="00EF66BA" w:rsidRPr="00F36C9C" w:rsidRDefault="00EF66BA" w:rsidP="00EF66BA">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t xml:space="preserve">Gupta, S., &amp; Varma, A. (2019). Cardiac glycosides: A boon to anticancer therapeutics. </w:t>
      </w:r>
      <w:r w:rsidRPr="00F36C9C">
        <w:rPr>
          <w:rStyle w:val="Emphasis"/>
          <w:rFonts w:ascii="Arial" w:hAnsi="Arial" w:cs="Arial"/>
          <w:sz w:val="20"/>
          <w:szCs w:val="20"/>
        </w:rPr>
        <w:t>Biomedicine &amp; Pharmacotherapy, 109</w:t>
      </w:r>
      <w:r w:rsidRPr="00F36C9C">
        <w:rPr>
          <w:rFonts w:ascii="Arial" w:hAnsi="Arial" w:cs="Arial"/>
          <w:sz w:val="20"/>
          <w:szCs w:val="20"/>
        </w:rPr>
        <w:t xml:space="preserve">, 2519–2528. </w:t>
      </w:r>
      <w:hyperlink r:id="rId32" w:history="1">
        <w:r w:rsidRPr="00F36C9C">
          <w:rPr>
            <w:rStyle w:val="Hyperlink"/>
            <w:rFonts w:ascii="Arial" w:hAnsi="Arial" w:cs="Arial"/>
            <w:sz w:val="20"/>
            <w:szCs w:val="20"/>
          </w:rPr>
          <w:t>https://doi.org/10.1016/j.biopha.2018.11.144</w:t>
        </w:r>
      </w:hyperlink>
    </w:p>
    <w:p w14:paraId="5DD55A14" w14:textId="77777777" w:rsidR="00EF66BA" w:rsidRPr="00F36C9C" w:rsidRDefault="00EF66BA" w:rsidP="00EF66BA">
      <w:pPr>
        <w:pStyle w:val="ListParagraph"/>
        <w:numPr>
          <w:ilvl w:val="0"/>
          <w:numId w:val="20"/>
        </w:numPr>
        <w:jc w:val="both"/>
        <w:rPr>
          <w:rFonts w:ascii="Arial" w:hAnsi="Arial" w:cs="Arial"/>
          <w:sz w:val="20"/>
          <w:szCs w:val="20"/>
        </w:rPr>
      </w:pPr>
      <w:r w:rsidRPr="00F36C9C">
        <w:rPr>
          <w:rFonts w:ascii="Arial" w:hAnsi="Arial" w:cs="Arial"/>
          <w:sz w:val="20"/>
          <w:szCs w:val="20"/>
        </w:rPr>
        <w:t xml:space="preserve">Zablotowicz, R. M., Hoagland, R. E., &amp; Wagner, S. C. (1996). Effect of saponins on the growth and activity of rhizosphere bacteria. In </w:t>
      </w:r>
      <w:r w:rsidRPr="00F36C9C">
        <w:rPr>
          <w:rStyle w:val="Emphasis"/>
          <w:rFonts w:ascii="Arial" w:hAnsi="Arial" w:cs="Arial"/>
          <w:sz w:val="20"/>
          <w:szCs w:val="20"/>
        </w:rPr>
        <w:t>Advances in Experimental Medicine and Biology</w:t>
      </w:r>
      <w:r w:rsidRPr="00F36C9C">
        <w:rPr>
          <w:rFonts w:ascii="Arial" w:hAnsi="Arial" w:cs="Arial"/>
          <w:sz w:val="20"/>
          <w:szCs w:val="20"/>
        </w:rPr>
        <w:t xml:space="preserve"> (Vol. 405, pp. 83–95).</w:t>
      </w:r>
    </w:p>
    <w:p w14:paraId="48F17EC7" w14:textId="525F28E4" w:rsidR="00735026" w:rsidRPr="00F36C9C" w:rsidRDefault="00735026" w:rsidP="00EF66BA">
      <w:pPr>
        <w:pStyle w:val="ListParagraph"/>
        <w:numPr>
          <w:ilvl w:val="0"/>
          <w:numId w:val="20"/>
        </w:numPr>
        <w:jc w:val="both"/>
        <w:rPr>
          <w:rFonts w:ascii="Arial" w:hAnsi="Arial" w:cs="Arial"/>
          <w:sz w:val="20"/>
          <w:szCs w:val="20"/>
        </w:rPr>
      </w:pPr>
      <w:proofErr w:type="spellStart"/>
      <w:r w:rsidRPr="00F36C9C">
        <w:rPr>
          <w:rFonts w:ascii="Arial" w:hAnsi="Arial" w:cs="Arial"/>
          <w:sz w:val="20"/>
          <w:szCs w:val="20"/>
        </w:rPr>
        <w:t>Ejele</w:t>
      </w:r>
      <w:proofErr w:type="spellEnd"/>
      <w:r w:rsidRPr="00F36C9C">
        <w:rPr>
          <w:rFonts w:ascii="Arial" w:hAnsi="Arial" w:cs="Arial"/>
          <w:sz w:val="20"/>
          <w:szCs w:val="20"/>
        </w:rPr>
        <w:t xml:space="preserve">, A. E., Akpan, I. O., </w:t>
      </w:r>
      <w:proofErr w:type="spellStart"/>
      <w:r w:rsidRPr="00F36C9C">
        <w:rPr>
          <w:rFonts w:ascii="Arial" w:hAnsi="Arial" w:cs="Arial"/>
          <w:sz w:val="20"/>
          <w:szCs w:val="20"/>
        </w:rPr>
        <w:t>Ogukwe</w:t>
      </w:r>
      <w:proofErr w:type="spellEnd"/>
      <w:r w:rsidRPr="00F36C9C">
        <w:rPr>
          <w:rFonts w:ascii="Arial" w:hAnsi="Arial" w:cs="Arial"/>
          <w:sz w:val="20"/>
          <w:szCs w:val="20"/>
        </w:rPr>
        <w:t xml:space="preserve">, C. E., </w:t>
      </w:r>
      <w:proofErr w:type="spellStart"/>
      <w:r w:rsidRPr="00F36C9C">
        <w:rPr>
          <w:rFonts w:ascii="Arial" w:hAnsi="Arial" w:cs="Arial"/>
          <w:sz w:val="20"/>
          <w:szCs w:val="20"/>
        </w:rPr>
        <w:t>Onyeocha</w:t>
      </w:r>
      <w:proofErr w:type="spellEnd"/>
      <w:r w:rsidRPr="00F36C9C">
        <w:rPr>
          <w:rFonts w:ascii="Arial" w:hAnsi="Arial" w:cs="Arial"/>
          <w:sz w:val="20"/>
          <w:szCs w:val="20"/>
        </w:rPr>
        <w:t xml:space="preserve">, V. O., &amp; </w:t>
      </w:r>
      <w:proofErr w:type="spellStart"/>
      <w:r w:rsidRPr="00F36C9C">
        <w:rPr>
          <w:rFonts w:ascii="Arial" w:hAnsi="Arial" w:cs="Arial"/>
          <w:sz w:val="20"/>
          <w:szCs w:val="20"/>
        </w:rPr>
        <w:t>Ukiwe</w:t>
      </w:r>
      <w:proofErr w:type="spellEnd"/>
      <w:r w:rsidRPr="00F36C9C">
        <w:rPr>
          <w:rFonts w:ascii="Arial" w:hAnsi="Arial" w:cs="Arial"/>
          <w:sz w:val="20"/>
          <w:szCs w:val="20"/>
        </w:rPr>
        <w:t xml:space="preserve">, L. N. (2012). Bioassay-guided isolation and partial characterization of an </w:t>
      </w:r>
      <w:proofErr w:type="spellStart"/>
      <w:r w:rsidRPr="00F36C9C">
        <w:rPr>
          <w:rFonts w:ascii="Arial" w:hAnsi="Arial" w:cs="Arial"/>
          <w:sz w:val="20"/>
          <w:szCs w:val="20"/>
        </w:rPr>
        <w:t>antisickling</w:t>
      </w:r>
      <w:proofErr w:type="spellEnd"/>
      <w:r w:rsidRPr="00F36C9C">
        <w:rPr>
          <w:rFonts w:ascii="Arial" w:hAnsi="Arial" w:cs="Arial"/>
          <w:sz w:val="20"/>
          <w:szCs w:val="20"/>
        </w:rPr>
        <w:t xml:space="preserve"> compound from </w:t>
      </w:r>
      <w:proofErr w:type="spellStart"/>
      <w:r w:rsidRPr="00F36C9C">
        <w:rPr>
          <w:rFonts w:ascii="Arial" w:hAnsi="Arial" w:cs="Arial"/>
          <w:i/>
          <w:iCs/>
          <w:sz w:val="20"/>
          <w:szCs w:val="20"/>
        </w:rPr>
        <w:t>Enantia</w:t>
      </w:r>
      <w:proofErr w:type="spellEnd"/>
      <w:r w:rsidRPr="00F36C9C">
        <w:rPr>
          <w:rFonts w:ascii="Arial" w:hAnsi="Arial" w:cs="Arial"/>
          <w:i/>
          <w:iCs/>
          <w:sz w:val="20"/>
          <w:szCs w:val="20"/>
        </w:rPr>
        <w:t xml:space="preserve"> </w:t>
      </w:r>
      <w:proofErr w:type="spellStart"/>
      <w:r w:rsidRPr="00F36C9C">
        <w:rPr>
          <w:rFonts w:ascii="Arial" w:hAnsi="Arial" w:cs="Arial"/>
          <w:i/>
          <w:iCs/>
          <w:sz w:val="20"/>
          <w:szCs w:val="20"/>
        </w:rPr>
        <w:t>chlorantha</w:t>
      </w:r>
      <w:proofErr w:type="spellEnd"/>
      <w:r w:rsidRPr="00F36C9C">
        <w:rPr>
          <w:rFonts w:ascii="Arial" w:hAnsi="Arial" w:cs="Arial"/>
          <w:sz w:val="20"/>
          <w:szCs w:val="20"/>
        </w:rPr>
        <w:t xml:space="preserve">. </w:t>
      </w:r>
      <w:r w:rsidRPr="00F36C9C">
        <w:rPr>
          <w:rFonts w:ascii="Arial" w:hAnsi="Arial" w:cs="Arial"/>
          <w:i/>
          <w:iCs/>
          <w:sz w:val="20"/>
          <w:szCs w:val="20"/>
        </w:rPr>
        <w:t>International Research Journal of Biochemistry and Bioinformatics, 2</w:t>
      </w:r>
      <w:r w:rsidRPr="00F36C9C">
        <w:rPr>
          <w:rFonts w:ascii="Arial" w:hAnsi="Arial" w:cs="Arial"/>
          <w:sz w:val="20"/>
          <w:szCs w:val="20"/>
        </w:rPr>
        <w:t>(7), 149–154.</w:t>
      </w:r>
    </w:p>
    <w:p w14:paraId="5F8E819A" w14:textId="04A0328A" w:rsidR="00735026" w:rsidRPr="00F36C9C" w:rsidRDefault="00735026" w:rsidP="00735026">
      <w:pPr>
        <w:pStyle w:val="ListParagraph"/>
        <w:numPr>
          <w:ilvl w:val="0"/>
          <w:numId w:val="20"/>
        </w:numPr>
        <w:spacing w:after="160" w:line="259" w:lineRule="auto"/>
        <w:contextualSpacing/>
        <w:jc w:val="both"/>
        <w:rPr>
          <w:rFonts w:ascii="Arial" w:hAnsi="Arial" w:cs="Arial"/>
          <w:sz w:val="20"/>
          <w:szCs w:val="20"/>
        </w:rPr>
      </w:pPr>
      <w:r w:rsidRPr="00F36C9C">
        <w:rPr>
          <w:rFonts w:ascii="Arial" w:hAnsi="Arial" w:cs="Arial"/>
          <w:sz w:val="20"/>
          <w:szCs w:val="20"/>
        </w:rPr>
        <w:lastRenderedPageBreak/>
        <w:t xml:space="preserve">Malczak, I., &amp; Gajda, A. (2023). Interactions of naturally occurring compounds with antimicrobials: Review paper. </w:t>
      </w:r>
      <w:r w:rsidRPr="00F36C9C">
        <w:rPr>
          <w:rFonts w:ascii="Arial" w:hAnsi="Arial" w:cs="Arial"/>
          <w:i/>
          <w:iCs/>
          <w:sz w:val="20"/>
          <w:szCs w:val="20"/>
        </w:rPr>
        <w:t>Journal of Pharmaceutical Analysis, 13</w:t>
      </w:r>
      <w:r w:rsidRPr="00F36C9C">
        <w:rPr>
          <w:rFonts w:ascii="Arial" w:hAnsi="Arial" w:cs="Arial"/>
          <w:sz w:val="20"/>
          <w:szCs w:val="20"/>
        </w:rPr>
        <w:t>, 1452–1470.</w:t>
      </w:r>
    </w:p>
    <w:p w14:paraId="20B1C1F5" w14:textId="77777777" w:rsidR="00EF66BA" w:rsidRPr="00F36C9C" w:rsidRDefault="00EF66BA" w:rsidP="00EF66BA">
      <w:pPr>
        <w:pStyle w:val="ListParagraph"/>
        <w:numPr>
          <w:ilvl w:val="0"/>
          <w:numId w:val="20"/>
        </w:numPr>
        <w:spacing w:before="100" w:beforeAutospacing="1" w:after="100" w:afterAutospacing="1" w:line="240" w:lineRule="auto"/>
        <w:contextualSpacing/>
        <w:rPr>
          <w:rFonts w:ascii="Arial" w:eastAsia="Times New Roman" w:hAnsi="Arial" w:cs="Arial"/>
          <w:sz w:val="20"/>
          <w:szCs w:val="20"/>
        </w:rPr>
      </w:pPr>
      <w:r w:rsidRPr="00F36C9C">
        <w:rPr>
          <w:rFonts w:ascii="Arial" w:eastAsia="Times New Roman" w:hAnsi="Arial" w:cs="Arial"/>
          <w:sz w:val="20"/>
          <w:szCs w:val="20"/>
        </w:rPr>
        <w:t xml:space="preserve">Silverstein, R. M., Webster, F. X., Kiemle, D. J., &amp; Bryce, D. L. (2005). </w:t>
      </w:r>
      <w:r w:rsidRPr="00F36C9C">
        <w:rPr>
          <w:rFonts w:ascii="Arial" w:eastAsia="Times New Roman" w:hAnsi="Arial" w:cs="Arial"/>
          <w:i/>
          <w:iCs/>
          <w:sz w:val="20"/>
          <w:szCs w:val="20"/>
        </w:rPr>
        <w:t>Spectrometric identification of organic compounds</w:t>
      </w:r>
      <w:r w:rsidRPr="00F36C9C">
        <w:rPr>
          <w:rFonts w:ascii="Arial" w:eastAsia="Times New Roman" w:hAnsi="Arial" w:cs="Arial"/>
          <w:sz w:val="20"/>
          <w:szCs w:val="20"/>
        </w:rPr>
        <w:t xml:space="preserve"> (7th ed.). John Wiley &amp; Sons.</w:t>
      </w:r>
    </w:p>
    <w:p w14:paraId="31BD1DEB" w14:textId="5D81ED6B" w:rsidR="00735026" w:rsidRPr="00F36C9C" w:rsidRDefault="00735026" w:rsidP="009B65E6">
      <w:pPr>
        <w:pStyle w:val="ListParagraph"/>
        <w:numPr>
          <w:ilvl w:val="0"/>
          <w:numId w:val="20"/>
        </w:numPr>
        <w:spacing w:after="160" w:line="259" w:lineRule="auto"/>
        <w:contextualSpacing/>
        <w:jc w:val="both"/>
        <w:rPr>
          <w:rStyle w:val="Hyperlink"/>
          <w:rFonts w:ascii="Arial" w:eastAsia="SimSun" w:hAnsi="Arial" w:cs="Arial"/>
          <w:color w:val="auto"/>
          <w:sz w:val="20"/>
          <w:szCs w:val="20"/>
          <w:u w:val="none"/>
          <w:lang w:eastAsia="zh-CN"/>
        </w:rPr>
      </w:pPr>
      <w:r w:rsidRPr="00F36C9C">
        <w:rPr>
          <w:rFonts w:ascii="Arial" w:hAnsi="Arial" w:cs="Arial"/>
          <w:sz w:val="20"/>
          <w:szCs w:val="20"/>
        </w:rPr>
        <w:t xml:space="preserve">Strobel, G. A., &amp; Daisy, B. (2003). Bioprospecting for microbial endophytes and their natural products. </w:t>
      </w:r>
      <w:r w:rsidRPr="00F36C9C">
        <w:rPr>
          <w:rStyle w:val="Emphasis"/>
          <w:rFonts w:ascii="Arial" w:hAnsi="Arial" w:cs="Arial"/>
          <w:sz w:val="20"/>
          <w:szCs w:val="20"/>
        </w:rPr>
        <w:t>Microbiology and Molecular Biology Reviews, 67</w:t>
      </w:r>
      <w:r w:rsidRPr="00F36C9C">
        <w:rPr>
          <w:rFonts w:ascii="Arial" w:hAnsi="Arial" w:cs="Arial"/>
          <w:sz w:val="20"/>
          <w:szCs w:val="20"/>
        </w:rPr>
        <w:t xml:space="preserve">(4), 491–502. </w:t>
      </w:r>
      <w:hyperlink r:id="rId33" w:history="1">
        <w:r w:rsidRPr="00F36C9C">
          <w:rPr>
            <w:rStyle w:val="Hyperlink"/>
            <w:rFonts w:ascii="Arial" w:hAnsi="Arial" w:cs="Arial"/>
            <w:sz w:val="20"/>
            <w:szCs w:val="20"/>
          </w:rPr>
          <w:t>https://doi.org/10.1128/MMBR.67.4.491-502.2003</w:t>
        </w:r>
      </w:hyperlink>
    </w:p>
    <w:p w14:paraId="67CF6B0E" w14:textId="77777777" w:rsidR="00683834" w:rsidRPr="00F36C9C" w:rsidRDefault="00683834" w:rsidP="00683834">
      <w:pPr>
        <w:pStyle w:val="ListParagraph"/>
        <w:numPr>
          <w:ilvl w:val="0"/>
          <w:numId w:val="20"/>
        </w:numPr>
        <w:jc w:val="both"/>
        <w:rPr>
          <w:rFonts w:ascii="Arial" w:hAnsi="Arial" w:cs="Arial"/>
          <w:sz w:val="20"/>
          <w:szCs w:val="20"/>
        </w:rPr>
      </w:pPr>
      <w:r w:rsidRPr="00F36C9C">
        <w:rPr>
          <w:rFonts w:ascii="Arial" w:hAnsi="Arial" w:cs="Arial"/>
          <w:sz w:val="20"/>
          <w:szCs w:val="20"/>
        </w:rPr>
        <w:t xml:space="preserve">Poojary, M. M., </w:t>
      </w:r>
      <w:proofErr w:type="spellStart"/>
      <w:r w:rsidRPr="00F36C9C">
        <w:rPr>
          <w:rFonts w:ascii="Arial" w:hAnsi="Arial" w:cs="Arial"/>
          <w:sz w:val="20"/>
          <w:szCs w:val="20"/>
        </w:rPr>
        <w:t>Vishnumurthy</w:t>
      </w:r>
      <w:proofErr w:type="spellEnd"/>
      <w:r w:rsidRPr="00F36C9C">
        <w:rPr>
          <w:rFonts w:ascii="Arial" w:hAnsi="Arial" w:cs="Arial"/>
          <w:sz w:val="20"/>
          <w:szCs w:val="20"/>
        </w:rPr>
        <w:t xml:space="preserve">, K. A., &amp; Adhikari, A. V. (2015). Extraction, characterization and biological studies of phytochemicals from </w:t>
      </w:r>
      <w:proofErr w:type="spellStart"/>
      <w:r w:rsidRPr="00F36C9C">
        <w:rPr>
          <w:rStyle w:val="Emphasis"/>
          <w:rFonts w:ascii="Arial" w:hAnsi="Arial" w:cs="Arial"/>
          <w:sz w:val="20"/>
          <w:szCs w:val="20"/>
        </w:rPr>
        <w:t>Mammea</w:t>
      </w:r>
      <w:proofErr w:type="spellEnd"/>
      <w:r w:rsidRPr="00F36C9C">
        <w:rPr>
          <w:rStyle w:val="Emphasis"/>
          <w:rFonts w:ascii="Arial" w:hAnsi="Arial" w:cs="Arial"/>
          <w:sz w:val="20"/>
          <w:szCs w:val="20"/>
        </w:rPr>
        <w:t xml:space="preserve"> </w:t>
      </w:r>
      <w:proofErr w:type="spellStart"/>
      <w:r w:rsidRPr="00F36C9C">
        <w:rPr>
          <w:rStyle w:val="Emphasis"/>
          <w:rFonts w:ascii="Arial" w:hAnsi="Arial" w:cs="Arial"/>
          <w:sz w:val="20"/>
          <w:szCs w:val="20"/>
        </w:rPr>
        <w:t>suriga</w:t>
      </w:r>
      <w:proofErr w:type="spellEnd"/>
      <w:r w:rsidRPr="00F36C9C">
        <w:rPr>
          <w:rFonts w:ascii="Arial" w:hAnsi="Arial" w:cs="Arial"/>
          <w:sz w:val="20"/>
          <w:szCs w:val="20"/>
        </w:rPr>
        <w:t xml:space="preserve">. </w:t>
      </w:r>
      <w:r w:rsidRPr="00F36C9C">
        <w:rPr>
          <w:rStyle w:val="Emphasis"/>
          <w:rFonts w:ascii="Arial" w:hAnsi="Arial" w:cs="Arial"/>
          <w:sz w:val="20"/>
          <w:szCs w:val="20"/>
        </w:rPr>
        <w:t>Journal of Pharmaceutical Analysis, 5</w:t>
      </w:r>
      <w:r w:rsidRPr="00F36C9C">
        <w:rPr>
          <w:rFonts w:ascii="Arial" w:hAnsi="Arial" w:cs="Arial"/>
          <w:sz w:val="20"/>
          <w:szCs w:val="20"/>
        </w:rPr>
        <w:t xml:space="preserve">(3), 182–189. </w:t>
      </w:r>
      <w:hyperlink r:id="rId34" w:history="1">
        <w:r w:rsidRPr="00F36C9C">
          <w:rPr>
            <w:rStyle w:val="Hyperlink"/>
            <w:rFonts w:ascii="Arial" w:hAnsi="Arial" w:cs="Arial"/>
            <w:sz w:val="20"/>
            <w:szCs w:val="20"/>
          </w:rPr>
          <w:t>https://doi.org/10.1016/j.jpha.2015.01.002</w:t>
        </w:r>
      </w:hyperlink>
    </w:p>
    <w:p w14:paraId="5C7DF93C" w14:textId="77777777" w:rsidR="00683834" w:rsidRPr="009B65E6" w:rsidRDefault="00683834" w:rsidP="00E63C62">
      <w:pPr>
        <w:pStyle w:val="ListParagraph"/>
        <w:spacing w:after="160" w:line="259" w:lineRule="auto"/>
        <w:contextualSpacing/>
        <w:jc w:val="both"/>
        <w:rPr>
          <w:rFonts w:ascii="Arial" w:hAnsi="Arial" w:cs="Arial"/>
          <w:sz w:val="20"/>
          <w:szCs w:val="20"/>
        </w:rPr>
      </w:pPr>
    </w:p>
    <w:p w14:paraId="0B19FF53" w14:textId="77777777" w:rsidR="00ED5B69" w:rsidRPr="00644FB1" w:rsidRDefault="00ED5B69" w:rsidP="00391EF9">
      <w:pPr>
        <w:jc w:val="both"/>
        <w:rPr>
          <w:rFonts w:ascii="Arial" w:hAnsi="Arial" w:cs="Arial"/>
          <w:sz w:val="20"/>
          <w:szCs w:val="20"/>
        </w:rPr>
      </w:pPr>
    </w:p>
    <w:p w14:paraId="1A523453" w14:textId="1E6C65F2" w:rsidR="00D94E70" w:rsidRPr="00D94E70" w:rsidRDefault="00D94E70" w:rsidP="00D94E70">
      <w:pPr>
        <w:spacing w:after="0" w:line="240" w:lineRule="auto"/>
        <w:jc w:val="both"/>
        <w:rPr>
          <w:rFonts w:ascii="Arial" w:eastAsia="Times New Roman" w:hAnsi="Arial" w:cs="Arial"/>
          <w:sz w:val="20"/>
          <w:szCs w:val="20"/>
        </w:rPr>
      </w:pPr>
      <w:r w:rsidRPr="00D94E70">
        <w:rPr>
          <w:rFonts w:ascii="Arial" w:eastAsia="Times New Roman" w:hAnsi="Arial" w:cs="Arial"/>
          <w:sz w:val="20"/>
          <w:szCs w:val="20"/>
        </w:rPr>
        <w:t xml:space="preserve"> </w:t>
      </w:r>
    </w:p>
    <w:p w14:paraId="5EAE0B5F" w14:textId="538FB70F" w:rsidR="00D94E70" w:rsidRPr="00D94E70" w:rsidRDefault="00D94E70" w:rsidP="00D94E70">
      <w:pPr>
        <w:spacing w:line="240" w:lineRule="auto"/>
        <w:jc w:val="both"/>
        <w:rPr>
          <w:rFonts w:ascii="Arial" w:hAnsi="Arial" w:cs="Arial"/>
          <w:b/>
          <w:sz w:val="20"/>
          <w:szCs w:val="20"/>
        </w:rPr>
      </w:pPr>
    </w:p>
    <w:p w14:paraId="55F736B1" w14:textId="77777777" w:rsidR="00D94E70" w:rsidRPr="00D94E70" w:rsidRDefault="00D94E70" w:rsidP="00D94E70">
      <w:pPr>
        <w:spacing w:line="240" w:lineRule="auto"/>
        <w:jc w:val="both"/>
        <w:rPr>
          <w:rFonts w:ascii="Arial" w:hAnsi="Arial" w:cs="Arial"/>
          <w:b/>
          <w:sz w:val="20"/>
          <w:szCs w:val="20"/>
        </w:rPr>
      </w:pPr>
    </w:p>
    <w:p w14:paraId="07FA15D2" w14:textId="77777777" w:rsidR="00D94E70" w:rsidRPr="00D94E70" w:rsidRDefault="00D94E70" w:rsidP="00D94E70">
      <w:pPr>
        <w:spacing w:line="240" w:lineRule="auto"/>
        <w:jc w:val="both"/>
        <w:rPr>
          <w:rFonts w:ascii="Arial" w:hAnsi="Arial" w:cs="Arial"/>
          <w:b/>
          <w:sz w:val="20"/>
          <w:szCs w:val="20"/>
        </w:rPr>
      </w:pPr>
    </w:p>
    <w:p w14:paraId="2023D3E3" w14:textId="77777777" w:rsidR="00D94E70" w:rsidRPr="00D94E70" w:rsidRDefault="00D94E70" w:rsidP="00D94E70">
      <w:pPr>
        <w:spacing w:line="240" w:lineRule="auto"/>
        <w:jc w:val="both"/>
        <w:rPr>
          <w:rFonts w:ascii="Arial" w:hAnsi="Arial" w:cs="Arial"/>
          <w:b/>
          <w:sz w:val="20"/>
          <w:szCs w:val="20"/>
        </w:rPr>
      </w:pPr>
    </w:p>
    <w:p w14:paraId="19846097" w14:textId="77777777" w:rsidR="00D94E70" w:rsidRPr="00D94E70" w:rsidRDefault="00D94E70" w:rsidP="00D94E70">
      <w:pPr>
        <w:spacing w:line="240" w:lineRule="auto"/>
        <w:jc w:val="both"/>
        <w:rPr>
          <w:rFonts w:ascii="Arial" w:hAnsi="Arial" w:cs="Arial"/>
          <w:b/>
          <w:sz w:val="20"/>
          <w:szCs w:val="20"/>
        </w:rPr>
      </w:pPr>
    </w:p>
    <w:sectPr w:rsidR="00D94E70" w:rsidRPr="00D94E70">
      <w:headerReference w:type="even" r:id="rId35"/>
      <w:headerReference w:type="default" r:id="rId36"/>
      <w:footerReference w:type="even" r:id="rId37"/>
      <w:footerReference w:type="default" r:id="rId38"/>
      <w:headerReference w:type="first" r:id="rId39"/>
      <w:footerReference w:type="first" r:id="rId4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BUKKY pc" w:date="2026-07-02T17:57:00Z" w:initials="Bp">
    <w:p w14:paraId="0D5AFB21" w14:textId="0C3112EA" w:rsidR="008522DC" w:rsidRDefault="008522DC">
      <w:pPr>
        <w:pStyle w:val="CommentText"/>
      </w:pPr>
      <w:r>
        <w:rPr>
          <w:rStyle w:val="CommentReference"/>
        </w:rPr>
        <w:annotationRef/>
      </w:r>
      <w:r>
        <w:t>No introduction</w:t>
      </w:r>
    </w:p>
  </w:comment>
  <w:comment w:id="1" w:author="BUKKY pc" w:date="2026-07-02T17:59:00Z" w:initials="Bp">
    <w:p w14:paraId="51AF4617" w14:textId="61D5685A" w:rsidR="008522DC" w:rsidRDefault="008522DC">
      <w:pPr>
        <w:pStyle w:val="CommentText"/>
      </w:pPr>
      <w:r>
        <w:rPr>
          <w:rStyle w:val="CommentReference"/>
        </w:rPr>
        <w:annotationRef/>
      </w:r>
      <w:r>
        <w:t>This should not be indicated in Abstract</w:t>
      </w:r>
    </w:p>
  </w:comment>
  <w:comment w:id="2" w:author="BUKKY pc" w:date="2026-07-02T18:02:00Z" w:initials="Bp">
    <w:p w14:paraId="531140ED" w14:textId="12B6BBA2" w:rsidR="008522DC" w:rsidRDefault="008522DC">
      <w:pPr>
        <w:pStyle w:val="CommentText"/>
      </w:pPr>
      <w:r>
        <w:rPr>
          <w:rStyle w:val="CommentReference"/>
        </w:rPr>
        <w:annotationRef/>
      </w:r>
      <w:r>
        <w:t>You already stated your result in the method, please rephrase this aspect</w:t>
      </w:r>
    </w:p>
  </w:comment>
  <w:comment w:id="3" w:author="BUKKY pc" w:date="2026-07-02T18:04:00Z" w:initials="Bp">
    <w:p w14:paraId="0748E489" w14:textId="02FA0791" w:rsidR="008522DC" w:rsidRDefault="008522DC">
      <w:pPr>
        <w:pStyle w:val="CommentText"/>
      </w:pPr>
      <w:r>
        <w:rPr>
          <w:rStyle w:val="CommentReference"/>
        </w:rPr>
        <w:annotationRef/>
      </w:r>
      <w:r>
        <w:t xml:space="preserve">You only dwell on the </w:t>
      </w:r>
      <w:proofErr w:type="spellStart"/>
      <w:r>
        <w:t>phyto</w:t>
      </w:r>
      <w:proofErr w:type="spellEnd"/>
      <w:r>
        <w:t>- constituents, what about the antimicrobial activities?</w:t>
      </w:r>
    </w:p>
  </w:comment>
  <w:comment w:id="4" w:author="BUKKY pc" w:date="2026-07-02T18:05:00Z" w:initials="Bp">
    <w:p w14:paraId="4D01024B" w14:textId="62824B80" w:rsidR="008522DC" w:rsidRDefault="008522DC">
      <w:pPr>
        <w:pStyle w:val="CommentText"/>
      </w:pPr>
      <w:r>
        <w:rPr>
          <w:rStyle w:val="CommentReference"/>
        </w:rPr>
        <w:annotationRef/>
      </w:r>
      <w:r>
        <w:t>Arrange alphabetically</w:t>
      </w:r>
    </w:p>
  </w:comment>
  <w:comment w:id="5" w:author="BUKKY pc" w:date="2026-07-02T18:06:00Z" w:initials="Bp">
    <w:p w14:paraId="3B9750B5" w14:textId="49079256" w:rsidR="008522DC" w:rsidRDefault="008522DC">
      <w:pPr>
        <w:pStyle w:val="CommentText"/>
      </w:pPr>
      <w:r>
        <w:rPr>
          <w:rStyle w:val="CommentReference"/>
        </w:rPr>
        <w:annotationRef/>
      </w:r>
      <w:r>
        <w:t>Please rearrange. It should be from old to latest</w:t>
      </w:r>
    </w:p>
  </w:comment>
  <w:comment w:id="6" w:author="BUKKY pc" w:date="2026-07-02T18:09:00Z" w:initials="Bp">
    <w:p w14:paraId="0738952F" w14:textId="1A762234" w:rsidR="008522DC" w:rsidRDefault="008522DC">
      <w:pPr>
        <w:pStyle w:val="CommentText"/>
      </w:pPr>
      <w:r>
        <w:rPr>
          <w:rStyle w:val="CommentReference"/>
        </w:rPr>
        <w:annotationRef/>
      </w:r>
      <w:proofErr w:type="spellStart"/>
      <w:r>
        <w:t>Italize</w:t>
      </w:r>
      <w:proofErr w:type="spellEnd"/>
      <w:r>
        <w:t xml:space="preserve"> </w:t>
      </w:r>
    </w:p>
  </w:comment>
  <w:comment w:id="8" w:author="BUKKY pc" w:date="2026-07-02T18:10:00Z" w:initials="Bp">
    <w:p w14:paraId="410AD91E" w14:textId="4D2DE92B" w:rsidR="008522DC" w:rsidRDefault="008522DC">
      <w:pPr>
        <w:pStyle w:val="CommentText"/>
      </w:pPr>
      <w:r>
        <w:rPr>
          <w:rStyle w:val="CommentReference"/>
        </w:rPr>
        <w:annotationRef/>
      </w:r>
      <w:r>
        <w:t>Remove the underline</w:t>
      </w:r>
    </w:p>
  </w:comment>
  <w:comment w:id="11" w:author="BUKKY pc" w:date="2026-07-02T18:12:00Z" w:initials="Bp">
    <w:p w14:paraId="7556EAD6" w14:textId="0AF9F078" w:rsidR="008522DC" w:rsidRDefault="008522DC">
      <w:pPr>
        <w:pStyle w:val="CommentText"/>
      </w:pPr>
      <w:r>
        <w:rPr>
          <w:rStyle w:val="CommentReference"/>
        </w:rPr>
        <w:annotationRef/>
      </w:r>
      <w:r>
        <w:t>Meaning the stem get dried before the leave?</w:t>
      </w:r>
    </w:p>
  </w:comment>
  <w:comment w:id="12" w:author="BUKKY pc" w:date="2026-07-02T18:13:00Z" w:initials="Bp">
    <w:p w14:paraId="318AEF8E" w14:textId="4F7EFBF4" w:rsidR="008522DC" w:rsidRDefault="008522DC">
      <w:pPr>
        <w:pStyle w:val="CommentText"/>
      </w:pPr>
      <w:r>
        <w:rPr>
          <w:rStyle w:val="CommentReference"/>
        </w:rPr>
        <w:annotationRef/>
      </w:r>
      <w:proofErr w:type="spellStart"/>
      <w:proofErr w:type="gramStart"/>
      <w:r>
        <w:t>dito</w:t>
      </w:r>
      <w:proofErr w:type="spellEnd"/>
      <w:proofErr w:type="gramEnd"/>
    </w:p>
  </w:comment>
  <w:comment w:id="13" w:author="BUKKY pc" w:date="2026-07-02T18:14:00Z" w:initials="Bp">
    <w:p w14:paraId="5594938F" w14:textId="1EDB3017" w:rsidR="008522DC" w:rsidRDefault="008522DC">
      <w:pPr>
        <w:pStyle w:val="CommentText"/>
      </w:pPr>
      <w:r>
        <w:rPr>
          <w:rStyle w:val="CommentReference"/>
        </w:rPr>
        <w:annotationRef/>
      </w:r>
      <w:proofErr w:type="gramStart"/>
      <w:r>
        <w:t>standard</w:t>
      </w:r>
      <w:proofErr w:type="gramEnd"/>
      <w:r>
        <w:t xml:space="preserve"> symbol</w:t>
      </w:r>
    </w:p>
  </w:comment>
  <w:comment w:id="14" w:author="BUKKY pc" w:date="2026-07-02T18:15:00Z" w:initials="Bp">
    <w:p w14:paraId="59D092FC" w14:textId="6DAFBA44" w:rsidR="008522DC" w:rsidRDefault="008522DC">
      <w:pPr>
        <w:pStyle w:val="CommentText"/>
      </w:pPr>
      <w:r>
        <w:rPr>
          <w:rStyle w:val="CommentReference"/>
        </w:rPr>
        <w:annotationRef/>
      </w:r>
      <w:proofErr w:type="gramStart"/>
      <w:r>
        <w:t>correct</w:t>
      </w:r>
      <w:proofErr w:type="gramEnd"/>
      <w:r>
        <w:t xml:space="preserve"> spelling</w:t>
      </w:r>
    </w:p>
  </w:comment>
  <w:comment w:id="15" w:author="BUKKY pc" w:date="2026-07-02T18:16:00Z" w:initials="Bp">
    <w:p w14:paraId="0989A90F" w14:textId="49FBACA0" w:rsidR="008522DC" w:rsidRDefault="008522DC">
      <w:pPr>
        <w:pStyle w:val="CommentText"/>
      </w:pPr>
      <w:r>
        <w:rPr>
          <w:rStyle w:val="CommentReference"/>
        </w:rPr>
        <w:annotationRef/>
      </w:r>
      <w:proofErr w:type="gramStart"/>
      <w:r>
        <w:t>write</w:t>
      </w:r>
      <w:proofErr w:type="gramEnd"/>
      <w:r>
        <w:t xml:space="preserve"> a proper procedure for your methods please</w:t>
      </w:r>
    </w:p>
  </w:comment>
  <w:comment w:id="16" w:author="BUKKY pc" w:date="2026-07-02T18:17:00Z" w:initials="Bp">
    <w:p w14:paraId="3E2AD858" w14:textId="68FBE06A" w:rsidR="001928C1" w:rsidRDefault="001928C1">
      <w:pPr>
        <w:pStyle w:val="CommentText"/>
      </w:pPr>
      <w:r>
        <w:rPr>
          <w:rStyle w:val="CommentReference"/>
        </w:rPr>
        <w:annotationRef/>
      </w:r>
      <w:proofErr w:type="gramStart"/>
      <w:r>
        <w:t>consistency</w:t>
      </w:r>
      <w:proofErr w:type="gramEnd"/>
      <w:r>
        <w:t xml:space="preserve"> is key</w:t>
      </w:r>
    </w:p>
  </w:comment>
  <w:comment w:id="17" w:author="BUKKY pc" w:date="2026-07-02T18:18:00Z" w:initials="Bp">
    <w:p w14:paraId="21DD2C02" w14:textId="1540F6E7" w:rsidR="001928C1" w:rsidRDefault="001928C1">
      <w:pPr>
        <w:pStyle w:val="CommentText"/>
      </w:pPr>
      <w:r>
        <w:rPr>
          <w:rStyle w:val="CommentReference"/>
        </w:rPr>
        <w:annotationRef/>
      </w:r>
      <w:proofErr w:type="gramStart"/>
      <w:r>
        <w:t>use</w:t>
      </w:r>
      <w:proofErr w:type="gramEnd"/>
      <w:r>
        <w:t xml:space="preserve"> key </w:t>
      </w:r>
    </w:p>
  </w:comment>
  <w:comment w:id="20" w:author="BUKKY pc" w:date="2026-07-02T18:20:00Z" w:initials="Bp">
    <w:p w14:paraId="784CCBB7" w14:textId="10DB2ED9" w:rsidR="001928C1" w:rsidRDefault="001928C1">
      <w:pPr>
        <w:pStyle w:val="CommentText"/>
      </w:pPr>
      <w:r>
        <w:rPr>
          <w:rStyle w:val="CommentReference"/>
        </w:rPr>
        <w:annotationRef/>
      </w:r>
      <w:proofErr w:type="spellStart"/>
      <w:proofErr w:type="gramStart"/>
      <w:r>
        <w:t>dito</w:t>
      </w:r>
      <w:proofErr w:type="spellEnd"/>
      <w:proofErr w:type="gramEnd"/>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F2A05A" w14:textId="77777777" w:rsidR="00FF7889" w:rsidRDefault="00FF7889" w:rsidP="00AB6CC8">
      <w:pPr>
        <w:spacing w:after="0" w:line="240" w:lineRule="auto"/>
      </w:pPr>
      <w:r>
        <w:separator/>
      </w:r>
    </w:p>
  </w:endnote>
  <w:endnote w:type="continuationSeparator" w:id="0">
    <w:p w14:paraId="255294BA" w14:textId="77777777" w:rsidR="00FF7889" w:rsidRDefault="00FF7889" w:rsidP="00AB6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Roboto">
    <w:altName w:val="Times New Roman"/>
    <w:charset w:val="00"/>
    <w:family w:val="auto"/>
    <w:pitch w:val="variable"/>
    <w:sig w:usb0="00000001" w:usb1="5000217F" w:usb2="00000021"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DA1D1" w14:textId="77777777" w:rsidR="008522DC" w:rsidRDefault="008522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A5C0D" w14:textId="77777777" w:rsidR="008522DC" w:rsidRDefault="008522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91659" w14:textId="77777777" w:rsidR="008522DC" w:rsidRDefault="008522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6DCB2" w14:textId="77777777" w:rsidR="00FF7889" w:rsidRDefault="00FF7889" w:rsidP="00AB6CC8">
      <w:pPr>
        <w:spacing w:after="0" w:line="240" w:lineRule="auto"/>
      </w:pPr>
      <w:r>
        <w:separator/>
      </w:r>
    </w:p>
  </w:footnote>
  <w:footnote w:type="continuationSeparator" w:id="0">
    <w:p w14:paraId="1A00EDF4" w14:textId="77777777" w:rsidR="00FF7889" w:rsidRDefault="00FF7889" w:rsidP="00AB6C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35673" w14:textId="39188590" w:rsidR="008522DC" w:rsidRDefault="008522DC">
    <w:pPr>
      <w:pStyle w:val="Header"/>
    </w:pPr>
    <w:r>
      <w:rPr>
        <w:noProof/>
      </w:rPr>
      <w:pict w14:anchorId="18957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1"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36AE0" w14:textId="2A712822" w:rsidR="008522DC" w:rsidRDefault="008522DC">
    <w:pPr>
      <w:pStyle w:val="Header"/>
    </w:pPr>
    <w:r>
      <w:rPr>
        <w:noProof/>
      </w:rPr>
      <w:pict w14:anchorId="629934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2"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F3017" w14:textId="307C48E6" w:rsidR="008522DC" w:rsidRDefault="008522DC">
    <w:pPr>
      <w:pStyle w:val="Header"/>
    </w:pPr>
    <w:r>
      <w:rPr>
        <w:noProof/>
      </w:rPr>
      <w:pict w14:anchorId="2A1987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0726390"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1688"/>
    <w:multiLevelType w:val="hybridMultilevel"/>
    <w:tmpl w:val="720EE36A"/>
    <w:lvl w:ilvl="0" w:tplc="A620895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12688"/>
    <w:multiLevelType w:val="hybridMultilevel"/>
    <w:tmpl w:val="F9827F06"/>
    <w:lvl w:ilvl="0" w:tplc="A41EC654">
      <w:start w:val="3"/>
      <w:numFmt w:val="bullet"/>
      <w:lvlText w:val="-"/>
      <w:lvlJc w:val="left"/>
      <w:pPr>
        <w:ind w:left="960" w:hanging="360"/>
      </w:pPr>
      <w:rPr>
        <w:rFonts w:ascii="Times New Roman" w:eastAsia="Calibri" w:hAnsi="Times New Roman" w:cs="Times New Roman" w:hint="default"/>
      </w:rPr>
    </w:lvl>
    <w:lvl w:ilvl="1" w:tplc="04090003">
      <w:start w:val="1"/>
      <w:numFmt w:val="bullet"/>
      <w:lvlText w:val="o"/>
      <w:lvlJc w:val="left"/>
      <w:pPr>
        <w:ind w:left="1680" w:hanging="360"/>
      </w:pPr>
      <w:rPr>
        <w:rFonts w:ascii="Courier New" w:hAnsi="Courier New" w:cs="Courier New" w:hint="default"/>
      </w:rPr>
    </w:lvl>
    <w:lvl w:ilvl="2" w:tplc="04090005">
      <w:start w:val="1"/>
      <w:numFmt w:val="bullet"/>
      <w:lvlText w:val=""/>
      <w:lvlJc w:val="left"/>
      <w:pPr>
        <w:ind w:left="2400" w:hanging="360"/>
      </w:pPr>
      <w:rPr>
        <w:rFonts w:ascii="Wingdings" w:hAnsi="Wingdings" w:hint="default"/>
      </w:rPr>
    </w:lvl>
    <w:lvl w:ilvl="3" w:tplc="04090001">
      <w:start w:val="1"/>
      <w:numFmt w:val="bullet"/>
      <w:lvlText w:val=""/>
      <w:lvlJc w:val="left"/>
      <w:pPr>
        <w:ind w:left="3120" w:hanging="360"/>
      </w:pPr>
      <w:rPr>
        <w:rFonts w:ascii="Symbol" w:hAnsi="Symbol" w:hint="default"/>
      </w:rPr>
    </w:lvl>
    <w:lvl w:ilvl="4" w:tplc="04090003">
      <w:start w:val="1"/>
      <w:numFmt w:val="bullet"/>
      <w:lvlText w:val="o"/>
      <w:lvlJc w:val="left"/>
      <w:pPr>
        <w:ind w:left="3840" w:hanging="360"/>
      </w:pPr>
      <w:rPr>
        <w:rFonts w:ascii="Courier New" w:hAnsi="Courier New" w:cs="Courier New" w:hint="default"/>
      </w:rPr>
    </w:lvl>
    <w:lvl w:ilvl="5" w:tplc="04090005">
      <w:start w:val="1"/>
      <w:numFmt w:val="bullet"/>
      <w:lvlText w:val=""/>
      <w:lvlJc w:val="left"/>
      <w:pPr>
        <w:ind w:left="4560" w:hanging="360"/>
      </w:pPr>
      <w:rPr>
        <w:rFonts w:ascii="Wingdings" w:hAnsi="Wingdings" w:hint="default"/>
      </w:rPr>
    </w:lvl>
    <w:lvl w:ilvl="6" w:tplc="04090001">
      <w:start w:val="1"/>
      <w:numFmt w:val="bullet"/>
      <w:lvlText w:val=""/>
      <w:lvlJc w:val="left"/>
      <w:pPr>
        <w:ind w:left="5280" w:hanging="360"/>
      </w:pPr>
      <w:rPr>
        <w:rFonts w:ascii="Symbol" w:hAnsi="Symbol" w:hint="default"/>
      </w:rPr>
    </w:lvl>
    <w:lvl w:ilvl="7" w:tplc="04090003">
      <w:start w:val="1"/>
      <w:numFmt w:val="bullet"/>
      <w:lvlText w:val="o"/>
      <w:lvlJc w:val="left"/>
      <w:pPr>
        <w:ind w:left="6000" w:hanging="360"/>
      </w:pPr>
      <w:rPr>
        <w:rFonts w:ascii="Courier New" w:hAnsi="Courier New" w:cs="Courier New" w:hint="default"/>
      </w:rPr>
    </w:lvl>
    <w:lvl w:ilvl="8" w:tplc="04090005">
      <w:start w:val="1"/>
      <w:numFmt w:val="bullet"/>
      <w:lvlText w:val=""/>
      <w:lvlJc w:val="left"/>
      <w:pPr>
        <w:ind w:left="6720" w:hanging="360"/>
      </w:pPr>
      <w:rPr>
        <w:rFonts w:ascii="Wingdings" w:hAnsi="Wingdings" w:hint="default"/>
      </w:rPr>
    </w:lvl>
  </w:abstractNum>
  <w:abstractNum w:abstractNumId="2">
    <w:nsid w:val="073E054A"/>
    <w:multiLevelType w:val="hybridMultilevel"/>
    <w:tmpl w:val="271E0866"/>
    <w:lvl w:ilvl="0" w:tplc="49FA74C4">
      <w:start w:val="1"/>
      <w:numFmt w:val="lowerLetter"/>
      <w:lvlText w:val="(%1)"/>
      <w:lvlJc w:val="left"/>
      <w:pPr>
        <w:ind w:left="720" w:hanging="360"/>
      </w:pPr>
      <w:rPr>
        <w:rFonts w:ascii="Times New Roman" w:eastAsiaTheme="minorHAnsi" w:hAnsi="Times New Roman" w:cs="Times New Roman"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D33AEC"/>
    <w:multiLevelType w:val="hybridMultilevel"/>
    <w:tmpl w:val="110430AC"/>
    <w:lvl w:ilvl="0" w:tplc="D9866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A43DE"/>
    <w:multiLevelType w:val="hybridMultilevel"/>
    <w:tmpl w:val="724ADDE2"/>
    <w:lvl w:ilvl="0" w:tplc="B86C7E08">
      <w:start w:val="1"/>
      <w:numFmt w:val="lowerLetter"/>
      <w:lvlText w:val="(%1)"/>
      <w:lvlJc w:val="left"/>
      <w:pPr>
        <w:ind w:left="720" w:hanging="360"/>
      </w:pPr>
      <w:rPr>
        <w:rFonts w:ascii="Times New Roman" w:eastAsiaTheme="minorHAnsi"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5368E1"/>
    <w:multiLevelType w:val="hybridMultilevel"/>
    <w:tmpl w:val="B4B865E8"/>
    <w:lvl w:ilvl="0" w:tplc="ECC6FA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605A81"/>
    <w:multiLevelType w:val="hybridMultilevel"/>
    <w:tmpl w:val="5EE6F2C6"/>
    <w:lvl w:ilvl="0" w:tplc="4C0CF3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817495"/>
    <w:multiLevelType w:val="hybridMultilevel"/>
    <w:tmpl w:val="60FAEC82"/>
    <w:lvl w:ilvl="0" w:tplc="C464B7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70866"/>
    <w:multiLevelType w:val="hybridMultilevel"/>
    <w:tmpl w:val="C0B6AAA6"/>
    <w:lvl w:ilvl="0" w:tplc="BE08C04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A34FEB"/>
    <w:multiLevelType w:val="hybridMultilevel"/>
    <w:tmpl w:val="519E81EC"/>
    <w:lvl w:ilvl="0" w:tplc="FD2E8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CC1218"/>
    <w:multiLevelType w:val="hybridMultilevel"/>
    <w:tmpl w:val="D132E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6C3793"/>
    <w:multiLevelType w:val="hybridMultilevel"/>
    <w:tmpl w:val="68FCFB68"/>
    <w:lvl w:ilvl="0" w:tplc="FF04F756">
      <w:start w:val="1"/>
      <w:numFmt w:val="low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7C577F"/>
    <w:multiLevelType w:val="hybridMultilevel"/>
    <w:tmpl w:val="4E2AF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877C3D"/>
    <w:multiLevelType w:val="hybridMultilevel"/>
    <w:tmpl w:val="03CE3486"/>
    <w:lvl w:ilvl="0" w:tplc="ABC63A38">
      <w:start w:val="1"/>
      <w:numFmt w:val="lowerLetter"/>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4B733A02"/>
    <w:multiLevelType w:val="hybridMultilevel"/>
    <w:tmpl w:val="AC6E9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2624542"/>
    <w:multiLevelType w:val="hybridMultilevel"/>
    <w:tmpl w:val="E66A03CE"/>
    <w:lvl w:ilvl="0" w:tplc="0EB47D4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7D693E"/>
    <w:multiLevelType w:val="hybridMultilevel"/>
    <w:tmpl w:val="CFEAF15C"/>
    <w:lvl w:ilvl="0" w:tplc="ABDA41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DF12BE"/>
    <w:multiLevelType w:val="hybridMultilevel"/>
    <w:tmpl w:val="630A1522"/>
    <w:lvl w:ilvl="0" w:tplc="3E00FD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B061DC"/>
    <w:multiLevelType w:val="hybridMultilevel"/>
    <w:tmpl w:val="EFA66E1A"/>
    <w:lvl w:ilvl="0" w:tplc="0C0EB1B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8A633E"/>
    <w:multiLevelType w:val="hybridMultilevel"/>
    <w:tmpl w:val="12164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0D443A"/>
    <w:multiLevelType w:val="hybridMultilevel"/>
    <w:tmpl w:val="B33EC4F4"/>
    <w:lvl w:ilvl="0" w:tplc="DD44F3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20"/>
  </w:num>
  <w:num w:numId="4">
    <w:abstractNumId w:val="0"/>
  </w:num>
  <w:num w:numId="5">
    <w:abstractNumId w:val="13"/>
  </w:num>
  <w:num w:numId="6">
    <w:abstractNumId w:val="9"/>
  </w:num>
  <w:num w:numId="7">
    <w:abstractNumId w:val="8"/>
  </w:num>
  <w:num w:numId="8">
    <w:abstractNumId w:val="18"/>
  </w:num>
  <w:num w:numId="9">
    <w:abstractNumId w:val="4"/>
  </w:num>
  <w:num w:numId="10">
    <w:abstractNumId w:val="2"/>
  </w:num>
  <w:num w:numId="11">
    <w:abstractNumId w:val="5"/>
  </w:num>
  <w:num w:numId="12">
    <w:abstractNumId w:val="7"/>
  </w:num>
  <w:num w:numId="13">
    <w:abstractNumId w:val="3"/>
  </w:num>
  <w:num w:numId="14">
    <w:abstractNumId w:val="15"/>
  </w:num>
  <w:num w:numId="15">
    <w:abstractNumId w:val="6"/>
  </w:num>
  <w:num w:numId="16">
    <w:abstractNumId w:val="17"/>
  </w:num>
  <w:num w:numId="17">
    <w:abstractNumId w:val="1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6A9"/>
    <w:rsid w:val="00016B90"/>
    <w:rsid w:val="00092256"/>
    <w:rsid w:val="00092CD3"/>
    <w:rsid w:val="000955F6"/>
    <w:rsid w:val="000B30AA"/>
    <w:rsid w:val="000E295F"/>
    <w:rsid w:val="000E774F"/>
    <w:rsid w:val="000F3DCE"/>
    <w:rsid w:val="00114D46"/>
    <w:rsid w:val="00125155"/>
    <w:rsid w:val="001667D9"/>
    <w:rsid w:val="00173ED7"/>
    <w:rsid w:val="001928C1"/>
    <w:rsid w:val="001A123B"/>
    <w:rsid w:val="001C0933"/>
    <w:rsid w:val="001C73B4"/>
    <w:rsid w:val="001D0213"/>
    <w:rsid w:val="00241922"/>
    <w:rsid w:val="00272DC2"/>
    <w:rsid w:val="002746E1"/>
    <w:rsid w:val="00282E92"/>
    <w:rsid w:val="002C2637"/>
    <w:rsid w:val="003069BE"/>
    <w:rsid w:val="0032642A"/>
    <w:rsid w:val="003713E0"/>
    <w:rsid w:val="00374406"/>
    <w:rsid w:val="0038029A"/>
    <w:rsid w:val="003900D6"/>
    <w:rsid w:val="00391EF9"/>
    <w:rsid w:val="003930BD"/>
    <w:rsid w:val="003C5742"/>
    <w:rsid w:val="003D04B8"/>
    <w:rsid w:val="0043256E"/>
    <w:rsid w:val="00443675"/>
    <w:rsid w:val="0044514E"/>
    <w:rsid w:val="004816A9"/>
    <w:rsid w:val="004A097D"/>
    <w:rsid w:val="004C3D0E"/>
    <w:rsid w:val="004C5BD9"/>
    <w:rsid w:val="004D3F41"/>
    <w:rsid w:val="004D7BD3"/>
    <w:rsid w:val="004E2A6A"/>
    <w:rsid w:val="005018A8"/>
    <w:rsid w:val="005102F0"/>
    <w:rsid w:val="00514C70"/>
    <w:rsid w:val="00525524"/>
    <w:rsid w:val="00526251"/>
    <w:rsid w:val="005628E7"/>
    <w:rsid w:val="005800D6"/>
    <w:rsid w:val="005818A5"/>
    <w:rsid w:val="00583086"/>
    <w:rsid w:val="005C225C"/>
    <w:rsid w:val="005D5811"/>
    <w:rsid w:val="005F6745"/>
    <w:rsid w:val="00650116"/>
    <w:rsid w:val="00683834"/>
    <w:rsid w:val="00691A01"/>
    <w:rsid w:val="006A571F"/>
    <w:rsid w:val="00700A5F"/>
    <w:rsid w:val="00713CC8"/>
    <w:rsid w:val="00735026"/>
    <w:rsid w:val="007374DA"/>
    <w:rsid w:val="007500B5"/>
    <w:rsid w:val="00767425"/>
    <w:rsid w:val="00773604"/>
    <w:rsid w:val="007B7B23"/>
    <w:rsid w:val="00807D50"/>
    <w:rsid w:val="008142D9"/>
    <w:rsid w:val="00815B8A"/>
    <w:rsid w:val="00826A40"/>
    <w:rsid w:val="00835189"/>
    <w:rsid w:val="008460F1"/>
    <w:rsid w:val="008522DC"/>
    <w:rsid w:val="00880F83"/>
    <w:rsid w:val="00895405"/>
    <w:rsid w:val="008C339C"/>
    <w:rsid w:val="00923648"/>
    <w:rsid w:val="0094173F"/>
    <w:rsid w:val="00962887"/>
    <w:rsid w:val="009955BD"/>
    <w:rsid w:val="009B65E6"/>
    <w:rsid w:val="009E6EDF"/>
    <w:rsid w:val="00A01860"/>
    <w:rsid w:val="00A24957"/>
    <w:rsid w:val="00A2618B"/>
    <w:rsid w:val="00A528CF"/>
    <w:rsid w:val="00A60405"/>
    <w:rsid w:val="00A64E90"/>
    <w:rsid w:val="00A83666"/>
    <w:rsid w:val="00A906B1"/>
    <w:rsid w:val="00A9259B"/>
    <w:rsid w:val="00A93AE0"/>
    <w:rsid w:val="00A950BB"/>
    <w:rsid w:val="00AB6CC8"/>
    <w:rsid w:val="00AD1710"/>
    <w:rsid w:val="00AD75D4"/>
    <w:rsid w:val="00AE13B4"/>
    <w:rsid w:val="00AF20C1"/>
    <w:rsid w:val="00AF6BE1"/>
    <w:rsid w:val="00B20396"/>
    <w:rsid w:val="00B41CA3"/>
    <w:rsid w:val="00BD473A"/>
    <w:rsid w:val="00C80E33"/>
    <w:rsid w:val="00C90462"/>
    <w:rsid w:val="00D15527"/>
    <w:rsid w:val="00D36821"/>
    <w:rsid w:val="00D8023C"/>
    <w:rsid w:val="00D94E70"/>
    <w:rsid w:val="00D95314"/>
    <w:rsid w:val="00DB3190"/>
    <w:rsid w:val="00DC39B9"/>
    <w:rsid w:val="00DE5EE9"/>
    <w:rsid w:val="00E06D10"/>
    <w:rsid w:val="00E10397"/>
    <w:rsid w:val="00E12BBF"/>
    <w:rsid w:val="00E2166E"/>
    <w:rsid w:val="00E3315D"/>
    <w:rsid w:val="00E57F4A"/>
    <w:rsid w:val="00E61B00"/>
    <w:rsid w:val="00E63C62"/>
    <w:rsid w:val="00EB4FCD"/>
    <w:rsid w:val="00ED576E"/>
    <w:rsid w:val="00ED5B69"/>
    <w:rsid w:val="00EF66BA"/>
    <w:rsid w:val="00F00DBF"/>
    <w:rsid w:val="00F12B46"/>
    <w:rsid w:val="00F36C9C"/>
    <w:rsid w:val="00F36F1D"/>
    <w:rsid w:val="00F41AA2"/>
    <w:rsid w:val="00F55B65"/>
    <w:rsid w:val="00F80711"/>
    <w:rsid w:val="00F80A73"/>
    <w:rsid w:val="00F90B1A"/>
    <w:rsid w:val="00FB3C65"/>
    <w:rsid w:val="00FC4877"/>
    <w:rsid w:val="00FD256E"/>
    <w:rsid w:val="00FF0CB0"/>
    <w:rsid w:val="00FF3BE2"/>
    <w:rsid w:val="00FF7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7B5D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6A9"/>
  </w:style>
  <w:style w:type="paragraph" w:styleId="Heading2">
    <w:name w:val="heading 2"/>
    <w:basedOn w:val="Normal"/>
    <w:next w:val="Normal"/>
    <w:link w:val="Heading2Char"/>
    <w:uiPriority w:val="9"/>
    <w:unhideWhenUsed/>
    <w:qFormat/>
    <w:rsid w:val="00D94E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6A9"/>
    <w:pPr>
      <w:spacing w:after="0" w:line="276" w:lineRule="auto"/>
      <w:ind w:left="720"/>
    </w:pPr>
    <w:rPr>
      <w:rFonts w:ascii="Calibri" w:eastAsia="SimSun" w:hAnsi="Calibri" w:cs="Times New Roman"/>
      <w:sz w:val="21"/>
      <w:lang w:eastAsia="zh-CN"/>
    </w:rPr>
  </w:style>
  <w:style w:type="character" w:styleId="Hyperlink">
    <w:name w:val="Hyperlink"/>
    <w:uiPriority w:val="99"/>
    <w:rsid w:val="004816A9"/>
    <w:rPr>
      <w:rFonts w:ascii="Calibri" w:eastAsia="Calibri" w:hAnsi="Calibri" w:cs="SimSun"/>
      <w:color w:val="0000FF"/>
      <w:sz w:val="22"/>
      <w:szCs w:val="22"/>
      <w:u w:val="single"/>
      <w:lang w:val="en-US" w:eastAsia="en-US" w:bidi="ar-SA"/>
    </w:rPr>
  </w:style>
  <w:style w:type="character" w:styleId="Strong">
    <w:name w:val="Strong"/>
    <w:basedOn w:val="DefaultParagraphFont"/>
    <w:uiPriority w:val="22"/>
    <w:qFormat/>
    <w:rsid w:val="003930BD"/>
    <w:rPr>
      <w:b/>
      <w:bCs/>
    </w:rPr>
  </w:style>
  <w:style w:type="character" w:styleId="Emphasis">
    <w:name w:val="Emphasis"/>
    <w:basedOn w:val="DefaultParagraphFont"/>
    <w:uiPriority w:val="20"/>
    <w:qFormat/>
    <w:rsid w:val="003930BD"/>
    <w:rPr>
      <w:i/>
      <w:iCs/>
    </w:rPr>
  </w:style>
  <w:style w:type="paragraph" w:customStyle="1" w:styleId="Pa8">
    <w:name w:val="Pa8"/>
    <w:basedOn w:val="Normal"/>
    <w:next w:val="Normal"/>
    <w:uiPriority w:val="99"/>
    <w:rsid w:val="00A950BB"/>
    <w:pPr>
      <w:autoSpaceDE w:val="0"/>
      <w:autoSpaceDN w:val="0"/>
      <w:adjustRightInd w:val="0"/>
      <w:spacing w:after="0" w:line="221" w:lineRule="atLeast"/>
    </w:pPr>
    <w:rPr>
      <w:rFonts w:ascii="Arial" w:eastAsia="Calibri" w:hAnsi="Arial" w:cs="Arial"/>
      <w:sz w:val="24"/>
      <w:szCs w:val="24"/>
    </w:rPr>
  </w:style>
  <w:style w:type="character" w:customStyle="1" w:styleId="A1">
    <w:name w:val="A1"/>
    <w:uiPriority w:val="99"/>
    <w:rsid w:val="00A950BB"/>
    <w:rPr>
      <w:color w:val="000000"/>
    </w:rPr>
  </w:style>
  <w:style w:type="paragraph" w:styleId="BodyText">
    <w:name w:val="Body Text"/>
    <w:basedOn w:val="Normal"/>
    <w:link w:val="BodyTextChar"/>
    <w:uiPriority w:val="99"/>
    <w:unhideWhenUsed/>
    <w:rsid w:val="00E3315D"/>
    <w:pPr>
      <w:spacing w:after="120" w:line="276" w:lineRule="auto"/>
    </w:pPr>
    <w:rPr>
      <w:rFonts w:ascii="Calibri" w:eastAsia="Calibri" w:hAnsi="Calibri" w:cs="Times New Roman"/>
      <w:lang w:val="en-GB"/>
    </w:rPr>
  </w:style>
  <w:style w:type="character" w:customStyle="1" w:styleId="BodyTextChar">
    <w:name w:val="Body Text Char"/>
    <w:basedOn w:val="DefaultParagraphFont"/>
    <w:link w:val="BodyText"/>
    <w:uiPriority w:val="99"/>
    <w:rsid w:val="00E3315D"/>
    <w:rPr>
      <w:rFonts w:ascii="Calibri" w:eastAsia="Calibri" w:hAnsi="Calibri" w:cs="Times New Roman"/>
      <w:lang w:val="en-GB"/>
    </w:rPr>
  </w:style>
  <w:style w:type="character" w:customStyle="1" w:styleId="Heading2Char">
    <w:name w:val="Heading 2 Char"/>
    <w:basedOn w:val="DefaultParagraphFont"/>
    <w:link w:val="Heading2"/>
    <w:uiPriority w:val="9"/>
    <w:rsid w:val="00D94E70"/>
    <w:rPr>
      <w:rFonts w:asciiTheme="majorHAnsi" w:eastAsiaTheme="majorEastAsia" w:hAnsiTheme="majorHAnsi" w:cstheme="majorBidi"/>
      <w:color w:val="2F5496" w:themeColor="accent1" w:themeShade="BF"/>
      <w:sz w:val="26"/>
      <w:szCs w:val="26"/>
    </w:rPr>
  </w:style>
  <w:style w:type="table" w:customStyle="1" w:styleId="LightShading1">
    <w:name w:val="Light Shading1"/>
    <w:basedOn w:val="TableNormal"/>
    <w:uiPriority w:val="60"/>
    <w:rsid w:val="00D94E70"/>
    <w:pPr>
      <w:spacing w:after="0" w:line="240" w:lineRule="auto"/>
    </w:pPr>
    <w:rPr>
      <w:color w:val="000000" w:themeColor="text1" w:themeShade="BF"/>
      <w:kern w:val="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
    <w:name w:val="Plain Table 2"/>
    <w:basedOn w:val="TableNormal"/>
    <w:uiPriority w:val="42"/>
    <w:rsid w:val="00D94E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rsid w:val="00D94E7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
    <w:name w:val="Grid Table 6 Colorful"/>
    <w:basedOn w:val="TableNormal"/>
    <w:uiPriority w:val="51"/>
    <w:rsid w:val="00D94E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AB6C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CC8"/>
    <w:rPr>
      <w:sz w:val="20"/>
      <w:szCs w:val="20"/>
    </w:rPr>
  </w:style>
  <w:style w:type="character" w:styleId="FootnoteReference">
    <w:name w:val="footnote reference"/>
    <w:basedOn w:val="DefaultParagraphFont"/>
    <w:uiPriority w:val="99"/>
    <w:semiHidden/>
    <w:unhideWhenUsed/>
    <w:rsid w:val="00AB6CC8"/>
    <w:rPr>
      <w:vertAlign w:val="superscript"/>
    </w:rPr>
  </w:style>
  <w:style w:type="paragraph" w:styleId="NormalWeb">
    <w:name w:val="Normal (Web)"/>
    <w:basedOn w:val="Normal"/>
    <w:uiPriority w:val="99"/>
    <w:semiHidden/>
    <w:unhideWhenUsed/>
    <w:rsid w:val="00ED5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Head">
    <w:name w:val="Refer Head"/>
    <w:basedOn w:val="Normal"/>
    <w:rsid w:val="00735026"/>
    <w:pPr>
      <w:keepNext/>
      <w:spacing w:after="240" w:line="240" w:lineRule="auto"/>
    </w:pPr>
    <w:rPr>
      <w:rFonts w:ascii="Helvetica" w:eastAsia="Times New Roman" w:hAnsi="Helvetica" w:cs="Times New Roman"/>
      <w:b/>
      <w:caps/>
      <w:szCs w:val="20"/>
    </w:rPr>
  </w:style>
  <w:style w:type="paragraph" w:customStyle="1" w:styleId="Default">
    <w:name w:val="Default"/>
    <w:rsid w:val="00FB3C65"/>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Normal"/>
    <w:rsid w:val="00C90462"/>
    <w:pPr>
      <w:spacing w:after="240" w:line="240" w:lineRule="auto"/>
      <w:jc w:val="both"/>
    </w:pPr>
    <w:rPr>
      <w:rFonts w:ascii="Helvetica" w:eastAsia="Times New Roman" w:hAnsi="Helvetica" w:cs="Times New Roman"/>
      <w:sz w:val="20"/>
      <w:szCs w:val="20"/>
    </w:rPr>
  </w:style>
  <w:style w:type="paragraph" w:customStyle="1" w:styleId="AcknHead">
    <w:name w:val="Ackn Head"/>
    <w:basedOn w:val="Normal"/>
    <w:rsid w:val="00C90462"/>
    <w:pPr>
      <w:keepNext/>
      <w:spacing w:after="240" w:line="240" w:lineRule="auto"/>
    </w:pPr>
    <w:rPr>
      <w:rFonts w:ascii="Helvetica" w:eastAsia="Times New Roman" w:hAnsi="Helvetica" w:cs="Times New Roman"/>
      <w:b/>
      <w:caps/>
      <w:szCs w:val="20"/>
    </w:rPr>
  </w:style>
  <w:style w:type="paragraph" w:styleId="Header">
    <w:name w:val="header"/>
    <w:basedOn w:val="Normal"/>
    <w:link w:val="HeaderChar"/>
    <w:uiPriority w:val="99"/>
    <w:unhideWhenUsed/>
    <w:rsid w:val="001C7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3B4"/>
  </w:style>
  <w:style w:type="paragraph" w:styleId="Footer">
    <w:name w:val="footer"/>
    <w:basedOn w:val="Normal"/>
    <w:link w:val="FooterChar"/>
    <w:uiPriority w:val="99"/>
    <w:unhideWhenUsed/>
    <w:rsid w:val="001C7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3B4"/>
  </w:style>
  <w:style w:type="character" w:styleId="CommentReference">
    <w:name w:val="annotation reference"/>
    <w:basedOn w:val="DefaultParagraphFont"/>
    <w:uiPriority w:val="99"/>
    <w:semiHidden/>
    <w:unhideWhenUsed/>
    <w:rsid w:val="005F6745"/>
    <w:rPr>
      <w:sz w:val="16"/>
      <w:szCs w:val="16"/>
    </w:rPr>
  </w:style>
  <w:style w:type="paragraph" w:styleId="CommentText">
    <w:name w:val="annotation text"/>
    <w:basedOn w:val="Normal"/>
    <w:link w:val="CommentTextChar"/>
    <w:uiPriority w:val="99"/>
    <w:semiHidden/>
    <w:unhideWhenUsed/>
    <w:rsid w:val="005F6745"/>
    <w:pPr>
      <w:spacing w:line="240" w:lineRule="auto"/>
    </w:pPr>
    <w:rPr>
      <w:sz w:val="20"/>
      <w:szCs w:val="20"/>
    </w:rPr>
  </w:style>
  <w:style w:type="character" w:customStyle="1" w:styleId="CommentTextChar">
    <w:name w:val="Comment Text Char"/>
    <w:basedOn w:val="DefaultParagraphFont"/>
    <w:link w:val="CommentText"/>
    <w:uiPriority w:val="99"/>
    <w:semiHidden/>
    <w:rsid w:val="005F6745"/>
    <w:rPr>
      <w:sz w:val="20"/>
      <w:szCs w:val="20"/>
    </w:rPr>
  </w:style>
  <w:style w:type="paragraph" w:styleId="CommentSubject">
    <w:name w:val="annotation subject"/>
    <w:basedOn w:val="CommentText"/>
    <w:next w:val="CommentText"/>
    <w:link w:val="CommentSubjectChar"/>
    <w:uiPriority w:val="99"/>
    <w:semiHidden/>
    <w:unhideWhenUsed/>
    <w:rsid w:val="005F6745"/>
    <w:rPr>
      <w:b/>
      <w:bCs/>
    </w:rPr>
  </w:style>
  <w:style w:type="character" w:customStyle="1" w:styleId="CommentSubjectChar">
    <w:name w:val="Comment Subject Char"/>
    <w:basedOn w:val="CommentTextChar"/>
    <w:link w:val="CommentSubject"/>
    <w:uiPriority w:val="99"/>
    <w:semiHidden/>
    <w:rsid w:val="005F6745"/>
    <w:rPr>
      <w:b/>
      <w:bCs/>
      <w:sz w:val="20"/>
      <w:szCs w:val="20"/>
    </w:rPr>
  </w:style>
  <w:style w:type="paragraph" w:styleId="BalloonText">
    <w:name w:val="Balloon Text"/>
    <w:basedOn w:val="Normal"/>
    <w:link w:val="BalloonTextChar"/>
    <w:uiPriority w:val="99"/>
    <w:semiHidden/>
    <w:unhideWhenUsed/>
    <w:rsid w:val="005F6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7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6A9"/>
  </w:style>
  <w:style w:type="paragraph" w:styleId="Heading2">
    <w:name w:val="heading 2"/>
    <w:basedOn w:val="Normal"/>
    <w:next w:val="Normal"/>
    <w:link w:val="Heading2Char"/>
    <w:uiPriority w:val="9"/>
    <w:unhideWhenUsed/>
    <w:qFormat/>
    <w:rsid w:val="00D94E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6A9"/>
    <w:pPr>
      <w:spacing w:after="0" w:line="276" w:lineRule="auto"/>
      <w:ind w:left="720"/>
    </w:pPr>
    <w:rPr>
      <w:rFonts w:ascii="Calibri" w:eastAsia="SimSun" w:hAnsi="Calibri" w:cs="Times New Roman"/>
      <w:sz w:val="21"/>
      <w:lang w:eastAsia="zh-CN"/>
    </w:rPr>
  </w:style>
  <w:style w:type="character" w:styleId="Hyperlink">
    <w:name w:val="Hyperlink"/>
    <w:uiPriority w:val="99"/>
    <w:rsid w:val="004816A9"/>
    <w:rPr>
      <w:rFonts w:ascii="Calibri" w:eastAsia="Calibri" w:hAnsi="Calibri" w:cs="SimSun"/>
      <w:color w:val="0000FF"/>
      <w:sz w:val="22"/>
      <w:szCs w:val="22"/>
      <w:u w:val="single"/>
      <w:lang w:val="en-US" w:eastAsia="en-US" w:bidi="ar-SA"/>
    </w:rPr>
  </w:style>
  <w:style w:type="character" w:styleId="Strong">
    <w:name w:val="Strong"/>
    <w:basedOn w:val="DefaultParagraphFont"/>
    <w:uiPriority w:val="22"/>
    <w:qFormat/>
    <w:rsid w:val="003930BD"/>
    <w:rPr>
      <w:b/>
      <w:bCs/>
    </w:rPr>
  </w:style>
  <w:style w:type="character" w:styleId="Emphasis">
    <w:name w:val="Emphasis"/>
    <w:basedOn w:val="DefaultParagraphFont"/>
    <w:uiPriority w:val="20"/>
    <w:qFormat/>
    <w:rsid w:val="003930BD"/>
    <w:rPr>
      <w:i/>
      <w:iCs/>
    </w:rPr>
  </w:style>
  <w:style w:type="paragraph" w:customStyle="1" w:styleId="Pa8">
    <w:name w:val="Pa8"/>
    <w:basedOn w:val="Normal"/>
    <w:next w:val="Normal"/>
    <w:uiPriority w:val="99"/>
    <w:rsid w:val="00A950BB"/>
    <w:pPr>
      <w:autoSpaceDE w:val="0"/>
      <w:autoSpaceDN w:val="0"/>
      <w:adjustRightInd w:val="0"/>
      <w:spacing w:after="0" w:line="221" w:lineRule="atLeast"/>
    </w:pPr>
    <w:rPr>
      <w:rFonts w:ascii="Arial" w:eastAsia="Calibri" w:hAnsi="Arial" w:cs="Arial"/>
      <w:sz w:val="24"/>
      <w:szCs w:val="24"/>
    </w:rPr>
  </w:style>
  <w:style w:type="character" w:customStyle="1" w:styleId="A1">
    <w:name w:val="A1"/>
    <w:uiPriority w:val="99"/>
    <w:rsid w:val="00A950BB"/>
    <w:rPr>
      <w:color w:val="000000"/>
    </w:rPr>
  </w:style>
  <w:style w:type="paragraph" w:styleId="BodyText">
    <w:name w:val="Body Text"/>
    <w:basedOn w:val="Normal"/>
    <w:link w:val="BodyTextChar"/>
    <w:uiPriority w:val="99"/>
    <w:unhideWhenUsed/>
    <w:rsid w:val="00E3315D"/>
    <w:pPr>
      <w:spacing w:after="120" w:line="276" w:lineRule="auto"/>
    </w:pPr>
    <w:rPr>
      <w:rFonts w:ascii="Calibri" w:eastAsia="Calibri" w:hAnsi="Calibri" w:cs="Times New Roman"/>
      <w:lang w:val="en-GB"/>
    </w:rPr>
  </w:style>
  <w:style w:type="character" w:customStyle="1" w:styleId="BodyTextChar">
    <w:name w:val="Body Text Char"/>
    <w:basedOn w:val="DefaultParagraphFont"/>
    <w:link w:val="BodyText"/>
    <w:uiPriority w:val="99"/>
    <w:rsid w:val="00E3315D"/>
    <w:rPr>
      <w:rFonts w:ascii="Calibri" w:eastAsia="Calibri" w:hAnsi="Calibri" w:cs="Times New Roman"/>
      <w:lang w:val="en-GB"/>
    </w:rPr>
  </w:style>
  <w:style w:type="character" w:customStyle="1" w:styleId="Heading2Char">
    <w:name w:val="Heading 2 Char"/>
    <w:basedOn w:val="DefaultParagraphFont"/>
    <w:link w:val="Heading2"/>
    <w:uiPriority w:val="9"/>
    <w:rsid w:val="00D94E70"/>
    <w:rPr>
      <w:rFonts w:asciiTheme="majorHAnsi" w:eastAsiaTheme="majorEastAsia" w:hAnsiTheme="majorHAnsi" w:cstheme="majorBidi"/>
      <w:color w:val="2F5496" w:themeColor="accent1" w:themeShade="BF"/>
      <w:sz w:val="26"/>
      <w:szCs w:val="26"/>
    </w:rPr>
  </w:style>
  <w:style w:type="table" w:customStyle="1" w:styleId="LightShading1">
    <w:name w:val="Light Shading1"/>
    <w:basedOn w:val="TableNormal"/>
    <w:uiPriority w:val="60"/>
    <w:rsid w:val="00D94E70"/>
    <w:pPr>
      <w:spacing w:after="0" w:line="240" w:lineRule="auto"/>
    </w:pPr>
    <w:rPr>
      <w:color w:val="000000" w:themeColor="text1" w:themeShade="BF"/>
      <w:kern w:val="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
    <w:name w:val="Plain Table 2"/>
    <w:basedOn w:val="TableNormal"/>
    <w:uiPriority w:val="42"/>
    <w:rsid w:val="00D94E7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rsid w:val="00D94E7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
    <w:name w:val="Grid Table 6 Colorful"/>
    <w:basedOn w:val="TableNormal"/>
    <w:uiPriority w:val="51"/>
    <w:rsid w:val="00D94E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AB6C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CC8"/>
    <w:rPr>
      <w:sz w:val="20"/>
      <w:szCs w:val="20"/>
    </w:rPr>
  </w:style>
  <w:style w:type="character" w:styleId="FootnoteReference">
    <w:name w:val="footnote reference"/>
    <w:basedOn w:val="DefaultParagraphFont"/>
    <w:uiPriority w:val="99"/>
    <w:semiHidden/>
    <w:unhideWhenUsed/>
    <w:rsid w:val="00AB6CC8"/>
    <w:rPr>
      <w:vertAlign w:val="superscript"/>
    </w:rPr>
  </w:style>
  <w:style w:type="paragraph" w:styleId="NormalWeb">
    <w:name w:val="Normal (Web)"/>
    <w:basedOn w:val="Normal"/>
    <w:uiPriority w:val="99"/>
    <w:semiHidden/>
    <w:unhideWhenUsed/>
    <w:rsid w:val="00ED5B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Head">
    <w:name w:val="Refer Head"/>
    <w:basedOn w:val="Normal"/>
    <w:rsid w:val="00735026"/>
    <w:pPr>
      <w:keepNext/>
      <w:spacing w:after="240" w:line="240" w:lineRule="auto"/>
    </w:pPr>
    <w:rPr>
      <w:rFonts w:ascii="Helvetica" w:eastAsia="Times New Roman" w:hAnsi="Helvetica" w:cs="Times New Roman"/>
      <w:b/>
      <w:caps/>
      <w:szCs w:val="20"/>
    </w:rPr>
  </w:style>
  <w:style w:type="paragraph" w:customStyle="1" w:styleId="Default">
    <w:name w:val="Default"/>
    <w:rsid w:val="00FB3C65"/>
    <w:pPr>
      <w:autoSpaceDE w:val="0"/>
      <w:autoSpaceDN w:val="0"/>
      <w:adjustRightInd w:val="0"/>
      <w:spacing w:after="0" w:line="240" w:lineRule="auto"/>
    </w:pPr>
    <w:rPr>
      <w:rFonts w:ascii="Arial" w:hAnsi="Arial" w:cs="Arial"/>
      <w:color w:val="000000"/>
      <w:sz w:val="24"/>
      <w:szCs w:val="24"/>
    </w:rPr>
  </w:style>
  <w:style w:type="paragraph" w:customStyle="1" w:styleId="Body">
    <w:name w:val="Body"/>
    <w:basedOn w:val="Normal"/>
    <w:rsid w:val="00C90462"/>
    <w:pPr>
      <w:spacing w:after="240" w:line="240" w:lineRule="auto"/>
      <w:jc w:val="both"/>
    </w:pPr>
    <w:rPr>
      <w:rFonts w:ascii="Helvetica" w:eastAsia="Times New Roman" w:hAnsi="Helvetica" w:cs="Times New Roman"/>
      <w:sz w:val="20"/>
      <w:szCs w:val="20"/>
    </w:rPr>
  </w:style>
  <w:style w:type="paragraph" w:customStyle="1" w:styleId="AcknHead">
    <w:name w:val="Ackn Head"/>
    <w:basedOn w:val="Normal"/>
    <w:rsid w:val="00C90462"/>
    <w:pPr>
      <w:keepNext/>
      <w:spacing w:after="240" w:line="240" w:lineRule="auto"/>
    </w:pPr>
    <w:rPr>
      <w:rFonts w:ascii="Helvetica" w:eastAsia="Times New Roman" w:hAnsi="Helvetica" w:cs="Times New Roman"/>
      <w:b/>
      <w:caps/>
      <w:szCs w:val="20"/>
    </w:rPr>
  </w:style>
  <w:style w:type="paragraph" w:styleId="Header">
    <w:name w:val="header"/>
    <w:basedOn w:val="Normal"/>
    <w:link w:val="HeaderChar"/>
    <w:uiPriority w:val="99"/>
    <w:unhideWhenUsed/>
    <w:rsid w:val="001C7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3B4"/>
  </w:style>
  <w:style w:type="paragraph" w:styleId="Footer">
    <w:name w:val="footer"/>
    <w:basedOn w:val="Normal"/>
    <w:link w:val="FooterChar"/>
    <w:uiPriority w:val="99"/>
    <w:unhideWhenUsed/>
    <w:rsid w:val="001C7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3B4"/>
  </w:style>
  <w:style w:type="character" w:styleId="CommentReference">
    <w:name w:val="annotation reference"/>
    <w:basedOn w:val="DefaultParagraphFont"/>
    <w:uiPriority w:val="99"/>
    <w:semiHidden/>
    <w:unhideWhenUsed/>
    <w:rsid w:val="005F6745"/>
    <w:rPr>
      <w:sz w:val="16"/>
      <w:szCs w:val="16"/>
    </w:rPr>
  </w:style>
  <w:style w:type="paragraph" w:styleId="CommentText">
    <w:name w:val="annotation text"/>
    <w:basedOn w:val="Normal"/>
    <w:link w:val="CommentTextChar"/>
    <w:uiPriority w:val="99"/>
    <w:semiHidden/>
    <w:unhideWhenUsed/>
    <w:rsid w:val="005F6745"/>
    <w:pPr>
      <w:spacing w:line="240" w:lineRule="auto"/>
    </w:pPr>
    <w:rPr>
      <w:sz w:val="20"/>
      <w:szCs w:val="20"/>
    </w:rPr>
  </w:style>
  <w:style w:type="character" w:customStyle="1" w:styleId="CommentTextChar">
    <w:name w:val="Comment Text Char"/>
    <w:basedOn w:val="DefaultParagraphFont"/>
    <w:link w:val="CommentText"/>
    <w:uiPriority w:val="99"/>
    <w:semiHidden/>
    <w:rsid w:val="005F6745"/>
    <w:rPr>
      <w:sz w:val="20"/>
      <w:szCs w:val="20"/>
    </w:rPr>
  </w:style>
  <w:style w:type="paragraph" w:styleId="CommentSubject">
    <w:name w:val="annotation subject"/>
    <w:basedOn w:val="CommentText"/>
    <w:next w:val="CommentText"/>
    <w:link w:val="CommentSubjectChar"/>
    <w:uiPriority w:val="99"/>
    <w:semiHidden/>
    <w:unhideWhenUsed/>
    <w:rsid w:val="005F6745"/>
    <w:rPr>
      <w:b/>
      <w:bCs/>
    </w:rPr>
  </w:style>
  <w:style w:type="character" w:customStyle="1" w:styleId="CommentSubjectChar">
    <w:name w:val="Comment Subject Char"/>
    <w:basedOn w:val="CommentTextChar"/>
    <w:link w:val="CommentSubject"/>
    <w:uiPriority w:val="99"/>
    <w:semiHidden/>
    <w:rsid w:val="005F6745"/>
    <w:rPr>
      <w:b/>
      <w:bCs/>
      <w:sz w:val="20"/>
      <w:szCs w:val="20"/>
    </w:rPr>
  </w:style>
  <w:style w:type="paragraph" w:styleId="BalloonText">
    <w:name w:val="Balloon Text"/>
    <w:basedOn w:val="Normal"/>
    <w:link w:val="BalloonTextChar"/>
    <w:uiPriority w:val="99"/>
    <w:semiHidden/>
    <w:unhideWhenUsed/>
    <w:rsid w:val="005F6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7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doi.org/10.1007/s12275-016-6223-2" TargetMode="External"/><Relationship Id="rId39"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yperlink" Target="https://doi.org/10.1136/bmj.329.7479.1408" TargetMode="External"/><Relationship Id="rId34" Type="http://schemas.openxmlformats.org/officeDocument/2006/relationships/hyperlink" Target="https://doi.org/10.1016/j.jpha.2015.01.002"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doi.org/10.3390/ijms21155642" TargetMode="External"/><Relationship Id="rId33" Type="http://schemas.openxmlformats.org/officeDocument/2006/relationships/hyperlink" Target="https://doi.org/10.1128/MMBR.67.4.491-502.2003"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hyperlink" Target="https://doi.org/10.1016/j.jpha.2012.11.001" TargetMode="External"/><Relationship Id="rId29" Type="http://schemas.openxmlformats.org/officeDocument/2006/relationships/hyperlink" Target="https://doi.org/10.1186/s43168-020-00024-9"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researchgate.net/publication/269100708" TargetMode="External"/><Relationship Id="rId32" Type="http://schemas.openxmlformats.org/officeDocument/2006/relationships/hyperlink" Target="https://doi.org/10.1016/j.biopha.2018.11.144"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yperlink" Target="https://www.amazon.com/-/he/GUPTA-V-K/dp/1933699523" TargetMode="External"/><Relationship Id="rId28" Type="http://schemas.openxmlformats.org/officeDocument/2006/relationships/hyperlink" Target="https://doi.org/10.1080/14786419.2017.1375926"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chart" Target="charts/chart8.xml"/><Relationship Id="rId31" Type="http://schemas.openxmlformats.org/officeDocument/2006/relationships/hyperlink" Target="https://doi.org/10.1002/ptr.227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https://doi.org/10.5281/zenodo.4572671" TargetMode="External"/><Relationship Id="rId27" Type="http://schemas.openxmlformats.org/officeDocument/2006/relationships/hyperlink" Target="https://doi.org/10.1007/s11101-018-9591-z" TargetMode="External"/><Relationship Id="rId30" Type="http://schemas.openxmlformats.org/officeDocument/2006/relationships/hyperlink" Target="https://doi.org/10.1016/j.jpha.2013.06.001"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Itohowo%20Okon%20Akpan\Desktop\Conference%20Paper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tohowo%20Okon%20Akpan\Desktop\Conference%20Papers\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tohowo%20Okon%20Akpan\Desktop\Conference%20Papers\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tohowo%20Okon%20Akpan\Desktop\Conference%20Papers\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Itohowo%20Okon%20Akpan\Desktop\Conference%20Papers\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tohowo%20Okon%20Akpan\Desktop\Conference%20Papers\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Itohowo%20Okon%20Akpan\Desktop\Conference%20Papers\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Itohowo%20Okon%20Akpan\Desktop\Conference%20Papers\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Sheet1!$A$39</c:f>
              <c:strCache>
                <c:ptCount val="1"/>
                <c:pt idx="0">
                  <c:v>500</c:v>
                </c:pt>
              </c:strCache>
            </c:strRef>
          </c:tx>
          <c:spPr>
            <a:solidFill>
              <a:schemeClr val="accent1"/>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Sheet1!$B$39:$G$39</c:f>
              <c:numCache>
                <c:formatCode>General</c:formatCode>
                <c:ptCount val="6"/>
                <c:pt idx="0">
                  <c:v>13</c:v>
                </c:pt>
                <c:pt idx="1">
                  <c:v>0</c:v>
                </c:pt>
                <c:pt idx="2">
                  <c:v>21</c:v>
                </c:pt>
                <c:pt idx="3">
                  <c:v>0</c:v>
                </c:pt>
                <c:pt idx="4">
                  <c:v>19</c:v>
                </c:pt>
                <c:pt idx="5">
                  <c:v>10</c:v>
                </c:pt>
              </c:numCache>
            </c:numRef>
          </c:val>
          <c:extLst xmlns:c16r2="http://schemas.microsoft.com/office/drawing/2015/06/chart">
            <c:ext xmlns:c16="http://schemas.microsoft.com/office/drawing/2014/chart" uri="{C3380CC4-5D6E-409C-BE32-E72D297353CC}">
              <c16:uniqueId val="{00000000-0156-448D-AE36-A7498C20A06E}"/>
            </c:ext>
          </c:extLst>
        </c:ser>
        <c:ser>
          <c:idx val="1"/>
          <c:order val="1"/>
          <c:tx>
            <c:strRef>
              <c:f>Sheet1!$A$40</c:f>
              <c:strCache>
                <c:ptCount val="1"/>
                <c:pt idx="0">
                  <c:v>400</c:v>
                </c:pt>
              </c:strCache>
            </c:strRef>
          </c:tx>
          <c:spPr>
            <a:solidFill>
              <a:schemeClr val="accent2"/>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Sheet1!$B$40:$G$40</c:f>
              <c:numCache>
                <c:formatCode>General</c:formatCode>
                <c:ptCount val="6"/>
                <c:pt idx="0">
                  <c:v>9</c:v>
                </c:pt>
                <c:pt idx="1">
                  <c:v>0</c:v>
                </c:pt>
                <c:pt idx="2">
                  <c:v>17</c:v>
                </c:pt>
                <c:pt idx="3">
                  <c:v>0</c:v>
                </c:pt>
                <c:pt idx="4">
                  <c:v>15</c:v>
                </c:pt>
                <c:pt idx="5">
                  <c:v>8</c:v>
                </c:pt>
              </c:numCache>
            </c:numRef>
          </c:val>
          <c:extLst xmlns:c16r2="http://schemas.microsoft.com/office/drawing/2015/06/chart">
            <c:ext xmlns:c16="http://schemas.microsoft.com/office/drawing/2014/chart" uri="{C3380CC4-5D6E-409C-BE32-E72D297353CC}">
              <c16:uniqueId val="{00000001-0156-448D-AE36-A7498C20A06E}"/>
            </c:ext>
          </c:extLst>
        </c:ser>
        <c:ser>
          <c:idx val="2"/>
          <c:order val="2"/>
          <c:tx>
            <c:strRef>
              <c:f>Sheet1!$A$41</c:f>
              <c:strCache>
                <c:ptCount val="1"/>
                <c:pt idx="0">
                  <c:v>300</c:v>
                </c:pt>
              </c:strCache>
            </c:strRef>
          </c:tx>
          <c:spPr>
            <a:solidFill>
              <a:schemeClr val="accent3"/>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Sheet1!$B$41:$G$41</c:f>
              <c:numCache>
                <c:formatCode>General</c:formatCode>
                <c:ptCount val="6"/>
                <c:pt idx="0">
                  <c:v>0</c:v>
                </c:pt>
                <c:pt idx="1">
                  <c:v>0</c:v>
                </c:pt>
                <c:pt idx="2">
                  <c:v>14</c:v>
                </c:pt>
                <c:pt idx="3">
                  <c:v>0</c:v>
                </c:pt>
                <c:pt idx="4">
                  <c:v>12</c:v>
                </c:pt>
                <c:pt idx="5">
                  <c:v>0</c:v>
                </c:pt>
              </c:numCache>
            </c:numRef>
          </c:val>
          <c:extLst xmlns:c16r2="http://schemas.microsoft.com/office/drawing/2015/06/chart">
            <c:ext xmlns:c16="http://schemas.microsoft.com/office/drawing/2014/chart" uri="{C3380CC4-5D6E-409C-BE32-E72D297353CC}">
              <c16:uniqueId val="{00000002-0156-448D-AE36-A7498C20A06E}"/>
            </c:ext>
          </c:extLst>
        </c:ser>
        <c:ser>
          <c:idx val="3"/>
          <c:order val="3"/>
          <c:tx>
            <c:strRef>
              <c:f>Sheet1!$A$42</c:f>
              <c:strCache>
                <c:ptCount val="1"/>
                <c:pt idx="0">
                  <c:v>200</c:v>
                </c:pt>
              </c:strCache>
            </c:strRef>
          </c:tx>
          <c:spPr>
            <a:solidFill>
              <a:schemeClr val="accent4"/>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Sheet1!$B$42:$G$42</c:f>
              <c:numCache>
                <c:formatCode>General</c:formatCode>
                <c:ptCount val="6"/>
                <c:pt idx="0">
                  <c:v>0</c:v>
                </c:pt>
                <c:pt idx="1">
                  <c:v>0</c:v>
                </c:pt>
                <c:pt idx="2">
                  <c:v>10</c:v>
                </c:pt>
                <c:pt idx="3">
                  <c:v>0</c:v>
                </c:pt>
                <c:pt idx="4">
                  <c:v>9</c:v>
                </c:pt>
                <c:pt idx="5">
                  <c:v>0</c:v>
                </c:pt>
              </c:numCache>
            </c:numRef>
          </c:val>
          <c:extLst xmlns:c16r2="http://schemas.microsoft.com/office/drawing/2015/06/chart">
            <c:ext xmlns:c16="http://schemas.microsoft.com/office/drawing/2014/chart" uri="{C3380CC4-5D6E-409C-BE32-E72D297353CC}">
              <c16:uniqueId val="{00000003-0156-448D-AE36-A7498C20A06E}"/>
            </c:ext>
          </c:extLst>
        </c:ser>
        <c:ser>
          <c:idx val="4"/>
          <c:order val="4"/>
          <c:tx>
            <c:strRef>
              <c:f>Sheet1!$A$43</c:f>
              <c:strCache>
                <c:ptCount val="1"/>
                <c:pt idx="0">
                  <c:v>100</c:v>
                </c:pt>
              </c:strCache>
            </c:strRef>
          </c:tx>
          <c:spPr>
            <a:solidFill>
              <a:schemeClr val="accent5"/>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Sheet1!$B$43:$G$43</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4-0156-448D-AE36-A7498C20A06E}"/>
            </c:ext>
          </c:extLst>
        </c:ser>
        <c:ser>
          <c:idx val="5"/>
          <c:order val="5"/>
          <c:tx>
            <c:strRef>
              <c:f>Sheet1!$A$44</c:f>
              <c:strCache>
                <c:ptCount val="1"/>
                <c:pt idx="0">
                  <c:v>Gentamycin</c:v>
                </c:pt>
              </c:strCache>
            </c:strRef>
          </c:tx>
          <c:spPr>
            <a:solidFill>
              <a:schemeClr val="accent6"/>
            </a:solidFill>
            <a:ln>
              <a:noFill/>
            </a:ln>
            <a:effectLst/>
          </c:spPr>
          <c:invertIfNegative val="0"/>
          <c:cat>
            <c:strRef>
              <c:f>Sheet1!$B$38:$G$38</c:f>
              <c:strCache>
                <c:ptCount val="6"/>
                <c:pt idx="0">
                  <c:v>S.aureus</c:v>
                </c:pt>
                <c:pt idx="1">
                  <c:v>P. aeruginosa</c:v>
                </c:pt>
                <c:pt idx="2">
                  <c:v>V. cholera</c:v>
                </c:pt>
                <c:pt idx="3">
                  <c:v>Salmonella spp.</c:v>
                </c:pt>
                <c:pt idx="4">
                  <c:v>Shigella spp.</c:v>
                </c:pt>
                <c:pt idx="5">
                  <c:v>E. coli</c:v>
                </c:pt>
              </c:strCache>
            </c:strRef>
          </c:cat>
          <c:val>
            <c:numRef>
              <c:f>Sheet1!$B$44:$G$44</c:f>
              <c:numCache>
                <c:formatCode>General</c:formatCode>
                <c:ptCount val="6"/>
                <c:pt idx="0">
                  <c:v>43</c:v>
                </c:pt>
                <c:pt idx="1">
                  <c:v>35</c:v>
                </c:pt>
                <c:pt idx="2">
                  <c:v>32</c:v>
                </c:pt>
                <c:pt idx="3">
                  <c:v>40</c:v>
                </c:pt>
                <c:pt idx="4">
                  <c:v>31</c:v>
                </c:pt>
                <c:pt idx="5">
                  <c:v>44</c:v>
                </c:pt>
              </c:numCache>
            </c:numRef>
          </c:val>
          <c:extLst xmlns:c16r2="http://schemas.microsoft.com/office/drawing/2015/06/chart">
            <c:ext xmlns:c16="http://schemas.microsoft.com/office/drawing/2014/chart" uri="{C3380CC4-5D6E-409C-BE32-E72D297353CC}">
              <c16:uniqueId val="{00000005-0156-448D-AE36-A7498C20A06E}"/>
            </c:ext>
          </c:extLst>
        </c:ser>
        <c:dLbls>
          <c:showLegendKey val="0"/>
          <c:showVal val="0"/>
          <c:showCatName val="0"/>
          <c:showSerName val="0"/>
          <c:showPercent val="0"/>
          <c:showBubbleSize val="0"/>
        </c:dLbls>
        <c:gapWidth val="300"/>
        <c:axId val="147368192"/>
        <c:axId val="147374464"/>
      </c:barChart>
      <c:catAx>
        <c:axId val="147368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a:t>
                </a:r>
                <a:r>
                  <a:rPr lang="en-US" sz="1200" b="1" baseline="0">
                    <a:latin typeface="Times New Roman" panose="02020603050405020304" pitchFamily="18" charset="0"/>
                    <a:cs typeface="Times New Roman" panose="02020603050405020304" pitchFamily="18" charset="0"/>
                  </a:rPr>
                  <a:t> bacteria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74464"/>
        <c:crosses val="autoZero"/>
        <c:auto val="1"/>
        <c:lblAlgn val="ctr"/>
        <c:lblOffset val="100"/>
        <c:noMultiLvlLbl val="0"/>
      </c:catAx>
      <c:valAx>
        <c:axId val="1473744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 of inhibition (mm)</a:t>
                </a:r>
              </a:p>
            </c:rich>
          </c:tx>
          <c:layout>
            <c:manualLayout>
              <c:xMode val="edge"/>
              <c:yMode val="edge"/>
              <c:x val="2.9100529100529099E-2"/>
              <c:y val="2.359882005899705E-2"/>
            </c:manualLayout>
          </c:layout>
          <c:overlay val="0"/>
          <c:spPr>
            <a:noFill/>
            <a:ln>
              <a:noFill/>
            </a:ln>
            <a:effectLst/>
          </c:spPr>
        </c:title>
        <c:numFmt formatCode="General" sourceLinked="1"/>
        <c:majorTickMark val="out"/>
        <c:minorTickMark val="none"/>
        <c:tickLblPos val="nextTo"/>
        <c:spPr>
          <a:noFill/>
          <a:ln w="9525">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68192"/>
        <c:crosses val="autoZero"/>
        <c:crossBetween val="between"/>
      </c:valAx>
      <c:spPr>
        <a:noFill/>
        <a:ln>
          <a:noFill/>
        </a:ln>
        <a:effectLst/>
      </c:spPr>
    </c:plotArea>
    <c:legend>
      <c:legendPos val="r"/>
      <c:layout>
        <c:manualLayout>
          <c:xMode val="edge"/>
          <c:yMode val="edge"/>
          <c:x val="0.81675918635170608"/>
          <c:y val="0.24623882540998168"/>
          <c:w val="0.16657414698162729"/>
          <c:h val="0.507522349180036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Sheet1!$A$20</c:f>
              <c:strCache>
                <c:ptCount val="1"/>
                <c:pt idx="0">
                  <c:v>500</c:v>
                </c:pt>
              </c:strCache>
            </c:strRef>
          </c:tx>
          <c:spPr>
            <a:solidFill>
              <a:schemeClr val="accent1"/>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Sheet1!$B$20:$G$20</c:f>
              <c:numCache>
                <c:formatCode>General</c:formatCode>
                <c:ptCount val="6"/>
                <c:pt idx="0">
                  <c:v>25</c:v>
                </c:pt>
                <c:pt idx="1">
                  <c:v>22</c:v>
                </c:pt>
                <c:pt idx="2">
                  <c:v>19</c:v>
                </c:pt>
                <c:pt idx="3">
                  <c:v>21</c:v>
                </c:pt>
                <c:pt idx="4">
                  <c:v>0</c:v>
                </c:pt>
                <c:pt idx="5">
                  <c:v>10</c:v>
                </c:pt>
              </c:numCache>
            </c:numRef>
          </c:val>
          <c:extLst xmlns:c16r2="http://schemas.microsoft.com/office/drawing/2015/06/chart">
            <c:ext xmlns:c16="http://schemas.microsoft.com/office/drawing/2014/chart" uri="{C3380CC4-5D6E-409C-BE32-E72D297353CC}">
              <c16:uniqueId val="{00000000-4605-4816-8846-622C40B7D87C}"/>
            </c:ext>
          </c:extLst>
        </c:ser>
        <c:ser>
          <c:idx val="1"/>
          <c:order val="1"/>
          <c:tx>
            <c:strRef>
              <c:f>Sheet1!$A$21</c:f>
              <c:strCache>
                <c:ptCount val="1"/>
                <c:pt idx="0">
                  <c:v>400</c:v>
                </c:pt>
              </c:strCache>
            </c:strRef>
          </c:tx>
          <c:spPr>
            <a:solidFill>
              <a:schemeClr val="accent2"/>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Sheet1!$B$21:$G$21</c:f>
              <c:numCache>
                <c:formatCode>General</c:formatCode>
                <c:ptCount val="6"/>
                <c:pt idx="0">
                  <c:v>19</c:v>
                </c:pt>
                <c:pt idx="1">
                  <c:v>17</c:v>
                </c:pt>
                <c:pt idx="2">
                  <c:v>14</c:v>
                </c:pt>
                <c:pt idx="3">
                  <c:v>15</c:v>
                </c:pt>
                <c:pt idx="4">
                  <c:v>0</c:v>
                </c:pt>
                <c:pt idx="5">
                  <c:v>0</c:v>
                </c:pt>
              </c:numCache>
            </c:numRef>
          </c:val>
          <c:extLst xmlns:c16r2="http://schemas.microsoft.com/office/drawing/2015/06/chart">
            <c:ext xmlns:c16="http://schemas.microsoft.com/office/drawing/2014/chart" uri="{C3380CC4-5D6E-409C-BE32-E72D297353CC}">
              <c16:uniqueId val="{00000001-4605-4816-8846-622C40B7D87C}"/>
            </c:ext>
          </c:extLst>
        </c:ser>
        <c:ser>
          <c:idx val="2"/>
          <c:order val="2"/>
          <c:tx>
            <c:strRef>
              <c:f>Sheet1!$A$22</c:f>
              <c:strCache>
                <c:ptCount val="1"/>
                <c:pt idx="0">
                  <c:v>300</c:v>
                </c:pt>
              </c:strCache>
            </c:strRef>
          </c:tx>
          <c:spPr>
            <a:solidFill>
              <a:schemeClr val="accent3"/>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Sheet1!$B$22:$G$22</c:f>
              <c:numCache>
                <c:formatCode>General</c:formatCode>
                <c:ptCount val="6"/>
                <c:pt idx="0">
                  <c:v>15</c:v>
                </c:pt>
                <c:pt idx="1">
                  <c:v>14</c:v>
                </c:pt>
                <c:pt idx="2">
                  <c:v>12</c:v>
                </c:pt>
                <c:pt idx="3">
                  <c:v>12</c:v>
                </c:pt>
                <c:pt idx="4">
                  <c:v>0</c:v>
                </c:pt>
                <c:pt idx="5">
                  <c:v>0</c:v>
                </c:pt>
              </c:numCache>
            </c:numRef>
          </c:val>
          <c:extLst xmlns:c16r2="http://schemas.microsoft.com/office/drawing/2015/06/chart">
            <c:ext xmlns:c16="http://schemas.microsoft.com/office/drawing/2014/chart" uri="{C3380CC4-5D6E-409C-BE32-E72D297353CC}">
              <c16:uniqueId val="{00000002-4605-4816-8846-622C40B7D87C}"/>
            </c:ext>
          </c:extLst>
        </c:ser>
        <c:ser>
          <c:idx val="3"/>
          <c:order val="3"/>
          <c:tx>
            <c:strRef>
              <c:f>Sheet1!$A$23</c:f>
              <c:strCache>
                <c:ptCount val="1"/>
                <c:pt idx="0">
                  <c:v>200</c:v>
                </c:pt>
              </c:strCache>
            </c:strRef>
          </c:tx>
          <c:spPr>
            <a:solidFill>
              <a:schemeClr val="accent4"/>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Sheet1!$B$23:$G$23</c:f>
              <c:numCache>
                <c:formatCode>General</c:formatCode>
                <c:ptCount val="6"/>
                <c:pt idx="0">
                  <c:v>12</c:v>
                </c:pt>
                <c:pt idx="1">
                  <c:v>10</c:v>
                </c:pt>
                <c:pt idx="2">
                  <c:v>8</c:v>
                </c:pt>
                <c:pt idx="3">
                  <c:v>11</c:v>
                </c:pt>
                <c:pt idx="4">
                  <c:v>0</c:v>
                </c:pt>
                <c:pt idx="5">
                  <c:v>0</c:v>
                </c:pt>
              </c:numCache>
            </c:numRef>
          </c:val>
          <c:extLst xmlns:c16r2="http://schemas.microsoft.com/office/drawing/2015/06/chart">
            <c:ext xmlns:c16="http://schemas.microsoft.com/office/drawing/2014/chart" uri="{C3380CC4-5D6E-409C-BE32-E72D297353CC}">
              <c16:uniqueId val="{00000003-4605-4816-8846-622C40B7D87C}"/>
            </c:ext>
          </c:extLst>
        </c:ser>
        <c:ser>
          <c:idx val="4"/>
          <c:order val="4"/>
          <c:tx>
            <c:strRef>
              <c:f>Sheet1!$A$24</c:f>
              <c:strCache>
                <c:ptCount val="1"/>
                <c:pt idx="0">
                  <c:v>100</c:v>
                </c:pt>
              </c:strCache>
            </c:strRef>
          </c:tx>
          <c:spPr>
            <a:solidFill>
              <a:schemeClr val="accent5"/>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Sheet1!$B$24:$G$24</c:f>
              <c:numCache>
                <c:formatCode>General</c:formatCode>
                <c:ptCount val="6"/>
                <c:pt idx="0">
                  <c:v>8</c:v>
                </c:pt>
                <c:pt idx="1">
                  <c:v>0</c:v>
                </c:pt>
                <c:pt idx="2">
                  <c:v>0</c:v>
                </c:pt>
                <c:pt idx="3">
                  <c:v>9</c:v>
                </c:pt>
                <c:pt idx="4">
                  <c:v>0</c:v>
                </c:pt>
                <c:pt idx="5">
                  <c:v>0</c:v>
                </c:pt>
              </c:numCache>
            </c:numRef>
          </c:val>
          <c:extLst xmlns:c16r2="http://schemas.microsoft.com/office/drawing/2015/06/chart">
            <c:ext xmlns:c16="http://schemas.microsoft.com/office/drawing/2014/chart" uri="{C3380CC4-5D6E-409C-BE32-E72D297353CC}">
              <c16:uniqueId val="{00000004-4605-4816-8846-622C40B7D87C}"/>
            </c:ext>
          </c:extLst>
        </c:ser>
        <c:ser>
          <c:idx val="5"/>
          <c:order val="5"/>
          <c:tx>
            <c:strRef>
              <c:f>Sheet1!$A$25</c:f>
              <c:strCache>
                <c:ptCount val="1"/>
                <c:pt idx="0">
                  <c:v>Gentamycin</c:v>
                </c:pt>
              </c:strCache>
            </c:strRef>
          </c:tx>
          <c:spPr>
            <a:solidFill>
              <a:schemeClr val="accent6"/>
            </a:solidFill>
            <a:ln>
              <a:noFill/>
            </a:ln>
            <a:effectLst/>
          </c:spPr>
          <c:invertIfNegative val="0"/>
          <c:cat>
            <c:strRef>
              <c:f>Sheet1!$B$19:$G$19</c:f>
              <c:strCache>
                <c:ptCount val="6"/>
                <c:pt idx="0">
                  <c:v>S.aureus</c:v>
                </c:pt>
                <c:pt idx="1">
                  <c:v>P. aeruginosa</c:v>
                </c:pt>
                <c:pt idx="2">
                  <c:v>V. cholera</c:v>
                </c:pt>
                <c:pt idx="3">
                  <c:v>Salmonella spp.</c:v>
                </c:pt>
                <c:pt idx="4">
                  <c:v>Shigella spp.</c:v>
                </c:pt>
                <c:pt idx="5">
                  <c:v>E. coli</c:v>
                </c:pt>
              </c:strCache>
            </c:strRef>
          </c:cat>
          <c:val>
            <c:numRef>
              <c:f>Sheet1!$B$25:$G$25</c:f>
              <c:numCache>
                <c:formatCode>General</c:formatCode>
                <c:ptCount val="6"/>
                <c:pt idx="0">
                  <c:v>43</c:v>
                </c:pt>
                <c:pt idx="1">
                  <c:v>35</c:v>
                </c:pt>
                <c:pt idx="2">
                  <c:v>32</c:v>
                </c:pt>
                <c:pt idx="3">
                  <c:v>40</c:v>
                </c:pt>
                <c:pt idx="4">
                  <c:v>31</c:v>
                </c:pt>
                <c:pt idx="5">
                  <c:v>44</c:v>
                </c:pt>
              </c:numCache>
            </c:numRef>
          </c:val>
          <c:extLst xmlns:c16r2="http://schemas.microsoft.com/office/drawing/2015/06/chart">
            <c:ext xmlns:c16="http://schemas.microsoft.com/office/drawing/2014/chart" uri="{C3380CC4-5D6E-409C-BE32-E72D297353CC}">
              <c16:uniqueId val="{00000005-4605-4816-8846-622C40B7D87C}"/>
            </c:ext>
          </c:extLst>
        </c:ser>
        <c:dLbls>
          <c:showLegendKey val="0"/>
          <c:showVal val="0"/>
          <c:showCatName val="0"/>
          <c:showSerName val="0"/>
          <c:showPercent val="0"/>
          <c:showBubbleSize val="0"/>
        </c:dLbls>
        <c:gapWidth val="300"/>
        <c:axId val="147548800"/>
        <c:axId val="147559168"/>
      </c:barChart>
      <c:catAx>
        <c:axId val="147548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a:t>
                </a:r>
                <a:r>
                  <a:rPr lang="en-US" sz="1200" b="1" baseline="0">
                    <a:latin typeface="Times New Roman" panose="02020603050405020304" pitchFamily="18" charset="0"/>
                    <a:cs typeface="Times New Roman" panose="02020603050405020304" pitchFamily="18" charset="0"/>
                  </a:rPr>
                  <a:t> bacteria</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59168"/>
        <c:crosses val="autoZero"/>
        <c:auto val="1"/>
        <c:lblAlgn val="ctr"/>
        <c:lblOffset val="100"/>
        <c:noMultiLvlLbl val="0"/>
      </c:catAx>
      <c:valAx>
        <c:axId val="1475591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 of inhibition (mm)</a:t>
                </a:r>
              </a:p>
            </c:rich>
          </c:tx>
          <c:overlay val="0"/>
          <c:spPr>
            <a:noFill/>
            <a:ln>
              <a:noFill/>
            </a:ln>
            <a:effectLst/>
          </c:sp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488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Sheet1!$A$4</c:f>
              <c:strCache>
                <c:ptCount val="1"/>
                <c:pt idx="0">
                  <c:v>500</c:v>
                </c:pt>
              </c:strCache>
            </c:strRef>
          </c:tx>
          <c:spPr>
            <a:solidFill>
              <a:schemeClr val="accent1"/>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Sheet1!$B$4:$G$4</c:f>
              <c:numCache>
                <c:formatCode>General</c:formatCode>
                <c:ptCount val="6"/>
                <c:pt idx="0">
                  <c:v>16</c:v>
                </c:pt>
                <c:pt idx="1">
                  <c:v>14</c:v>
                </c:pt>
                <c:pt idx="2">
                  <c:v>18</c:v>
                </c:pt>
                <c:pt idx="3">
                  <c:v>0</c:v>
                </c:pt>
                <c:pt idx="4">
                  <c:v>19</c:v>
                </c:pt>
                <c:pt idx="5">
                  <c:v>17</c:v>
                </c:pt>
              </c:numCache>
            </c:numRef>
          </c:val>
          <c:extLst xmlns:c16r2="http://schemas.microsoft.com/office/drawing/2015/06/chart">
            <c:ext xmlns:c16="http://schemas.microsoft.com/office/drawing/2014/chart" uri="{C3380CC4-5D6E-409C-BE32-E72D297353CC}">
              <c16:uniqueId val="{00000000-9E33-4C15-87FF-779C4AC54044}"/>
            </c:ext>
          </c:extLst>
        </c:ser>
        <c:ser>
          <c:idx val="1"/>
          <c:order val="1"/>
          <c:tx>
            <c:strRef>
              <c:f>Sheet1!$A$5</c:f>
              <c:strCache>
                <c:ptCount val="1"/>
                <c:pt idx="0">
                  <c:v>400</c:v>
                </c:pt>
              </c:strCache>
            </c:strRef>
          </c:tx>
          <c:spPr>
            <a:solidFill>
              <a:schemeClr val="accent2"/>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Sheet1!$B$5:$G$5</c:f>
              <c:numCache>
                <c:formatCode>General</c:formatCode>
                <c:ptCount val="6"/>
                <c:pt idx="0">
                  <c:v>13</c:v>
                </c:pt>
                <c:pt idx="1">
                  <c:v>11</c:v>
                </c:pt>
                <c:pt idx="2">
                  <c:v>15</c:v>
                </c:pt>
                <c:pt idx="3">
                  <c:v>0</c:v>
                </c:pt>
                <c:pt idx="4">
                  <c:v>14</c:v>
                </c:pt>
                <c:pt idx="5">
                  <c:v>14</c:v>
                </c:pt>
              </c:numCache>
            </c:numRef>
          </c:val>
          <c:extLst xmlns:c16r2="http://schemas.microsoft.com/office/drawing/2015/06/chart">
            <c:ext xmlns:c16="http://schemas.microsoft.com/office/drawing/2014/chart" uri="{C3380CC4-5D6E-409C-BE32-E72D297353CC}">
              <c16:uniqueId val="{00000001-9E33-4C15-87FF-779C4AC54044}"/>
            </c:ext>
          </c:extLst>
        </c:ser>
        <c:ser>
          <c:idx val="2"/>
          <c:order val="2"/>
          <c:tx>
            <c:strRef>
              <c:f>Sheet1!$A$6</c:f>
              <c:strCache>
                <c:ptCount val="1"/>
                <c:pt idx="0">
                  <c:v>300</c:v>
                </c:pt>
              </c:strCache>
            </c:strRef>
          </c:tx>
          <c:spPr>
            <a:solidFill>
              <a:schemeClr val="accent3"/>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Sheet1!$B$6:$G$6</c:f>
              <c:numCache>
                <c:formatCode>General</c:formatCode>
                <c:ptCount val="6"/>
                <c:pt idx="0">
                  <c:v>11</c:v>
                </c:pt>
                <c:pt idx="1">
                  <c:v>9</c:v>
                </c:pt>
                <c:pt idx="2">
                  <c:v>11</c:v>
                </c:pt>
                <c:pt idx="3">
                  <c:v>0</c:v>
                </c:pt>
                <c:pt idx="4">
                  <c:v>11</c:v>
                </c:pt>
                <c:pt idx="5">
                  <c:v>12</c:v>
                </c:pt>
              </c:numCache>
            </c:numRef>
          </c:val>
          <c:extLst xmlns:c16r2="http://schemas.microsoft.com/office/drawing/2015/06/chart">
            <c:ext xmlns:c16="http://schemas.microsoft.com/office/drawing/2014/chart" uri="{C3380CC4-5D6E-409C-BE32-E72D297353CC}">
              <c16:uniqueId val="{00000002-9E33-4C15-87FF-779C4AC54044}"/>
            </c:ext>
          </c:extLst>
        </c:ser>
        <c:ser>
          <c:idx val="3"/>
          <c:order val="3"/>
          <c:tx>
            <c:strRef>
              <c:f>Sheet1!$A$7</c:f>
              <c:strCache>
                <c:ptCount val="1"/>
                <c:pt idx="0">
                  <c:v>200</c:v>
                </c:pt>
              </c:strCache>
            </c:strRef>
          </c:tx>
          <c:spPr>
            <a:solidFill>
              <a:schemeClr val="accent4"/>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Sheet1!$B$7:$G$7</c:f>
              <c:numCache>
                <c:formatCode>General</c:formatCode>
                <c:ptCount val="6"/>
                <c:pt idx="0">
                  <c:v>0</c:v>
                </c:pt>
                <c:pt idx="1">
                  <c:v>0</c:v>
                </c:pt>
                <c:pt idx="2">
                  <c:v>8</c:v>
                </c:pt>
                <c:pt idx="3">
                  <c:v>0</c:v>
                </c:pt>
                <c:pt idx="4">
                  <c:v>8</c:v>
                </c:pt>
                <c:pt idx="5">
                  <c:v>9</c:v>
                </c:pt>
              </c:numCache>
            </c:numRef>
          </c:val>
          <c:extLst xmlns:c16r2="http://schemas.microsoft.com/office/drawing/2015/06/chart">
            <c:ext xmlns:c16="http://schemas.microsoft.com/office/drawing/2014/chart" uri="{C3380CC4-5D6E-409C-BE32-E72D297353CC}">
              <c16:uniqueId val="{00000003-9E33-4C15-87FF-779C4AC54044}"/>
            </c:ext>
          </c:extLst>
        </c:ser>
        <c:ser>
          <c:idx val="4"/>
          <c:order val="4"/>
          <c:tx>
            <c:strRef>
              <c:f>Sheet1!$A$8</c:f>
              <c:strCache>
                <c:ptCount val="1"/>
                <c:pt idx="0">
                  <c:v>100</c:v>
                </c:pt>
              </c:strCache>
            </c:strRef>
          </c:tx>
          <c:spPr>
            <a:solidFill>
              <a:schemeClr val="accent5"/>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Sheet1!$B$8:$G$8</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4-9E33-4C15-87FF-779C4AC54044}"/>
            </c:ext>
          </c:extLst>
        </c:ser>
        <c:ser>
          <c:idx val="5"/>
          <c:order val="5"/>
          <c:tx>
            <c:strRef>
              <c:f>Sheet1!$A$9</c:f>
              <c:strCache>
                <c:ptCount val="1"/>
                <c:pt idx="0">
                  <c:v>Gentamycin</c:v>
                </c:pt>
              </c:strCache>
            </c:strRef>
          </c:tx>
          <c:spPr>
            <a:solidFill>
              <a:schemeClr val="accent6"/>
            </a:solidFill>
            <a:ln>
              <a:noFill/>
            </a:ln>
            <a:effectLst/>
          </c:spPr>
          <c:invertIfNegative val="0"/>
          <c:cat>
            <c:strRef>
              <c:f>Sheet1!$B$3:$G$3</c:f>
              <c:strCache>
                <c:ptCount val="6"/>
                <c:pt idx="0">
                  <c:v>S.aureus</c:v>
                </c:pt>
                <c:pt idx="1">
                  <c:v>P. aeruginosa</c:v>
                </c:pt>
                <c:pt idx="2">
                  <c:v>V. cholera</c:v>
                </c:pt>
                <c:pt idx="3">
                  <c:v>Salmonella spp.</c:v>
                </c:pt>
                <c:pt idx="4">
                  <c:v>Shigella spp.</c:v>
                </c:pt>
                <c:pt idx="5">
                  <c:v>E. coli</c:v>
                </c:pt>
              </c:strCache>
            </c:strRef>
          </c:cat>
          <c:val>
            <c:numRef>
              <c:f>Sheet1!$B$9:$G$9</c:f>
              <c:numCache>
                <c:formatCode>General</c:formatCode>
                <c:ptCount val="6"/>
                <c:pt idx="0">
                  <c:v>43</c:v>
                </c:pt>
                <c:pt idx="1">
                  <c:v>35</c:v>
                </c:pt>
                <c:pt idx="2">
                  <c:v>32</c:v>
                </c:pt>
                <c:pt idx="3">
                  <c:v>40</c:v>
                </c:pt>
                <c:pt idx="4">
                  <c:v>31</c:v>
                </c:pt>
                <c:pt idx="5">
                  <c:v>44</c:v>
                </c:pt>
              </c:numCache>
            </c:numRef>
          </c:val>
          <c:extLst xmlns:c16r2="http://schemas.microsoft.com/office/drawing/2015/06/chart">
            <c:ext xmlns:c16="http://schemas.microsoft.com/office/drawing/2014/chart" uri="{C3380CC4-5D6E-409C-BE32-E72D297353CC}">
              <c16:uniqueId val="{00000005-9E33-4C15-87FF-779C4AC54044}"/>
            </c:ext>
          </c:extLst>
        </c:ser>
        <c:dLbls>
          <c:showLegendKey val="0"/>
          <c:showVal val="0"/>
          <c:showCatName val="0"/>
          <c:showSerName val="0"/>
          <c:showPercent val="0"/>
          <c:showBubbleSize val="0"/>
        </c:dLbls>
        <c:gapWidth val="300"/>
        <c:axId val="147586432"/>
        <c:axId val="148456960"/>
      </c:barChart>
      <c:catAx>
        <c:axId val="147586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 bacteria</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456960"/>
        <c:crosses val="autoZero"/>
        <c:auto val="1"/>
        <c:lblAlgn val="ctr"/>
        <c:lblOffset val="100"/>
        <c:noMultiLvlLbl val="0"/>
      </c:catAx>
      <c:valAx>
        <c:axId val="1484569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a:t>
                </a:r>
                <a:r>
                  <a:rPr lang="en-US" sz="1200" b="1" baseline="0">
                    <a:latin typeface="Times New Roman" panose="02020603050405020304" pitchFamily="18" charset="0"/>
                    <a:cs typeface="Times New Roman" panose="02020603050405020304" pitchFamily="18" charset="0"/>
                  </a:rPr>
                  <a:t> of inhibition (mm</a:t>
                </a:r>
                <a:r>
                  <a:rPr lang="en-US" baseline="0"/>
                  <a:t>)</a:t>
                </a:r>
                <a:endParaRPr lang="en-US"/>
              </a:p>
            </c:rich>
          </c:tx>
          <c:layout>
            <c:manualLayout>
              <c:xMode val="edge"/>
              <c:yMode val="edge"/>
              <c:x val="2.23463687150838E-2"/>
              <c:y val="2.2889842632331903E-2"/>
            </c:manualLayout>
          </c:layout>
          <c:overlay val="0"/>
          <c:spPr>
            <a:noFill/>
            <a:ln>
              <a:noFill/>
            </a:ln>
            <a:effectLst/>
          </c:sp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864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Sheet1!$A$56</c:f>
              <c:strCache>
                <c:ptCount val="1"/>
                <c:pt idx="0">
                  <c:v>500</c:v>
                </c:pt>
              </c:strCache>
            </c:strRef>
          </c:tx>
          <c:spPr>
            <a:solidFill>
              <a:schemeClr val="accent1"/>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Sheet1!$B$56:$G$56</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D51F-417E-A437-C32A9DA857E1}"/>
            </c:ext>
          </c:extLst>
        </c:ser>
        <c:ser>
          <c:idx val="1"/>
          <c:order val="1"/>
          <c:tx>
            <c:strRef>
              <c:f>Sheet1!$A$57</c:f>
              <c:strCache>
                <c:ptCount val="1"/>
                <c:pt idx="0">
                  <c:v>400</c:v>
                </c:pt>
              </c:strCache>
            </c:strRef>
          </c:tx>
          <c:spPr>
            <a:solidFill>
              <a:schemeClr val="accent2"/>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Sheet1!$B$57:$G$57</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D51F-417E-A437-C32A9DA857E1}"/>
            </c:ext>
          </c:extLst>
        </c:ser>
        <c:ser>
          <c:idx val="2"/>
          <c:order val="2"/>
          <c:tx>
            <c:strRef>
              <c:f>Sheet1!$A$58</c:f>
              <c:strCache>
                <c:ptCount val="1"/>
                <c:pt idx="0">
                  <c:v>300</c:v>
                </c:pt>
              </c:strCache>
            </c:strRef>
          </c:tx>
          <c:spPr>
            <a:solidFill>
              <a:schemeClr val="accent3"/>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Sheet1!$B$58:$G$58</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2-D51F-417E-A437-C32A9DA857E1}"/>
            </c:ext>
          </c:extLst>
        </c:ser>
        <c:ser>
          <c:idx val="3"/>
          <c:order val="3"/>
          <c:tx>
            <c:strRef>
              <c:f>Sheet1!$A$59</c:f>
              <c:strCache>
                <c:ptCount val="1"/>
                <c:pt idx="0">
                  <c:v>200</c:v>
                </c:pt>
              </c:strCache>
            </c:strRef>
          </c:tx>
          <c:spPr>
            <a:solidFill>
              <a:schemeClr val="accent4"/>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Sheet1!$B$59:$G$59</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3-D51F-417E-A437-C32A9DA857E1}"/>
            </c:ext>
          </c:extLst>
        </c:ser>
        <c:ser>
          <c:idx val="4"/>
          <c:order val="4"/>
          <c:tx>
            <c:strRef>
              <c:f>Sheet1!$A$60</c:f>
              <c:strCache>
                <c:ptCount val="1"/>
                <c:pt idx="0">
                  <c:v>100</c:v>
                </c:pt>
              </c:strCache>
            </c:strRef>
          </c:tx>
          <c:spPr>
            <a:solidFill>
              <a:schemeClr val="accent5"/>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Sheet1!$B$60:$G$60</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4-D51F-417E-A437-C32A9DA857E1}"/>
            </c:ext>
          </c:extLst>
        </c:ser>
        <c:ser>
          <c:idx val="5"/>
          <c:order val="5"/>
          <c:tx>
            <c:strRef>
              <c:f>Sheet1!$A$61</c:f>
              <c:strCache>
                <c:ptCount val="1"/>
                <c:pt idx="0">
                  <c:v>Gentamycin</c:v>
                </c:pt>
              </c:strCache>
            </c:strRef>
          </c:tx>
          <c:spPr>
            <a:solidFill>
              <a:schemeClr val="accent6"/>
            </a:solidFill>
            <a:ln>
              <a:noFill/>
            </a:ln>
            <a:effectLst/>
          </c:spPr>
          <c:invertIfNegative val="0"/>
          <c:cat>
            <c:strRef>
              <c:f>Sheet1!$B$55:$G$55</c:f>
              <c:strCache>
                <c:ptCount val="6"/>
                <c:pt idx="0">
                  <c:v>S.aureus</c:v>
                </c:pt>
                <c:pt idx="1">
                  <c:v>P. aeruginosa</c:v>
                </c:pt>
                <c:pt idx="2">
                  <c:v>V. cholera</c:v>
                </c:pt>
                <c:pt idx="3">
                  <c:v>Salmonella spp.</c:v>
                </c:pt>
                <c:pt idx="4">
                  <c:v>Shigella spp.</c:v>
                </c:pt>
                <c:pt idx="5">
                  <c:v>E. coli</c:v>
                </c:pt>
              </c:strCache>
            </c:strRef>
          </c:cat>
          <c:val>
            <c:numRef>
              <c:f>Sheet1!$B$61:$G$61</c:f>
              <c:numCache>
                <c:formatCode>General</c:formatCode>
                <c:ptCount val="6"/>
                <c:pt idx="0">
                  <c:v>43</c:v>
                </c:pt>
                <c:pt idx="1">
                  <c:v>35</c:v>
                </c:pt>
                <c:pt idx="2">
                  <c:v>32</c:v>
                </c:pt>
                <c:pt idx="3">
                  <c:v>40</c:v>
                </c:pt>
                <c:pt idx="4">
                  <c:v>31</c:v>
                </c:pt>
                <c:pt idx="5">
                  <c:v>44</c:v>
                </c:pt>
              </c:numCache>
            </c:numRef>
          </c:val>
          <c:extLst xmlns:c16r2="http://schemas.microsoft.com/office/drawing/2015/06/chart">
            <c:ext xmlns:c16="http://schemas.microsoft.com/office/drawing/2014/chart" uri="{C3380CC4-5D6E-409C-BE32-E72D297353CC}">
              <c16:uniqueId val="{00000005-D51F-417E-A437-C32A9DA857E1}"/>
            </c:ext>
          </c:extLst>
        </c:ser>
        <c:dLbls>
          <c:showLegendKey val="0"/>
          <c:showVal val="0"/>
          <c:showCatName val="0"/>
          <c:showSerName val="0"/>
          <c:showPercent val="0"/>
          <c:showBubbleSize val="0"/>
        </c:dLbls>
        <c:gapWidth val="300"/>
        <c:axId val="148578688"/>
        <c:axId val="148580608"/>
      </c:barChart>
      <c:catAx>
        <c:axId val="148578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 bacteria</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580608"/>
        <c:crosses val="autoZero"/>
        <c:auto val="1"/>
        <c:lblAlgn val="ctr"/>
        <c:lblOffset val="100"/>
        <c:noMultiLvlLbl val="0"/>
      </c:catAx>
      <c:valAx>
        <c:axId val="1485806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 of inhibition (mm)</a:t>
                </a:r>
              </a:p>
            </c:rich>
          </c:tx>
          <c:overlay val="0"/>
          <c:spPr>
            <a:noFill/>
            <a:ln>
              <a:noFill/>
            </a:ln>
            <a:effectLst/>
          </c:sp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578688"/>
        <c:crosses val="autoZero"/>
        <c:crossBetween val="between"/>
      </c:valAx>
      <c:spPr>
        <a:noFill/>
        <a:ln>
          <a:noFill/>
        </a:ln>
        <a:effectLst/>
      </c:spPr>
    </c:plotArea>
    <c:legend>
      <c:legendPos val="r"/>
      <c:layout>
        <c:manualLayout>
          <c:xMode val="edge"/>
          <c:yMode val="edge"/>
          <c:x val="0.81675918635170608"/>
          <c:y val="0.19456776047790408"/>
          <c:w val="0.16657414698162729"/>
          <c:h val="0.610864003990451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Sheet1!$A$120</c:f>
              <c:strCache>
                <c:ptCount val="1"/>
                <c:pt idx="0">
                  <c:v>500</c:v>
                </c:pt>
              </c:strCache>
            </c:strRef>
          </c:tx>
          <c:spPr>
            <a:solidFill>
              <a:schemeClr val="accent1"/>
            </a:solidFill>
            <a:ln>
              <a:noFill/>
            </a:ln>
            <a:effectLst/>
          </c:spPr>
          <c:invertIfNegative val="0"/>
          <c:cat>
            <c:strRef>
              <c:f>Sheet1!$B$119:$E$119</c:f>
              <c:strCache>
                <c:ptCount val="4"/>
                <c:pt idx="0">
                  <c:v>S. cerevisae</c:v>
                </c:pt>
                <c:pt idx="1">
                  <c:v>C.albicans</c:v>
                </c:pt>
                <c:pt idx="2">
                  <c:v>A. flavus</c:v>
                </c:pt>
                <c:pt idx="3">
                  <c:v>A. niger</c:v>
                </c:pt>
              </c:strCache>
            </c:strRef>
          </c:cat>
          <c:val>
            <c:numRef>
              <c:f>Sheet1!$B$120:$E$120</c:f>
              <c:numCache>
                <c:formatCode>General</c:formatCode>
                <c:ptCount val="4"/>
                <c:pt idx="0">
                  <c:v>20</c:v>
                </c:pt>
                <c:pt idx="1">
                  <c:v>23</c:v>
                </c:pt>
                <c:pt idx="2">
                  <c:v>20</c:v>
                </c:pt>
                <c:pt idx="3">
                  <c:v>19</c:v>
                </c:pt>
              </c:numCache>
            </c:numRef>
          </c:val>
          <c:extLst xmlns:c16r2="http://schemas.microsoft.com/office/drawing/2015/06/chart">
            <c:ext xmlns:c16="http://schemas.microsoft.com/office/drawing/2014/chart" uri="{C3380CC4-5D6E-409C-BE32-E72D297353CC}">
              <c16:uniqueId val="{00000000-BE9F-4556-8DB7-D267B34F124D}"/>
            </c:ext>
          </c:extLst>
        </c:ser>
        <c:ser>
          <c:idx val="1"/>
          <c:order val="1"/>
          <c:tx>
            <c:strRef>
              <c:f>Sheet1!$A$121</c:f>
              <c:strCache>
                <c:ptCount val="1"/>
                <c:pt idx="0">
                  <c:v>400</c:v>
                </c:pt>
              </c:strCache>
            </c:strRef>
          </c:tx>
          <c:spPr>
            <a:solidFill>
              <a:schemeClr val="accent2"/>
            </a:solidFill>
            <a:ln>
              <a:noFill/>
            </a:ln>
            <a:effectLst/>
          </c:spPr>
          <c:invertIfNegative val="0"/>
          <c:cat>
            <c:strRef>
              <c:f>Sheet1!$B$119:$E$119</c:f>
              <c:strCache>
                <c:ptCount val="4"/>
                <c:pt idx="0">
                  <c:v>S. cerevisae</c:v>
                </c:pt>
                <c:pt idx="1">
                  <c:v>C.albicans</c:v>
                </c:pt>
                <c:pt idx="2">
                  <c:v>A. flavus</c:v>
                </c:pt>
                <c:pt idx="3">
                  <c:v>A. niger</c:v>
                </c:pt>
              </c:strCache>
            </c:strRef>
          </c:cat>
          <c:val>
            <c:numRef>
              <c:f>Sheet1!$B$121:$E$121</c:f>
              <c:numCache>
                <c:formatCode>General</c:formatCode>
                <c:ptCount val="4"/>
                <c:pt idx="0">
                  <c:v>16</c:v>
                </c:pt>
                <c:pt idx="1">
                  <c:v>18</c:v>
                </c:pt>
                <c:pt idx="2">
                  <c:v>16</c:v>
                </c:pt>
                <c:pt idx="3">
                  <c:v>17</c:v>
                </c:pt>
              </c:numCache>
            </c:numRef>
          </c:val>
          <c:extLst xmlns:c16r2="http://schemas.microsoft.com/office/drawing/2015/06/chart">
            <c:ext xmlns:c16="http://schemas.microsoft.com/office/drawing/2014/chart" uri="{C3380CC4-5D6E-409C-BE32-E72D297353CC}">
              <c16:uniqueId val="{00000001-BE9F-4556-8DB7-D267B34F124D}"/>
            </c:ext>
          </c:extLst>
        </c:ser>
        <c:ser>
          <c:idx val="2"/>
          <c:order val="2"/>
          <c:tx>
            <c:strRef>
              <c:f>Sheet1!$A$122</c:f>
              <c:strCache>
                <c:ptCount val="1"/>
                <c:pt idx="0">
                  <c:v>300</c:v>
                </c:pt>
              </c:strCache>
            </c:strRef>
          </c:tx>
          <c:spPr>
            <a:solidFill>
              <a:schemeClr val="accent3"/>
            </a:solidFill>
            <a:ln>
              <a:noFill/>
            </a:ln>
            <a:effectLst/>
          </c:spPr>
          <c:invertIfNegative val="0"/>
          <c:cat>
            <c:strRef>
              <c:f>Sheet1!$B$119:$E$119</c:f>
              <c:strCache>
                <c:ptCount val="4"/>
                <c:pt idx="0">
                  <c:v>S. cerevisae</c:v>
                </c:pt>
                <c:pt idx="1">
                  <c:v>C.albicans</c:v>
                </c:pt>
                <c:pt idx="2">
                  <c:v>A. flavus</c:v>
                </c:pt>
                <c:pt idx="3">
                  <c:v>A. niger</c:v>
                </c:pt>
              </c:strCache>
            </c:strRef>
          </c:cat>
          <c:val>
            <c:numRef>
              <c:f>Sheet1!$B$122:$E$122</c:f>
              <c:numCache>
                <c:formatCode>General</c:formatCode>
                <c:ptCount val="4"/>
                <c:pt idx="0">
                  <c:v>13</c:v>
                </c:pt>
                <c:pt idx="1">
                  <c:v>14</c:v>
                </c:pt>
                <c:pt idx="2">
                  <c:v>12</c:v>
                </c:pt>
                <c:pt idx="3">
                  <c:v>12</c:v>
                </c:pt>
              </c:numCache>
            </c:numRef>
          </c:val>
          <c:extLst xmlns:c16r2="http://schemas.microsoft.com/office/drawing/2015/06/chart">
            <c:ext xmlns:c16="http://schemas.microsoft.com/office/drawing/2014/chart" uri="{C3380CC4-5D6E-409C-BE32-E72D297353CC}">
              <c16:uniqueId val="{00000002-BE9F-4556-8DB7-D267B34F124D}"/>
            </c:ext>
          </c:extLst>
        </c:ser>
        <c:ser>
          <c:idx val="3"/>
          <c:order val="3"/>
          <c:tx>
            <c:strRef>
              <c:f>Sheet1!$A$123</c:f>
              <c:strCache>
                <c:ptCount val="1"/>
                <c:pt idx="0">
                  <c:v>200</c:v>
                </c:pt>
              </c:strCache>
            </c:strRef>
          </c:tx>
          <c:spPr>
            <a:solidFill>
              <a:schemeClr val="accent4"/>
            </a:solidFill>
            <a:ln>
              <a:noFill/>
            </a:ln>
            <a:effectLst/>
          </c:spPr>
          <c:invertIfNegative val="0"/>
          <c:cat>
            <c:strRef>
              <c:f>Sheet1!$B$119:$E$119</c:f>
              <c:strCache>
                <c:ptCount val="4"/>
                <c:pt idx="0">
                  <c:v>S. cerevisae</c:v>
                </c:pt>
                <c:pt idx="1">
                  <c:v>C.albicans</c:v>
                </c:pt>
                <c:pt idx="2">
                  <c:v>A. flavus</c:v>
                </c:pt>
                <c:pt idx="3">
                  <c:v>A. niger</c:v>
                </c:pt>
              </c:strCache>
            </c:strRef>
          </c:cat>
          <c:val>
            <c:numRef>
              <c:f>Sheet1!$B$123:$E$123</c:f>
              <c:numCache>
                <c:formatCode>General</c:formatCode>
                <c:ptCount val="4"/>
                <c:pt idx="0">
                  <c:v>10</c:v>
                </c:pt>
                <c:pt idx="1">
                  <c:v>10</c:v>
                </c:pt>
                <c:pt idx="2">
                  <c:v>9</c:v>
                </c:pt>
                <c:pt idx="3">
                  <c:v>8</c:v>
                </c:pt>
              </c:numCache>
            </c:numRef>
          </c:val>
          <c:extLst xmlns:c16r2="http://schemas.microsoft.com/office/drawing/2015/06/chart">
            <c:ext xmlns:c16="http://schemas.microsoft.com/office/drawing/2014/chart" uri="{C3380CC4-5D6E-409C-BE32-E72D297353CC}">
              <c16:uniqueId val="{00000003-BE9F-4556-8DB7-D267B34F124D}"/>
            </c:ext>
          </c:extLst>
        </c:ser>
        <c:ser>
          <c:idx val="4"/>
          <c:order val="4"/>
          <c:tx>
            <c:strRef>
              <c:f>Sheet1!$A$124</c:f>
              <c:strCache>
                <c:ptCount val="1"/>
                <c:pt idx="0">
                  <c:v>100</c:v>
                </c:pt>
              </c:strCache>
            </c:strRef>
          </c:tx>
          <c:spPr>
            <a:solidFill>
              <a:schemeClr val="accent5"/>
            </a:solidFill>
            <a:ln>
              <a:noFill/>
            </a:ln>
            <a:effectLst/>
          </c:spPr>
          <c:invertIfNegative val="0"/>
          <c:cat>
            <c:strRef>
              <c:f>Sheet1!$B$119:$E$119</c:f>
              <c:strCache>
                <c:ptCount val="4"/>
                <c:pt idx="0">
                  <c:v>S. cerevisae</c:v>
                </c:pt>
                <c:pt idx="1">
                  <c:v>C.albicans</c:v>
                </c:pt>
                <c:pt idx="2">
                  <c:v>A. flavus</c:v>
                </c:pt>
                <c:pt idx="3">
                  <c:v>A. niger</c:v>
                </c:pt>
              </c:strCache>
            </c:strRef>
          </c:cat>
          <c:val>
            <c:numRef>
              <c:f>Sheet1!$B$124:$E$124</c:f>
              <c:numCache>
                <c:formatCode>General</c:formatCode>
                <c:ptCount val="4"/>
                <c:pt idx="0">
                  <c:v>8</c:v>
                </c:pt>
                <c:pt idx="1">
                  <c:v>0</c:v>
                </c:pt>
                <c:pt idx="2">
                  <c:v>0</c:v>
                </c:pt>
                <c:pt idx="3">
                  <c:v>0</c:v>
                </c:pt>
              </c:numCache>
            </c:numRef>
          </c:val>
          <c:extLst xmlns:c16r2="http://schemas.microsoft.com/office/drawing/2015/06/chart">
            <c:ext xmlns:c16="http://schemas.microsoft.com/office/drawing/2014/chart" uri="{C3380CC4-5D6E-409C-BE32-E72D297353CC}">
              <c16:uniqueId val="{00000004-BE9F-4556-8DB7-D267B34F124D}"/>
            </c:ext>
          </c:extLst>
        </c:ser>
        <c:ser>
          <c:idx val="5"/>
          <c:order val="5"/>
          <c:tx>
            <c:strRef>
              <c:f>Sheet1!$A$125</c:f>
              <c:strCache>
                <c:ptCount val="1"/>
                <c:pt idx="0">
                  <c:v>Nystatin</c:v>
                </c:pt>
              </c:strCache>
            </c:strRef>
          </c:tx>
          <c:spPr>
            <a:solidFill>
              <a:schemeClr val="accent6"/>
            </a:solidFill>
            <a:ln>
              <a:noFill/>
            </a:ln>
            <a:effectLst/>
          </c:spPr>
          <c:invertIfNegative val="0"/>
          <c:cat>
            <c:strRef>
              <c:f>Sheet1!$B$119:$E$119</c:f>
              <c:strCache>
                <c:ptCount val="4"/>
                <c:pt idx="0">
                  <c:v>S. cerevisae</c:v>
                </c:pt>
                <c:pt idx="1">
                  <c:v>C.albicans</c:v>
                </c:pt>
                <c:pt idx="2">
                  <c:v>A. flavus</c:v>
                </c:pt>
                <c:pt idx="3">
                  <c:v>A. niger</c:v>
                </c:pt>
              </c:strCache>
            </c:strRef>
          </c:cat>
          <c:val>
            <c:numRef>
              <c:f>Sheet1!$B$125:$E$125</c:f>
              <c:numCache>
                <c:formatCode>General</c:formatCode>
                <c:ptCount val="4"/>
                <c:pt idx="0">
                  <c:v>39</c:v>
                </c:pt>
                <c:pt idx="1">
                  <c:v>43</c:v>
                </c:pt>
                <c:pt idx="2">
                  <c:v>33</c:v>
                </c:pt>
                <c:pt idx="3">
                  <c:v>37</c:v>
                </c:pt>
              </c:numCache>
            </c:numRef>
          </c:val>
          <c:extLst xmlns:c16r2="http://schemas.microsoft.com/office/drawing/2015/06/chart">
            <c:ext xmlns:c16="http://schemas.microsoft.com/office/drawing/2014/chart" uri="{C3380CC4-5D6E-409C-BE32-E72D297353CC}">
              <c16:uniqueId val="{00000005-BE9F-4556-8DB7-D267B34F124D}"/>
            </c:ext>
          </c:extLst>
        </c:ser>
        <c:dLbls>
          <c:showLegendKey val="0"/>
          <c:showVal val="0"/>
          <c:showCatName val="0"/>
          <c:showSerName val="0"/>
          <c:showPercent val="0"/>
          <c:showBubbleSize val="0"/>
        </c:dLbls>
        <c:gapWidth val="300"/>
        <c:axId val="148632704"/>
        <c:axId val="148634624"/>
      </c:barChart>
      <c:catAx>
        <c:axId val="1486327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 fungi</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34624"/>
        <c:crosses val="autoZero"/>
        <c:auto val="1"/>
        <c:lblAlgn val="ctr"/>
        <c:lblOffset val="100"/>
        <c:noMultiLvlLbl val="0"/>
      </c:catAx>
      <c:valAx>
        <c:axId val="1486346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Zones of inhibition (mm)</a:t>
                </a:r>
              </a:p>
            </c:rich>
          </c:tx>
          <c:overlay val="0"/>
          <c:spPr>
            <a:noFill/>
            <a:ln>
              <a:noFill/>
            </a:ln>
            <a:effectLst/>
          </c:sp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327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Sheet1!$A$105</c:f>
              <c:strCache>
                <c:ptCount val="1"/>
                <c:pt idx="0">
                  <c:v>500</c:v>
                </c:pt>
              </c:strCache>
            </c:strRef>
          </c:tx>
          <c:spPr>
            <a:solidFill>
              <a:schemeClr val="accent1"/>
            </a:solidFill>
            <a:ln>
              <a:noFill/>
            </a:ln>
            <a:effectLst/>
          </c:spPr>
          <c:invertIfNegative val="0"/>
          <c:cat>
            <c:strRef>
              <c:f>Sheet1!$B$104:$E$104</c:f>
              <c:strCache>
                <c:ptCount val="4"/>
                <c:pt idx="0">
                  <c:v>S. cerevisae</c:v>
                </c:pt>
                <c:pt idx="1">
                  <c:v>C.albicans</c:v>
                </c:pt>
                <c:pt idx="2">
                  <c:v>A. flavus</c:v>
                </c:pt>
                <c:pt idx="3">
                  <c:v>A. niger</c:v>
                </c:pt>
              </c:strCache>
            </c:strRef>
          </c:cat>
          <c:val>
            <c:numRef>
              <c:f>Sheet1!$B$105:$E$105</c:f>
              <c:numCache>
                <c:formatCode>General</c:formatCode>
                <c:ptCount val="4"/>
                <c:pt idx="0">
                  <c:v>9</c:v>
                </c:pt>
                <c:pt idx="1">
                  <c:v>12</c:v>
                </c:pt>
                <c:pt idx="2">
                  <c:v>21</c:v>
                </c:pt>
                <c:pt idx="3">
                  <c:v>14</c:v>
                </c:pt>
              </c:numCache>
            </c:numRef>
          </c:val>
          <c:extLst xmlns:c16r2="http://schemas.microsoft.com/office/drawing/2015/06/chart">
            <c:ext xmlns:c16="http://schemas.microsoft.com/office/drawing/2014/chart" uri="{C3380CC4-5D6E-409C-BE32-E72D297353CC}">
              <c16:uniqueId val="{00000000-E784-4573-8647-DFFF8E87E157}"/>
            </c:ext>
          </c:extLst>
        </c:ser>
        <c:ser>
          <c:idx val="1"/>
          <c:order val="1"/>
          <c:tx>
            <c:strRef>
              <c:f>Sheet1!$A$106</c:f>
              <c:strCache>
                <c:ptCount val="1"/>
                <c:pt idx="0">
                  <c:v>400</c:v>
                </c:pt>
              </c:strCache>
            </c:strRef>
          </c:tx>
          <c:spPr>
            <a:solidFill>
              <a:schemeClr val="accent2"/>
            </a:solidFill>
            <a:ln>
              <a:noFill/>
            </a:ln>
            <a:effectLst/>
          </c:spPr>
          <c:invertIfNegative val="0"/>
          <c:cat>
            <c:strRef>
              <c:f>Sheet1!$B$104:$E$104</c:f>
              <c:strCache>
                <c:ptCount val="4"/>
                <c:pt idx="0">
                  <c:v>S. cerevisae</c:v>
                </c:pt>
                <c:pt idx="1">
                  <c:v>C.albicans</c:v>
                </c:pt>
                <c:pt idx="2">
                  <c:v>A. flavus</c:v>
                </c:pt>
                <c:pt idx="3">
                  <c:v>A. niger</c:v>
                </c:pt>
              </c:strCache>
            </c:strRef>
          </c:cat>
          <c:val>
            <c:numRef>
              <c:f>Sheet1!$B$106:$E$106</c:f>
              <c:numCache>
                <c:formatCode>General</c:formatCode>
                <c:ptCount val="4"/>
                <c:pt idx="0">
                  <c:v>0</c:v>
                </c:pt>
                <c:pt idx="1">
                  <c:v>8</c:v>
                </c:pt>
                <c:pt idx="2">
                  <c:v>17</c:v>
                </c:pt>
                <c:pt idx="3">
                  <c:v>10</c:v>
                </c:pt>
              </c:numCache>
            </c:numRef>
          </c:val>
          <c:extLst xmlns:c16r2="http://schemas.microsoft.com/office/drawing/2015/06/chart">
            <c:ext xmlns:c16="http://schemas.microsoft.com/office/drawing/2014/chart" uri="{C3380CC4-5D6E-409C-BE32-E72D297353CC}">
              <c16:uniqueId val="{00000001-E784-4573-8647-DFFF8E87E157}"/>
            </c:ext>
          </c:extLst>
        </c:ser>
        <c:ser>
          <c:idx val="2"/>
          <c:order val="2"/>
          <c:tx>
            <c:strRef>
              <c:f>Sheet1!$A$107</c:f>
              <c:strCache>
                <c:ptCount val="1"/>
                <c:pt idx="0">
                  <c:v>300</c:v>
                </c:pt>
              </c:strCache>
            </c:strRef>
          </c:tx>
          <c:spPr>
            <a:solidFill>
              <a:schemeClr val="accent3"/>
            </a:solidFill>
            <a:ln>
              <a:noFill/>
            </a:ln>
            <a:effectLst/>
          </c:spPr>
          <c:invertIfNegative val="0"/>
          <c:cat>
            <c:strRef>
              <c:f>Sheet1!$B$104:$E$104</c:f>
              <c:strCache>
                <c:ptCount val="4"/>
                <c:pt idx="0">
                  <c:v>S. cerevisae</c:v>
                </c:pt>
                <c:pt idx="1">
                  <c:v>C.albicans</c:v>
                </c:pt>
                <c:pt idx="2">
                  <c:v>A. flavus</c:v>
                </c:pt>
                <c:pt idx="3">
                  <c:v>A. niger</c:v>
                </c:pt>
              </c:strCache>
            </c:strRef>
          </c:cat>
          <c:val>
            <c:numRef>
              <c:f>Sheet1!$B$107:$E$107</c:f>
              <c:numCache>
                <c:formatCode>General</c:formatCode>
                <c:ptCount val="4"/>
                <c:pt idx="0">
                  <c:v>0</c:v>
                </c:pt>
                <c:pt idx="1">
                  <c:v>0</c:v>
                </c:pt>
                <c:pt idx="2">
                  <c:v>14</c:v>
                </c:pt>
                <c:pt idx="3">
                  <c:v>0</c:v>
                </c:pt>
              </c:numCache>
            </c:numRef>
          </c:val>
          <c:extLst xmlns:c16r2="http://schemas.microsoft.com/office/drawing/2015/06/chart">
            <c:ext xmlns:c16="http://schemas.microsoft.com/office/drawing/2014/chart" uri="{C3380CC4-5D6E-409C-BE32-E72D297353CC}">
              <c16:uniqueId val="{00000002-E784-4573-8647-DFFF8E87E157}"/>
            </c:ext>
          </c:extLst>
        </c:ser>
        <c:ser>
          <c:idx val="3"/>
          <c:order val="3"/>
          <c:tx>
            <c:strRef>
              <c:f>Sheet1!$A$108</c:f>
              <c:strCache>
                <c:ptCount val="1"/>
                <c:pt idx="0">
                  <c:v>200</c:v>
                </c:pt>
              </c:strCache>
            </c:strRef>
          </c:tx>
          <c:spPr>
            <a:solidFill>
              <a:schemeClr val="accent4"/>
            </a:solidFill>
            <a:ln>
              <a:noFill/>
            </a:ln>
            <a:effectLst/>
          </c:spPr>
          <c:invertIfNegative val="0"/>
          <c:cat>
            <c:strRef>
              <c:f>Sheet1!$B$104:$E$104</c:f>
              <c:strCache>
                <c:ptCount val="4"/>
                <c:pt idx="0">
                  <c:v>S. cerevisae</c:v>
                </c:pt>
                <c:pt idx="1">
                  <c:v>C.albicans</c:v>
                </c:pt>
                <c:pt idx="2">
                  <c:v>A. flavus</c:v>
                </c:pt>
                <c:pt idx="3">
                  <c:v>A. niger</c:v>
                </c:pt>
              </c:strCache>
            </c:strRef>
          </c:cat>
          <c:val>
            <c:numRef>
              <c:f>Sheet1!$B$108:$E$108</c:f>
              <c:numCache>
                <c:formatCode>General</c:formatCode>
                <c:ptCount val="4"/>
                <c:pt idx="0">
                  <c:v>0</c:v>
                </c:pt>
                <c:pt idx="1">
                  <c:v>0</c:v>
                </c:pt>
                <c:pt idx="2">
                  <c:v>10</c:v>
                </c:pt>
                <c:pt idx="3">
                  <c:v>0</c:v>
                </c:pt>
              </c:numCache>
            </c:numRef>
          </c:val>
          <c:extLst xmlns:c16r2="http://schemas.microsoft.com/office/drawing/2015/06/chart">
            <c:ext xmlns:c16="http://schemas.microsoft.com/office/drawing/2014/chart" uri="{C3380CC4-5D6E-409C-BE32-E72D297353CC}">
              <c16:uniqueId val="{00000003-E784-4573-8647-DFFF8E87E157}"/>
            </c:ext>
          </c:extLst>
        </c:ser>
        <c:ser>
          <c:idx val="4"/>
          <c:order val="4"/>
          <c:tx>
            <c:strRef>
              <c:f>Sheet1!$A$109</c:f>
              <c:strCache>
                <c:ptCount val="1"/>
                <c:pt idx="0">
                  <c:v>100</c:v>
                </c:pt>
              </c:strCache>
            </c:strRef>
          </c:tx>
          <c:spPr>
            <a:solidFill>
              <a:schemeClr val="accent5"/>
            </a:solidFill>
            <a:ln>
              <a:noFill/>
            </a:ln>
            <a:effectLst/>
          </c:spPr>
          <c:invertIfNegative val="0"/>
          <c:cat>
            <c:strRef>
              <c:f>Sheet1!$B$104:$E$104</c:f>
              <c:strCache>
                <c:ptCount val="4"/>
                <c:pt idx="0">
                  <c:v>S. cerevisae</c:v>
                </c:pt>
                <c:pt idx="1">
                  <c:v>C.albicans</c:v>
                </c:pt>
                <c:pt idx="2">
                  <c:v>A. flavus</c:v>
                </c:pt>
                <c:pt idx="3">
                  <c:v>A. niger</c:v>
                </c:pt>
              </c:strCache>
            </c:strRef>
          </c:cat>
          <c:val>
            <c:numRef>
              <c:f>Sheet1!$B$109:$E$109</c:f>
              <c:numCache>
                <c:formatCode>General</c:formatCode>
                <c:ptCount val="4"/>
                <c:pt idx="0">
                  <c:v>8</c:v>
                </c:pt>
                <c:pt idx="1">
                  <c:v>0</c:v>
                </c:pt>
                <c:pt idx="2">
                  <c:v>0</c:v>
                </c:pt>
                <c:pt idx="3">
                  <c:v>0</c:v>
                </c:pt>
              </c:numCache>
            </c:numRef>
          </c:val>
          <c:extLst xmlns:c16r2="http://schemas.microsoft.com/office/drawing/2015/06/chart">
            <c:ext xmlns:c16="http://schemas.microsoft.com/office/drawing/2014/chart" uri="{C3380CC4-5D6E-409C-BE32-E72D297353CC}">
              <c16:uniqueId val="{00000004-E784-4573-8647-DFFF8E87E157}"/>
            </c:ext>
          </c:extLst>
        </c:ser>
        <c:ser>
          <c:idx val="5"/>
          <c:order val="5"/>
          <c:tx>
            <c:strRef>
              <c:f>Sheet1!$A$110</c:f>
              <c:strCache>
                <c:ptCount val="1"/>
                <c:pt idx="0">
                  <c:v>Nystatin</c:v>
                </c:pt>
              </c:strCache>
            </c:strRef>
          </c:tx>
          <c:spPr>
            <a:solidFill>
              <a:schemeClr val="accent6"/>
            </a:solidFill>
            <a:ln>
              <a:noFill/>
            </a:ln>
            <a:effectLst/>
          </c:spPr>
          <c:invertIfNegative val="0"/>
          <c:cat>
            <c:strRef>
              <c:f>Sheet1!$B$104:$E$104</c:f>
              <c:strCache>
                <c:ptCount val="4"/>
                <c:pt idx="0">
                  <c:v>S. cerevisae</c:v>
                </c:pt>
                <c:pt idx="1">
                  <c:v>C.albicans</c:v>
                </c:pt>
                <c:pt idx="2">
                  <c:v>A. flavus</c:v>
                </c:pt>
                <c:pt idx="3">
                  <c:v>A. niger</c:v>
                </c:pt>
              </c:strCache>
            </c:strRef>
          </c:cat>
          <c:val>
            <c:numRef>
              <c:f>Sheet1!$B$110:$E$110</c:f>
              <c:numCache>
                <c:formatCode>General</c:formatCode>
                <c:ptCount val="4"/>
                <c:pt idx="0">
                  <c:v>39</c:v>
                </c:pt>
                <c:pt idx="1">
                  <c:v>43</c:v>
                </c:pt>
                <c:pt idx="2">
                  <c:v>33</c:v>
                </c:pt>
                <c:pt idx="3">
                  <c:v>37</c:v>
                </c:pt>
              </c:numCache>
            </c:numRef>
          </c:val>
          <c:extLst xmlns:c16r2="http://schemas.microsoft.com/office/drawing/2015/06/chart">
            <c:ext xmlns:c16="http://schemas.microsoft.com/office/drawing/2014/chart" uri="{C3380CC4-5D6E-409C-BE32-E72D297353CC}">
              <c16:uniqueId val="{00000005-E784-4573-8647-DFFF8E87E157}"/>
            </c:ext>
          </c:extLst>
        </c:ser>
        <c:dLbls>
          <c:showLegendKey val="0"/>
          <c:showVal val="0"/>
          <c:showCatName val="0"/>
          <c:showSerName val="0"/>
          <c:showPercent val="0"/>
          <c:showBubbleSize val="0"/>
        </c:dLbls>
        <c:gapWidth val="300"/>
        <c:axId val="150259584"/>
        <c:axId val="150269952"/>
      </c:barChart>
      <c:catAx>
        <c:axId val="150259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 fungi</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69952"/>
        <c:crosses val="autoZero"/>
        <c:auto val="1"/>
        <c:lblAlgn val="ctr"/>
        <c:lblOffset val="100"/>
        <c:noMultiLvlLbl val="0"/>
      </c:catAx>
      <c:valAx>
        <c:axId val="1502699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Zones of inhibition (mm)</a:t>
                </a:r>
              </a:p>
            </c:rich>
          </c:tx>
          <c:overlay val="0"/>
          <c:spPr>
            <a:noFill/>
            <a:ln>
              <a:noFill/>
            </a:ln>
            <a:effectLst/>
          </c:sp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259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Sheet1!$A$90</c:f>
              <c:strCache>
                <c:ptCount val="1"/>
                <c:pt idx="0">
                  <c:v>500</c:v>
                </c:pt>
              </c:strCache>
            </c:strRef>
          </c:tx>
          <c:spPr>
            <a:solidFill>
              <a:schemeClr val="accent1"/>
            </a:solidFill>
            <a:ln>
              <a:noFill/>
            </a:ln>
            <a:effectLst/>
          </c:spPr>
          <c:invertIfNegative val="0"/>
          <c:cat>
            <c:strRef>
              <c:f>Sheet1!$B$89:$E$89</c:f>
              <c:strCache>
                <c:ptCount val="4"/>
                <c:pt idx="0">
                  <c:v>S. cerevisae</c:v>
                </c:pt>
                <c:pt idx="1">
                  <c:v>C.albicans</c:v>
                </c:pt>
                <c:pt idx="2">
                  <c:v>A. flavus</c:v>
                </c:pt>
                <c:pt idx="3">
                  <c:v>A. niger</c:v>
                </c:pt>
              </c:strCache>
            </c:strRef>
          </c:cat>
          <c:val>
            <c:numRef>
              <c:f>Sheet1!$B$90:$E$90</c:f>
              <c:numCache>
                <c:formatCode>General</c:formatCode>
                <c:ptCount val="4"/>
                <c:pt idx="0">
                  <c:v>24</c:v>
                </c:pt>
                <c:pt idx="1">
                  <c:v>14</c:v>
                </c:pt>
                <c:pt idx="2">
                  <c:v>20</c:v>
                </c:pt>
                <c:pt idx="3">
                  <c:v>11</c:v>
                </c:pt>
              </c:numCache>
            </c:numRef>
          </c:val>
          <c:extLst xmlns:c16r2="http://schemas.microsoft.com/office/drawing/2015/06/chart">
            <c:ext xmlns:c16="http://schemas.microsoft.com/office/drawing/2014/chart" uri="{C3380CC4-5D6E-409C-BE32-E72D297353CC}">
              <c16:uniqueId val="{00000000-DAB2-4F52-9E20-895B4757C79A}"/>
            </c:ext>
          </c:extLst>
        </c:ser>
        <c:ser>
          <c:idx val="1"/>
          <c:order val="1"/>
          <c:tx>
            <c:strRef>
              <c:f>Sheet1!$A$91</c:f>
              <c:strCache>
                <c:ptCount val="1"/>
                <c:pt idx="0">
                  <c:v>400</c:v>
                </c:pt>
              </c:strCache>
            </c:strRef>
          </c:tx>
          <c:spPr>
            <a:solidFill>
              <a:schemeClr val="accent2"/>
            </a:solidFill>
            <a:ln>
              <a:noFill/>
            </a:ln>
            <a:effectLst/>
          </c:spPr>
          <c:invertIfNegative val="0"/>
          <c:cat>
            <c:strRef>
              <c:f>Sheet1!$B$89:$E$89</c:f>
              <c:strCache>
                <c:ptCount val="4"/>
                <c:pt idx="0">
                  <c:v>S. cerevisae</c:v>
                </c:pt>
                <c:pt idx="1">
                  <c:v>C.albicans</c:v>
                </c:pt>
                <c:pt idx="2">
                  <c:v>A. flavus</c:v>
                </c:pt>
                <c:pt idx="3">
                  <c:v>A. niger</c:v>
                </c:pt>
              </c:strCache>
            </c:strRef>
          </c:cat>
          <c:val>
            <c:numRef>
              <c:f>Sheet1!$B$91:$E$91</c:f>
              <c:numCache>
                <c:formatCode>General</c:formatCode>
                <c:ptCount val="4"/>
                <c:pt idx="0">
                  <c:v>19</c:v>
                </c:pt>
                <c:pt idx="1">
                  <c:v>11</c:v>
                </c:pt>
                <c:pt idx="2">
                  <c:v>16</c:v>
                </c:pt>
                <c:pt idx="3">
                  <c:v>9</c:v>
                </c:pt>
              </c:numCache>
            </c:numRef>
          </c:val>
          <c:extLst xmlns:c16r2="http://schemas.microsoft.com/office/drawing/2015/06/chart">
            <c:ext xmlns:c16="http://schemas.microsoft.com/office/drawing/2014/chart" uri="{C3380CC4-5D6E-409C-BE32-E72D297353CC}">
              <c16:uniqueId val="{00000001-DAB2-4F52-9E20-895B4757C79A}"/>
            </c:ext>
          </c:extLst>
        </c:ser>
        <c:ser>
          <c:idx val="2"/>
          <c:order val="2"/>
          <c:tx>
            <c:strRef>
              <c:f>Sheet1!$A$92</c:f>
              <c:strCache>
                <c:ptCount val="1"/>
                <c:pt idx="0">
                  <c:v>300</c:v>
                </c:pt>
              </c:strCache>
            </c:strRef>
          </c:tx>
          <c:spPr>
            <a:solidFill>
              <a:schemeClr val="accent3"/>
            </a:solidFill>
            <a:ln>
              <a:noFill/>
            </a:ln>
            <a:effectLst/>
          </c:spPr>
          <c:invertIfNegative val="0"/>
          <c:cat>
            <c:strRef>
              <c:f>Sheet1!$B$89:$E$89</c:f>
              <c:strCache>
                <c:ptCount val="4"/>
                <c:pt idx="0">
                  <c:v>S. cerevisae</c:v>
                </c:pt>
                <c:pt idx="1">
                  <c:v>C.albicans</c:v>
                </c:pt>
                <c:pt idx="2">
                  <c:v>A. flavus</c:v>
                </c:pt>
                <c:pt idx="3">
                  <c:v>A. niger</c:v>
                </c:pt>
              </c:strCache>
            </c:strRef>
          </c:cat>
          <c:val>
            <c:numRef>
              <c:f>Sheet1!$B$92:$E$92</c:f>
              <c:numCache>
                <c:formatCode>General</c:formatCode>
                <c:ptCount val="4"/>
                <c:pt idx="0">
                  <c:v>14</c:v>
                </c:pt>
                <c:pt idx="1">
                  <c:v>8</c:v>
                </c:pt>
                <c:pt idx="2">
                  <c:v>12</c:v>
                </c:pt>
                <c:pt idx="3">
                  <c:v>0</c:v>
                </c:pt>
              </c:numCache>
            </c:numRef>
          </c:val>
          <c:extLst xmlns:c16r2="http://schemas.microsoft.com/office/drawing/2015/06/chart">
            <c:ext xmlns:c16="http://schemas.microsoft.com/office/drawing/2014/chart" uri="{C3380CC4-5D6E-409C-BE32-E72D297353CC}">
              <c16:uniqueId val="{00000002-DAB2-4F52-9E20-895B4757C79A}"/>
            </c:ext>
          </c:extLst>
        </c:ser>
        <c:ser>
          <c:idx val="3"/>
          <c:order val="3"/>
          <c:tx>
            <c:strRef>
              <c:f>Sheet1!$A$93</c:f>
              <c:strCache>
                <c:ptCount val="1"/>
                <c:pt idx="0">
                  <c:v>200</c:v>
                </c:pt>
              </c:strCache>
            </c:strRef>
          </c:tx>
          <c:spPr>
            <a:solidFill>
              <a:schemeClr val="accent4"/>
            </a:solidFill>
            <a:ln>
              <a:noFill/>
            </a:ln>
            <a:effectLst/>
          </c:spPr>
          <c:invertIfNegative val="0"/>
          <c:cat>
            <c:strRef>
              <c:f>Sheet1!$B$89:$E$89</c:f>
              <c:strCache>
                <c:ptCount val="4"/>
                <c:pt idx="0">
                  <c:v>S. cerevisae</c:v>
                </c:pt>
                <c:pt idx="1">
                  <c:v>C.albicans</c:v>
                </c:pt>
                <c:pt idx="2">
                  <c:v>A. flavus</c:v>
                </c:pt>
                <c:pt idx="3">
                  <c:v>A. niger</c:v>
                </c:pt>
              </c:strCache>
            </c:strRef>
          </c:cat>
          <c:val>
            <c:numRef>
              <c:f>Sheet1!$B$93:$E$93</c:f>
              <c:numCache>
                <c:formatCode>General</c:formatCode>
                <c:ptCount val="4"/>
                <c:pt idx="0">
                  <c:v>11</c:v>
                </c:pt>
                <c:pt idx="1">
                  <c:v>0</c:v>
                </c:pt>
                <c:pt idx="2">
                  <c:v>8</c:v>
                </c:pt>
                <c:pt idx="3">
                  <c:v>0</c:v>
                </c:pt>
              </c:numCache>
            </c:numRef>
          </c:val>
          <c:extLst xmlns:c16r2="http://schemas.microsoft.com/office/drawing/2015/06/chart">
            <c:ext xmlns:c16="http://schemas.microsoft.com/office/drawing/2014/chart" uri="{C3380CC4-5D6E-409C-BE32-E72D297353CC}">
              <c16:uniqueId val="{00000003-DAB2-4F52-9E20-895B4757C79A}"/>
            </c:ext>
          </c:extLst>
        </c:ser>
        <c:ser>
          <c:idx val="4"/>
          <c:order val="4"/>
          <c:tx>
            <c:strRef>
              <c:f>Sheet1!$A$94</c:f>
              <c:strCache>
                <c:ptCount val="1"/>
                <c:pt idx="0">
                  <c:v>100</c:v>
                </c:pt>
              </c:strCache>
            </c:strRef>
          </c:tx>
          <c:spPr>
            <a:solidFill>
              <a:schemeClr val="accent5"/>
            </a:solidFill>
            <a:ln>
              <a:noFill/>
            </a:ln>
            <a:effectLst/>
          </c:spPr>
          <c:invertIfNegative val="0"/>
          <c:cat>
            <c:strRef>
              <c:f>Sheet1!$B$89:$E$89</c:f>
              <c:strCache>
                <c:ptCount val="4"/>
                <c:pt idx="0">
                  <c:v>S. cerevisae</c:v>
                </c:pt>
                <c:pt idx="1">
                  <c:v>C.albicans</c:v>
                </c:pt>
                <c:pt idx="2">
                  <c:v>A. flavus</c:v>
                </c:pt>
                <c:pt idx="3">
                  <c:v>A. niger</c:v>
                </c:pt>
              </c:strCache>
            </c:strRef>
          </c:cat>
          <c:val>
            <c:numRef>
              <c:f>Sheet1!$B$94:$E$94</c:f>
              <c:numCache>
                <c:formatCode>General</c:formatCode>
                <c:ptCount val="4"/>
                <c:pt idx="0">
                  <c:v>8</c:v>
                </c:pt>
                <c:pt idx="1">
                  <c:v>0</c:v>
                </c:pt>
                <c:pt idx="2">
                  <c:v>0</c:v>
                </c:pt>
                <c:pt idx="3">
                  <c:v>0</c:v>
                </c:pt>
              </c:numCache>
            </c:numRef>
          </c:val>
          <c:extLst xmlns:c16r2="http://schemas.microsoft.com/office/drawing/2015/06/chart">
            <c:ext xmlns:c16="http://schemas.microsoft.com/office/drawing/2014/chart" uri="{C3380CC4-5D6E-409C-BE32-E72D297353CC}">
              <c16:uniqueId val="{00000004-DAB2-4F52-9E20-895B4757C79A}"/>
            </c:ext>
          </c:extLst>
        </c:ser>
        <c:ser>
          <c:idx val="5"/>
          <c:order val="5"/>
          <c:tx>
            <c:strRef>
              <c:f>Sheet1!$A$95</c:f>
              <c:strCache>
                <c:ptCount val="1"/>
                <c:pt idx="0">
                  <c:v>Nystatin</c:v>
                </c:pt>
              </c:strCache>
            </c:strRef>
          </c:tx>
          <c:spPr>
            <a:solidFill>
              <a:schemeClr val="accent6"/>
            </a:solidFill>
            <a:ln>
              <a:noFill/>
            </a:ln>
            <a:effectLst/>
          </c:spPr>
          <c:invertIfNegative val="0"/>
          <c:cat>
            <c:strRef>
              <c:f>Sheet1!$B$89:$E$89</c:f>
              <c:strCache>
                <c:ptCount val="4"/>
                <c:pt idx="0">
                  <c:v>S. cerevisae</c:v>
                </c:pt>
                <c:pt idx="1">
                  <c:v>C.albicans</c:v>
                </c:pt>
                <c:pt idx="2">
                  <c:v>A. flavus</c:v>
                </c:pt>
                <c:pt idx="3">
                  <c:v>A. niger</c:v>
                </c:pt>
              </c:strCache>
            </c:strRef>
          </c:cat>
          <c:val>
            <c:numRef>
              <c:f>Sheet1!$B$95:$E$95</c:f>
              <c:numCache>
                <c:formatCode>General</c:formatCode>
                <c:ptCount val="4"/>
                <c:pt idx="0">
                  <c:v>39</c:v>
                </c:pt>
                <c:pt idx="1">
                  <c:v>43</c:v>
                </c:pt>
                <c:pt idx="2">
                  <c:v>33</c:v>
                </c:pt>
                <c:pt idx="3">
                  <c:v>37</c:v>
                </c:pt>
              </c:numCache>
            </c:numRef>
          </c:val>
          <c:extLst xmlns:c16r2="http://schemas.microsoft.com/office/drawing/2015/06/chart">
            <c:ext xmlns:c16="http://schemas.microsoft.com/office/drawing/2014/chart" uri="{C3380CC4-5D6E-409C-BE32-E72D297353CC}">
              <c16:uniqueId val="{00000005-DAB2-4F52-9E20-895B4757C79A}"/>
            </c:ext>
          </c:extLst>
        </c:ser>
        <c:dLbls>
          <c:showLegendKey val="0"/>
          <c:showVal val="0"/>
          <c:showCatName val="0"/>
          <c:showSerName val="0"/>
          <c:showPercent val="0"/>
          <c:showBubbleSize val="0"/>
        </c:dLbls>
        <c:gapWidth val="300"/>
        <c:axId val="150379136"/>
        <c:axId val="150389504"/>
      </c:barChart>
      <c:catAx>
        <c:axId val="150379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Pathogenic fungi</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89504"/>
        <c:crosses val="autoZero"/>
        <c:auto val="1"/>
        <c:lblAlgn val="ctr"/>
        <c:lblOffset val="100"/>
        <c:noMultiLvlLbl val="0"/>
      </c:catAx>
      <c:valAx>
        <c:axId val="1503895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latin typeface="Times New Roman" panose="02020603050405020304" pitchFamily="18" charset="0"/>
                    <a:cs typeface="Times New Roman" panose="02020603050405020304" pitchFamily="18" charset="0"/>
                  </a:rPr>
                  <a:t>Zones of inhibition (mm)</a:t>
                </a:r>
              </a:p>
            </c:rich>
          </c:tx>
          <c:overlay val="0"/>
          <c:spPr>
            <a:noFill/>
            <a:ln>
              <a:noFill/>
            </a:ln>
            <a:effectLst/>
          </c:sp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791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Sheet1!$A$137</c:f>
              <c:strCache>
                <c:ptCount val="1"/>
                <c:pt idx="0">
                  <c:v>500</c:v>
                </c:pt>
              </c:strCache>
            </c:strRef>
          </c:tx>
          <c:spPr>
            <a:solidFill>
              <a:schemeClr val="accent1"/>
            </a:solidFill>
            <a:ln>
              <a:noFill/>
            </a:ln>
            <a:effectLst/>
          </c:spPr>
          <c:invertIfNegative val="0"/>
          <c:cat>
            <c:strRef>
              <c:f>Sheet1!$B$136:$E$136</c:f>
              <c:strCache>
                <c:ptCount val="4"/>
                <c:pt idx="0">
                  <c:v>S. cerevisae</c:v>
                </c:pt>
                <c:pt idx="1">
                  <c:v>C.albicans</c:v>
                </c:pt>
                <c:pt idx="2">
                  <c:v>A. flavus</c:v>
                </c:pt>
                <c:pt idx="3">
                  <c:v>A. niger</c:v>
                </c:pt>
              </c:strCache>
            </c:strRef>
          </c:cat>
          <c:val>
            <c:numRef>
              <c:f>Sheet1!$B$137:$E$137</c:f>
              <c:numCache>
                <c:formatCode>General</c:formatCode>
                <c:ptCount val="4"/>
                <c:pt idx="0">
                  <c:v>22</c:v>
                </c:pt>
                <c:pt idx="1">
                  <c:v>24</c:v>
                </c:pt>
                <c:pt idx="2">
                  <c:v>22</c:v>
                </c:pt>
                <c:pt idx="3">
                  <c:v>24</c:v>
                </c:pt>
              </c:numCache>
            </c:numRef>
          </c:val>
          <c:extLst xmlns:c16r2="http://schemas.microsoft.com/office/drawing/2015/06/chart">
            <c:ext xmlns:c16="http://schemas.microsoft.com/office/drawing/2014/chart" uri="{C3380CC4-5D6E-409C-BE32-E72D297353CC}">
              <c16:uniqueId val="{00000000-9638-4DFB-9369-BEED37372295}"/>
            </c:ext>
          </c:extLst>
        </c:ser>
        <c:ser>
          <c:idx val="1"/>
          <c:order val="1"/>
          <c:tx>
            <c:strRef>
              <c:f>Sheet1!$A$138</c:f>
              <c:strCache>
                <c:ptCount val="1"/>
                <c:pt idx="0">
                  <c:v>400</c:v>
                </c:pt>
              </c:strCache>
            </c:strRef>
          </c:tx>
          <c:spPr>
            <a:solidFill>
              <a:schemeClr val="accent2"/>
            </a:solidFill>
            <a:ln>
              <a:noFill/>
            </a:ln>
            <a:effectLst/>
          </c:spPr>
          <c:invertIfNegative val="0"/>
          <c:cat>
            <c:strRef>
              <c:f>Sheet1!$B$136:$E$136</c:f>
              <c:strCache>
                <c:ptCount val="4"/>
                <c:pt idx="0">
                  <c:v>S. cerevisae</c:v>
                </c:pt>
                <c:pt idx="1">
                  <c:v>C.albicans</c:v>
                </c:pt>
                <c:pt idx="2">
                  <c:v>A. flavus</c:v>
                </c:pt>
                <c:pt idx="3">
                  <c:v>A. niger</c:v>
                </c:pt>
              </c:strCache>
            </c:strRef>
          </c:cat>
          <c:val>
            <c:numRef>
              <c:f>Sheet1!$B$138:$E$138</c:f>
              <c:numCache>
                <c:formatCode>General</c:formatCode>
                <c:ptCount val="4"/>
                <c:pt idx="0">
                  <c:v>17</c:v>
                </c:pt>
                <c:pt idx="1">
                  <c:v>19</c:v>
                </c:pt>
                <c:pt idx="2">
                  <c:v>19</c:v>
                </c:pt>
                <c:pt idx="3">
                  <c:v>20</c:v>
                </c:pt>
              </c:numCache>
            </c:numRef>
          </c:val>
          <c:extLst xmlns:c16r2="http://schemas.microsoft.com/office/drawing/2015/06/chart">
            <c:ext xmlns:c16="http://schemas.microsoft.com/office/drawing/2014/chart" uri="{C3380CC4-5D6E-409C-BE32-E72D297353CC}">
              <c16:uniqueId val="{00000001-9638-4DFB-9369-BEED37372295}"/>
            </c:ext>
          </c:extLst>
        </c:ser>
        <c:ser>
          <c:idx val="2"/>
          <c:order val="2"/>
          <c:tx>
            <c:strRef>
              <c:f>Sheet1!$A$139</c:f>
              <c:strCache>
                <c:ptCount val="1"/>
                <c:pt idx="0">
                  <c:v>300</c:v>
                </c:pt>
              </c:strCache>
            </c:strRef>
          </c:tx>
          <c:spPr>
            <a:solidFill>
              <a:schemeClr val="accent3"/>
            </a:solidFill>
            <a:ln>
              <a:noFill/>
            </a:ln>
            <a:effectLst/>
          </c:spPr>
          <c:invertIfNegative val="0"/>
          <c:cat>
            <c:strRef>
              <c:f>Sheet1!$B$136:$E$136</c:f>
              <c:strCache>
                <c:ptCount val="4"/>
                <c:pt idx="0">
                  <c:v>S. cerevisae</c:v>
                </c:pt>
                <c:pt idx="1">
                  <c:v>C.albicans</c:v>
                </c:pt>
                <c:pt idx="2">
                  <c:v>A. flavus</c:v>
                </c:pt>
                <c:pt idx="3">
                  <c:v>A. niger</c:v>
                </c:pt>
              </c:strCache>
            </c:strRef>
          </c:cat>
          <c:val>
            <c:numRef>
              <c:f>Sheet1!$B$139:$E$139</c:f>
              <c:numCache>
                <c:formatCode>General</c:formatCode>
                <c:ptCount val="4"/>
                <c:pt idx="0">
                  <c:v>14</c:v>
                </c:pt>
                <c:pt idx="1">
                  <c:v>15</c:v>
                </c:pt>
                <c:pt idx="2">
                  <c:v>14</c:v>
                </c:pt>
                <c:pt idx="3">
                  <c:v>15</c:v>
                </c:pt>
              </c:numCache>
            </c:numRef>
          </c:val>
          <c:extLst xmlns:c16r2="http://schemas.microsoft.com/office/drawing/2015/06/chart">
            <c:ext xmlns:c16="http://schemas.microsoft.com/office/drawing/2014/chart" uri="{C3380CC4-5D6E-409C-BE32-E72D297353CC}">
              <c16:uniqueId val="{00000002-9638-4DFB-9369-BEED37372295}"/>
            </c:ext>
          </c:extLst>
        </c:ser>
        <c:ser>
          <c:idx val="3"/>
          <c:order val="3"/>
          <c:tx>
            <c:strRef>
              <c:f>Sheet1!$A$140</c:f>
              <c:strCache>
                <c:ptCount val="1"/>
                <c:pt idx="0">
                  <c:v>200</c:v>
                </c:pt>
              </c:strCache>
            </c:strRef>
          </c:tx>
          <c:spPr>
            <a:solidFill>
              <a:schemeClr val="accent4"/>
            </a:solidFill>
            <a:ln>
              <a:noFill/>
            </a:ln>
            <a:effectLst/>
          </c:spPr>
          <c:invertIfNegative val="0"/>
          <c:cat>
            <c:strRef>
              <c:f>Sheet1!$B$136:$E$136</c:f>
              <c:strCache>
                <c:ptCount val="4"/>
                <c:pt idx="0">
                  <c:v>S. cerevisae</c:v>
                </c:pt>
                <c:pt idx="1">
                  <c:v>C.albicans</c:v>
                </c:pt>
                <c:pt idx="2">
                  <c:v>A. flavus</c:v>
                </c:pt>
                <c:pt idx="3">
                  <c:v>A. niger</c:v>
                </c:pt>
              </c:strCache>
            </c:strRef>
          </c:cat>
          <c:val>
            <c:numRef>
              <c:f>Sheet1!$B$140:$E$140</c:f>
              <c:numCache>
                <c:formatCode>General</c:formatCode>
                <c:ptCount val="4"/>
                <c:pt idx="0">
                  <c:v>11</c:v>
                </c:pt>
                <c:pt idx="1">
                  <c:v>12</c:v>
                </c:pt>
                <c:pt idx="2">
                  <c:v>11</c:v>
                </c:pt>
                <c:pt idx="3">
                  <c:v>11</c:v>
                </c:pt>
              </c:numCache>
            </c:numRef>
          </c:val>
          <c:extLst xmlns:c16r2="http://schemas.microsoft.com/office/drawing/2015/06/chart">
            <c:ext xmlns:c16="http://schemas.microsoft.com/office/drawing/2014/chart" uri="{C3380CC4-5D6E-409C-BE32-E72D297353CC}">
              <c16:uniqueId val="{00000003-9638-4DFB-9369-BEED37372295}"/>
            </c:ext>
          </c:extLst>
        </c:ser>
        <c:ser>
          <c:idx val="4"/>
          <c:order val="4"/>
          <c:tx>
            <c:strRef>
              <c:f>Sheet1!$A$141</c:f>
              <c:strCache>
                <c:ptCount val="1"/>
                <c:pt idx="0">
                  <c:v>100</c:v>
                </c:pt>
              </c:strCache>
            </c:strRef>
          </c:tx>
          <c:spPr>
            <a:solidFill>
              <a:schemeClr val="accent5"/>
            </a:solidFill>
            <a:ln>
              <a:noFill/>
            </a:ln>
            <a:effectLst/>
          </c:spPr>
          <c:invertIfNegative val="0"/>
          <c:cat>
            <c:strRef>
              <c:f>Sheet1!$B$136:$E$136</c:f>
              <c:strCache>
                <c:ptCount val="4"/>
                <c:pt idx="0">
                  <c:v>S. cerevisae</c:v>
                </c:pt>
                <c:pt idx="1">
                  <c:v>C.albicans</c:v>
                </c:pt>
                <c:pt idx="2">
                  <c:v>A. flavus</c:v>
                </c:pt>
                <c:pt idx="3">
                  <c:v>A. niger</c:v>
                </c:pt>
              </c:strCache>
            </c:strRef>
          </c:cat>
          <c:val>
            <c:numRef>
              <c:f>Sheet1!$B$141:$E$141</c:f>
              <c:numCache>
                <c:formatCode>General</c:formatCode>
                <c:ptCount val="4"/>
                <c:pt idx="0">
                  <c:v>0</c:v>
                </c:pt>
                <c:pt idx="1">
                  <c:v>9</c:v>
                </c:pt>
                <c:pt idx="2">
                  <c:v>8</c:v>
                </c:pt>
                <c:pt idx="3">
                  <c:v>8</c:v>
                </c:pt>
              </c:numCache>
            </c:numRef>
          </c:val>
          <c:extLst xmlns:c16r2="http://schemas.microsoft.com/office/drawing/2015/06/chart">
            <c:ext xmlns:c16="http://schemas.microsoft.com/office/drawing/2014/chart" uri="{C3380CC4-5D6E-409C-BE32-E72D297353CC}">
              <c16:uniqueId val="{00000004-9638-4DFB-9369-BEED37372295}"/>
            </c:ext>
          </c:extLst>
        </c:ser>
        <c:ser>
          <c:idx val="5"/>
          <c:order val="5"/>
          <c:tx>
            <c:strRef>
              <c:f>Sheet1!$A$142</c:f>
              <c:strCache>
                <c:ptCount val="1"/>
                <c:pt idx="0">
                  <c:v>Nystatin</c:v>
                </c:pt>
              </c:strCache>
            </c:strRef>
          </c:tx>
          <c:spPr>
            <a:solidFill>
              <a:schemeClr val="accent6"/>
            </a:solidFill>
            <a:ln>
              <a:noFill/>
            </a:ln>
            <a:effectLst/>
          </c:spPr>
          <c:invertIfNegative val="0"/>
          <c:cat>
            <c:strRef>
              <c:f>Sheet1!$B$136:$E$136</c:f>
              <c:strCache>
                <c:ptCount val="4"/>
                <c:pt idx="0">
                  <c:v>S. cerevisae</c:v>
                </c:pt>
                <c:pt idx="1">
                  <c:v>C.albicans</c:v>
                </c:pt>
                <c:pt idx="2">
                  <c:v>A. flavus</c:v>
                </c:pt>
                <c:pt idx="3">
                  <c:v>A. niger</c:v>
                </c:pt>
              </c:strCache>
            </c:strRef>
          </c:cat>
          <c:val>
            <c:numRef>
              <c:f>Sheet1!$B$142:$E$142</c:f>
              <c:numCache>
                <c:formatCode>General</c:formatCode>
                <c:ptCount val="4"/>
                <c:pt idx="0">
                  <c:v>39</c:v>
                </c:pt>
                <c:pt idx="1">
                  <c:v>43</c:v>
                </c:pt>
                <c:pt idx="2">
                  <c:v>33</c:v>
                </c:pt>
                <c:pt idx="3">
                  <c:v>37</c:v>
                </c:pt>
              </c:numCache>
            </c:numRef>
          </c:val>
          <c:extLst xmlns:c16r2="http://schemas.microsoft.com/office/drawing/2015/06/chart">
            <c:ext xmlns:c16="http://schemas.microsoft.com/office/drawing/2014/chart" uri="{C3380CC4-5D6E-409C-BE32-E72D297353CC}">
              <c16:uniqueId val="{00000005-9638-4DFB-9369-BEED37372295}"/>
            </c:ext>
          </c:extLst>
        </c:ser>
        <c:dLbls>
          <c:showLegendKey val="0"/>
          <c:showVal val="0"/>
          <c:showCatName val="0"/>
          <c:showSerName val="0"/>
          <c:showPercent val="0"/>
          <c:showBubbleSize val="0"/>
        </c:dLbls>
        <c:gapWidth val="300"/>
        <c:axId val="150707584"/>
        <c:axId val="150709760"/>
      </c:barChart>
      <c:catAx>
        <c:axId val="150707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Pathogenic fungi</a:t>
                </a:r>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09760"/>
        <c:crosses val="autoZero"/>
        <c:auto val="1"/>
        <c:lblAlgn val="ctr"/>
        <c:lblOffset val="100"/>
        <c:noMultiLvlLbl val="0"/>
      </c:catAx>
      <c:valAx>
        <c:axId val="1507097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Zones of inhibition (mm)</a:t>
                </a:r>
              </a:p>
            </c:rich>
          </c:tx>
          <c:overlay val="0"/>
          <c:spPr>
            <a:noFill/>
            <a:ln>
              <a:noFill/>
            </a:ln>
            <a:effectLst/>
          </c:spPr>
        </c:title>
        <c:numFmt formatCode="General" sourceLinked="1"/>
        <c:majorTickMark val="out"/>
        <c:minorTickMark val="none"/>
        <c:tickLblPos val="nextTo"/>
        <c:spPr>
          <a:noFill/>
          <a:ln>
            <a:solidFill>
              <a:schemeClr val="tx1"/>
            </a:solidFill>
            <a:tailEnd type="arrow"/>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707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21</Pages>
  <Words>9750</Words>
  <Characters>55576</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Itohowo Okon Akpan</dc:creator>
  <cp:keywords/>
  <dc:description/>
  <cp:lastModifiedBy>BUKKY pc</cp:lastModifiedBy>
  <cp:revision>88</cp:revision>
  <dcterms:created xsi:type="dcterms:W3CDTF">2026-06-29T13:22:00Z</dcterms:created>
  <dcterms:modified xsi:type="dcterms:W3CDTF">2026-07-02T17:22:00Z</dcterms:modified>
</cp:coreProperties>
</file>