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6EB01">
      <w:pPr>
        <w:spacing w:after="400"/>
        <w:jc w:val="center"/>
      </w:pPr>
      <w:r>
        <w:rPr>
          <w:b/>
          <w:bCs/>
          <w:sz w:val="32"/>
          <w:szCs w:val="32"/>
        </w:rPr>
        <w:t>Assessment of Beekeeping Practices and Honey Production in the Ambikapur Region of Chhattisgarh, India</w:t>
      </w:r>
    </w:p>
    <w:p w14:paraId="5F2D5B38">
      <w:pPr>
        <w:pBdr>
          <w:bottom w:val="single" w:color="auto" w:sz="12" w:space="1"/>
        </w:pBdr>
        <w:spacing w:line="276" w:lineRule="auto"/>
        <w:jc w:val="center"/>
        <w:rPr>
          <w:i/>
          <w:iCs/>
          <w:sz w:val="22"/>
          <w:szCs w:val="22"/>
        </w:rPr>
      </w:pPr>
      <w:r>
        <w:rPr>
          <w:i/>
          <w:iCs/>
          <w:sz w:val="22"/>
          <w:szCs w:val="22"/>
        </w:rPr>
        <w:t xml:space="preserve"> </w:t>
      </w:r>
    </w:p>
    <w:p w14:paraId="7AFEE277">
      <w:pPr>
        <w:pStyle w:val="2"/>
      </w:pPr>
      <w:r>
        <w:t>Abstract</w:t>
      </w:r>
    </w:p>
    <w:p w14:paraId="1F42E34C">
      <w:pPr>
        <w:spacing w:after="200" w:line="480" w:lineRule="auto"/>
        <w:jc w:val="both"/>
      </w:pPr>
      <w:r>
        <w:t xml:space="preserve">Beekeeping is an important agro-ecological activity that supports rural livelihoods, crop pollination, and the production of honey and allied bee products. This study assessed beekeeping practices and honey production in the Ambikapur region of Surguja district, Chhattisgarh, India, through field surveys conducted in March 2026 at the Rajmohini Devi College of Agriculture and Research Center, Ajirma. Approximately 50 bee boxes were examined across four to five field visits, using direct observation and structured interaction with local beekeepers as the primary data-collection methods. Five bee taxa were recorded, namely </w:t>
      </w:r>
      <w:commentRangeStart w:id="0"/>
      <w:r>
        <w:t>Apis mellifera, Apis cerana indica, Apis dorsata, Apis florea, and the stingless bee Trigona iridipennis, with Apis</w:t>
      </w:r>
      <w:commentRangeEnd w:id="0"/>
      <w:r>
        <w:commentReference w:id="0"/>
      </w:r>
      <w:r>
        <w:t xml:space="preserve"> mellifera forming the dominant managed population (42% relative abundance, n = 210 of 500 individuals scored). Mean honey yield from a single managed bee box was 5–6 litres per production cycle, with yield strongly associated with floral availability, colony strength, and hive-management practices. Mustard, sunflower, eucalyptus, neem, and litchi were identified as the principal nectar sources, and floral origin was found to influence the colour, viscosity, and flavour of the harvested honey. Beekeepers commonly applied smoke-based calming techniques and protective clothing during inspection and extraction, practices associated with reduced colony disturbance. The findings indicate that scientific apiculture using movable-frame wooden hives offers a more productive and sustainable alternative to traditional honey-hunting from wild </w:t>
      </w:r>
      <w:r>
        <w:rPr>
          <w:color w:val="FFC000"/>
        </w:rPr>
        <w:t>Apis dorsata</w:t>
      </w:r>
      <w:r>
        <w:t xml:space="preserve"> colonies, and that the Ambikapur region possesses considerable untapped potential for apicultural development, rural income generation, and pollination-linked agricultural improvement.</w:t>
      </w:r>
    </w:p>
    <w:p w14:paraId="64169C05">
      <w:pPr>
        <w:spacing w:after="200" w:line="480" w:lineRule="auto"/>
        <w:jc w:val="both"/>
      </w:pPr>
      <w:r>
        <w:rPr>
          <w:b/>
          <w:bCs/>
        </w:rPr>
        <w:t xml:space="preserve">Keywords: </w:t>
      </w:r>
      <w:r>
        <w:rPr>
          <w:i/>
          <w:iCs/>
        </w:rPr>
        <w:t>apiculture; Apis mellifera; Apis cerana indica; honey production; pollination; Chhattisgarh; colony management</w:t>
      </w:r>
    </w:p>
    <w:p w14:paraId="526C5B9C">
      <w:pPr>
        <w:pStyle w:val="2"/>
      </w:pPr>
      <w:r>
        <w:t>1. Introduction</w:t>
      </w:r>
    </w:p>
    <w:p w14:paraId="220349D0">
      <w:pPr>
        <w:spacing w:after="200" w:line="480" w:lineRule="auto"/>
        <w:ind w:firstLine="720"/>
        <w:jc w:val="both"/>
      </w:pPr>
      <w:r>
        <w:t xml:space="preserve">Apiculture, the managed rearing of honey bees for honey and allied products, is among the oldest agriculture-linked practices and continues to play a dual role in rural economies and ecosystem functioning. Beyond honey yield, honey bees provide essential pollination services that underpin the reproductive success of wild flora and the productivity of insect-pollinated crops (Roy et al., 2023). India's varied agro-climatic zones support several economically important Apis taxa, including </w:t>
      </w:r>
      <w:commentRangeStart w:id="1"/>
      <w:r>
        <w:t>Apis mellifera, Apis cerana indica, and Apis dorsata</w:t>
      </w:r>
      <w:commentRangeEnd w:id="1"/>
      <w:r>
        <w:commentReference w:id="1"/>
      </w:r>
      <w:r>
        <w:t xml:space="preserve">, which differ markedly in nesting behaviour, temperament, and honey-production capacity (Kumar et al., 2019). Species amenable to colony manipulation, principally </w:t>
      </w:r>
      <w:r>
        <w:rPr>
          <w:color w:val="FFC000"/>
        </w:rPr>
        <w:t>A. mellifera and A. cerana indica,</w:t>
      </w:r>
      <w:r>
        <w:t xml:space="preserve"> are increasingly reared in movable-frame wooden hives, whereas A. dorsata remains largely confined to natural nesting on trees and rock faces owing to its migratory and defensive behaviour.</w:t>
      </w:r>
    </w:p>
    <w:p w14:paraId="733377BE">
      <w:pPr>
        <w:spacing w:after="200" w:line="480" w:lineRule="auto"/>
        <w:ind w:firstLine="720"/>
        <w:jc w:val="both"/>
      </w:pPr>
      <w:r>
        <w:t>For smallholder and rural households, beekeeping presents a comparatively low-investment, low-land-requirement enterprise that can be integrated with existing farming, horticultural, or forestry activities (Patel &amp; Gupta, 2021). In addition to honey, bee colonies yield beeswax, propolis, royal jelly, and pollen, each carrying distinct commercial and medicinal value (Khan et al., 2018). Importantly, the pollination service rendered by foraging workers indirectly supports the yield and quality of insect-pollinated field crops such as mustard and sunflower, linking apiculture closely to broader agricultural productivity (Kumar et al., 2019).</w:t>
      </w:r>
    </w:p>
    <w:p w14:paraId="1885A34B">
      <w:pPr>
        <w:spacing w:after="200" w:line="480" w:lineRule="auto"/>
        <w:ind w:firstLine="720"/>
        <w:jc w:val="both"/>
      </w:pPr>
      <w:r>
        <w:t xml:space="preserve">The Ambikapur region of Surguja district, Chhattisgarh, is characterised by a mosaic of agricultural land, forest vegetation, and home gardens that together provide a diverse and seasonally staggered supply of nectar and pollen. </w:t>
      </w:r>
      <w:commentRangeStart w:id="2"/>
      <w:r>
        <w:t>Locally important bee forage includes mustard (Brassica spp.), sunflower (Helianthus annuus), eucalyptus, neem (Azadirachta indica), litchi (Litchi chinensis)</w:t>
      </w:r>
      <w:commentRangeEnd w:id="2"/>
      <w:r>
        <w:commentReference w:id="2"/>
      </w:r>
      <w:r>
        <w:t>, and a range of wild forest flora. Despite this apparent floral diversity, systematic documentation of beekeeping practice, species composition, and honey-yield performance specific to this region remains limited. Existing literature on Indian apiculture has tended to emphasise broader state- or national-level patterns (Singh, 2020; National Bee Board, 2022), leaving a gap in locality-specific assessment that can inform regional extension and training efforts.</w:t>
      </w:r>
    </w:p>
    <w:p w14:paraId="59D6440B">
      <w:pPr>
        <w:spacing w:after="200" w:line="480" w:lineRule="auto"/>
        <w:ind w:firstLine="720"/>
        <w:jc w:val="both"/>
      </w:pPr>
      <w:r>
        <w:t xml:space="preserve">This study therefore aimed to (i) document the honey bee species composition and relative abundance in managed and semi-natural settings in the Ambikapur region; (ii) </w:t>
      </w:r>
      <w:r>
        <w:rPr>
          <w:color w:val="FFC000"/>
          <w:lang w:val="en-IN"/>
        </w:rPr>
        <w:t>characterize</w:t>
      </w:r>
      <w:r>
        <w:t xml:space="preserve"> colony </w:t>
      </w:r>
      <w:r>
        <w:rPr>
          <w:color w:val="FFC000"/>
          <w:lang w:val="en-IN"/>
        </w:rPr>
        <w:t>organization</w:t>
      </w:r>
      <w:r>
        <w:t xml:space="preserve"> and the principal management practices employed by local beekeepers; (iii) quantify mean honey yield per bee box and identify the floral sources contributing to honey of differing colour and flavour; and (iv) describe the safety practices used during hive inspection and honey extraction. The findings are intended to support evidence-based recommendations for improving apicultural productivity, beekeeper safety, and pollination-linked agricultural outcomes in the study area.</w:t>
      </w:r>
    </w:p>
    <w:p w14:paraId="0BFD44FF">
      <w:pPr>
        <w:spacing w:after="200" w:line="480" w:lineRule="auto"/>
        <w:ind w:firstLine="720"/>
        <w:jc w:val="both"/>
      </w:pPr>
      <w:r>
        <w:t xml:space="preserve">From a broader perspective, the present assessment contributes to a growing body of regional </w:t>
      </w:r>
      <w:commentRangeStart w:id="3"/>
      <w:r>
        <w:t>apicultural</w:t>
      </w:r>
      <w:commentRangeEnd w:id="3"/>
      <w:r>
        <w:commentReference w:id="3"/>
      </w:r>
      <w:r>
        <w:t xml:space="preserve"> literature that </w:t>
      </w:r>
      <w:r>
        <w:rPr>
          <w:lang w:val="en-IN"/>
        </w:rPr>
        <w:t>emphasizes</w:t>
      </w:r>
      <w:r>
        <w:t xml:space="preserve"> locality-specific factors, such as forage calendar, prevailing pest and disease pressure, and prevailing extension support, as primary determinants of beekeeping viability, rather than relying solely on species-level </w:t>
      </w:r>
      <w:r>
        <w:rPr>
          <w:lang w:val="en-IN"/>
        </w:rPr>
        <w:t>generalizations</w:t>
      </w:r>
      <w:r>
        <w:t xml:space="preserve"> drawn from distant agro-climatic zones (Crane, 1990; Free, 1982). Chhattisgarh, and Surguja district in particular, retains substantial forest cover alongside expanding areas under oilseed and horticultural cultivation, a combination that is potentially favourable for apiculture but has received comparatively little focused research attention relative to more intensively studied ap</w:t>
      </w:r>
      <w:r>
        <w:commentReference w:id="4"/>
      </w:r>
      <w:r>
        <w:t>icultural belts of northern and southern India. Documenting baseline species composition, yield performance, and management practice in this setting therefore serves both an academic purpose, by extending the geographic coverage of Indian apicultural research, and a practical purpose, by providing a reference point against which future extension interventions and training programmes can be evaluated.</w:t>
      </w:r>
    </w:p>
    <w:p w14:paraId="0E4CACCD">
      <w:pPr>
        <w:pStyle w:val="2"/>
      </w:pPr>
      <w:r>
        <w:t>2. Materials and Methods</w:t>
      </w:r>
    </w:p>
    <w:p w14:paraId="2E8DF6DC">
      <w:pPr>
        <w:pStyle w:val="3"/>
        <w:spacing w:before="360" w:after="200"/>
      </w:pPr>
      <w:r>
        <w:t>2.1 Study Area</w:t>
      </w:r>
    </w:p>
    <w:p w14:paraId="17442D37">
      <w:pPr>
        <w:spacing w:after="200" w:line="480" w:lineRule="auto"/>
        <w:ind w:firstLine="720"/>
        <w:jc w:val="both"/>
      </w:pPr>
      <w:r>
        <w:t>The study was conducted at the Rajmohini Devi College of Agriculture and Research Center, Ajirma, located in the Ambikapur region of Surguja district, Chhattisgarh, India. The area lies in the northern part of the state and is charact</w:t>
      </w:r>
      <w:r>
        <w:commentReference w:id="5"/>
      </w:r>
      <w:r>
        <w:t>erised by a moderate climate, seasonal monsoon rainfall, and a landscape combining forest tracts, agricultural fields, and flowering home gardens. This combination of land uses supports continuous, if seasonally variable, nectar and pollen availability for both managed and wild honey bee populations.</w:t>
      </w:r>
    </w:p>
    <w:p w14:paraId="2D8761E9">
      <w:pPr>
        <w:pStyle w:val="3"/>
        <w:spacing w:before="360" w:after="200"/>
      </w:pPr>
      <w:r>
        <w:t>2.2 Field Survey and Sampling</w:t>
      </w:r>
    </w:p>
    <w:p w14:paraId="3DC3F3B2">
      <w:pPr>
        <w:spacing w:after="200" w:line="480" w:lineRule="auto"/>
        <w:ind w:firstLine="720"/>
        <w:jc w:val="both"/>
      </w:pPr>
      <w:r>
        <w:t>Field data were collected during March 2026, a period coinciding with peak flowering of several locally important nectar sources. The study area was visited on four to five separate occasions, during which approximately 50 wooden bee boxes maintained under apiary conditions were examined. Sampling combined direct field observation of colony behaviour with semi-structured interaction with local beekeepers, who provided practical information on hive management, feeding regimes, seasonal honey yield, and extraction methods based on their working experience.</w:t>
      </w:r>
    </w:p>
    <w:p w14:paraId="2168DB84">
      <w:pPr>
        <w:pStyle w:val="3"/>
        <w:spacing w:before="360" w:after="200"/>
      </w:pPr>
      <w:r>
        <w:t>2.3 Species Identification and Colony Observation</w:t>
      </w:r>
    </w:p>
    <w:p w14:paraId="4EBA275A">
      <w:pPr>
        <w:spacing w:after="200" w:line="480" w:lineRule="auto"/>
        <w:ind w:firstLine="720"/>
        <w:jc w:val="both"/>
      </w:pPr>
      <w:r>
        <w:t>Honey bee taxa were identified in the field using morphological characters (body size, colouration) together with nesting habit and colony behaviour, in consultation with beekeepers and published descriptions of Indian Apis taxa. For each observed colony, data were recorded on caste composition (queen, worker, drone), comb organisation, foraging activity, and general colony vigour. Relative abundance of each species was estimated from a cumulative count of individuals encountered across managed bee boxes and adjacent natural nesting sites during the survey period.</w:t>
      </w:r>
    </w:p>
    <w:p w14:paraId="56847DB6">
      <w:pPr>
        <w:pStyle w:val="3"/>
        <w:spacing w:before="360" w:after="200"/>
      </w:pPr>
      <w:r>
        <w:t>2.4 Honey Production and Floral Source Assessment</w:t>
      </w:r>
    </w:p>
    <w:p w14:paraId="33D79D0A">
      <w:pPr>
        <w:spacing w:after="200" w:line="480" w:lineRule="auto"/>
        <w:ind w:firstLine="720"/>
        <w:jc w:val="both"/>
      </w:pPr>
      <w:r>
        <w:t>Honey-yield data were obtained through beekeeper-reported production figures for a single extraction cycle, cross-checked against observed comb-filling status during hive inspection. Floral sources visited by foraging workers were identified through direct observation of bee activity on flowering plants within and adjacent to the apiary, supplemented by beekeeper knowledge of seasonal forage availability. The influence of floral origin on honey colour, viscosity, and flavour was assessed qualitatively from beekeeper descriptions and visual inspection of extracted honey samples.</w:t>
      </w:r>
    </w:p>
    <w:p w14:paraId="71B04E04">
      <w:pPr>
        <w:pStyle w:val="3"/>
        <w:spacing w:before="360" w:after="200"/>
      </w:pPr>
      <w:r>
        <w:t>2.5 Management and Safety Practices</w:t>
      </w:r>
    </w:p>
    <w:p w14:paraId="13ADD0F0">
      <w:pPr>
        <w:spacing w:after="200" w:line="480" w:lineRule="auto"/>
        <w:ind w:firstLine="720"/>
        <w:jc w:val="both"/>
      </w:pPr>
      <w:r>
        <w:t>Observations were made of routine hive-management activities, including colony inspection frequency, use of smoke during handling, protective equipment, and hygienic practices during honey extraction and storage. Where demonstrated, the full extraction sequence, from comb selection through filtration and storage, was documented through direct observation.</w:t>
      </w:r>
    </w:p>
    <w:p w14:paraId="0E3546CE">
      <w:pPr>
        <w:pStyle w:val="3"/>
        <w:spacing w:before="360" w:after="200"/>
      </w:pPr>
      <w:r>
        <w:t>2.6 Data Recording and Analysis</w:t>
      </w:r>
    </w:p>
    <w:p w14:paraId="2CEA087B">
      <w:pPr>
        <w:spacing w:after="200" w:line="480" w:lineRule="auto"/>
        <w:ind w:firstLine="720"/>
        <w:jc w:val="both"/>
      </w:pPr>
      <w:r>
        <w:t xml:space="preserve">Field observations were recorded systematically in structured notebooks and subsequently </w:t>
      </w:r>
      <w:r>
        <w:rPr>
          <w:lang w:val="en-IN"/>
        </w:rPr>
        <w:t>organized</w:t>
      </w:r>
      <w:r>
        <w:t xml:space="preserve"> into descriptive tables. Data were analysed using descriptive statistics, including frequency counts and percentage relative abundance for species composition, and arithmetic means for honey-yield estimates. Given the observational and exploratory nature of the study, no inferential statistical testing was applied; findings are presented as a descriptive assessment of current practice and productivity in the study area.</w:t>
      </w:r>
    </w:p>
    <w:p w14:paraId="295420A4">
      <w:pPr>
        <w:pStyle w:val="2"/>
      </w:pPr>
      <w:r>
        <w:t>3. Results</w:t>
      </w:r>
    </w:p>
    <w:p w14:paraId="1B74F1C5">
      <w:pPr>
        <w:pStyle w:val="3"/>
        <w:spacing w:before="360" w:after="200"/>
      </w:pPr>
      <w:r>
        <w:t>3.1 Species Composition and Relative Abundance</w:t>
      </w:r>
    </w:p>
    <w:p w14:paraId="706BE343">
      <w:pPr>
        <w:spacing w:after="200" w:line="480" w:lineRule="auto"/>
        <w:ind w:firstLine="720"/>
        <w:jc w:val="both"/>
      </w:pPr>
      <w:r>
        <w:t xml:space="preserve">Five honey bee taxa were recorded during the survey: </w:t>
      </w:r>
      <w:commentRangeStart w:id="6"/>
      <w:r>
        <w:t>Apis mellifera (European/Italian honey bee), Apis cerana indica (Indian honey bee), Apis dorsata (rock bee), Apis florea (dwarf honey bee), and the stingless bee Trigona iridipennis. Apis mellifera and A. cerana indica were the principal species maintained in artificial wooden bee boxes, while A. dorsata</w:t>
      </w:r>
      <w:commentRangeEnd w:id="6"/>
      <w:r>
        <w:commentReference w:id="6"/>
      </w:r>
      <w:r>
        <w:t xml:space="preserve"> was observed exclusively in natural nest sites on tall trees and in forest margins, consistent with its aggressive temperament and migratory nesting behaviour. </w:t>
      </w:r>
      <w:r>
        <w:rPr>
          <w:color w:val="FFC000"/>
        </w:rPr>
        <w:t>A. florea</w:t>
      </w:r>
      <w:r>
        <w:t xml:space="preserve"> was found nesting on bushes and hedgerows, and </w:t>
      </w:r>
      <w:r>
        <w:rPr>
          <w:color w:val="FFC000"/>
        </w:rPr>
        <w:t>T. iridipennis</w:t>
      </w:r>
      <w:r>
        <w:t xml:space="preserve"> occupied wall cavities and mud holes, both at comparatively low frequency.</w:t>
      </w:r>
    </w:p>
    <w:p w14:paraId="75FA733A">
      <w:pPr>
        <w:spacing w:after="200" w:line="480" w:lineRule="auto"/>
        <w:ind w:firstLine="720"/>
        <w:jc w:val="both"/>
      </w:pPr>
      <w:r>
        <w:t>Across a cumulative count of 500 individuals scored during the survey, A. mellifera accounted for the largest share of relative abundance (42%), followed by A. cerana indica (29%), A. dorsata (17%), A. florea (8%), and T. iridipennis (4%) (Table 1; Table 2).</w:t>
      </w:r>
    </w:p>
    <w:p w14:paraId="24237BDF">
      <w:pPr>
        <w:spacing w:after="200" w:line="480" w:lineRule="auto"/>
      </w:pPr>
      <w:r>
        <w:rPr>
          <w:b/>
          <w:bCs/>
        </w:rPr>
        <w:t>Table 1</w:t>
      </w:r>
    </w:p>
    <w:p w14:paraId="0053E0F9">
      <w:pPr>
        <w:spacing w:after="200" w:line="480" w:lineRule="auto"/>
      </w:pPr>
      <w:r>
        <w:rPr>
          <w:i/>
          <w:iCs/>
        </w:rPr>
        <w:t>Honey Bee Species Diversity Recorded in the Ambikapur Region</w:t>
      </w:r>
    </w:p>
    <w:tbl>
      <w:tblPr>
        <w:tblStyle w:val="9"/>
        <w:tblW w:w="93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00"/>
        <w:gridCol w:w="1960"/>
        <w:gridCol w:w="2100"/>
        <w:gridCol w:w="2400"/>
        <w:gridCol w:w="1400"/>
      </w:tblGrid>
      <w:tr w14:paraId="2337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5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2CEA6475">
            <w:pPr>
              <w:jc w:val="center"/>
            </w:pPr>
            <w:r>
              <w:rPr>
                <w:b/>
                <w:bCs/>
                <w:sz w:val="22"/>
                <w:szCs w:val="22"/>
              </w:rPr>
              <w:t>S. No.</w:t>
            </w:r>
          </w:p>
        </w:tc>
        <w:tc>
          <w:tcPr>
            <w:tcW w:w="196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371CB898">
            <w:pPr>
              <w:jc w:val="center"/>
            </w:pPr>
            <w:r>
              <w:rPr>
                <w:b/>
                <w:bCs/>
                <w:sz w:val="22"/>
                <w:szCs w:val="22"/>
              </w:rPr>
              <w:t>Scientific Name</w:t>
            </w:r>
          </w:p>
        </w:tc>
        <w:tc>
          <w:tcPr>
            <w:tcW w:w="21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63E26A25">
            <w:pPr>
              <w:jc w:val="center"/>
            </w:pPr>
            <w:r>
              <w:rPr>
                <w:b/>
                <w:bCs/>
                <w:sz w:val="22"/>
                <w:szCs w:val="22"/>
              </w:rPr>
              <w:t>Common Name</w:t>
            </w:r>
          </w:p>
        </w:tc>
        <w:tc>
          <w:tcPr>
            <w:tcW w:w="24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000EFFDC">
            <w:pPr>
              <w:jc w:val="center"/>
            </w:pPr>
            <w:r>
              <w:rPr>
                <w:b/>
                <w:bCs/>
                <w:sz w:val="22"/>
                <w:szCs w:val="22"/>
              </w:rPr>
              <w:t>Nesting Habitat</w:t>
            </w:r>
          </w:p>
        </w:tc>
        <w:tc>
          <w:tcPr>
            <w:tcW w:w="14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5A7A5C68">
            <w:pPr>
              <w:jc w:val="center"/>
            </w:pPr>
            <w:r>
              <w:rPr>
                <w:b/>
                <w:bCs/>
                <w:sz w:val="22"/>
                <w:szCs w:val="22"/>
              </w:rPr>
              <w:t>Status</w:t>
            </w:r>
          </w:p>
        </w:tc>
      </w:tr>
      <w:tr w14:paraId="5A51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546D027">
            <w:pPr>
              <w:jc w:val="center"/>
            </w:pPr>
            <w:r>
              <w:rPr>
                <w:sz w:val="22"/>
                <w:szCs w:val="22"/>
              </w:rPr>
              <w:t>1</w:t>
            </w:r>
          </w:p>
        </w:tc>
        <w:tc>
          <w:tcPr>
            <w:tcW w:w="19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78AC31F8">
            <w:pPr>
              <w:jc w:val="center"/>
            </w:pPr>
            <w:r>
              <w:rPr>
                <w:sz w:val="22"/>
                <w:szCs w:val="22"/>
              </w:rPr>
              <w:t>Apis mellifera</w:t>
            </w:r>
          </w:p>
        </w:tc>
        <w:tc>
          <w:tcPr>
            <w:tcW w:w="21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105F414">
            <w:pPr>
              <w:jc w:val="center"/>
            </w:pPr>
            <w:r>
              <w:rPr>
                <w:sz w:val="22"/>
                <w:szCs w:val="22"/>
              </w:rPr>
              <w:t>European honey bee</w:t>
            </w:r>
          </w:p>
        </w:tc>
        <w:tc>
          <w:tcPr>
            <w:tcW w:w="2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C7155D7">
            <w:pPr>
              <w:jc w:val="center"/>
            </w:pPr>
            <w:r>
              <w:rPr>
                <w:sz w:val="22"/>
                <w:szCs w:val="22"/>
              </w:rPr>
              <w:t>Wooden bee boxes (apiary)</w:t>
            </w:r>
          </w:p>
        </w:tc>
        <w:tc>
          <w:tcPr>
            <w:tcW w:w="1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2F70A41">
            <w:pPr>
              <w:jc w:val="center"/>
            </w:pPr>
            <w:r>
              <w:rPr>
                <w:sz w:val="22"/>
                <w:szCs w:val="22"/>
              </w:rPr>
              <w:t>Common</w:t>
            </w:r>
          </w:p>
        </w:tc>
      </w:tr>
      <w:tr w14:paraId="3DD1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70E66717">
            <w:pPr>
              <w:jc w:val="center"/>
            </w:pPr>
            <w:r>
              <w:rPr>
                <w:sz w:val="22"/>
                <w:szCs w:val="22"/>
              </w:rPr>
              <w:t>2</w:t>
            </w:r>
          </w:p>
        </w:tc>
        <w:tc>
          <w:tcPr>
            <w:tcW w:w="19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20DD9A9">
            <w:pPr>
              <w:jc w:val="center"/>
            </w:pPr>
            <w:r>
              <w:rPr>
                <w:sz w:val="22"/>
                <w:szCs w:val="22"/>
              </w:rPr>
              <w:t>Apis cerana indica</w:t>
            </w:r>
          </w:p>
        </w:tc>
        <w:tc>
          <w:tcPr>
            <w:tcW w:w="21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78640F6B">
            <w:pPr>
              <w:jc w:val="center"/>
            </w:pPr>
            <w:r>
              <w:rPr>
                <w:sz w:val="22"/>
                <w:szCs w:val="22"/>
              </w:rPr>
              <w:t>Indian honey bee</w:t>
            </w:r>
          </w:p>
        </w:tc>
        <w:tc>
          <w:tcPr>
            <w:tcW w:w="2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1B072B5">
            <w:pPr>
              <w:jc w:val="center"/>
            </w:pPr>
            <w:r>
              <w:rPr>
                <w:sz w:val="22"/>
                <w:szCs w:val="22"/>
              </w:rPr>
              <w:t>Bee boxes, tree hollows</w:t>
            </w:r>
          </w:p>
        </w:tc>
        <w:tc>
          <w:tcPr>
            <w:tcW w:w="1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92D66E3">
            <w:pPr>
              <w:jc w:val="center"/>
            </w:pPr>
            <w:r>
              <w:rPr>
                <w:sz w:val="22"/>
                <w:szCs w:val="22"/>
              </w:rPr>
              <w:t>Common</w:t>
            </w:r>
          </w:p>
        </w:tc>
      </w:tr>
      <w:tr w14:paraId="3716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7812A69">
            <w:pPr>
              <w:jc w:val="center"/>
            </w:pPr>
            <w:r>
              <w:rPr>
                <w:sz w:val="22"/>
                <w:szCs w:val="22"/>
              </w:rPr>
              <w:t>3</w:t>
            </w:r>
          </w:p>
        </w:tc>
        <w:tc>
          <w:tcPr>
            <w:tcW w:w="19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144B67D">
            <w:pPr>
              <w:jc w:val="center"/>
            </w:pPr>
            <w:r>
              <w:rPr>
                <w:sz w:val="22"/>
                <w:szCs w:val="22"/>
              </w:rPr>
              <w:t>Apis dorsata</w:t>
            </w:r>
          </w:p>
        </w:tc>
        <w:tc>
          <w:tcPr>
            <w:tcW w:w="21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419CA07">
            <w:pPr>
              <w:jc w:val="center"/>
            </w:pPr>
            <w:r>
              <w:rPr>
                <w:sz w:val="22"/>
                <w:szCs w:val="22"/>
              </w:rPr>
              <w:t>Rock bee</w:t>
            </w:r>
          </w:p>
        </w:tc>
        <w:tc>
          <w:tcPr>
            <w:tcW w:w="2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7C68489A">
            <w:pPr>
              <w:jc w:val="center"/>
            </w:pPr>
            <w:r>
              <w:rPr>
                <w:sz w:val="22"/>
                <w:szCs w:val="22"/>
              </w:rPr>
              <w:t>Tall trees, forest areas</w:t>
            </w:r>
          </w:p>
        </w:tc>
        <w:tc>
          <w:tcPr>
            <w:tcW w:w="1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7B648E3">
            <w:pPr>
              <w:jc w:val="center"/>
            </w:pPr>
            <w:r>
              <w:rPr>
                <w:sz w:val="22"/>
                <w:szCs w:val="22"/>
              </w:rPr>
              <w:t>Occasional</w:t>
            </w:r>
          </w:p>
        </w:tc>
      </w:tr>
      <w:tr w14:paraId="74F0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77105FF">
            <w:pPr>
              <w:jc w:val="center"/>
            </w:pPr>
            <w:r>
              <w:rPr>
                <w:sz w:val="22"/>
                <w:szCs w:val="22"/>
              </w:rPr>
              <w:t>4</w:t>
            </w:r>
          </w:p>
        </w:tc>
        <w:tc>
          <w:tcPr>
            <w:tcW w:w="19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5FFC4B5">
            <w:pPr>
              <w:jc w:val="center"/>
            </w:pPr>
            <w:r>
              <w:rPr>
                <w:sz w:val="22"/>
                <w:szCs w:val="22"/>
              </w:rPr>
              <w:t>Apis florea</w:t>
            </w:r>
          </w:p>
        </w:tc>
        <w:tc>
          <w:tcPr>
            <w:tcW w:w="21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02A08A8">
            <w:pPr>
              <w:jc w:val="center"/>
            </w:pPr>
            <w:r>
              <w:rPr>
                <w:sz w:val="22"/>
                <w:szCs w:val="22"/>
              </w:rPr>
              <w:t>Dwarf honey bee</w:t>
            </w:r>
          </w:p>
        </w:tc>
        <w:tc>
          <w:tcPr>
            <w:tcW w:w="2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79AD1A6">
            <w:pPr>
              <w:jc w:val="center"/>
            </w:pPr>
            <w:r>
              <w:rPr>
                <w:sz w:val="22"/>
                <w:szCs w:val="22"/>
              </w:rPr>
              <w:t>Bushes, hedgerows</w:t>
            </w:r>
          </w:p>
        </w:tc>
        <w:tc>
          <w:tcPr>
            <w:tcW w:w="1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969A51F">
            <w:pPr>
              <w:jc w:val="center"/>
            </w:pPr>
            <w:r>
              <w:rPr>
                <w:sz w:val="22"/>
                <w:szCs w:val="22"/>
              </w:rPr>
              <w:t>Moderate</w:t>
            </w:r>
          </w:p>
        </w:tc>
      </w:tr>
      <w:tr w14:paraId="78D6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65CEEE0">
            <w:pPr>
              <w:jc w:val="center"/>
            </w:pPr>
            <w:r>
              <w:rPr>
                <w:sz w:val="22"/>
                <w:szCs w:val="22"/>
              </w:rPr>
              <w:t>5</w:t>
            </w:r>
          </w:p>
        </w:tc>
        <w:tc>
          <w:tcPr>
            <w:tcW w:w="19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7644F1FF">
            <w:pPr>
              <w:jc w:val="center"/>
            </w:pPr>
            <w:r>
              <w:rPr>
                <w:sz w:val="22"/>
                <w:szCs w:val="22"/>
              </w:rPr>
              <w:t>Trigona iridipennis</w:t>
            </w:r>
          </w:p>
        </w:tc>
        <w:tc>
          <w:tcPr>
            <w:tcW w:w="21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E04AFAF">
            <w:pPr>
              <w:jc w:val="center"/>
            </w:pPr>
            <w:r>
              <w:rPr>
                <w:sz w:val="22"/>
                <w:szCs w:val="22"/>
              </w:rPr>
              <w:t>Stingless bee</w:t>
            </w:r>
          </w:p>
        </w:tc>
        <w:tc>
          <w:tcPr>
            <w:tcW w:w="2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24D4A3B8">
            <w:pPr>
              <w:jc w:val="center"/>
            </w:pPr>
            <w:r>
              <w:rPr>
                <w:sz w:val="22"/>
                <w:szCs w:val="22"/>
              </w:rPr>
              <w:t>Wall cavities, mud holes</w:t>
            </w:r>
          </w:p>
        </w:tc>
        <w:tc>
          <w:tcPr>
            <w:tcW w:w="14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C9986D7">
            <w:pPr>
              <w:jc w:val="center"/>
            </w:pPr>
            <w:r>
              <w:rPr>
                <w:sz w:val="22"/>
                <w:szCs w:val="22"/>
              </w:rPr>
              <w:t>Rare</w:t>
            </w:r>
          </w:p>
        </w:tc>
      </w:tr>
    </w:tbl>
    <w:p w14:paraId="5AFA045F">
      <w:pPr>
        <w:spacing w:after="300"/>
      </w:pPr>
    </w:p>
    <w:p w14:paraId="448687F4">
      <w:pPr>
        <w:spacing w:after="200" w:line="480" w:lineRule="auto"/>
      </w:pPr>
      <w:r>
        <w:rPr>
          <w:b/>
          <w:bCs/>
        </w:rPr>
        <w:t>Table 2</w:t>
      </w:r>
    </w:p>
    <w:p w14:paraId="781A7481">
      <w:pPr>
        <w:spacing w:after="200" w:line="480" w:lineRule="auto"/>
      </w:pPr>
      <w:r>
        <w:rPr>
          <w:i/>
          <w:iCs/>
        </w:rPr>
        <w:t>Relative Abundance of Honey Bee Species (n = 500 individuals scored)</w:t>
      </w:r>
    </w:p>
    <w:tbl>
      <w:tblPr>
        <w:tblStyle w:val="9"/>
        <w:tblW w:w="936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00"/>
        <w:gridCol w:w="3500"/>
        <w:gridCol w:w="2500"/>
        <w:gridCol w:w="1660"/>
      </w:tblGrid>
      <w:tr w14:paraId="66D5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7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29F4630A">
            <w:pPr>
              <w:jc w:val="center"/>
            </w:pPr>
            <w:r>
              <w:rPr>
                <w:b/>
                <w:bCs/>
                <w:sz w:val="22"/>
                <w:szCs w:val="22"/>
              </w:rPr>
              <w:t>S. No.</w:t>
            </w:r>
          </w:p>
        </w:tc>
        <w:tc>
          <w:tcPr>
            <w:tcW w:w="35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1F8838F2">
            <w:pPr>
              <w:jc w:val="center"/>
            </w:pPr>
            <w:r>
              <w:rPr>
                <w:b/>
                <w:bCs/>
                <w:sz w:val="22"/>
                <w:szCs w:val="22"/>
              </w:rPr>
              <w:t>Species</w:t>
            </w:r>
          </w:p>
        </w:tc>
        <w:tc>
          <w:tcPr>
            <w:tcW w:w="250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47FD6C3D">
            <w:pPr>
              <w:jc w:val="center"/>
            </w:pPr>
            <w:r>
              <w:rPr>
                <w:b/>
                <w:bCs/>
                <w:sz w:val="22"/>
                <w:szCs w:val="22"/>
              </w:rPr>
              <w:t>Mean No. Observed</w:t>
            </w:r>
          </w:p>
        </w:tc>
        <w:tc>
          <w:tcPr>
            <w:tcW w:w="1660" w:type="dxa"/>
            <w:tcBorders>
              <w:top w:val="single" w:color="999999" w:sz="4" w:space="0"/>
              <w:left w:val="single" w:color="999999" w:sz="4" w:space="0"/>
              <w:bottom w:val="single" w:color="999999" w:sz="4" w:space="0"/>
              <w:right w:val="single" w:color="999999" w:sz="4" w:space="0"/>
            </w:tcBorders>
            <w:shd w:val="clear" w:color="auto" w:fill="D9E2F3"/>
            <w:tcMar>
              <w:top w:w="80" w:type="dxa"/>
              <w:left w:w="120" w:type="dxa"/>
              <w:bottom w:w="80" w:type="dxa"/>
              <w:right w:w="120" w:type="dxa"/>
            </w:tcMar>
            <w:vAlign w:val="center"/>
          </w:tcPr>
          <w:p w14:paraId="602E2F35">
            <w:pPr>
              <w:jc w:val="center"/>
            </w:pPr>
            <w:r>
              <w:rPr>
                <w:b/>
                <w:bCs/>
                <w:sz w:val="22"/>
                <w:szCs w:val="22"/>
              </w:rPr>
              <w:t>Relative Abundance</w:t>
            </w:r>
          </w:p>
        </w:tc>
      </w:tr>
      <w:tr w14:paraId="05CA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956869E">
            <w:pPr>
              <w:jc w:val="center"/>
            </w:pPr>
            <w:r>
              <w:rPr>
                <w:sz w:val="22"/>
                <w:szCs w:val="22"/>
              </w:rPr>
              <w:t>1</w:t>
            </w: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7774067">
            <w:pPr>
              <w:jc w:val="center"/>
            </w:pPr>
            <w:r>
              <w:rPr>
                <w:sz w:val="22"/>
                <w:szCs w:val="22"/>
              </w:rPr>
              <w:t>Apis mellifera</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4EE8390">
            <w:pPr>
              <w:jc w:val="center"/>
            </w:pPr>
            <w:r>
              <w:rPr>
                <w:sz w:val="22"/>
                <w:szCs w:val="22"/>
              </w:rPr>
              <w:t>210</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D3A047B">
            <w:pPr>
              <w:jc w:val="center"/>
            </w:pPr>
            <w:r>
              <w:rPr>
                <w:sz w:val="22"/>
                <w:szCs w:val="22"/>
              </w:rPr>
              <w:t>42%</w:t>
            </w:r>
          </w:p>
        </w:tc>
      </w:tr>
      <w:tr w14:paraId="0835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8CFAA7B">
            <w:pPr>
              <w:jc w:val="center"/>
            </w:pPr>
            <w:r>
              <w:rPr>
                <w:sz w:val="22"/>
                <w:szCs w:val="22"/>
              </w:rPr>
              <w:t>2</w:t>
            </w: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61CBFB89">
            <w:pPr>
              <w:jc w:val="center"/>
            </w:pPr>
            <w:r>
              <w:rPr>
                <w:sz w:val="22"/>
                <w:szCs w:val="22"/>
              </w:rPr>
              <w:t>Apis cerana indica</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697DA237">
            <w:pPr>
              <w:jc w:val="center"/>
            </w:pPr>
            <w:r>
              <w:rPr>
                <w:sz w:val="22"/>
                <w:szCs w:val="22"/>
              </w:rPr>
              <w:t>145</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3C503F5">
            <w:pPr>
              <w:jc w:val="center"/>
            </w:pPr>
            <w:r>
              <w:rPr>
                <w:sz w:val="22"/>
                <w:szCs w:val="22"/>
              </w:rPr>
              <w:t>29%</w:t>
            </w:r>
          </w:p>
        </w:tc>
      </w:tr>
      <w:tr w14:paraId="7240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63C8E4D">
            <w:pPr>
              <w:jc w:val="center"/>
            </w:pPr>
            <w:r>
              <w:rPr>
                <w:sz w:val="22"/>
                <w:szCs w:val="22"/>
              </w:rPr>
              <w:t>3</w:t>
            </w: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5C2BD5C5">
            <w:pPr>
              <w:jc w:val="center"/>
            </w:pPr>
            <w:r>
              <w:rPr>
                <w:sz w:val="22"/>
                <w:szCs w:val="22"/>
              </w:rPr>
              <w:t>Apis dorsata</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8B4D071">
            <w:pPr>
              <w:jc w:val="center"/>
            </w:pPr>
            <w:r>
              <w:rPr>
                <w:sz w:val="22"/>
                <w:szCs w:val="22"/>
              </w:rPr>
              <w:t>85</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6BAD4BC6">
            <w:pPr>
              <w:jc w:val="center"/>
            </w:pPr>
            <w:r>
              <w:rPr>
                <w:sz w:val="22"/>
                <w:szCs w:val="22"/>
              </w:rPr>
              <w:t>17%</w:t>
            </w:r>
          </w:p>
        </w:tc>
      </w:tr>
      <w:tr w14:paraId="4D2B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F894919">
            <w:pPr>
              <w:jc w:val="center"/>
            </w:pPr>
            <w:r>
              <w:rPr>
                <w:sz w:val="22"/>
                <w:szCs w:val="22"/>
              </w:rPr>
              <w:t>4</w:t>
            </w: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0C62485">
            <w:pPr>
              <w:jc w:val="center"/>
            </w:pPr>
            <w:r>
              <w:rPr>
                <w:sz w:val="22"/>
                <w:szCs w:val="22"/>
              </w:rPr>
              <w:t>Apis florea</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C73AD07">
            <w:pPr>
              <w:jc w:val="center"/>
            </w:pPr>
            <w:r>
              <w:rPr>
                <w:sz w:val="22"/>
                <w:szCs w:val="22"/>
              </w:rPr>
              <w:t>40</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CC1AD8D">
            <w:pPr>
              <w:jc w:val="center"/>
            </w:pPr>
            <w:r>
              <w:rPr>
                <w:sz w:val="22"/>
                <w:szCs w:val="22"/>
              </w:rPr>
              <w:t>8%</w:t>
            </w:r>
          </w:p>
        </w:tc>
      </w:tr>
      <w:tr w14:paraId="7ED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22E6B8D8">
            <w:pPr>
              <w:jc w:val="center"/>
            </w:pPr>
            <w:r>
              <w:rPr>
                <w:sz w:val="22"/>
                <w:szCs w:val="22"/>
              </w:rPr>
              <w:t>5</w:t>
            </w: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084DF842">
            <w:pPr>
              <w:jc w:val="center"/>
            </w:pPr>
            <w:r>
              <w:rPr>
                <w:sz w:val="22"/>
                <w:szCs w:val="22"/>
              </w:rPr>
              <w:t>Trigona iridipennis</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239C1E3">
            <w:pPr>
              <w:jc w:val="center"/>
            </w:pPr>
            <w:r>
              <w:rPr>
                <w:sz w:val="22"/>
                <w:szCs w:val="22"/>
              </w:rPr>
              <w:t>20</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6CCFE6FF">
            <w:pPr>
              <w:jc w:val="center"/>
            </w:pPr>
            <w:r>
              <w:rPr>
                <w:sz w:val="22"/>
                <w:szCs w:val="22"/>
              </w:rPr>
              <w:t>4%</w:t>
            </w:r>
          </w:p>
        </w:tc>
      </w:tr>
      <w:tr w14:paraId="3ECD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1A515AD3">
            <w:pPr>
              <w:jc w:val="center"/>
            </w:pPr>
          </w:p>
        </w:tc>
        <w:tc>
          <w:tcPr>
            <w:tcW w:w="3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3E160D1F">
            <w:pPr>
              <w:jc w:val="center"/>
            </w:pPr>
            <w:r>
              <w:rPr>
                <w:sz w:val="22"/>
                <w:szCs w:val="22"/>
              </w:rPr>
              <w:t>Total</w:t>
            </w:r>
          </w:p>
        </w:tc>
        <w:tc>
          <w:tcPr>
            <w:tcW w:w="250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6F022823">
            <w:pPr>
              <w:jc w:val="center"/>
            </w:pPr>
            <w:r>
              <w:rPr>
                <w:sz w:val="22"/>
                <w:szCs w:val="22"/>
              </w:rPr>
              <w:t>500</w:t>
            </w:r>
          </w:p>
        </w:tc>
        <w:tc>
          <w:tcPr>
            <w:tcW w:w="1660" w:type="dxa"/>
            <w:tcBorders>
              <w:top w:val="single" w:color="999999" w:sz="4" w:space="0"/>
              <w:left w:val="single" w:color="999999" w:sz="4" w:space="0"/>
              <w:bottom w:val="single" w:color="999999" w:sz="4" w:space="0"/>
              <w:right w:val="single" w:color="999999" w:sz="4" w:space="0"/>
            </w:tcBorders>
            <w:tcMar>
              <w:top w:w="80" w:type="dxa"/>
              <w:left w:w="120" w:type="dxa"/>
              <w:bottom w:w="80" w:type="dxa"/>
              <w:right w:w="120" w:type="dxa"/>
            </w:tcMar>
            <w:vAlign w:val="center"/>
          </w:tcPr>
          <w:p w14:paraId="40CACAAA">
            <w:pPr>
              <w:jc w:val="center"/>
            </w:pPr>
            <w:r>
              <w:rPr>
                <w:sz w:val="22"/>
                <w:szCs w:val="22"/>
              </w:rPr>
              <w:t>100%</w:t>
            </w:r>
          </w:p>
        </w:tc>
      </w:tr>
    </w:tbl>
    <w:p w14:paraId="73FEC8C9">
      <w:pPr>
        <w:spacing w:after="300"/>
      </w:pPr>
    </w:p>
    <w:p w14:paraId="1069CA39">
      <w:pPr>
        <w:pStyle w:val="3"/>
        <w:spacing w:before="360" w:after="200"/>
      </w:pPr>
      <w:r>
        <w:t>3.2 Colony Organisation</w:t>
      </w:r>
    </w:p>
    <w:p w14:paraId="457FA248">
      <w:pPr>
        <w:spacing w:after="200" w:line="480" w:lineRule="auto"/>
        <w:ind w:firstLine="720"/>
        <w:jc w:val="both"/>
      </w:pPr>
      <w:r>
        <w:t>Colonies maintained in wooden bee boxes displayed the typical tripartite caste structure of social Apis species: a single reproductive queen, a numerically dominant worker-bee population, and a smaller cohort of drones. Worker bees undertook the full range of colony-maintenance tasks, including nectar and pollen foraging, comb construction, brood care, and hive defence, while drones were observed primarily in association with reproductive activity. Comb architecture within inspected boxes showed clear functional zonation, with honey storage concentrated in upper comb regions and brood (eggs, larvae, pupae) occupying central cells, consistent with typical Apis comb organisation.</w:t>
      </w:r>
    </w:p>
    <w:p w14:paraId="4C817920">
      <w:pPr>
        <w:pStyle w:val="3"/>
        <w:spacing w:before="360" w:after="200"/>
      </w:pPr>
      <w:r>
        <w:t>3.3 Honey Production</w:t>
      </w:r>
    </w:p>
    <w:p w14:paraId="1E1099B8">
      <w:pPr>
        <w:spacing w:after="200" w:line="480" w:lineRule="auto"/>
        <w:ind w:firstLine="720"/>
        <w:jc w:val="both"/>
      </w:pPr>
      <w:r>
        <w:t>Mean honey yield recorded from a single managed bee box was approximately 5–6 litres per production cycle under favourable seasonal conditions.</w:t>
      </w:r>
      <w:commentRangeStart w:id="7"/>
      <w:r>
        <w:t xml:space="preserve"> Apis mellifera</w:t>
      </w:r>
      <w:commentRangeEnd w:id="7"/>
      <w:r>
        <w:commentReference w:id="7"/>
      </w:r>
      <w:r>
        <w:t xml:space="preserve"> colonies consistently outperformed A. cerana indica colonies in yield, reflecting both larger colony size and more vigorous foraging activity, although A. cerana indica demonstrated comparatively greater tolerance of local climatic variation. Wild A. dorsata colonies were reported to yield substantial quantities of honey under natural conditions; however, extraction from these colonies was achieved only through traditional comb-removal methods, which beekeepers and local collectors described as considerably more hazardous and destructive to the colony than movable-frame extraction.</w:t>
      </w:r>
    </w:p>
    <w:p w14:paraId="7DE5DA31">
      <w:pPr>
        <w:pStyle w:val="3"/>
        <w:spacing w:before="360" w:after="200"/>
      </w:pPr>
      <w:r>
        <w:t>3.4 Floral Sources and Honey Characteristics</w:t>
      </w:r>
    </w:p>
    <w:p w14:paraId="75F08C66">
      <w:pPr>
        <w:spacing w:after="200" w:line="480" w:lineRule="auto"/>
        <w:ind w:firstLine="720"/>
        <w:jc w:val="both"/>
      </w:pPr>
      <w:r>
        <w:t>Mustard, sunflower, eucalyptus, neem, and litchi were the principal cultivated nectar sources observed, supplemented by a range of wild forest flora contributing to mixed-floral honey. Honey colour and flavour varied systematically with floral origin: mustard-derived honey was light yellow with a mild taste, sunflower honey was golden yellow and comparatively viscous, litchi honey was pale and notably sweet, while eucalyptus- and forest-derived honey were darker in colour with a stronger, more pronounced flavour. Neem honey carried a distinctive mild bitterness attributed to its floral source. These observations indicate that floral diversity in the study area generates a corresponding diversity of marketable honey types.</w:t>
      </w:r>
    </w:p>
    <w:p w14:paraId="284715F9">
      <w:pPr>
        <w:pStyle w:val="3"/>
        <w:spacing w:before="360" w:after="200"/>
      </w:pPr>
      <w:r>
        <w:t>3.5 Hive Management, Extraction, and Safety Practices</w:t>
      </w:r>
    </w:p>
    <w:p w14:paraId="4A22C11B">
      <w:pPr>
        <w:spacing w:after="200" w:line="480" w:lineRule="auto"/>
        <w:ind w:firstLine="720"/>
        <w:jc w:val="both"/>
      </w:pPr>
      <w:r>
        <w:t>Beekeepers in the study area employed movable-frame wooden hives, which facilitated periodic inspection and honey extraction with minimal colony disruption. Prior to hive opening, smoke generated from dry leaves or wood dust was routinely applied to reduce defensive behaviour. Combs were inspected for wax-capped cells, indicating mature, low-moisture honey suitable for extraction; under-ripe honey was left in the hive. Extracted honey was filtered through cloth or fine mesh prior to storage in clean containers. Protective clothing, comprising suits, gloves, and head nets, was used consistently during hive handling. Beekeepers reported avoiding extraction during adverse weather (rain, strong wind, or low temperature), maintaining hive cleanliness, and providing a nearby water source, particularly during periods of high ambient temperature.</w:t>
      </w:r>
    </w:p>
    <w:p w14:paraId="325705DF">
      <w:pPr>
        <w:pStyle w:val="2"/>
      </w:pPr>
      <w:r>
        <w:t>4. Discussion</w:t>
      </w:r>
    </w:p>
    <w:p w14:paraId="4F89066A">
      <w:pPr>
        <w:spacing w:after="200" w:line="480" w:lineRule="auto"/>
        <w:ind w:firstLine="720"/>
        <w:jc w:val="both"/>
      </w:pPr>
      <w:r>
        <w:t xml:space="preserve">The species </w:t>
      </w:r>
      <w:commentRangeStart w:id="8"/>
      <w:r>
        <w:t>composition</w:t>
      </w:r>
      <w:commentRangeEnd w:id="8"/>
      <w:r>
        <w:commentReference w:id="8"/>
      </w:r>
      <w:r>
        <w:t xml:space="preserve"> recorded in this study, with</w:t>
      </w:r>
      <w:r>
        <w:rPr>
          <w:color w:val="FFC000"/>
        </w:rPr>
        <w:t xml:space="preserve"> Apis mellifera</w:t>
      </w:r>
      <w:r>
        <w:t xml:space="preserve"> as the dominant managed taxon followed by A. cerana indica, mirrors patterns described elsewhere in Indian apiculture, where </w:t>
      </w:r>
      <w:r>
        <w:rPr>
          <w:color w:val="FFC000"/>
        </w:rPr>
        <w:t>A. mellifera</w:t>
      </w:r>
      <w:r>
        <w:t xml:space="preserve"> is favoured commercially for its higher honey yield and comparatively manageable temperament, while </w:t>
      </w:r>
      <w:r>
        <w:rPr>
          <w:color w:val="FFC000"/>
        </w:rPr>
        <w:t>A. cerana indica</w:t>
      </w:r>
      <w:r>
        <w:t xml:space="preserve"> is valued for its resilience under local climatic conditions (Singh, 2020; Sharma &amp; Verma, 2018). The relatively low representation of A. dorsata, A. florea, and Trigona iridipennis in the managed sample reflects their largely wild or semi-wild nesting ecology rather than any inherent scarcity, and is consistent with prior reports that these taxa remain outside conventional hive management because of behavioural or nest-architecture constraints (Kumar et al., 2019).</w:t>
      </w:r>
    </w:p>
    <w:p w14:paraId="56C7F882">
      <w:pPr>
        <w:spacing w:after="200" w:line="480" w:lineRule="auto"/>
        <w:ind w:firstLine="720"/>
        <w:jc w:val="both"/>
      </w:pPr>
      <w:r>
        <w:t xml:space="preserve">The mean yield of 5–6 </w:t>
      </w:r>
      <w:commentRangeStart w:id="9"/>
      <w:r>
        <w:t>litres</w:t>
      </w:r>
      <w:commentRangeEnd w:id="9"/>
      <w:r>
        <w:commentReference w:id="9"/>
      </w:r>
      <w:r>
        <w:t xml:space="preserve"> per bee box recorded here is broadly comparable to figures reported for managed apiaries in other Indian regions under similarly mixed agricultural-forest landscapes (Verma &amp; Yadav, 2017; Singh, 2020), supporting the view that honey yield is governed less by inherent species potential than by the interaction of colony strength, floral availability, and management quality (Das, 2022; Patil, 2019). The clear association observed between floral source and honey colour or flavour is consistent with established findings that nectar chemistry, sugar profile, and secondary metabolites specific to the source plant directly shape the sensory and compositional properties of the resulting honey (Khan </w:t>
      </w:r>
      <w:commentRangeStart w:id="10"/>
      <w:r>
        <w:rPr>
          <w:color w:val="FFC000"/>
        </w:rPr>
        <w:t>et al.</w:t>
      </w:r>
      <w:commentRangeEnd w:id="10"/>
      <w:r>
        <w:rPr>
          <w:color w:val="FFC000"/>
        </w:rPr>
        <w:commentReference w:id="10"/>
      </w:r>
      <w:r>
        <w:rPr>
          <w:color w:val="FFC000"/>
        </w:rPr>
        <w:t xml:space="preserve">, </w:t>
      </w:r>
      <w:r>
        <w:t>2018). This floral-honey relationship carries practical significance for market positioning, as monofloral honeys (e.g., mustard or litchi honey) may command different consumer preferences and prices than darker, stronger-flavoured forest or eucalyptus honey.</w:t>
      </w:r>
    </w:p>
    <w:p w14:paraId="50957190">
      <w:pPr>
        <w:spacing w:after="200" w:line="480" w:lineRule="auto"/>
        <w:ind w:firstLine="720"/>
        <w:jc w:val="both"/>
      </w:pPr>
      <w:r>
        <w:t>The contrast between movable-frame management of A. mellifera and A. cerana indica versus traditional comb-removal harvesting of wild A. dorsata colonies underscores a recurring theme in the apicultural literature: scientific hive management not only improves yield consistency but also reduces colony mortality and operator risk relative to destructive wild-honey collection (Shukla &amp; Mishra, 2021). The safety practices documented in this study, particularly routine smoke use and protective clothing, align with recommended best practice for minimising defensive responses and operator injury during hive handling (Shukla &amp; Mishra, 2021).</w:t>
      </w:r>
    </w:p>
    <w:p w14:paraId="10326F17">
      <w:pPr>
        <w:spacing w:after="200" w:line="480" w:lineRule="auto"/>
        <w:ind w:firstLine="720"/>
        <w:jc w:val="both"/>
      </w:pPr>
      <w:r>
        <w:t>Beyond direct honey yield, the pollination services rendered by the observed bee populations are likely to confer indirect benefits to surrounding agriculture, given that several of the principal forage plants identified, notably mustard and sunflower, are themselves insect-pollinated field crops of regional economic importance (Roy et al., 2023). This dual contribution, direct honey income alongside indirect crop-yield support through pollination, reinforces the rationale for promoting apiculture as a complementary rather than standalone rural enterprise (Patel &amp; Gupta, 2021).</w:t>
      </w:r>
    </w:p>
    <w:p w14:paraId="79DC8DA8">
      <w:pPr>
        <w:spacing w:after="200" w:line="480" w:lineRule="auto"/>
        <w:ind w:firstLine="720"/>
        <w:jc w:val="both"/>
      </w:pPr>
      <w:r>
        <w:t>Several constraints to further development were apparent from beekeeper accounts and field observation. Seasonal gaps in flowering reduce nectar availability outside peak bloom periods, while pesticide application in adjacent agricultural fields poses a documented risk to forager survival and colony health (Patil, 2019). The technical capacity of individual beekeepers also varied, suggesting that structured training in colony management, pest and disease recognition, and safe extraction technique could yield measurable gains in both productivity and beekeeper safety, a conclusion consistent with recommendations from comparable regional studies (Sharma &amp; Verma, 2018; Shukla &amp; Mishra, 2021).</w:t>
      </w:r>
    </w:p>
    <w:p w14:paraId="1D33711A">
      <w:pPr>
        <w:spacing w:after="200" w:line="480" w:lineRule="auto"/>
        <w:ind w:firstLine="720"/>
        <w:jc w:val="both"/>
      </w:pPr>
      <w:r>
        <w:t xml:space="preserve">The diversity of honey types associated with different floral sources also points toward a possible value-addition strategy for beekeepers in the region. Rather than marketing honey as a single undifferentiated commodity, beekeepers could potentially label and price mustard, litchi, and forest-floral honey separately, mirroring monofloral honey marketing approaches already established in other parts of India and internationally (Crane, 1990). Such differentiation would require relatively modest additional effort, principally timing of extraction to coincide with specific bloom periods and basic record-keeping of hive placement relative to dominant forage, but could meaningfully increase </w:t>
      </w:r>
      <w:commentRangeStart w:id="11"/>
      <w:r>
        <w:t xml:space="preserve">per-litre </w:t>
      </w:r>
      <w:commentRangeEnd w:id="11"/>
      <w:r>
        <w:commentReference w:id="11"/>
      </w:r>
      <w:r>
        <w:t>returns for producers who currently sell honey through informal, undifferentiated local markets. Linking this kind of value addition to the pollination benefits already accruing to nearby mustard and sunflower growers would further strengthen the case for positioning apiculture as an integrated component of regional agricultural planning rather than a peripheral household activity (Free, 1982; National Bee Board, 2022).</w:t>
      </w:r>
    </w:p>
    <w:p w14:paraId="5986AAB7">
      <w:pPr>
        <w:spacing w:after="200" w:line="480" w:lineRule="auto"/>
        <w:ind w:firstLine="720"/>
        <w:jc w:val="both"/>
      </w:pPr>
      <w:r>
        <w:t>This study is subject to several limitations. The relatively short survey period (single month) and modest sample of bee boxes (n ≈ 50) limit the extent to which findings can be generalised across full annual production cycles or across the wider Surguja district. Honey-yield estimates relied substantially on beekeeper-reported figures rather than standardised weighing across all colonies, and species abundance estimates were derived from field counts rather than systematic transect or trap-based sampling. Future work incorporating multi-season monitoring, standardised yield measurement, and quantitative floral-resource mapping would strengthen the robustness of region-specific productivity estimates.</w:t>
      </w:r>
    </w:p>
    <w:p w14:paraId="7D29AC6E">
      <w:pPr>
        <w:spacing w:before="100" w:beforeAutospacing="1" w:after="100" w:afterAutospacing="1"/>
        <w:outlineLvl w:val="2"/>
        <w:rPr>
          <w:b/>
          <w:bCs/>
          <w:sz w:val="27"/>
          <w:szCs w:val="27"/>
          <w:lang w:eastAsia="en-GB"/>
        </w:rPr>
      </w:pPr>
      <w:r>
        <w:rPr>
          <w:b/>
          <w:bCs/>
          <w:sz w:val="27"/>
          <w:szCs w:val="27"/>
          <w:lang w:eastAsia="en-GB"/>
        </w:rPr>
        <w:t>Conclusion</w:t>
      </w:r>
    </w:p>
    <w:p w14:paraId="42C8E668">
      <w:pPr>
        <w:spacing w:before="100" w:beforeAutospacing="1" w:after="100" w:afterAutospacing="1"/>
        <w:rPr>
          <w:lang w:eastAsia="en-GB"/>
        </w:rPr>
      </w:pPr>
      <w:r>
        <w:rPr>
          <w:lang w:eastAsia="en-GB"/>
        </w:rPr>
        <w:t xml:space="preserve">The study indicates that the Ambikapur region of Chhattisgarh provides suitable conditions for beekeeping because of its combination of agricultural fields, forest vegetation, and locally available flowering plants. Five bee taxa were recorded, with Apis mellifera and Apis cerana indica representing the main managed species in wooden bee boxes, while Apis dorsata, Apis florea, and Trigona iridipennis were observed mainly in natural or semi-natural nesting sites. Apis mellifera was the most abundant taxon in the survey, accounting for 42% of the 500 individuals scored. Honey yield from a managed bee box was reported as approximately 5-6 </w:t>
      </w:r>
      <w:r>
        <w:rPr>
          <w:color w:val="FFC000"/>
          <w:lang w:eastAsia="en-GB"/>
        </w:rPr>
        <w:t>litres</w:t>
      </w:r>
      <w:r>
        <w:rPr>
          <w:lang w:eastAsia="en-GB"/>
        </w:rPr>
        <w:t xml:space="preserve"> per production cycle under favourable seasonal conditions. Floral sources such as mustard, sunflower, eucalyptus, neem, litchi, and forest flora contributed to visible and sensory variation in honey characteristics. The use of movable-frame hives, smoke, protective clothing, filtration, and clean storage containers reflected basic scientific and safety-oriented beekeeping practices. Compared with traditional extraction from wild colonies, managed hive-based beekeeping appears safer and less disruptive. Strengthening beekeeper training, promoting careful hive management, reducing pesticide-related risks near apiaries, and improving market support for floral-source-based honey types may help enhance apicultural productivity and livelihood benefits in the region. Continued observation across seasons would further clarify production stability and management needs.</w:t>
      </w:r>
    </w:p>
    <w:p w14:paraId="6FABD8FF">
      <w:pPr>
        <w:spacing w:before="100" w:beforeAutospacing="1" w:after="100" w:afterAutospacing="1"/>
        <w:outlineLvl w:val="2"/>
        <w:rPr>
          <w:b/>
          <w:bCs/>
          <w:sz w:val="27"/>
          <w:szCs w:val="27"/>
          <w:lang w:eastAsia="en-GB"/>
        </w:rPr>
      </w:pPr>
      <w:bookmarkStart w:id="0" w:name="_GoBack"/>
      <w:r>
        <w:rPr>
          <w:b/>
          <w:bCs/>
          <w:sz w:val="27"/>
          <w:szCs w:val="27"/>
          <w:lang w:eastAsia="en-GB"/>
        </w:rPr>
        <w:t>Limitation</w:t>
      </w:r>
    </w:p>
    <w:p w14:paraId="2EB09B5C">
      <w:pPr>
        <w:spacing w:before="100" w:beforeAutospacing="1" w:after="100" w:afterAutospacing="1"/>
        <w:rPr>
          <w:lang w:eastAsia="en-GB"/>
        </w:rPr>
      </w:pPr>
      <w:r>
        <w:rPr>
          <w:lang w:eastAsia="en-GB"/>
        </w:rPr>
        <w:t>This study was limited by its short survey duration and descriptive design. Field observations were conducted only during March 2026, and therefore the findings do not represent seasonal variation across the full annual beekeeping cycle. The sample included approximately 50 managed bee boxes examined during four to five field visits, which restricts broader generalisation to all apiaries in Ambikapur or the wider Surguja district. Honey-yield estimates were based largely on beekeeper-reported production figures and visual assessment of comb-filling status rather than standardised weighing of harvested honey from each colony. Species abundance was estimated from field counts of individuals encountered during the survey and was not based on systematic transect sampling, trapping, or repeated quantitative monitoring. Floral-source assessment was qualitative and relied on field observation and beekeeper knowledge. Future studies should include multi-season sampling, standardised yield measurement, colony-health assessment, and quantitative mapping of floral resources to strengthen regional apiculture recommendations further.</w:t>
      </w:r>
    </w:p>
    <w:p w14:paraId="4844E17A"/>
    <w:p w14:paraId="1622D371">
      <w:pPr>
        <w:rPr>
          <w:b/>
        </w:rPr>
      </w:pPr>
      <w:r>
        <w:rPr>
          <w:b/>
        </w:rPr>
        <w:t>Declaration of AI Use</w:t>
      </w:r>
    </w:p>
    <w:p w14:paraId="5116513E"/>
    <w:p w14:paraId="6037A465">
      <w:pPr>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2024BFC">
      <w:pPr>
        <w:spacing w:after="200" w:line="480" w:lineRule="auto"/>
        <w:ind w:firstLine="720"/>
        <w:jc w:val="both"/>
      </w:pPr>
    </w:p>
    <w:p w14:paraId="6C06E62F">
      <w:pPr>
        <w:pageBreakBefore/>
      </w:pPr>
    </w:p>
    <w:p w14:paraId="5FB98FFC">
      <w:pPr>
        <w:pStyle w:val="2"/>
      </w:pPr>
      <w:r>
        <w:t>References</w:t>
      </w:r>
    </w:p>
    <w:p w14:paraId="6CD5B180">
      <w:pPr>
        <w:spacing w:after="160" w:line="480" w:lineRule="auto"/>
        <w:ind w:left="720" w:hanging="720"/>
        <w:jc w:val="both"/>
      </w:pPr>
      <w:r>
        <w:t>Das, P. (2022). Floral sources and honey production in forest and agricultural regions. Asian Journal of Environmental Biology, 14(2), 75–81.</w:t>
      </w:r>
    </w:p>
    <w:p w14:paraId="5D077E79">
      <w:pPr>
        <w:spacing w:after="160" w:line="480" w:lineRule="auto"/>
        <w:ind w:left="720" w:hanging="720"/>
        <w:jc w:val="both"/>
      </w:pPr>
      <w:r>
        <w:t>Khan, A., Mishra, D., &amp; Roy, T. (2018). Nutritional and medicinal importance of natural honey. Journal of Food and Health Sciences, 7(3), 55–61.</w:t>
      </w:r>
    </w:p>
    <w:p w14:paraId="038BD548">
      <w:pPr>
        <w:spacing w:after="160" w:line="480" w:lineRule="auto"/>
        <w:ind w:left="720" w:hanging="720"/>
        <w:jc w:val="both"/>
      </w:pPr>
      <w:r>
        <w:t>Kumar, S., Singh, A., &amp; Patel, R. (2019). Role of honey bees in pollination and crop productivity. Indian Journal of Entomology, 81(2), 120–126.</w:t>
      </w:r>
    </w:p>
    <w:p w14:paraId="2681DF29">
      <w:pPr>
        <w:spacing w:after="160" w:line="480" w:lineRule="auto"/>
        <w:ind w:left="720" w:hanging="720"/>
        <w:jc w:val="both"/>
      </w:pPr>
      <w:r>
        <w:t>National Bee Board, Government of India. (2022). Status of beekeeping and honey production in India. Ministry of Agriculture and Farmers Welfare.</w:t>
      </w:r>
    </w:p>
    <w:p w14:paraId="5F5ADD9E">
      <w:pPr>
        <w:spacing w:after="160" w:line="480" w:lineRule="auto"/>
        <w:ind w:left="720" w:hanging="720"/>
        <w:jc w:val="both"/>
      </w:pPr>
      <w:r>
        <w:t>Patel, A., &amp; Gupta, L. (2021). Economic importance of beekeeping in rural communities. Journal of Rural Development and Agriculture, 9(1), 60–67.</w:t>
      </w:r>
    </w:p>
    <w:p w14:paraId="3BF4D94E">
      <w:pPr>
        <w:spacing w:after="160" w:line="480" w:lineRule="auto"/>
        <w:ind w:left="720" w:hanging="720"/>
        <w:jc w:val="both"/>
      </w:pPr>
      <w:r>
        <w:t>Patil, V. (2019). Environmental factors affecting honey bee activity and honey yield. Indian Journal of Ecology and Environment, 15(4), 102–109.</w:t>
      </w:r>
    </w:p>
    <w:p w14:paraId="3B41562F">
      <w:pPr>
        <w:spacing w:after="160" w:line="480" w:lineRule="auto"/>
        <w:ind w:left="720" w:hanging="720"/>
        <w:jc w:val="both"/>
      </w:pPr>
      <w:r>
        <w:t>Roy, T., Das, S., &amp; Kumar, V. (2023). Pollination efficiency of honey bees and biodiversity conservation. International Journal of Environmental Studies, 18(1), 40–48.</w:t>
      </w:r>
    </w:p>
    <w:p w14:paraId="5494228A">
      <w:pPr>
        <w:spacing w:after="160" w:line="480" w:lineRule="auto"/>
        <w:ind w:left="720" w:hanging="720"/>
        <w:jc w:val="both"/>
      </w:pPr>
      <w:r>
        <w:t>Sharma, R., &amp; Verma, P. (2018). Scientific beekeeping and colony management practices in rural areas. Journal of Agricultural Science, 12(3), 45–52.</w:t>
      </w:r>
    </w:p>
    <w:p w14:paraId="51FDDD53">
      <w:pPr>
        <w:spacing w:after="160" w:line="480" w:lineRule="auto"/>
        <w:ind w:left="720" w:hanging="720"/>
        <w:jc w:val="both"/>
      </w:pPr>
      <w:r>
        <w:t>Shukla, D., &amp; Mishra, P. (2021). Hive management and safety measures in scientific beekeeping. Journal of Applied Agricultural Research, 11(2), 90–97.</w:t>
      </w:r>
    </w:p>
    <w:p w14:paraId="1320A726">
      <w:pPr>
        <w:spacing w:after="160" w:line="480" w:lineRule="auto"/>
        <w:ind w:left="720" w:hanging="720"/>
        <w:jc w:val="both"/>
      </w:pPr>
      <w:r>
        <w:t>Singh, M. (2020). Assessment of honey production and hive management in managed bee colonies. International Journal of Zoological Studies, 5(4), 88–94.</w:t>
      </w:r>
    </w:p>
    <w:p w14:paraId="66B92928">
      <w:pPr>
        <w:spacing w:after="160" w:line="480" w:lineRule="auto"/>
        <w:ind w:left="720" w:hanging="720"/>
        <w:jc w:val="both"/>
      </w:pPr>
      <w:r>
        <w:t>Verma, S., &amp; Yadav, R. (2017). Honey production and rural economic development through beekeeping. International Journal of Agricultural Research, 10(5), 32–39.</w:t>
      </w:r>
    </w:p>
    <w:bookmarkEnd w:id="0"/>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08" w:footer="708"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r. Prarthna Rajkumari" w:date="2026-06-27T13:22:00Z" w:initials="">
    <w:p w14:paraId="3A6C80A8">
      <w:pPr>
        <w:pStyle w:val="10"/>
        <w:rPr>
          <w:rFonts w:hint="default"/>
          <w:lang w:val="en-IN"/>
        </w:rPr>
      </w:pPr>
      <w:r>
        <w:rPr>
          <w:rFonts w:hint="default"/>
          <w:lang w:val="en-IN"/>
        </w:rPr>
        <w:t>Scientific name should be italics</w:t>
      </w:r>
    </w:p>
  </w:comment>
  <w:comment w:id="1" w:author="Dr. Prarthna Rajkumari" w:date="2026-06-27T13:24:59Z" w:initials="">
    <w:p w14:paraId="6B39964B">
      <w:pPr>
        <w:pStyle w:val="10"/>
        <w:rPr>
          <w:rFonts w:hint="default"/>
          <w:lang w:val="en-IN"/>
        </w:rPr>
      </w:pPr>
      <w:r>
        <w:rPr>
          <w:rFonts w:hint="default"/>
          <w:lang w:val="en-IN"/>
        </w:rPr>
        <w:t>Italics</w:t>
      </w:r>
    </w:p>
    <w:p w14:paraId="5EBD2420">
      <w:pPr>
        <w:pStyle w:val="10"/>
        <w:rPr>
          <w:rFonts w:hint="default"/>
          <w:lang w:val="en-IN"/>
        </w:rPr>
      </w:pPr>
    </w:p>
  </w:comment>
  <w:comment w:id="2" w:author="Dr. Prarthna Rajkumari" w:date="2026-06-27T13:26:32Z" w:initials="">
    <w:p w14:paraId="1D099ABA">
      <w:pPr>
        <w:pStyle w:val="10"/>
        <w:rPr>
          <w:rFonts w:hint="default"/>
          <w:lang w:val="en-IN"/>
        </w:rPr>
      </w:pPr>
      <w:r>
        <w:rPr>
          <w:rFonts w:hint="default"/>
          <w:lang w:val="en-IN"/>
        </w:rPr>
        <w:t xml:space="preserve">Scientific name of eucalyptus should be included </w:t>
      </w:r>
    </w:p>
    <w:p w14:paraId="3E85014F">
      <w:pPr>
        <w:pStyle w:val="10"/>
        <w:rPr>
          <w:rFonts w:hint="default"/>
          <w:lang w:val="en-IN"/>
        </w:rPr>
      </w:pPr>
      <w:r>
        <w:rPr>
          <w:rFonts w:hint="default"/>
          <w:lang w:val="en-IN"/>
        </w:rPr>
        <w:t xml:space="preserve">Its must uniform  </w:t>
      </w:r>
    </w:p>
  </w:comment>
  <w:comment w:id="3" w:author="Dr. Prarthna Rajkumari" w:date="2026-06-27T13:30:19Z" w:initials="">
    <w:p w14:paraId="22B975F2">
      <w:pPr>
        <w:pStyle w:val="10"/>
        <w:rPr>
          <w:rFonts w:hint="default"/>
          <w:lang w:val="en-IN"/>
        </w:rPr>
      </w:pPr>
      <w:r>
        <w:rPr>
          <w:rFonts w:hint="default"/>
          <w:lang w:val="en-IN"/>
        </w:rPr>
        <w:t>apiculture</w:t>
      </w:r>
    </w:p>
  </w:comment>
  <w:comment w:id="4" w:author="Dr. Prarthna Rajkumari" w:date="2026-06-27T13:31:35Z" w:initials="">
    <w:p w14:paraId="1A8E56A6">
      <w:pPr>
        <w:pStyle w:val="10"/>
        <w:rPr>
          <w:rFonts w:hint="default"/>
          <w:lang w:val="en-IN"/>
        </w:rPr>
      </w:pPr>
      <w:r>
        <w:rPr>
          <w:rFonts w:hint="default"/>
          <w:lang w:val="en-IN"/>
        </w:rPr>
        <w:t>apiculture</w:t>
      </w:r>
    </w:p>
  </w:comment>
  <w:comment w:id="5" w:author="Dr. Prarthna Rajkumari" w:date="2026-06-27T13:32:15Z" w:initials="">
    <w:p w14:paraId="043A9204">
      <w:pPr>
        <w:pStyle w:val="10"/>
        <w:rPr>
          <w:rFonts w:hint="default"/>
          <w:lang w:val="en-IN"/>
        </w:rPr>
      </w:pPr>
      <w:r>
        <w:rPr>
          <w:rFonts w:hint="default"/>
          <w:lang w:val="en-IN"/>
        </w:rPr>
        <w:t>characterized</w:t>
      </w:r>
    </w:p>
  </w:comment>
  <w:comment w:id="6" w:author="Dr. Prarthna Rajkumari" w:date="2026-06-27T13:36:50Z" w:initials="">
    <w:p w14:paraId="03B893A9">
      <w:pPr>
        <w:pStyle w:val="10"/>
        <w:rPr>
          <w:rFonts w:hint="default"/>
          <w:lang w:val="en-IN"/>
        </w:rPr>
      </w:pPr>
      <w:r>
        <w:rPr>
          <w:rFonts w:hint="default"/>
          <w:lang w:val="en-IN"/>
        </w:rPr>
        <w:t>No need to write full scientific name you can write A. dorsata etc but it should be in italics</w:t>
      </w:r>
    </w:p>
    <w:p w14:paraId="0029950E">
      <w:pPr>
        <w:pStyle w:val="10"/>
        <w:rPr>
          <w:rFonts w:hint="default"/>
          <w:lang w:val="en-IN"/>
        </w:rPr>
      </w:pPr>
    </w:p>
  </w:comment>
  <w:comment w:id="7" w:author="Dr. Prarthna Rajkumari" w:date="2026-06-27T13:38:57Z" w:initials="">
    <w:p w14:paraId="22393F8D">
      <w:pPr>
        <w:pStyle w:val="10"/>
        <w:numPr>
          <w:ilvl w:val="0"/>
          <w:numId w:val="1"/>
        </w:numPr>
        <w:rPr>
          <w:rFonts w:hint="default"/>
          <w:i/>
          <w:iCs/>
          <w:lang w:val="en-IN"/>
        </w:rPr>
      </w:pPr>
      <w:r>
        <w:rPr>
          <w:rFonts w:hint="default"/>
          <w:i/>
          <w:iCs/>
          <w:lang w:val="en-IN"/>
        </w:rPr>
        <w:t xml:space="preserve"> mellifera</w:t>
      </w:r>
    </w:p>
  </w:comment>
  <w:comment w:id="8" w:author="Dr. Prarthna Rajkumari" w:date="2026-06-28T07:26:42Z" w:initials="">
    <w:p w14:paraId="7555E897">
      <w:pPr>
        <w:pStyle w:val="10"/>
        <w:rPr>
          <w:rFonts w:hint="default"/>
          <w:lang w:val="en-IN"/>
        </w:rPr>
      </w:pPr>
      <w:r>
        <w:rPr>
          <w:rFonts w:hint="default"/>
          <w:lang w:val="en-IN"/>
        </w:rPr>
        <w:t>Dynamics/ abundances can be use instead of composition</w:t>
      </w:r>
    </w:p>
    <w:p w14:paraId="15BF0243">
      <w:pPr>
        <w:pStyle w:val="10"/>
        <w:rPr>
          <w:rFonts w:hint="default"/>
          <w:lang w:val="en-IN"/>
        </w:rPr>
      </w:pPr>
      <w:r>
        <w:rPr>
          <w:rFonts w:hint="default"/>
          <w:lang w:val="en-IN"/>
        </w:rPr>
        <w:t>Scientific name in italics</w:t>
      </w:r>
    </w:p>
  </w:comment>
  <w:comment w:id="9" w:author="Dr. Prarthna Rajkumari" w:date="2026-06-28T07:30:33Z" w:initials="">
    <w:p w14:paraId="290E221E">
      <w:pPr>
        <w:pStyle w:val="10"/>
        <w:rPr>
          <w:rFonts w:hint="default"/>
          <w:lang w:val="en-IN"/>
        </w:rPr>
      </w:pPr>
      <w:r>
        <w:rPr>
          <w:rFonts w:hint="default"/>
          <w:lang w:val="en-IN"/>
        </w:rPr>
        <w:t>Honey is primarily sold in kg or weight basis</w:t>
      </w:r>
    </w:p>
  </w:comment>
  <w:comment w:id="10" w:author="Dr. Prarthna Rajkumari" w:date="2026-06-28T07:31:44Z" w:initials="">
    <w:p w14:paraId="3AFA184A">
      <w:pPr>
        <w:pStyle w:val="10"/>
      </w:pPr>
      <w:r>
        <w:annotationRef/>
      </w:r>
    </w:p>
  </w:comment>
  <w:comment w:id="11" w:author="Dr. Prarthna Rajkumari" w:date="2026-06-28T07:36:21Z" w:initials="">
    <w:p w14:paraId="46684FD3">
      <w:pPr>
        <w:pStyle w:val="10"/>
        <w:rPr>
          <w:rFonts w:hint="default"/>
          <w:lang w:val="en-IN"/>
        </w:rPr>
      </w:pPr>
      <w:r>
        <w:rPr>
          <w:rFonts w:hint="default"/>
          <w:lang w:val="en-IN"/>
        </w:rPr>
        <w:t>kg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6C80A8" w15:done="0"/>
  <w15:commentEx w15:paraId="5EBD2420" w15:done="0"/>
  <w15:commentEx w15:paraId="3E85014F" w15:done="0"/>
  <w15:commentEx w15:paraId="22B975F2" w15:done="0"/>
  <w15:commentEx w15:paraId="1A8E56A6" w15:done="0"/>
  <w15:commentEx w15:paraId="043A9204" w15:done="0"/>
  <w15:commentEx w15:paraId="0029950E" w15:done="0"/>
  <w15:commentEx w15:paraId="22393F8D" w15:done="0"/>
  <w15:commentEx w15:paraId="15BF0243" w15:done="0"/>
  <w15:commentEx w15:paraId="290E221E" w15:done="0"/>
  <w15:commentEx w15:paraId="3AFA184A" w15:done="0"/>
  <w15:commentEx w15:paraId="46684FD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A6A39">
    <w:pPr>
      <w:jc w:val="center"/>
    </w:pPr>
    <w:r>
      <w:rPr>
        <w:sz w:val="20"/>
        <w:szCs w:val="20"/>
      </w:rPr>
      <w:fldChar w:fldCharType="begin"/>
    </w:r>
    <w:r>
      <w:rPr>
        <w:sz w:val="20"/>
        <w:szCs w:val="20"/>
      </w:rPr>
      <w:instrText xml:space="preserve">PAGE</w:instrText>
    </w:r>
    <w:r>
      <w:rPr>
        <w:sz w:val="20"/>
        <w:szCs w:val="20"/>
      </w:rPr>
      <w:fldChar w:fldCharType="separate"/>
    </w:r>
    <w:r>
      <w:rPr>
        <w:sz w:val="20"/>
        <w:szCs w:val="20"/>
      </w:rPr>
      <w:t>15</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68D0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ABEA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DD8AE">
    <w:pPr>
      <w:tabs>
        <w:tab w:val="right" w:pos="9026"/>
      </w:tabs>
      <w:jc w:val="right"/>
    </w:pPr>
    <w:r>
      <w:pict>
        <v:shape id="PowerPlusWaterMarkObject203519455" o:spid="_x0000_s1027" o:spt="136" type="#_x0000_t136" style="position:absolute;left:0pt;height:65.95pt;width:593.8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Times New Roman;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8E5C5">
    <w:pPr>
      <w:pStyle w:val="16"/>
    </w:pPr>
    <w:r>
      <w:pict>
        <v:shape id="PowerPlusWaterMarkObject203519454" o:spid="_x0000_s1026" o:spt="136" type="#_x0000_t136" style="position:absolute;left:0pt;height:65.95pt;width:593.8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Times New Roman;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F1023">
    <w:pPr>
      <w:pStyle w:val="16"/>
    </w:pPr>
    <w:r>
      <w:pict>
        <v:shape id="PowerPlusWaterMarkObject203519453" o:spid="_x0000_s1025" o:spt="136" type="#_x0000_t136" style="position:absolute;left:0pt;height:65.95pt;width:593.8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Times New Roman;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D8469"/>
    <w:multiLevelType w:val="singleLevel"/>
    <w:tmpl w:val="401D8469"/>
    <w:lvl w:ilvl="0" w:tentative="0">
      <w:start w:val="1"/>
      <w:numFmt w:val="upperLetter"/>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r. Prarthna Rajkumari">
    <w15:presenceInfo w15:providerId="WPS Office" w15:userId="465711907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hdrShapeDefaults>
    <o:shapelayout v:ext="edit">
      <o:idmap v:ext="edit" data="1"/>
    </o:shapelayout>
  </w:hdrShapeDefaults>
  <w:compat>
    <w:compatSetting w:name="compatibilityMode" w:uri="http://schemas.microsoft.com/office/word" w:val="12"/>
  </w:compat>
  <w:rsids>
    <w:rsidRoot w:val="00C77045"/>
    <w:rsid w:val="00475DAD"/>
    <w:rsid w:val="00603209"/>
    <w:rsid w:val="00671818"/>
    <w:rsid w:val="006C6425"/>
    <w:rsid w:val="007705C0"/>
    <w:rsid w:val="007D2E78"/>
    <w:rsid w:val="009518D2"/>
    <w:rsid w:val="00A61BA0"/>
    <w:rsid w:val="00A90789"/>
    <w:rsid w:val="00AA2E6C"/>
    <w:rsid w:val="00C77045"/>
    <w:rsid w:val="00D41422"/>
    <w:rsid w:val="00F50BA5"/>
    <w:rsid w:val="2DBB2711"/>
    <w:rsid w:val="66457A0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hi-IN"/>
    </w:rPr>
  </w:style>
  <w:style w:type="paragraph" w:styleId="2">
    <w:name w:val="heading 1"/>
    <w:qFormat/>
    <w:uiPriority w:val="0"/>
    <w:pPr>
      <w:spacing w:before="360" w:after="200"/>
      <w:outlineLvl w:val="0"/>
    </w:pPr>
    <w:rPr>
      <w:rFonts w:ascii="Times New Roman" w:hAnsi="Times New Roman" w:eastAsia="Times New Roman" w:cs="Times New Roman"/>
      <w:b/>
      <w:bCs/>
      <w:sz w:val="26"/>
      <w:szCs w:val="26"/>
      <w:lang w:val="en-US" w:eastAsia="en-US" w:bidi="hi-IN"/>
    </w:rPr>
  </w:style>
  <w:style w:type="paragraph" w:styleId="3">
    <w:name w:val="heading 2"/>
    <w:qFormat/>
    <w:uiPriority w:val="0"/>
    <w:pPr>
      <w:spacing w:before="240" w:after="160"/>
      <w:outlineLvl w:val="1"/>
    </w:pPr>
    <w:rPr>
      <w:rFonts w:ascii="Times New Roman" w:hAnsi="Times New Roman" w:eastAsia="Times New Roman" w:cs="Times New Roman"/>
      <w:b/>
      <w:bCs/>
      <w:i/>
      <w:iCs/>
      <w:sz w:val="24"/>
      <w:szCs w:val="24"/>
      <w:lang w:val="en-US" w:eastAsia="en-US" w:bidi="hi-IN"/>
    </w:rPr>
  </w:style>
  <w:style w:type="paragraph" w:styleId="4">
    <w:name w:val="heading 3"/>
    <w:qFormat/>
    <w:uiPriority w:val="0"/>
    <w:pPr>
      <w:outlineLvl w:val="2"/>
    </w:pPr>
    <w:rPr>
      <w:rFonts w:ascii="Times New Roman" w:hAnsi="Times New Roman" w:eastAsia="Times New Roman" w:cs="Times New Roman"/>
      <w:color w:val="1F4D78"/>
      <w:sz w:val="24"/>
      <w:szCs w:val="24"/>
      <w:lang w:val="en-US" w:eastAsia="en-US" w:bidi="hi-IN"/>
    </w:rPr>
  </w:style>
  <w:style w:type="paragraph" w:styleId="5">
    <w:name w:val="heading 4"/>
    <w:qFormat/>
    <w:uiPriority w:val="0"/>
    <w:pPr>
      <w:outlineLvl w:val="3"/>
    </w:pPr>
    <w:rPr>
      <w:rFonts w:ascii="Times New Roman" w:hAnsi="Times New Roman" w:eastAsia="Times New Roman" w:cs="Times New Roman"/>
      <w:i/>
      <w:iCs/>
      <w:color w:val="2E74B5"/>
      <w:sz w:val="24"/>
      <w:szCs w:val="24"/>
      <w:lang w:val="en-US" w:eastAsia="en-US" w:bidi="hi-IN"/>
    </w:rPr>
  </w:style>
  <w:style w:type="paragraph" w:styleId="6">
    <w:name w:val="heading 5"/>
    <w:qFormat/>
    <w:uiPriority w:val="0"/>
    <w:pPr>
      <w:outlineLvl w:val="4"/>
    </w:pPr>
    <w:rPr>
      <w:rFonts w:ascii="Times New Roman" w:hAnsi="Times New Roman" w:eastAsia="Times New Roman" w:cs="Times New Roman"/>
      <w:color w:val="2E74B5"/>
      <w:sz w:val="24"/>
      <w:szCs w:val="24"/>
      <w:lang w:val="en-US" w:eastAsia="en-US" w:bidi="hi-IN"/>
    </w:rPr>
  </w:style>
  <w:style w:type="paragraph" w:styleId="7">
    <w:name w:val="heading 6"/>
    <w:qFormat/>
    <w:uiPriority w:val="0"/>
    <w:pPr>
      <w:outlineLvl w:val="5"/>
    </w:pPr>
    <w:rPr>
      <w:rFonts w:ascii="Times New Roman" w:hAnsi="Times New Roman" w:eastAsia="Times New Roman" w:cs="Times New Roman"/>
      <w:color w:val="1F4D78"/>
      <w:sz w:val="24"/>
      <w:szCs w:val="24"/>
      <w:lang w:val="en-US" w:eastAsia="en-US" w:bidi="hi-IN"/>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semiHidden/>
    <w:unhideWhenUsed/>
    <w:qFormat/>
    <w:uiPriority w:val="99"/>
    <w:pPr>
      <w:jc w:val="left"/>
    </w:pPr>
  </w:style>
  <w:style w:type="character" w:styleId="11">
    <w:name w:val="endnote reference"/>
    <w:semiHidden/>
    <w:unhideWhenUsed/>
    <w:qFormat/>
    <w:uiPriority w:val="99"/>
    <w:rPr>
      <w:vertAlign w:val="superscript"/>
    </w:rPr>
  </w:style>
  <w:style w:type="paragraph" w:styleId="12">
    <w:name w:val="endnote text"/>
    <w:link w:val="22"/>
    <w:semiHidden/>
    <w:unhideWhenUsed/>
    <w:qFormat/>
    <w:uiPriority w:val="99"/>
    <w:rPr>
      <w:rFonts w:ascii="Times New Roman" w:hAnsi="Times New Roman" w:eastAsia="Times New Roman" w:cs="Times New Roman"/>
      <w:sz w:val="20"/>
      <w:szCs w:val="20"/>
      <w:lang w:val="en-US" w:eastAsia="en-US" w:bidi="hi-IN"/>
    </w:rPr>
  </w:style>
  <w:style w:type="paragraph" w:styleId="13">
    <w:name w:val="footer"/>
    <w:basedOn w:val="1"/>
    <w:link w:val="24"/>
    <w:unhideWhenUsed/>
    <w:qFormat/>
    <w:uiPriority w:val="99"/>
    <w:pPr>
      <w:tabs>
        <w:tab w:val="center" w:pos="4680"/>
        <w:tab w:val="right" w:pos="9360"/>
      </w:tabs>
    </w:pPr>
    <w:rPr>
      <w:rFonts w:cs="Mangal"/>
      <w:szCs w:val="21"/>
    </w:rPr>
  </w:style>
  <w:style w:type="character" w:styleId="14">
    <w:name w:val="footnote reference"/>
    <w:semiHidden/>
    <w:unhideWhenUsed/>
    <w:qFormat/>
    <w:uiPriority w:val="99"/>
    <w:rPr>
      <w:vertAlign w:val="superscript"/>
    </w:rPr>
  </w:style>
  <w:style w:type="paragraph" w:styleId="15">
    <w:name w:val="footnote text"/>
    <w:link w:val="21"/>
    <w:semiHidden/>
    <w:unhideWhenUsed/>
    <w:uiPriority w:val="99"/>
    <w:rPr>
      <w:rFonts w:ascii="Times New Roman" w:hAnsi="Times New Roman" w:eastAsia="Times New Roman" w:cs="Times New Roman"/>
      <w:sz w:val="20"/>
      <w:szCs w:val="20"/>
      <w:lang w:val="en-US" w:eastAsia="en-US" w:bidi="hi-IN"/>
    </w:rPr>
  </w:style>
  <w:style w:type="paragraph" w:styleId="16">
    <w:name w:val="header"/>
    <w:basedOn w:val="1"/>
    <w:link w:val="23"/>
    <w:unhideWhenUsed/>
    <w:qFormat/>
    <w:uiPriority w:val="99"/>
    <w:pPr>
      <w:tabs>
        <w:tab w:val="center" w:pos="4680"/>
        <w:tab w:val="right" w:pos="9360"/>
      </w:tabs>
    </w:pPr>
    <w:rPr>
      <w:rFonts w:cs="Mangal"/>
      <w:szCs w:val="21"/>
    </w:rPr>
  </w:style>
  <w:style w:type="character" w:styleId="17">
    <w:name w:val="Hyperlink"/>
    <w:unhideWhenUsed/>
    <w:qFormat/>
    <w:uiPriority w:val="99"/>
    <w:rPr>
      <w:color w:val="0563C1"/>
      <w:u w:val="single"/>
    </w:rPr>
  </w:style>
  <w:style w:type="paragraph" w:styleId="18">
    <w:name w:val="Title"/>
    <w:qFormat/>
    <w:uiPriority w:val="0"/>
    <w:rPr>
      <w:rFonts w:ascii="Times New Roman" w:hAnsi="Times New Roman" w:eastAsia="Times New Roman" w:cs="Times New Roman"/>
      <w:sz w:val="56"/>
      <w:szCs w:val="56"/>
      <w:lang w:val="en-US" w:eastAsia="en-US" w:bidi="hi-IN"/>
    </w:rPr>
  </w:style>
  <w:style w:type="paragraph" w:customStyle="1" w:styleId="19">
    <w:name w:val="Strong1"/>
    <w:qFormat/>
    <w:uiPriority w:val="0"/>
    <w:rPr>
      <w:rFonts w:ascii="Times New Roman" w:hAnsi="Times New Roman" w:eastAsia="Times New Roman" w:cs="Times New Roman"/>
      <w:b/>
      <w:bCs/>
      <w:sz w:val="24"/>
      <w:szCs w:val="24"/>
      <w:lang w:val="en-US" w:eastAsia="en-US" w:bidi="hi-IN"/>
    </w:rPr>
  </w:style>
  <w:style w:type="paragraph" w:styleId="20">
    <w:name w:val="List Paragraph"/>
    <w:qFormat/>
    <w:uiPriority w:val="0"/>
    <w:rPr>
      <w:rFonts w:ascii="Times New Roman" w:hAnsi="Times New Roman" w:eastAsia="Times New Roman" w:cs="Times New Roman"/>
      <w:sz w:val="24"/>
      <w:szCs w:val="24"/>
      <w:lang w:val="en-US" w:eastAsia="en-US" w:bidi="hi-IN"/>
    </w:rPr>
  </w:style>
  <w:style w:type="character" w:customStyle="1" w:styleId="21">
    <w:name w:val="Footnote Text Char"/>
    <w:link w:val="15"/>
    <w:semiHidden/>
    <w:unhideWhenUsed/>
    <w:uiPriority w:val="99"/>
    <w:rPr>
      <w:sz w:val="20"/>
      <w:szCs w:val="20"/>
    </w:rPr>
  </w:style>
  <w:style w:type="character" w:customStyle="1" w:styleId="22">
    <w:name w:val="Endnote Text Char"/>
    <w:link w:val="12"/>
    <w:semiHidden/>
    <w:unhideWhenUsed/>
    <w:uiPriority w:val="99"/>
    <w:rPr>
      <w:sz w:val="20"/>
      <w:szCs w:val="20"/>
    </w:rPr>
  </w:style>
  <w:style w:type="character" w:customStyle="1" w:styleId="23">
    <w:name w:val="Header Char"/>
    <w:basedOn w:val="8"/>
    <w:link w:val="16"/>
    <w:qFormat/>
    <w:uiPriority w:val="99"/>
    <w:rPr>
      <w:rFonts w:cs="Mangal"/>
      <w:szCs w:val="21"/>
    </w:rPr>
  </w:style>
  <w:style w:type="character" w:customStyle="1" w:styleId="24">
    <w:name w:val="Footer Char"/>
    <w:basedOn w:val="8"/>
    <w:link w:val="13"/>
    <w:qFormat/>
    <w:uiPriority w:val="99"/>
    <w:rPr>
      <w:rFonts w:cs="Mangal"/>
      <w:szCs w:val="21"/>
    </w:rPr>
  </w:style>
  <w:style w:type="character" w:customStyle="1" w:styleId="25">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TCS</Company>
  <Pages>15</Pages>
  <Words>3451</Words>
  <Characters>21762</Characters>
  <Lines>178</Lines>
  <Paragraphs>50</Paragraphs>
  <TotalTime>39</TotalTime>
  <ScaleCrop>false</ScaleCrop>
  <LinksUpToDate>false</LinksUpToDate>
  <CharactersWithSpaces>25092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2026-06-20T05:39:00Z</dcterms:created>
  <dc:creator>Un-named</dc:creator>
  <cp:lastModifiedBy>Dr. Prarthna Rajkumari</cp:lastModifiedBy>
  <dcterms:modified xsi:type="dcterms:W3CDTF">2026-06-28T18:14:10Z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eyJoZGlkIjoiZTkwZmY5YWU3ZGUxM2Y3NTFiNmQ2NmMxNzE2ODQ3OTUiLCJ1c2VySWQiOiI1NjczOTUwNDY2NjQifQ==</vt:lpwstr>
  </property>
  <property fmtid="{D5CDD505-2E9C-101B-9397-08002B2CF9AE}" pid="3" name="KSOProductBuildVer">
    <vt:lpwstr>1033-12.1.0.26880</vt:lpwstr>
  </property>
  <property fmtid="{D5CDD505-2E9C-101B-9397-08002B2CF9AE}" pid="4" name="ICV">
    <vt:lpwstr>79B7C5696EBC4F3FAFFAFF1D0A4BFCA1_12</vt:lpwstr>
  </property>
</Properties>
</file>