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1FA2" w14:textId="77777777" w:rsidR="00E818A8" w:rsidRPr="00125DFB" w:rsidRDefault="005F3352" w:rsidP="001E0F51">
      <w:pPr>
        <w:spacing w:after="0" w:line="360" w:lineRule="auto"/>
        <w:jc w:val="center"/>
        <w:rPr>
          <w:rFonts w:ascii="Times New Roman" w:hAnsi="Times New Roman" w:cs="Times New Roman"/>
          <w:sz w:val="24"/>
          <w:szCs w:val="26"/>
        </w:rPr>
      </w:pPr>
      <w:r w:rsidRPr="00125DFB">
        <w:rPr>
          <w:rFonts w:ascii="Times New Roman" w:hAnsi="Times New Roman" w:cs="Times New Roman"/>
          <w:b/>
          <w:sz w:val="24"/>
          <w:szCs w:val="26"/>
        </w:rPr>
        <w:t>Assessment of Knowledge, Attitudes and Practices (KAP) Regarding Milk-Borne Zoonotic Diseases in Agro-Pastoral Communities of Yobe State, Nigeria</w:t>
      </w:r>
    </w:p>
    <w:p w14:paraId="7745FB07" w14:textId="77777777" w:rsidR="00D82E08" w:rsidRDefault="00D82E08" w:rsidP="001E0F51">
      <w:pPr>
        <w:spacing w:after="320" w:line="360" w:lineRule="auto"/>
        <w:rPr>
          <w:rFonts w:ascii="Times New Roman" w:hAnsi="Times New Roman" w:cs="Times New Roman"/>
          <w:sz w:val="26"/>
          <w:szCs w:val="26"/>
        </w:rPr>
      </w:pPr>
    </w:p>
    <w:p w14:paraId="4F0A9E50" w14:textId="77777777" w:rsidR="00D22E5F" w:rsidRPr="00125DFB" w:rsidRDefault="00D22E5F" w:rsidP="001E0F51">
      <w:pPr>
        <w:spacing w:after="320" w:line="360" w:lineRule="auto"/>
        <w:rPr>
          <w:rFonts w:ascii="Times New Roman" w:hAnsi="Times New Roman" w:cs="Times New Roman"/>
          <w:sz w:val="26"/>
          <w:szCs w:val="26"/>
        </w:rPr>
      </w:pPr>
    </w:p>
    <w:p w14:paraId="17D2C524"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ABSTRACT</w:t>
      </w:r>
      <w:r w:rsidR="001E0F51">
        <w:rPr>
          <w:rFonts w:ascii="Times New Roman" w:hAnsi="Times New Roman" w:cs="Times New Roman"/>
          <w:b/>
          <w:sz w:val="26"/>
          <w:szCs w:val="26"/>
        </w:rPr>
        <w:t xml:space="preserve"> </w:t>
      </w:r>
    </w:p>
    <w:p w14:paraId="0BE1B15A"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Background:</w:t>
      </w:r>
      <w:r w:rsidRPr="00125DFB">
        <w:rPr>
          <w:rFonts w:ascii="Times New Roman" w:hAnsi="Times New Roman" w:cs="Times New Roman"/>
          <w:sz w:val="26"/>
          <w:szCs w:val="26"/>
        </w:rPr>
        <w:t xml:space="preserve"> Zoonosis is a disease transmissible to humans from animals, Milk-borne zoonotic diseases (MBZDs) mainly diseases contracted through consumption of milk from infected animals, Diseases such as Brucellosis, Bovine tuberculosis, and Q fever constitute a major but frequently overlooked public health risk in agro-pastoral communities it is becoming more devastating when it occurs in rural communities where majority of the population inadequate basic knowledge and awareness of zoonotics. In Yobe State, Nigeria, raw milk consumption is culturally entrenched and veterinary infrastructure is limited mostly to cities </w:t>
      </w:r>
      <w:commentRangeStart w:id="0"/>
      <w:r w:rsidRPr="00125DFB">
        <w:rPr>
          <w:rFonts w:ascii="Times New Roman" w:hAnsi="Times New Roman" w:cs="Times New Roman"/>
          <w:sz w:val="26"/>
          <w:szCs w:val="26"/>
        </w:rPr>
        <w:t>and or</w:t>
      </w:r>
      <w:commentRangeEnd w:id="0"/>
      <w:r w:rsidR="005404F6" w:rsidRPr="00125DFB">
        <w:rPr>
          <w:rStyle w:val="CommentReference"/>
          <w:rFonts w:ascii="Times New Roman" w:hAnsi="Times New Roman" w:cs="Times New Roman"/>
          <w:sz w:val="26"/>
          <w:szCs w:val="26"/>
        </w:rPr>
        <w:commentReference w:id="0"/>
      </w:r>
      <w:r w:rsidRPr="00125DFB">
        <w:rPr>
          <w:rFonts w:ascii="Times New Roman" w:hAnsi="Times New Roman" w:cs="Times New Roman"/>
          <w:sz w:val="26"/>
          <w:szCs w:val="26"/>
        </w:rPr>
        <w:t xml:space="preserve"> urban communities, creating conditions for such diseases transmission and spread.</w:t>
      </w:r>
    </w:p>
    <w:p w14:paraId="6C5D70CE" w14:textId="7C816490"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Objective:</w:t>
      </w:r>
      <w:r w:rsidRPr="00125DFB">
        <w:rPr>
          <w:rFonts w:ascii="Times New Roman" w:hAnsi="Times New Roman" w:cs="Times New Roman"/>
          <w:sz w:val="26"/>
          <w:szCs w:val="26"/>
        </w:rPr>
        <w:t xml:space="preserve"> The present study aimed to </w:t>
      </w:r>
      <w:commentRangeStart w:id="1"/>
      <w:r w:rsidRPr="00125DFB">
        <w:rPr>
          <w:rFonts w:ascii="Times New Roman" w:hAnsi="Times New Roman" w:cs="Times New Roman"/>
          <w:sz w:val="26"/>
          <w:szCs w:val="26"/>
        </w:rPr>
        <w:t>assessed</w:t>
      </w:r>
      <w:commentRangeEnd w:id="1"/>
      <w:r w:rsidR="005404F6" w:rsidRPr="00125DFB">
        <w:rPr>
          <w:rStyle w:val="CommentReference"/>
          <w:rFonts w:ascii="Times New Roman" w:hAnsi="Times New Roman" w:cs="Times New Roman"/>
          <w:sz w:val="26"/>
          <w:szCs w:val="26"/>
        </w:rPr>
        <w:commentReference w:id="1"/>
      </w:r>
      <w:r w:rsidRPr="00125DFB">
        <w:rPr>
          <w:rFonts w:ascii="Times New Roman" w:hAnsi="Times New Roman" w:cs="Times New Roman"/>
          <w:sz w:val="26"/>
          <w:szCs w:val="26"/>
        </w:rPr>
        <w:t xml:space="preserve"> the knowledge, attitudes, and practices (KAP) about milk-borne zoonotic diseases among agro-pastoralist communities of Buni Yadi, Damaturu, and Damagum towns, Yobe State, to generate evidence for </w:t>
      </w:r>
      <w:r w:rsidR="005404F6">
        <w:rPr>
          <w:rFonts w:ascii="Times New Roman" w:hAnsi="Times New Roman" w:cs="Times New Roman"/>
          <w:sz w:val="26"/>
          <w:szCs w:val="26"/>
        </w:rPr>
        <w:t>targeted</w:t>
      </w:r>
      <w:r w:rsidRPr="00125DFB">
        <w:rPr>
          <w:rFonts w:ascii="Times New Roman" w:hAnsi="Times New Roman" w:cs="Times New Roman"/>
          <w:sz w:val="26"/>
          <w:szCs w:val="26"/>
        </w:rPr>
        <w:t xml:space="preserve"> public health interventions.</w:t>
      </w:r>
    </w:p>
    <w:p w14:paraId="57BD87FE" w14:textId="77777777" w:rsidR="00E818A8" w:rsidRPr="00125DFB" w:rsidRDefault="005F3352" w:rsidP="001E0F51">
      <w:pPr>
        <w:spacing w:after="0" w:line="360" w:lineRule="auto"/>
        <w:jc w:val="both"/>
        <w:rPr>
          <w:rFonts w:ascii="Times New Roman" w:hAnsi="Times New Roman" w:cs="Times New Roman"/>
          <w:sz w:val="26"/>
          <w:szCs w:val="26"/>
        </w:rPr>
      </w:pPr>
      <w:commentRangeStart w:id="2"/>
      <w:r w:rsidRPr="00125DFB">
        <w:rPr>
          <w:rFonts w:ascii="Times New Roman" w:hAnsi="Times New Roman" w:cs="Times New Roman"/>
          <w:b/>
          <w:sz w:val="26"/>
          <w:szCs w:val="26"/>
        </w:rPr>
        <w:t>Methods</w:t>
      </w:r>
      <w:commentRangeEnd w:id="2"/>
      <w:r w:rsidR="00770FFC" w:rsidRPr="00125DFB">
        <w:rPr>
          <w:rStyle w:val="CommentReference"/>
          <w:rFonts w:ascii="Times New Roman" w:hAnsi="Times New Roman" w:cs="Times New Roman"/>
          <w:b/>
          <w:sz w:val="26"/>
          <w:szCs w:val="26"/>
        </w:rPr>
        <w:commentReference w:id="2"/>
      </w:r>
      <w:r w:rsidRPr="00125DFB">
        <w:rPr>
          <w:rFonts w:ascii="Times New Roman" w:hAnsi="Times New Roman" w:cs="Times New Roman"/>
          <w:b/>
          <w:sz w:val="26"/>
          <w:szCs w:val="26"/>
        </w:rPr>
        <w:t xml:space="preserve">: </w:t>
      </w:r>
      <w:r w:rsidRPr="00125DFB">
        <w:rPr>
          <w:rFonts w:ascii="Times New Roman" w:hAnsi="Times New Roman" w:cs="Times New Roman"/>
          <w:sz w:val="26"/>
          <w:szCs w:val="26"/>
        </w:rPr>
        <w:t>Survey was conducted among 150 respondents (50 per community) using cross-sectional study selected by multi-stage sampling. Data were collected using simple structured, questionnaires and analysis was done using IBM SPSS Statistics version 25.0. Descriptive and inferential statistics were applied.</w:t>
      </w:r>
    </w:p>
    <w:p w14:paraId="1D17108A"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Results:</w:t>
      </w:r>
      <w:r w:rsidRPr="00125DFB">
        <w:rPr>
          <w:rFonts w:ascii="Times New Roman" w:hAnsi="Times New Roman" w:cs="Times New Roman"/>
          <w:sz w:val="26"/>
          <w:szCs w:val="26"/>
        </w:rPr>
        <w:t xml:space="preserve"> knowledge gaps identified: only 16.7% of respondents were aware of Brucellosis, and 70% knew none of the listed MBZDs. Only 30% knew that milk from healthy looking animals can transmit disease. High risk practices were found prevalent in the study area: 66.7% consumed raw milk, 73.3% stored milk at room temperature, 46.7% never cleaned udders before milking, and 66.7% of vendors never boiled milk before sale. A significant was observed; 86.7% knew sick animals could cause human disease, and 60% would still sell milk from symptomatic and asymptomatic sick animals. The primary barriers observed </w:t>
      </w:r>
      <w:r w:rsidRPr="00125DFB">
        <w:rPr>
          <w:rFonts w:ascii="Times New Roman" w:hAnsi="Times New Roman" w:cs="Times New Roman"/>
          <w:sz w:val="26"/>
          <w:szCs w:val="26"/>
        </w:rPr>
        <w:lastRenderedPageBreak/>
        <w:t>were lack of practical knowledge and health risk awareness (80%) and neglected boiling due to illiteracy (60%). The community strongly supported interventions: community education (93.3%) delivered by health workers and veterinarians (86.7%) via radio and recorded voice tools (80%) was preferred because of GSM availability.</w:t>
      </w:r>
    </w:p>
    <w:p w14:paraId="18E23BE0"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Conclusion:</w:t>
      </w:r>
      <w:r w:rsidRPr="00125DFB">
        <w:rPr>
          <w:rFonts w:ascii="Times New Roman" w:hAnsi="Times New Roman" w:cs="Times New Roman"/>
          <w:sz w:val="26"/>
          <w:szCs w:val="26"/>
        </w:rPr>
        <w:t xml:space="preserve"> The study found that a population caught between adequate abstract awareness and deeply rooted high risk practices. A multi-pronged intervention combining culturally sensitive education and targeted economic support is strongly recommended and has explicit community endorsement.</w:t>
      </w:r>
    </w:p>
    <w:p w14:paraId="3A1FCDA0" w14:textId="77777777" w:rsidR="00E818A8" w:rsidRPr="00125DFB" w:rsidRDefault="005F3352" w:rsidP="001E0F51">
      <w:pPr>
        <w:spacing w:after="0" w:line="360" w:lineRule="auto"/>
        <w:jc w:val="both"/>
        <w:rPr>
          <w:rFonts w:ascii="Times New Roman" w:hAnsi="Times New Roman" w:cs="Times New Roman"/>
          <w:sz w:val="26"/>
          <w:szCs w:val="26"/>
        </w:rPr>
      </w:pPr>
      <w:r w:rsidRPr="00125DFB">
        <w:rPr>
          <w:rFonts w:ascii="Times New Roman" w:hAnsi="Times New Roman" w:cs="Times New Roman"/>
          <w:b/>
          <w:sz w:val="26"/>
          <w:szCs w:val="26"/>
        </w:rPr>
        <w:t>Keywords:</w:t>
      </w:r>
      <w:r w:rsidRPr="00125DFB">
        <w:rPr>
          <w:rFonts w:ascii="Times New Roman" w:hAnsi="Times New Roman" w:cs="Times New Roman"/>
          <w:sz w:val="26"/>
          <w:szCs w:val="26"/>
        </w:rPr>
        <w:t xml:space="preserve"> </w:t>
      </w:r>
      <w:r w:rsidRPr="00125DFB">
        <w:rPr>
          <w:rFonts w:ascii="Times New Roman" w:hAnsi="Times New Roman" w:cs="Times New Roman"/>
          <w:i/>
          <w:sz w:val="26"/>
          <w:szCs w:val="26"/>
        </w:rPr>
        <w:t>zoonotic, brucellosis, bovine tuberculosis, agro-pastoral communities, Nigeria</w:t>
      </w:r>
    </w:p>
    <w:p w14:paraId="71205760" w14:textId="77777777" w:rsidR="00E818A8" w:rsidRPr="00125DFB" w:rsidRDefault="00E818A8" w:rsidP="001E0F51">
      <w:pPr>
        <w:spacing w:after="120" w:line="360" w:lineRule="auto"/>
        <w:ind w:firstLine="425"/>
        <w:jc w:val="both"/>
        <w:rPr>
          <w:rFonts w:ascii="Times New Roman" w:hAnsi="Times New Roman" w:cs="Times New Roman"/>
          <w:b/>
          <w:sz w:val="26"/>
          <w:szCs w:val="26"/>
        </w:rPr>
      </w:pPr>
    </w:p>
    <w:p w14:paraId="00C4FF6E"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b/>
          <w:sz w:val="26"/>
          <w:szCs w:val="26"/>
        </w:rPr>
        <w:t>INTRODUCTION</w:t>
      </w:r>
      <w:r w:rsidRPr="00125DFB">
        <w:rPr>
          <w:rFonts w:ascii="Times New Roman" w:hAnsi="Times New Roman" w:cs="Times New Roman"/>
          <w:sz w:val="26"/>
          <w:szCs w:val="26"/>
        </w:rPr>
        <w:t xml:space="preserve"> </w:t>
      </w:r>
    </w:p>
    <w:p w14:paraId="2087D4B0"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Milk is a complete and nutritious food, essential for human growth and development due to its rich content of proteins, fats, vitamins, and minerals (FAO, 2013). In Nigeria, and particularly in agro-pastoral states like Yobe state, livestock production is a critical component of livelihood, food security, and cultural identity. However, the significant public health benefits of milk are undermined when it becomes a vehicle of zoonotic diseases transition, infections certainly transmissible from vertebrate animals to humans (WHO, 2022).</w:t>
      </w:r>
    </w:p>
    <w:p w14:paraId="15F7207C"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Milk-borne zoonotic diseases (MBZDs), such as Brucellosis, Bovine tuberculosis, and Q fever, constitute a major but often overlooked public health burden in developing countries like Nigeria. These diseases are primarily transmitted to humans through the consumption of raw (unpasteurised) milk from infected animals or through direct contact with the animals (Dean et al., 2012). Gusi et al., 2020 reported that in Northern Nigeria, cultural norms favour raw milk and fermented dairy products such as </w:t>
      </w:r>
      <w:r w:rsidRPr="00125DFB">
        <w:rPr>
          <w:rFonts w:ascii="Times New Roman" w:hAnsi="Times New Roman" w:cs="Times New Roman"/>
          <w:i/>
          <w:sz w:val="26"/>
          <w:szCs w:val="26"/>
        </w:rPr>
        <w:t>nono</w:t>
      </w:r>
      <w:r w:rsidRPr="00125DFB">
        <w:rPr>
          <w:rFonts w:ascii="Times New Roman" w:hAnsi="Times New Roman" w:cs="Times New Roman"/>
          <w:sz w:val="26"/>
          <w:szCs w:val="26"/>
        </w:rPr>
        <w:t xml:space="preserve"> (fresh yoghurt) and </w:t>
      </w:r>
      <w:r w:rsidRPr="00125DFB">
        <w:rPr>
          <w:rFonts w:ascii="Times New Roman" w:hAnsi="Times New Roman" w:cs="Times New Roman"/>
          <w:i/>
          <w:sz w:val="26"/>
          <w:szCs w:val="26"/>
        </w:rPr>
        <w:t>kindirmo</w:t>
      </w:r>
      <w:r w:rsidRPr="00125DFB">
        <w:rPr>
          <w:rFonts w:ascii="Times New Roman" w:hAnsi="Times New Roman" w:cs="Times New Roman"/>
          <w:sz w:val="26"/>
          <w:szCs w:val="26"/>
        </w:rPr>
        <w:t xml:space="preserve"> (sour milk), significantly amplifying the risk of MBZD transmission.</w:t>
      </w:r>
    </w:p>
    <w:p w14:paraId="44A5EB08"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The Knowledge, Attitudes, and Practices (KAP) model is one of the generally used study tool for evaluating what a community knows, believes, and does regarding a specific subject or health risk (Andrade et al., 2020). Data generated through KAP studies offers vital insights for designing an effective public health interventions. In a predominantly </w:t>
      </w:r>
      <w:r w:rsidRPr="00125DFB">
        <w:rPr>
          <w:rFonts w:ascii="Times New Roman" w:hAnsi="Times New Roman" w:cs="Times New Roman"/>
          <w:sz w:val="26"/>
          <w:szCs w:val="26"/>
        </w:rPr>
        <w:lastRenderedPageBreak/>
        <w:t>agro-pastoral communities like those in yobe State it people are highly vulnerable to MBZDs, yet there is a scarcity of localized data on community understanding and practices related to milk safety. This study is determined to fill this gap by assessing the KAP of community members in Buni Yadi, Damaturu, and Damagum, thereby generating evidence to inform future public health action.</w:t>
      </w:r>
    </w:p>
    <w:p w14:paraId="2C367A05"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Problem Statement</w:t>
      </w:r>
    </w:p>
    <w:p w14:paraId="40F3E763"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Despite the obvious health risks associated with milk and milk products obtained from unclear sources, raw milk consumption remains very common in the agro-pastoral communities of Yobe State. This practice, coupled with poor milk handling and hygienic processing, creates a persistent route of disease transmission pathway for various zoonotic disease especially bovine tuberculosis. Brucellosis and bovine tuberculosis are endemic in Nigerian livestock where Yobe state is not </w:t>
      </w:r>
      <w:commentRangeStart w:id="3"/>
      <w:r w:rsidRPr="00125DFB">
        <w:rPr>
          <w:rFonts w:ascii="Times New Roman" w:hAnsi="Times New Roman" w:cs="Times New Roman"/>
          <w:sz w:val="26"/>
          <w:szCs w:val="26"/>
        </w:rPr>
        <w:t>exempted</w:t>
      </w:r>
      <w:commentRangeEnd w:id="3"/>
      <w:r w:rsidR="00770FFC" w:rsidRPr="00125DFB">
        <w:rPr>
          <w:rStyle w:val="CommentReference"/>
          <w:rFonts w:ascii="Times New Roman" w:hAnsi="Times New Roman" w:cs="Times New Roman"/>
          <w:sz w:val="26"/>
          <w:szCs w:val="26"/>
        </w:rPr>
        <w:commentReference w:id="3"/>
      </w:r>
      <w:r w:rsidRPr="00125DFB">
        <w:rPr>
          <w:rFonts w:ascii="Times New Roman" w:hAnsi="Times New Roman" w:cs="Times New Roman"/>
          <w:sz w:val="26"/>
          <w:szCs w:val="26"/>
        </w:rPr>
        <w:t>. Yet human cases are grossly underreported due to non-specific symptoms and limited diagnostic capacity (Bale et al., 2019), resulting in a silent epidemic. MBZDs impose a substantial socio-economic burden through, reduced income and high treatment costs, with additional effects on children's school attendance and development.</w:t>
      </w:r>
    </w:p>
    <w:p w14:paraId="68008513"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The study area commonly experiences the consumption of raw or unpasteurized milk, poor hygiene during milking, improper storage conditions and the sale of milk from animals that show signs of illness. These practices raise risk of disease spread. While many community members understand that boiling milk is a safe method, they face challenges in consistently applying it due to factors such as lack of knowledge, cultural habits favoring raw milk, and financial limitations.</w:t>
      </w:r>
    </w:p>
    <w:p w14:paraId="76FE0802"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Aim and Objectives of the Study</w:t>
      </w:r>
    </w:p>
    <w:p w14:paraId="0A863A54"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Aim of this study was to assess the Knowledge, Attitudes, and Practices (KAP) of community members in Buni Yadi, Damaturu, and Damagum, Yobe State, regarding milk-borne zoonotic diseases, in order to inform the development of a targeted public health intervention strategy.</w:t>
      </w:r>
    </w:p>
    <w:p w14:paraId="5A7856E5"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lastRenderedPageBreak/>
        <w:t>The specific objectives include to: (i) evaluate community knowledge of common MBZDs, their modes of transmission, symptoms (ii) explore community attitudes towards milk safetyand (iv) document practices related to milk consumption, handling, storage, and sale.</w:t>
      </w:r>
    </w:p>
    <w:p w14:paraId="55AA79BD"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Significance of the Study</w:t>
      </w:r>
    </w:p>
    <w:p w14:paraId="080D2CBE"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sz w:val="26"/>
          <w:szCs w:val="26"/>
        </w:rPr>
        <w:t>The results of this research provide baseline data for government and non-governmental agencies including the Yobe State Ministry of Health and Ministry of Livestock to design health education campaigns. By identifying specific knowledge gaps and risky practices, the study contributes directly to raising awareness in the studied communities with the potential to mitigate disease incidence. The results can equally inform livestock and food safety policies, particularly regarding regulation of local milk processing, vending and promotion of pasteurization. and add to the body of scientific literature on KAP regarding zoonotic diseases in Nigeria.</w:t>
      </w:r>
    </w:p>
    <w:p w14:paraId="7C7A29C5" w14:textId="77777777" w:rsidR="00E818A8" w:rsidRPr="00125DFB" w:rsidRDefault="005F3352" w:rsidP="001E0F51">
      <w:pPr>
        <w:spacing w:after="120" w:line="360" w:lineRule="auto"/>
        <w:jc w:val="both"/>
        <w:rPr>
          <w:rFonts w:ascii="Times New Roman" w:hAnsi="Times New Roman" w:cs="Times New Roman"/>
          <w:b/>
          <w:sz w:val="26"/>
          <w:szCs w:val="26"/>
        </w:rPr>
      </w:pPr>
      <w:r w:rsidRPr="00125DFB">
        <w:rPr>
          <w:rFonts w:ascii="Times New Roman" w:hAnsi="Times New Roman" w:cs="Times New Roman"/>
          <w:b/>
          <w:bCs/>
          <w:sz w:val="26"/>
          <w:szCs w:val="26"/>
        </w:rPr>
        <w:t>Scope of the Study</w:t>
      </w:r>
    </w:p>
    <w:p w14:paraId="75A165F8"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This study is limited to evaluating the knowledge, attitudes, and practices (KAP) of community members in three selected locations: Buni Yadi, Damaturu, and Damagum in Yobe State, Nigeria. The research specifically addresses zoonotic diseases transmitted through the consumption of milk from infected animals, without detailed consideration of other modes of zoonotic transmission. Data were collected using a cross-sectional survey, offering a snapshot of the situation during the study period.</w:t>
      </w:r>
    </w:p>
    <w:p w14:paraId="4BD1E197" w14:textId="77777777" w:rsidR="00E818A8" w:rsidRPr="00125DFB" w:rsidRDefault="005F3352" w:rsidP="001E0F51">
      <w:pPr>
        <w:spacing w:after="120" w:line="360" w:lineRule="auto"/>
        <w:jc w:val="both"/>
        <w:rPr>
          <w:rFonts w:ascii="Times New Roman" w:hAnsi="Times New Roman" w:cs="Times New Roman"/>
          <w:b/>
          <w:sz w:val="26"/>
          <w:szCs w:val="26"/>
        </w:rPr>
      </w:pPr>
      <w:r w:rsidRPr="00125DFB">
        <w:rPr>
          <w:rFonts w:ascii="Times New Roman" w:hAnsi="Times New Roman" w:cs="Times New Roman"/>
          <w:b/>
          <w:sz w:val="26"/>
          <w:szCs w:val="26"/>
        </w:rPr>
        <w:t xml:space="preserve">REVIEW OF RELATED LITERATURE </w:t>
      </w:r>
    </w:p>
    <w:p w14:paraId="4DC8397E"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Milk is a vital source of nutrition, providing quality protein, essential fatty acids, vitamins, and minerals (FAO, 2013). In developing nations, the dairy sector plays a significant role in livelihoods and food security. However, the public health benefits of milk are compromised when it transmits zoonotic pathogens (WHO, 2022). Agro-pastoral communities like those in Yobe State are particularly at risk owing to their reliance on livestock, culturally entrenched raw milk consumption, and limited access to veterinary and public health services. The KAP study model provides the conceptual framework for </w:t>
      </w:r>
      <w:r w:rsidRPr="00125DFB">
        <w:rPr>
          <w:rFonts w:ascii="Times New Roman" w:hAnsi="Times New Roman" w:cs="Times New Roman"/>
          <w:sz w:val="26"/>
          <w:szCs w:val="26"/>
        </w:rPr>
        <w:lastRenderedPageBreak/>
        <w:t>investigating this human dimension and generating data to inform effective interventions (Andrade et al., 2020).</w:t>
      </w:r>
    </w:p>
    <w:p w14:paraId="1552763C"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Major Milk-Borne Zoonotic Diseases</w:t>
      </w:r>
    </w:p>
    <w:p w14:paraId="178E9F03" w14:textId="77777777" w:rsidR="00E818A8" w:rsidRPr="00125DFB" w:rsidRDefault="005F3352" w:rsidP="001E0F51">
      <w:pPr>
        <w:spacing w:line="360" w:lineRule="auto"/>
        <w:jc w:val="both"/>
        <w:rPr>
          <w:rFonts w:ascii="Times New Roman" w:hAnsi="Times New Roman" w:cs="Times New Roman"/>
          <w:sz w:val="26"/>
          <w:szCs w:val="26"/>
        </w:rPr>
      </w:pPr>
      <w:r w:rsidRPr="00125DFB">
        <w:rPr>
          <w:rFonts w:ascii="Times New Roman" w:hAnsi="Times New Roman" w:cs="Times New Roman"/>
          <w:sz w:val="26"/>
          <w:szCs w:val="26"/>
        </w:rPr>
        <w:t>Brucellosis a zoonotic disease transmitted by means of consumption of raw milk or coming in contact with infected animal. The disease is caused by a bacteria Brucella abortus to a lesser extent by B. melitensis (Corbel, 2006). The nomenclature in humans include Malta fever or undulant fever: symptoms which include fever, malaise, joint pain and sweating leading to chronic debilitating disease (Fraic et al, 2018). Investigation in Nigeria reveals a seroprevalence considered high in cattle (Bale et al., 2019).</w:t>
      </w:r>
    </w:p>
    <w:p w14:paraId="5576E6F1" w14:textId="77777777" w:rsidR="00E818A8" w:rsidRPr="00125DFB" w:rsidRDefault="005F3352" w:rsidP="001E0F51">
      <w:pPr>
        <w:spacing w:line="360" w:lineRule="auto"/>
        <w:jc w:val="both"/>
        <w:rPr>
          <w:rFonts w:ascii="Times New Roman" w:hAnsi="Times New Roman" w:cs="Times New Roman"/>
          <w:sz w:val="26"/>
          <w:szCs w:val="26"/>
        </w:rPr>
      </w:pPr>
      <w:r w:rsidRPr="00125DFB">
        <w:rPr>
          <w:rFonts w:ascii="Times New Roman" w:hAnsi="Times New Roman" w:cs="Times New Roman"/>
          <w:sz w:val="26"/>
          <w:szCs w:val="26"/>
        </w:rPr>
        <w:t xml:space="preserve">Bovine tuberculosis is a chronic disease in cattle caused by Mycobacterium bovis. The disease is transmissible to humans via inhalation as well as consumption of raw milk (O’Reilly and Daborn, 1995). The human variant of the disease is usually not different from the one caused by M. tuberculosis. Organs affected include the lungs, lymph nodes. The contribution of </w:t>
      </w:r>
      <w:commentRangeStart w:id="4"/>
      <w:r w:rsidRPr="00125DFB">
        <w:rPr>
          <w:rFonts w:ascii="Times New Roman" w:hAnsi="Times New Roman" w:cs="Times New Roman"/>
          <w:sz w:val="26"/>
          <w:szCs w:val="26"/>
        </w:rPr>
        <w:t xml:space="preserve">the contribution of </w:t>
      </w:r>
      <w:commentRangeEnd w:id="4"/>
      <w:r w:rsidR="00770FFC" w:rsidRPr="00125DFB">
        <w:rPr>
          <w:rStyle w:val="CommentReference"/>
          <w:rFonts w:ascii="Times New Roman" w:hAnsi="Times New Roman" w:cs="Times New Roman"/>
          <w:sz w:val="26"/>
          <w:szCs w:val="26"/>
        </w:rPr>
        <w:commentReference w:id="4"/>
      </w:r>
      <w:r w:rsidRPr="00125DFB">
        <w:rPr>
          <w:rFonts w:ascii="Times New Roman" w:hAnsi="Times New Roman" w:cs="Times New Roman"/>
          <w:sz w:val="26"/>
          <w:szCs w:val="26"/>
        </w:rPr>
        <w:t xml:space="preserve">bTB to the overall burden of tuberculosis in Nigeria is not well quantified but is considered to be significant especially in cattle handlers (Salami e al., 2020). Other diseases transmitted by raw milk include Q fever (Coxiella burnetti), salmonellosis and </w:t>
      </w:r>
      <w:commentRangeStart w:id="5"/>
      <w:r w:rsidRPr="00125DFB">
        <w:rPr>
          <w:rFonts w:ascii="Times New Roman" w:hAnsi="Times New Roman" w:cs="Times New Roman"/>
          <w:sz w:val="26"/>
          <w:szCs w:val="26"/>
        </w:rPr>
        <w:t>Camylobacteriosis</w:t>
      </w:r>
      <w:commentRangeEnd w:id="5"/>
      <w:r w:rsidR="007107AD" w:rsidRPr="00125DFB">
        <w:rPr>
          <w:rStyle w:val="CommentReference"/>
          <w:rFonts w:ascii="Times New Roman" w:hAnsi="Times New Roman" w:cs="Times New Roman"/>
          <w:sz w:val="26"/>
          <w:szCs w:val="26"/>
        </w:rPr>
        <w:commentReference w:id="5"/>
      </w:r>
      <w:r w:rsidRPr="00125DFB">
        <w:rPr>
          <w:rFonts w:ascii="Times New Roman" w:hAnsi="Times New Roman" w:cs="Times New Roman"/>
          <w:sz w:val="26"/>
          <w:szCs w:val="26"/>
        </w:rPr>
        <w:t xml:space="preserve">. These have continue to be of public health concern and a inflicts a huge weight on the limited resources available. </w:t>
      </w:r>
    </w:p>
    <w:p w14:paraId="4D8695E0"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Socio-Cultural and Economic Context of Milk Consumption</w:t>
      </w:r>
    </w:p>
    <w:p w14:paraId="3F30828C"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Milk handling and consumption are deeply embedded in cultural practices. In Northern Nigeria, including Yobe State, consumption of raw unpasteurised milk is culturally entrenched (Gusi et al., 2020). Many consumers believe raw milk has superior taste and nutritional value and that natural properties are lost during boiling or pasteurisation (Lucey, 2015). Fermented products such as </w:t>
      </w:r>
      <w:r w:rsidRPr="00125DFB">
        <w:rPr>
          <w:rFonts w:ascii="Times New Roman" w:hAnsi="Times New Roman" w:cs="Times New Roman"/>
          <w:i/>
          <w:sz w:val="26"/>
          <w:szCs w:val="26"/>
        </w:rPr>
        <w:t>nono</w:t>
      </w:r>
      <w:r w:rsidRPr="00125DFB">
        <w:rPr>
          <w:rFonts w:ascii="Times New Roman" w:hAnsi="Times New Roman" w:cs="Times New Roman"/>
          <w:sz w:val="26"/>
          <w:szCs w:val="26"/>
        </w:rPr>
        <w:t xml:space="preserve"> (yoghurt) and </w:t>
      </w:r>
      <w:r w:rsidRPr="00125DFB">
        <w:rPr>
          <w:rFonts w:ascii="Times New Roman" w:hAnsi="Times New Roman" w:cs="Times New Roman"/>
          <w:i/>
          <w:sz w:val="26"/>
          <w:szCs w:val="26"/>
        </w:rPr>
        <w:t>kindirmo</w:t>
      </w:r>
      <w:r w:rsidRPr="00125DFB">
        <w:rPr>
          <w:rFonts w:ascii="Times New Roman" w:hAnsi="Times New Roman" w:cs="Times New Roman"/>
          <w:sz w:val="26"/>
          <w:szCs w:val="26"/>
        </w:rPr>
        <w:t xml:space="preserve"> (sour milk) are long-standing cultural norms integral to social and culinary identity. For many pastoralists, boiling milk represents an additional fuel cost and time burden, while the absence of refrigeration necessitates immediate consumption or rapid fermentation (Kamu et al., 2021). These factors create an environment where high-risk practices are the norm, </w:t>
      </w:r>
      <w:r w:rsidRPr="00125DFB">
        <w:rPr>
          <w:rFonts w:ascii="Times New Roman" w:hAnsi="Times New Roman" w:cs="Times New Roman"/>
          <w:sz w:val="26"/>
          <w:szCs w:val="26"/>
        </w:rPr>
        <w:lastRenderedPageBreak/>
        <w:t>rendering simplistic public health advice largely ineffective without a deeper understanding of underlying motivations.</w:t>
      </w:r>
    </w:p>
    <w:p w14:paraId="430D1C56"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Barriers to Safe Milk Handling and Effective Interventions</w:t>
      </w:r>
    </w:p>
    <w:p w14:paraId="6904E329"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transition from knowledge to practice is hindered by multiple interconnected barriers. The fundamental barrier is insufficient context-specific health education on zoonoses. Economic constraints the cost of fuel for boiling and lack of access to affordable pasteurization technology represent significant practical hurdles (Kamu et al., 2021). Deeply held cultural beliefs about the benefits of raw milk can override scientific advice, and weak veterinary and public health infrastructure perpetuates the cycle of disease (Bale et al., 2019). Effective interventions must therefore be multi-pronged. KAP studies consistently identify community education as the most desired intervention, with successful programmes using participatory methods and trusted channels such as radio and religious leaders (Jost et al., 2016). Coupling education with structural support such as community-based pasteurisation units, veterinary extension, and vendor hygiene training has shown promise in reducing the disease burden (Holt et al., 2019).</w:t>
      </w:r>
    </w:p>
    <w:p w14:paraId="7B8B8684" w14:textId="77777777" w:rsidR="00E818A8" w:rsidRPr="00125DFB" w:rsidRDefault="005F3352" w:rsidP="001E0F51">
      <w:pPr>
        <w:spacing w:before="200" w:after="80" w:line="360" w:lineRule="auto"/>
        <w:rPr>
          <w:rFonts w:ascii="Times New Roman" w:hAnsi="Times New Roman" w:cs="Times New Roman"/>
          <w:b/>
          <w:sz w:val="26"/>
          <w:szCs w:val="26"/>
        </w:rPr>
      </w:pPr>
      <w:r w:rsidRPr="00125DFB">
        <w:rPr>
          <w:rFonts w:ascii="Times New Roman" w:hAnsi="Times New Roman" w:cs="Times New Roman"/>
          <w:b/>
          <w:sz w:val="26"/>
          <w:szCs w:val="26"/>
        </w:rPr>
        <w:t xml:space="preserve">METHODS </w:t>
      </w:r>
    </w:p>
    <w:p w14:paraId="32B46200"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Research Design</w:t>
      </w:r>
    </w:p>
    <w:p w14:paraId="4D207124"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A cross-sectional descriptive survey was employed in this study. The design is appropriate for collecting data at a single point in time to describe the variables of interest knowledge, attitudes, and practices as they exist naturally (Babbie, 2020). It is efficient for quantifying the prevalence of characteristics and identifying associations between variables such as the relationship between occupation and knowledge of milk-borne diseases.</w:t>
      </w:r>
    </w:p>
    <w:p w14:paraId="70A1556E"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Description of the Study Area</w:t>
      </w:r>
    </w:p>
    <w:p w14:paraId="7857579E"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The study was conducted in three selected agro-pastoral communities within Yobe State, Nigeria. Buni Yadi is the major town in Gujba Local Government Area (LGA), known for its significant livestock production and pastoral activities. Damaturu is the state capital in Damaturu LGA, serving which is serving as major commercial and </w:t>
      </w:r>
      <w:r w:rsidRPr="00125DFB">
        <w:rPr>
          <w:rFonts w:ascii="Times New Roman" w:hAnsi="Times New Roman" w:cs="Times New Roman"/>
          <w:sz w:val="26"/>
          <w:szCs w:val="26"/>
        </w:rPr>
        <w:lastRenderedPageBreak/>
        <w:t>administrative hub with urban and peri-urban populations engaged in livestock rearing, trade and civil service. Because of it strategic location socio-economic activities damaturu is one of the major consumers of milk and milk products.  Damagum is the headquarters of Fune LGA, an important agro-pastoral zone with a high concentration of cattle herders and milk vendors. Yobe State is located in the northeastern part of Nigeria within the semi-arid Sudan-Sahelian savannah belt. Over 80% of the population is engaged in livestock rearing and crop production, making it a high-risk region for MBZD transmission due to close human animal interaction and prevalent traditional milk consumption practices.</w:t>
      </w:r>
    </w:p>
    <w:p w14:paraId="49C92F93"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Target Population</w:t>
      </w:r>
    </w:p>
    <w:p w14:paraId="4632F8E3"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target population comprised adult community members aged 18 years and above residing in Buni Yadi, Damaturu, and Damagum. This included pastoralists and livestock farmers, milk vendors and processors, household consumers of milk, and crop farmers who also consume milk. This diverse group was selected because they are directly involved in the production, handling, and consumption of milk and are therefore at the highest risk of exposure to milk-borne diseases.</w:t>
      </w:r>
    </w:p>
    <w:p w14:paraId="2C82F82E"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b/>
          <w:sz w:val="26"/>
          <w:szCs w:val="26"/>
        </w:rPr>
        <w:t xml:space="preserve">Sample Size and sampling </w:t>
      </w:r>
      <w:commentRangeStart w:id="6"/>
      <w:r w:rsidRPr="00125DFB">
        <w:rPr>
          <w:rFonts w:ascii="Times New Roman" w:hAnsi="Times New Roman" w:cs="Times New Roman"/>
          <w:b/>
          <w:sz w:val="26"/>
          <w:szCs w:val="26"/>
        </w:rPr>
        <w:t>Technique</w:t>
      </w:r>
      <w:commentRangeEnd w:id="6"/>
      <w:r w:rsidR="007107AD" w:rsidRPr="00125DFB">
        <w:rPr>
          <w:rStyle w:val="CommentReference"/>
          <w:rFonts w:ascii="Times New Roman" w:hAnsi="Times New Roman" w:cs="Times New Roman"/>
          <w:sz w:val="26"/>
          <w:szCs w:val="26"/>
        </w:rPr>
        <w:commentReference w:id="6"/>
      </w:r>
      <w:r w:rsidRPr="00125DFB">
        <w:rPr>
          <w:rFonts w:ascii="Times New Roman" w:hAnsi="Times New Roman" w:cs="Times New Roman"/>
          <w:sz w:val="26"/>
          <w:szCs w:val="26"/>
        </w:rPr>
        <w:br/>
        <w:t xml:space="preserve">A total of 150 respondents were included in the study. From each of the three selected communities, 50 respondents were chosen randomly using a multi-staged sampling approach. In the final stage, one ward was carefully selected from each town based on its high number of people who fit the target group. In the second stage, systematic random sampling was used to choose households, and each selected household was then visited for an interview. In the third stage, convenience and snowball sampling were used to reach individuals who were present at cattle markets and milk collection points. </w:t>
      </w:r>
    </w:p>
    <w:p w14:paraId="3777BCC7"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sz w:val="26"/>
          <w:szCs w:val="26"/>
        </w:rPr>
        <w:t>Data Collection Instrument and Method</w:t>
      </w:r>
    </w:p>
    <w:p w14:paraId="0791DD63"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sz w:val="26"/>
          <w:szCs w:val="26"/>
        </w:rPr>
        <w:t xml:space="preserve">For this study, data were collected using a simple and structured questionnaire. The questionnaire was administered by </w:t>
      </w:r>
      <w:commentRangeStart w:id="7"/>
      <w:r w:rsidRPr="00125DFB">
        <w:rPr>
          <w:rFonts w:ascii="Times New Roman" w:hAnsi="Times New Roman" w:cs="Times New Roman"/>
          <w:sz w:val="26"/>
          <w:szCs w:val="26"/>
        </w:rPr>
        <w:t>intereviewers</w:t>
      </w:r>
      <w:commentRangeEnd w:id="7"/>
      <w:r w:rsidR="007107AD" w:rsidRPr="00125DFB">
        <w:rPr>
          <w:rStyle w:val="CommentReference"/>
          <w:rFonts w:ascii="Times New Roman" w:hAnsi="Times New Roman" w:cs="Times New Roman"/>
          <w:sz w:val="26"/>
          <w:szCs w:val="26"/>
        </w:rPr>
        <w:commentReference w:id="7"/>
      </w:r>
      <w:r w:rsidRPr="00125DFB">
        <w:rPr>
          <w:rFonts w:ascii="Times New Roman" w:hAnsi="Times New Roman" w:cs="Times New Roman"/>
          <w:sz w:val="26"/>
          <w:szCs w:val="26"/>
        </w:rPr>
        <w:t xml:space="preserve"> and included five main sections. (A) Socio-demographic information; (B) Knowledge about milk-borne zoonotic diseases; (C) practices related to milk consumption and handling; (D) public health impacts:and (E-F) attitudes, barriers, and preffered interventions. Most of the questions were closed-ended, </w:t>
      </w:r>
      <w:r w:rsidRPr="00125DFB">
        <w:rPr>
          <w:rFonts w:ascii="Times New Roman" w:hAnsi="Times New Roman" w:cs="Times New Roman"/>
          <w:sz w:val="26"/>
          <w:szCs w:val="26"/>
        </w:rPr>
        <w:lastRenderedPageBreak/>
        <w:t xml:space="preserve">but some open-ended questions were also included to gather more detailed qualitative responses. Interviews were </w:t>
      </w:r>
      <w:commentRangeStart w:id="8"/>
      <w:r w:rsidRPr="00125DFB">
        <w:rPr>
          <w:rFonts w:ascii="Times New Roman" w:hAnsi="Times New Roman" w:cs="Times New Roman"/>
          <w:sz w:val="26"/>
          <w:szCs w:val="26"/>
        </w:rPr>
        <w:t xml:space="preserve">carried out </w:t>
      </w:r>
      <w:commentRangeEnd w:id="8"/>
      <w:r w:rsidR="007107AD" w:rsidRPr="00125DFB">
        <w:rPr>
          <w:rStyle w:val="CommentReference"/>
          <w:rFonts w:ascii="Times New Roman" w:hAnsi="Times New Roman" w:cs="Times New Roman"/>
          <w:sz w:val="26"/>
          <w:szCs w:val="26"/>
        </w:rPr>
        <w:commentReference w:id="8"/>
      </w:r>
      <w:r w:rsidRPr="00125DFB">
        <w:rPr>
          <w:rFonts w:ascii="Times New Roman" w:hAnsi="Times New Roman" w:cs="Times New Roman"/>
          <w:sz w:val="26"/>
          <w:szCs w:val="26"/>
        </w:rPr>
        <w:t xml:space="preserve">in Hausa, Fulani or Kanuri languages by trained research assistants who were proficient in more than one language. This method was selected because it works well with populations that ay have low literacy level, it provides a very high rate of responses and allows for clarification of questions ensured consistent data collection. </w:t>
      </w:r>
    </w:p>
    <w:p w14:paraId="01E6D032" w14:textId="77777777" w:rsidR="00E818A8" w:rsidRPr="00125DFB" w:rsidRDefault="005F3352" w:rsidP="001E0F51">
      <w:pPr>
        <w:spacing w:after="0" w:line="360" w:lineRule="auto"/>
        <w:rPr>
          <w:rFonts w:ascii="Times New Roman" w:hAnsi="Times New Roman" w:cs="Times New Roman"/>
          <w:sz w:val="26"/>
          <w:szCs w:val="26"/>
        </w:rPr>
      </w:pPr>
      <w:r w:rsidRPr="00125DFB">
        <w:rPr>
          <w:rFonts w:ascii="Times New Roman" w:hAnsi="Times New Roman" w:cs="Times New Roman"/>
          <w:sz w:val="26"/>
          <w:szCs w:val="26"/>
        </w:rPr>
        <w:t>Aata Analysis</w:t>
      </w:r>
    </w:p>
    <w:p w14:paraId="0ECDCE9B"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collected data were clean and processed subjected to analysis using IBM SPSS Statistics (version 25.0; IBM Corp., Armonk, NY, USA). Descriptive statistics frequencies, percentages, means, and standard deviations were used to summarize socio-demographic data and KAP responses. Results are presented in tabular forms. The chi-square (chi^2) test was applied to determine significant associations between the variables. A p-value of less than 0.05 was considered statistically significant.</w:t>
      </w:r>
    </w:p>
    <w:p w14:paraId="087BCBE2"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Ethical Considerations</w:t>
      </w:r>
    </w:p>
    <w:p w14:paraId="104950BB" w14:textId="77777777" w:rsidR="00E818A8" w:rsidRPr="00125DFB" w:rsidRDefault="005F3352" w:rsidP="001E0F51">
      <w:pPr>
        <w:spacing w:after="160" w:line="360" w:lineRule="auto"/>
        <w:ind w:firstLine="720"/>
        <w:jc w:val="both"/>
        <w:rPr>
          <w:rFonts w:ascii="Times New Roman" w:hAnsi="Times New Roman" w:cs="Times New Roman"/>
          <w:sz w:val="26"/>
          <w:szCs w:val="26"/>
        </w:rPr>
      </w:pPr>
      <w:r w:rsidRPr="00125DFB">
        <w:rPr>
          <w:rFonts w:ascii="Times New Roman" w:hAnsi="Times New Roman" w:cs="Times New Roman"/>
          <w:sz w:val="26"/>
          <w:szCs w:val="26"/>
        </w:rPr>
        <w:t xml:space="preserve">Ethical approval was obtained from the relevant institutional review authority prior to data collection. </w:t>
      </w:r>
      <w:r w:rsidRPr="00125DFB">
        <w:rPr>
          <w:rFonts w:ascii="Times New Roman" w:hAnsi="Times New Roman" w:cs="Times New Roman"/>
        </w:rPr>
        <w:t xml:space="preserve">Participation was made to be entirely voluntarily, and consent of all participant was obtained through verbal clear definition of the intended interviews. </w:t>
      </w:r>
      <w:r w:rsidRPr="00125DFB">
        <w:rPr>
          <w:rFonts w:ascii="Times New Roman" w:hAnsi="Times New Roman" w:cs="Times New Roman"/>
          <w:sz w:val="26"/>
          <w:szCs w:val="26"/>
        </w:rPr>
        <w:t>Confidentiality of responses was assured and respondents were free to withdraw at any time without consequence.</w:t>
      </w:r>
    </w:p>
    <w:p w14:paraId="67AACF2D" w14:textId="77777777" w:rsidR="00E818A8" w:rsidRPr="00125DFB" w:rsidRDefault="005F3352" w:rsidP="001E0F51">
      <w:pPr>
        <w:spacing w:before="200" w:after="80" w:line="360" w:lineRule="auto"/>
        <w:rPr>
          <w:rFonts w:ascii="Times New Roman" w:hAnsi="Times New Roman" w:cs="Times New Roman"/>
          <w:b/>
          <w:sz w:val="26"/>
          <w:szCs w:val="26"/>
        </w:rPr>
      </w:pPr>
      <w:r w:rsidRPr="00125DFB">
        <w:rPr>
          <w:rFonts w:ascii="Times New Roman" w:hAnsi="Times New Roman" w:cs="Times New Roman"/>
          <w:b/>
          <w:sz w:val="26"/>
          <w:szCs w:val="26"/>
        </w:rPr>
        <w:t xml:space="preserve">Results and discussion of findings </w:t>
      </w:r>
    </w:p>
    <w:p w14:paraId="1EDAE8DC"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Results</w:t>
      </w:r>
    </w:p>
    <w:p w14:paraId="4F240EE5"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Socio-Demographic Profile of Respondents</w:t>
      </w:r>
    </w:p>
    <w:p w14:paraId="355C5244"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1 Socio-demographic profile of the 150 respondents is presented in table below.</w:t>
      </w:r>
    </w:p>
    <w:p w14:paraId="31CCC3D6"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1. Socio-Demographic Profile of Respondents (N = 150)</w:t>
      </w:r>
    </w:p>
    <w:tbl>
      <w:tblPr>
        <w:tblStyle w:val="TableGrid"/>
        <w:tblW w:w="9350" w:type="dxa"/>
        <w:tblInd w:w="-15" w:type="dxa"/>
        <w:tblLook w:val="04A0" w:firstRow="1" w:lastRow="0" w:firstColumn="1" w:lastColumn="0" w:noHBand="0" w:noVBand="1"/>
      </w:tblPr>
      <w:tblGrid>
        <w:gridCol w:w="2371"/>
        <w:gridCol w:w="2743"/>
        <w:gridCol w:w="2113"/>
        <w:gridCol w:w="2123"/>
      </w:tblGrid>
      <w:tr w:rsidR="00E818A8" w:rsidRPr="00125DFB" w14:paraId="1478858E" w14:textId="77777777">
        <w:tc>
          <w:tcPr>
            <w:tcW w:w="2371" w:type="dxa"/>
            <w:tcBorders>
              <w:top w:val="single" w:sz="6" w:space="0" w:color="2E7D52"/>
              <w:left w:val="single" w:sz="6" w:space="0" w:color="2E7D52"/>
              <w:bottom w:val="single" w:sz="6" w:space="0" w:color="2E7D52"/>
              <w:right w:val="single" w:sz="6" w:space="0" w:color="2E7D52"/>
            </w:tcBorders>
          </w:tcPr>
          <w:p w14:paraId="1781A703"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Characteristic</w:t>
            </w:r>
          </w:p>
        </w:tc>
        <w:tc>
          <w:tcPr>
            <w:tcW w:w="2743" w:type="dxa"/>
            <w:tcBorders>
              <w:top w:val="single" w:sz="6" w:space="0" w:color="2E7D52"/>
              <w:left w:val="single" w:sz="6" w:space="0" w:color="2E7D52"/>
              <w:bottom w:val="single" w:sz="6" w:space="0" w:color="2E7D52"/>
              <w:right w:val="single" w:sz="6" w:space="0" w:color="2E7D52"/>
            </w:tcBorders>
          </w:tcPr>
          <w:p w14:paraId="63F0CF6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Category</w:t>
            </w:r>
          </w:p>
        </w:tc>
        <w:tc>
          <w:tcPr>
            <w:tcW w:w="2113" w:type="dxa"/>
            <w:tcBorders>
              <w:top w:val="single" w:sz="6" w:space="0" w:color="2E7D52"/>
              <w:left w:val="single" w:sz="6" w:space="0" w:color="2E7D52"/>
              <w:bottom w:val="single" w:sz="6" w:space="0" w:color="2E7D52"/>
              <w:right w:val="single" w:sz="6" w:space="0" w:color="2E7D52"/>
            </w:tcBorders>
          </w:tcPr>
          <w:p w14:paraId="28511D1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123" w:type="dxa"/>
            <w:tcBorders>
              <w:top w:val="single" w:sz="6" w:space="0" w:color="2E7D52"/>
              <w:left w:val="single" w:sz="6" w:space="0" w:color="2E7D52"/>
              <w:bottom w:val="single" w:sz="6" w:space="0" w:color="2E7D52"/>
              <w:right w:val="single" w:sz="6" w:space="0" w:color="2E7D52"/>
            </w:tcBorders>
          </w:tcPr>
          <w:p w14:paraId="4AD625E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6183E6E4" w14:textId="77777777">
        <w:tc>
          <w:tcPr>
            <w:tcW w:w="2371" w:type="dxa"/>
            <w:vMerge w:val="restart"/>
            <w:tcBorders>
              <w:top w:val="single" w:sz="4" w:space="0" w:color="BFBFBF"/>
              <w:left w:val="single" w:sz="4" w:space="0" w:color="BFBFBF"/>
              <w:right w:val="single" w:sz="4" w:space="0" w:color="BFBFBF"/>
            </w:tcBorders>
          </w:tcPr>
          <w:p w14:paraId="6EA85760"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4B2CDFF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Town of Residence</w:t>
            </w:r>
          </w:p>
        </w:tc>
        <w:tc>
          <w:tcPr>
            <w:tcW w:w="2743" w:type="dxa"/>
            <w:tcBorders>
              <w:top w:val="single" w:sz="4" w:space="0" w:color="BFBFBF"/>
              <w:left w:val="single" w:sz="4" w:space="0" w:color="BFBFBF"/>
              <w:bottom w:val="single" w:sz="4" w:space="0" w:color="BFBFBF"/>
              <w:right w:val="single" w:sz="4" w:space="0" w:color="BFBFBF"/>
            </w:tcBorders>
          </w:tcPr>
          <w:p w14:paraId="13988B01"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Buni Yadi</w:t>
            </w:r>
          </w:p>
        </w:tc>
        <w:tc>
          <w:tcPr>
            <w:tcW w:w="2113" w:type="dxa"/>
            <w:tcBorders>
              <w:top w:val="single" w:sz="4" w:space="0" w:color="BFBFBF"/>
              <w:left w:val="single" w:sz="4" w:space="0" w:color="BFBFBF"/>
              <w:bottom w:val="single" w:sz="4" w:space="0" w:color="BFBFBF"/>
              <w:right w:val="single" w:sz="4" w:space="0" w:color="BFBFBF"/>
            </w:tcBorders>
          </w:tcPr>
          <w:p w14:paraId="5E19666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0F7A4A5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51041320" w14:textId="77777777">
        <w:tc>
          <w:tcPr>
            <w:tcW w:w="2371" w:type="dxa"/>
            <w:vMerge/>
            <w:tcBorders>
              <w:left w:val="single" w:sz="4" w:space="0" w:color="BFBFBF"/>
              <w:right w:val="single" w:sz="4" w:space="0" w:color="BFBFBF"/>
            </w:tcBorders>
          </w:tcPr>
          <w:p w14:paraId="1C3DA48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03DC9D0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Damaturu</w:t>
            </w:r>
          </w:p>
        </w:tc>
        <w:tc>
          <w:tcPr>
            <w:tcW w:w="2113" w:type="dxa"/>
            <w:tcBorders>
              <w:top w:val="single" w:sz="4" w:space="0" w:color="BFBFBF"/>
              <w:left w:val="single" w:sz="4" w:space="0" w:color="BFBFBF"/>
              <w:bottom w:val="single" w:sz="4" w:space="0" w:color="BFBFBF"/>
              <w:right w:val="single" w:sz="4" w:space="0" w:color="BFBFBF"/>
            </w:tcBorders>
          </w:tcPr>
          <w:p w14:paraId="4180661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75DA413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44D66AB0" w14:textId="77777777">
        <w:tc>
          <w:tcPr>
            <w:tcW w:w="2371" w:type="dxa"/>
            <w:vMerge/>
            <w:tcBorders>
              <w:left w:val="single" w:sz="4" w:space="0" w:color="BFBFBF"/>
              <w:bottom w:val="single" w:sz="4" w:space="0" w:color="BFBFBF"/>
              <w:right w:val="single" w:sz="4" w:space="0" w:color="BFBFBF"/>
            </w:tcBorders>
          </w:tcPr>
          <w:p w14:paraId="245E852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5925CF9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Damagum</w:t>
            </w:r>
          </w:p>
        </w:tc>
        <w:tc>
          <w:tcPr>
            <w:tcW w:w="2113" w:type="dxa"/>
            <w:tcBorders>
              <w:top w:val="single" w:sz="4" w:space="0" w:color="BFBFBF"/>
              <w:left w:val="single" w:sz="4" w:space="0" w:color="BFBFBF"/>
              <w:bottom w:val="single" w:sz="4" w:space="0" w:color="BFBFBF"/>
              <w:right w:val="single" w:sz="4" w:space="0" w:color="BFBFBF"/>
            </w:tcBorders>
          </w:tcPr>
          <w:p w14:paraId="1A99280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00A13E0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72E0817F" w14:textId="77777777">
        <w:tc>
          <w:tcPr>
            <w:tcW w:w="2371" w:type="dxa"/>
            <w:vMerge w:val="restart"/>
            <w:tcBorders>
              <w:top w:val="single" w:sz="4" w:space="0" w:color="BFBFBF"/>
              <w:left w:val="single" w:sz="4" w:space="0" w:color="BFBFBF"/>
              <w:right w:val="single" w:sz="4" w:space="0" w:color="BFBFBF"/>
            </w:tcBorders>
          </w:tcPr>
          <w:p w14:paraId="70C7C657"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3B10EC3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Gender</w:t>
            </w:r>
          </w:p>
        </w:tc>
        <w:tc>
          <w:tcPr>
            <w:tcW w:w="2743" w:type="dxa"/>
            <w:tcBorders>
              <w:top w:val="single" w:sz="4" w:space="0" w:color="BFBFBF"/>
              <w:left w:val="single" w:sz="4" w:space="0" w:color="BFBFBF"/>
              <w:bottom w:val="single" w:sz="4" w:space="0" w:color="BFBFBF"/>
              <w:right w:val="single" w:sz="4" w:space="0" w:color="BFBFBF"/>
            </w:tcBorders>
          </w:tcPr>
          <w:p w14:paraId="134205E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Male</w:t>
            </w:r>
          </w:p>
        </w:tc>
        <w:tc>
          <w:tcPr>
            <w:tcW w:w="2113" w:type="dxa"/>
            <w:tcBorders>
              <w:top w:val="single" w:sz="4" w:space="0" w:color="BFBFBF"/>
              <w:left w:val="single" w:sz="4" w:space="0" w:color="BFBFBF"/>
              <w:bottom w:val="single" w:sz="4" w:space="0" w:color="BFBFBF"/>
              <w:right w:val="single" w:sz="4" w:space="0" w:color="BFBFBF"/>
            </w:tcBorders>
          </w:tcPr>
          <w:p w14:paraId="66E9D45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123" w:type="dxa"/>
            <w:tcBorders>
              <w:top w:val="single" w:sz="4" w:space="0" w:color="BFBFBF"/>
              <w:left w:val="single" w:sz="4" w:space="0" w:color="BFBFBF"/>
              <w:bottom w:val="single" w:sz="4" w:space="0" w:color="BFBFBF"/>
              <w:right w:val="single" w:sz="4" w:space="0" w:color="BFBFBF"/>
            </w:tcBorders>
          </w:tcPr>
          <w:p w14:paraId="33843B3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7DE6BF43" w14:textId="77777777">
        <w:tc>
          <w:tcPr>
            <w:tcW w:w="2371" w:type="dxa"/>
            <w:vMerge/>
            <w:tcBorders>
              <w:left w:val="single" w:sz="4" w:space="0" w:color="BFBFBF"/>
              <w:bottom w:val="single" w:sz="4" w:space="0" w:color="BFBFBF"/>
              <w:right w:val="single" w:sz="4" w:space="0" w:color="BFBFBF"/>
            </w:tcBorders>
          </w:tcPr>
          <w:p w14:paraId="29D4E12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66CE139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Female</w:t>
            </w:r>
          </w:p>
        </w:tc>
        <w:tc>
          <w:tcPr>
            <w:tcW w:w="2113" w:type="dxa"/>
            <w:tcBorders>
              <w:top w:val="single" w:sz="4" w:space="0" w:color="BFBFBF"/>
              <w:left w:val="single" w:sz="4" w:space="0" w:color="BFBFBF"/>
              <w:bottom w:val="single" w:sz="4" w:space="0" w:color="BFBFBF"/>
              <w:right w:val="single" w:sz="4" w:space="0" w:color="BFBFBF"/>
            </w:tcBorders>
          </w:tcPr>
          <w:p w14:paraId="0AD28F2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123" w:type="dxa"/>
            <w:tcBorders>
              <w:top w:val="single" w:sz="4" w:space="0" w:color="BFBFBF"/>
              <w:left w:val="single" w:sz="4" w:space="0" w:color="BFBFBF"/>
              <w:bottom w:val="single" w:sz="4" w:space="0" w:color="BFBFBF"/>
              <w:right w:val="single" w:sz="4" w:space="0" w:color="BFBFBF"/>
            </w:tcBorders>
          </w:tcPr>
          <w:p w14:paraId="4ACB8CD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0E901C06" w14:textId="77777777">
        <w:tc>
          <w:tcPr>
            <w:tcW w:w="2371" w:type="dxa"/>
            <w:vMerge w:val="restart"/>
            <w:tcBorders>
              <w:top w:val="single" w:sz="4" w:space="0" w:color="BFBFBF"/>
              <w:left w:val="single" w:sz="4" w:space="0" w:color="BFBFBF"/>
              <w:right w:val="single" w:sz="4" w:space="0" w:color="BFBFBF"/>
            </w:tcBorders>
          </w:tcPr>
          <w:p w14:paraId="18445F29"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1203581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Age Group</w:t>
            </w:r>
          </w:p>
        </w:tc>
        <w:tc>
          <w:tcPr>
            <w:tcW w:w="2743" w:type="dxa"/>
            <w:tcBorders>
              <w:top w:val="single" w:sz="4" w:space="0" w:color="BFBFBF"/>
              <w:left w:val="single" w:sz="4" w:space="0" w:color="BFBFBF"/>
              <w:bottom w:val="single" w:sz="4" w:space="0" w:color="BFBFBF"/>
              <w:right w:val="single" w:sz="4" w:space="0" w:color="BFBFBF"/>
            </w:tcBorders>
          </w:tcPr>
          <w:p w14:paraId="2556A2E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&lt;18 years</w:t>
            </w:r>
          </w:p>
        </w:tc>
        <w:tc>
          <w:tcPr>
            <w:tcW w:w="2113" w:type="dxa"/>
            <w:tcBorders>
              <w:top w:val="single" w:sz="4" w:space="0" w:color="BFBFBF"/>
              <w:left w:val="single" w:sz="4" w:space="0" w:color="BFBFBF"/>
              <w:bottom w:val="single" w:sz="4" w:space="0" w:color="BFBFBF"/>
              <w:right w:val="single" w:sz="4" w:space="0" w:color="BFBFBF"/>
            </w:tcBorders>
          </w:tcPr>
          <w:p w14:paraId="07B33A4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123" w:type="dxa"/>
            <w:tcBorders>
              <w:top w:val="single" w:sz="4" w:space="0" w:color="BFBFBF"/>
              <w:left w:val="single" w:sz="4" w:space="0" w:color="BFBFBF"/>
              <w:bottom w:val="single" w:sz="4" w:space="0" w:color="BFBFBF"/>
              <w:right w:val="single" w:sz="4" w:space="0" w:color="BFBFBF"/>
            </w:tcBorders>
          </w:tcPr>
          <w:p w14:paraId="01CF738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5E146364" w14:textId="77777777">
        <w:tc>
          <w:tcPr>
            <w:tcW w:w="2371" w:type="dxa"/>
            <w:vMerge/>
            <w:tcBorders>
              <w:left w:val="single" w:sz="4" w:space="0" w:color="BFBFBF"/>
              <w:right w:val="single" w:sz="4" w:space="0" w:color="BFBFBF"/>
            </w:tcBorders>
          </w:tcPr>
          <w:p w14:paraId="498FD01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2D2E34B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18-35 years</w:t>
            </w:r>
          </w:p>
        </w:tc>
        <w:tc>
          <w:tcPr>
            <w:tcW w:w="2113" w:type="dxa"/>
            <w:tcBorders>
              <w:top w:val="single" w:sz="4" w:space="0" w:color="BFBFBF"/>
              <w:left w:val="single" w:sz="4" w:space="0" w:color="BFBFBF"/>
              <w:bottom w:val="single" w:sz="4" w:space="0" w:color="BFBFBF"/>
              <w:right w:val="single" w:sz="4" w:space="0" w:color="BFBFBF"/>
            </w:tcBorders>
          </w:tcPr>
          <w:p w14:paraId="60A9BCE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85</w:t>
            </w:r>
          </w:p>
        </w:tc>
        <w:tc>
          <w:tcPr>
            <w:tcW w:w="2123" w:type="dxa"/>
            <w:tcBorders>
              <w:top w:val="single" w:sz="4" w:space="0" w:color="BFBFBF"/>
              <w:left w:val="single" w:sz="4" w:space="0" w:color="BFBFBF"/>
              <w:bottom w:val="single" w:sz="4" w:space="0" w:color="BFBFBF"/>
              <w:right w:val="single" w:sz="4" w:space="0" w:color="BFBFBF"/>
            </w:tcBorders>
          </w:tcPr>
          <w:p w14:paraId="6ABFE07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56.7%</w:t>
            </w:r>
          </w:p>
        </w:tc>
      </w:tr>
      <w:tr w:rsidR="00E818A8" w:rsidRPr="00125DFB" w14:paraId="4AA531B9" w14:textId="77777777">
        <w:tc>
          <w:tcPr>
            <w:tcW w:w="2371" w:type="dxa"/>
            <w:vMerge/>
            <w:tcBorders>
              <w:left w:val="single" w:sz="4" w:space="0" w:color="BFBFBF"/>
              <w:right w:val="single" w:sz="4" w:space="0" w:color="BFBFBF"/>
            </w:tcBorders>
          </w:tcPr>
          <w:p w14:paraId="4F35EBD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62A4676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36-50 years</w:t>
            </w:r>
          </w:p>
        </w:tc>
        <w:tc>
          <w:tcPr>
            <w:tcW w:w="2113" w:type="dxa"/>
            <w:tcBorders>
              <w:top w:val="single" w:sz="4" w:space="0" w:color="BFBFBF"/>
              <w:left w:val="single" w:sz="4" w:space="0" w:color="BFBFBF"/>
              <w:bottom w:val="single" w:sz="4" w:space="0" w:color="BFBFBF"/>
              <w:right w:val="single" w:sz="4" w:space="0" w:color="BFBFBF"/>
            </w:tcBorders>
          </w:tcPr>
          <w:p w14:paraId="581F8FE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123" w:type="dxa"/>
            <w:tcBorders>
              <w:top w:val="single" w:sz="4" w:space="0" w:color="BFBFBF"/>
              <w:left w:val="single" w:sz="4" w:space="0" w:color="BFBFBF"/>
              <w:bottom w:val="single" w:sz="4" w:space="0" w:color="BFBFBF"/>
              <w:right w:val="single" w:sz="4" w:space="0" w:color="BFBFBF"/>
            </w:tcBorders>
          </w:tcPr>
          <w:p w14:paraId="4DE0F85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5B77B91D" w14:textId="77777777">
        <w:tc>
          <w:tcPr>
            <w:tcW w:w="2371" w:type="dxa"/>
            <w:vMerge/>
            <w:tcBorders>
              <w:left w:val="single" w:sz="4" w:space="0" w:color="BFBFBF"/>
              <w:bottom w:val="single" w:sz="4" w:space="0" w:color="BFBFBF"/>
              <w:right w:val="single" w:sz="4" w:space="0" w:color="BFBFBF"/>
            </w:tcBorders>
          </w:tcPr>
          <w:p w14:paraId="3E715E8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1E45009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&gt;50 years</w:t>
            </w:r>
          </w:p>
        </w:tc>
        <w:tc>
          <w:tcPr>
            <w:tcW w:w="2113" w:type="dxa"/>
            <w:tcBorders>
              <w:top w:val="single" w:sz="4" w:space="0" w:color="BFBFBF"/>
              <w:left w:val="single" w:sz="4" w:space="0" w:color="BFBFBF"/>
              <w:bottom w:val="single" w:sz="4" w:space="0" w:color="BFBFBF"/>
              <w:right w:val="single" w:sz="4" w:space="0" w:color="BFBFBF"/>
            </w:tcBorders>
          </w:tcPr>
          <w:p w14:paraId="58358C7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15</w:t>
            </w:r>
          </w:p>
        </w:tc>
        <w:tc>
          <w:tcPr>
            <w:tcW w:w="2123" w:type="dxa"/>
            <w:tcBorders>
              <w:top w:val="single" w:sz="4" w:space="0" w:color="BFBFBF"/>
              <w:left w:val="single" w:sz="4" w:space="0" w:color="BFBFBF"/>
              <w:bottom w:val="single" w:sz="4" w:space="0" w:color="BFBFBF"/>
              <w:right w:val="single" w:sz="4" w:space="0" w:color="BFBFBF"/>
            </w:tcBorders>
          </w:tcPr>
          <w:p w14:paraId="195B37C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r>
      <w:tr w:rsidR="00E818A8" w:rsidRPr="00125DFB" w14:paraId="04D96108" w14:textId="77777777">
        <w:tc>
          <w:tcPr>
            <w:tcW w:w="2371" w:type="dxa"/>
            <w:vMerge w:val="restart"/>
            <w:tcBorders>
              <w:top w:val="single" w:sz="4" w:space="0" w:color="BFBFBF"/>
              <w:left w:val="single" w:sz="4" w:space="0" w:color="BFBFBF"/>
              <w:right w:val="single" w:sz="4" w:space="0" w:color="BFBFBF"/>
            </w:tcBorders>
          </w:tcPr>
          <w:p w14:paraId="1B0575F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Primary Occupation</w:t>
            </w:r>
          </w:p>
        </w:tc>
        <w:tc>
          <w:tcPr>
            <w:tcW w:w="2743" w:type="dxa"/>
            <w:tcBorders>
              <w:top w:val="single" w:sz="4" w:space="0" w:color="BFBFBF"/>
              <w:left w:val="single" w:sz="4" w:space="0" w:color="BFBFBF"/>
              <w:bottom w:val="single" w:sz="4" w:space="0" w:color="BFBFBF"/>
              <w:right w:val="single" w:sz="4" w:space="0" w:color="BFBFBF"/>
            </w:tcBorders>
          </w:tcPr>
          <w:p w14:paraId="3B8C265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Pastoralist/Livestock Farmer</w:t>
            </w:r>
          </w:p>
        </w:tc>
        <w:tc>
          <w:tcPr>
            <w:tcW w:w="2113" w:type="dxa"/>
            <w:tcBorders>
              <w:top w:val="single" w:sz="4" w:space="0" w:color="BFBFBF"/>
              <w:left w:val="single" w:sz="4" w:space="0" w:color="BFBFBF"/>
              <w:bottom w:val="single" w:sz="4" w:space="0" w:color="BFBFBF"/>
              <w:right w:val="single" w:sz="4" w:space="0" w:color="BFBFBF"/>
            </w:tcBorders>
          </w:tcPr>
          <w:p w14:paraId="0AA73FE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123" w:type="dxa"/>
            <w:tcBorders>
              <w:top w:val="single" w:sz="4" w:space="0" w:color="BFBFBF"/>
              <w:left w:val="single" w:sz="4" w:space="0" w:color="BFBFBF"/>
              <w:bottom w:val="single" w:sz="4" w:space="0" w:color="BFBFBF"/>
              <w:right w:val="single" w:sz="4" w:space="0" w:color="BFBFBF"/>
            </w:tcBorders>
          </w:tcPr>
          <w:p w14:paraId="4D4C580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3EAF8F68" w14:textId="77777777">
        <w:tc>
          <w:tcPr>
            <w:tcW w:w="2371" w:type="dxa"/>
            <w:vMerge/>
            <w:tcBorders>
              <w:left w:val="single" w:sz="4" w:space="0" w:color="BFBFBF"/>
              <w:right w:val="single" w:sz="4" w:space="0" w:color="BFBFBF"/>
            </w:tcBorders>
          </w:tcPr>
          <w:p w14:paraId="226C1FA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29067EB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Milk Vendor/Processor</w:t>
            </w:r>
          </w:p>
        </w:tc>
        <w:tc>
          <w:tcPr>
            <w:tcW w:w="2113" w:type="dxa"/>
            <w:tcBorders>
              <w:top w:val="single" w:sz="4" w:space="0" w:color="BFBFBF"/>
              <w:left w:val="single" w:sz="4" w:space="0" w:color="BFBFBF"/>
              <w:bottom w:val="single" w:sz="4" w:space="0" w:color="BFBFBF"/>
              <w:right w:val="single" w:sz="4" w:space="0" w:color="BFBFBF"/>
            </w:tcBorders>
          </w:tcPr>
          <w:p w14:paraId="7939004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123" w:type="dxa"/>
            <w:tcBorders>
              <w:top w:val="single" w:sz="4" w:space="0" w:color="BFBFBF"/>
              <w:left w:val="single" w:sz="4" w:space="0" w:color="BFBFBF"/>
              <w:bottom w:val="single" w:sz="4" w:space="0" w:color="BFBFBF"/>
              <w:right w:val="single" w:sz="4" w:space="0" w:color="BFBFBF"/>
            </w:tcBorders>
          </w:tcPr>
          <w:p w14:paraId="1ACCD26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10C8CB77" w14:textId="77777777">
        <w:tc>
          <w:tcPr>
            <w:tcW w:w="2371" w:type="dxa"/>
            <w:vMerge/>
            <w:tcBorders>
              <w:left w:val="single" w:sz="4" w:space="0" w:color="BFBFBF"/>
              <w:right w:val="single" w:sz="4" w:space="0" w:color="BFBFBF"/>
            </w:tcBorders>
          </w:tcPr>
          <w:p w14:paraId="701D5D2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318B68E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Farmer (crop)</w:t>
            </w:r>
          </w:p>
        </w:tc>
        <w:tc>
          <w:tcPr>
            <w:tcW w:w="2113" w:type="dxa"/>
            <w:tcBorders>
              <w:top w:val="single" w:sz="4" w:space="0" w:color="BFBFBF"/>
              <w:left w:val="single" w:sz="4" w:space="0" w:color="BFBFBF"/>
              <w:bottom w:val="single" w:sz="4" w:space="0" w:color="BFBFBF"/>
              <w:right w:val="single" w:sz="4" w:space="0" w:color="BFBFBF"/>
            </w:tcBorders>
          </w:tcPr>
          <w:p w14:paraId="4C432CC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123" w:type="dxa"/>
            <w:tcBorders>
              <w:top w:val="single" w:sz="4" w:space="0" w:color="BFBFBF"/>
              <w:left w:val="single" w:sz="4" w:space="0" w:color="BFBFBF"/>
              <w:bottom w:val="single" w:sz="4" w:space="0" w:color="BFBFBF"/>
              <w:right w:val="single" w:sz="4" w:space="0" w:color="BFBFBF"/>
            </w:tcBorders>
          </w:tcPr>
          <w:p w14:paraId="481961C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0EEFBAD5" w14:textId="77777777">
        <w:tc>
          <w:tcPr>
            <w:tcW w:w="2371" w:type="dxa"/>
            <w:vMerge/>
            <w:tcBorders>
              <w:left w:val="single" w:sz="4" w:space="0" w:color="BFBFBF"/>
              <w:bottom w:val="single" w:sz="4" w:space="0" w:color="BFBFBF"/>
              <w:right w:val="single" w:sz="4" w:space="0" w:color="BFBFBF"/>
            </w:tcBorders>
          </w:tcPr>
          <w:p w14:paraId="0232423E"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5D23E5D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Other (Trader, Student, etc.)</w:t>
            </w:r>
          </w:p>
        </w:tc>
        <w:tc>
          <w:tcPr>
            <w:tcW w:w="2113" w:type="dxa"/>
            <w:tcBorders>
              <w:top w:val="single" w:sz="4" w:space="0" w:color="BFBFBF"/>
              <w:left w:val="single" w:sz="4" w:space="0" w:color="BFBFBF"/>
              <w:bottom w:val="single" w:sz="4" w:space="0" w:color="BFBFBF"/>
              <w:right w:val="single" w:sz="4" w:space="0" w:color="BFBFBF"/>
            </w:tcBorders>
          </w:tcPr>
          <w:p w14:paraId="453648F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123" w:type="dxa"/>
            <w:tcBorders>
              <w:top w:val="single" w:sz="4" w:space="0" w:color="BFBFBF"/>
              <w:left w:val="single" w:sz="4" w:space="0" w:color="BFBFBF"/>
              <w:bottom w:val="single" w:sz="4" w:space="0" w:color="BFBFBF"/>
              <w:right w:val="single" w:sz="4" w:space="0" w:color="BFBFBF"/>
            </w:tcBorders>
          </w:tcPr>
          <w:p w14:paraId="4E9A425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49F660F7" w14:textId="77777777">
        <w:tc>
          <w:tcPr>
            <w:tcW w:w="2371" w:type="dxa"/>
            <w:vMerge w:val="restart"/>
            <w:tcBorders>
              <w:top w:val="single" w:sz="4" w:space="0" w:color="BFBFBF"/>
              <w:left w:val="single" w:sz="4" w:space="0" w:color="BFBFBF"/>
              <w:right w:val="single" w:sz="4" w:space="0" w:color="BFBFBF"/>
            </w:tcBorders>
          </w:tcPr>
          <w:p w14:paraId="1DDF2BD6" w14:textId="77777777" w:rsidR="00E818A8" w:rsidRPr="00125DFB" w:rsidRDefault="00E818A8" w:rsidP="001E0F51">
            <w:pPr>
              <w:spacing w:before="40" w:after="40" w:line="360" w:lineRule="auto"/>
              <w:ind w:left="57"/>
              <w:rPr>
                <w:rFonts w:ascii="Times New Roman" w:hAnsi="Times New Roman" w:cs="Times New Roman"/>
                <w:b/>
                <w:sz w:val="26"/>
                <w:szCs w:val="26"/>
              </w:rPr>
            </w:pPr>
          </w:p>
          <w:p w14:paraId="15A17BE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b/>
                <w:sz w:val="26"/>
                <w:szCs w:val="26"/>
              </w:rPr>
              <w:t>Educational Attainment</w:t>
            </w:r>
          </w:p>
        </w:tc>
        <w:tc>
          <w:tcPr>
            <w:tcW w:w="2743" w:type="dxa"/>
            <w:tcBorders>
              <w:top w:val="single" w:sz="4" w:space="0" w:color="BFBFBF"/>
              <w:left w:val="single" w:sz="4" w:space="0" w:color="BFBFBF"/>
              <w:bottom w:val="single" w:sz="4" w:space="0" w:color="BFBFBF"/>
              <w:right w:val="single" w:sz="4" w:space="0" w:color="BFBFBF"/>
            </w:tcBorders>
          </w:tcPr>
          <w:p w14:paraId="6F1AE12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Quranic education</w:t>
            </w:r>
          </w:p>
        </w:tc>
        <w:tc>
          <w:tcPr>
            <w:tcW w:w="2113" w:type="dxa"/>
            <w:tcBorders>
              <w:top w:val="single" w:sz="4" w:space="0" w:color="BFBFBF"/>
              <w:left w:val="single" w:sz="4" w:space="0" w:color="BFBFBF"/>
              <w:bottom w:val="single" w:sz="4" w:space="0" w:color="BFBFBF"/>
              <w:right w:val="single" w:sz="4" w:space="0" w:color="BFBFBF"/>
            </w:tcBorders>
          </w:tcPr>
          <w:p w14:paraId="753C4A4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123" w:type="dxa"/>
            <w:tcBorders>
              <w:top w:val="single" w:sz="4" w:space="0" w:color="BFBFBF"/>
              <w:left w:val="single" w:sz="4" w:space="0" w:color="BFBFBF"/>
              <w:bottom w:val="single" w:sz="4" w:space="0" w:color="BFBFBF"/>
              <w:right w:val="single" w:sz="4" w:space="0" w:color="BFBFBF"/>
            </w:tcBorders>
          </w:tcPr>
          <w:p w14:paraId="24FAF0D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08A6AD0E" w14:textId="77777777">
        <w:tc>
          <w:tcPr>
            <w:tcW w:w="2371" w:type="dxa"/>
            <w:vMerge/>
            <w:tcBorders>
              <w:left w:val="single" w:sz="4" w:space="0" w:color="BFBFBF"/>
              <w:right w:val="single" w:sz="4" w:space="0" w:color="BFBFBF"/>
            </w:tcBorders>
          </w:tcPr>
          <w:p w14:paraId="0BF2BD0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7A4B3C9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Primary education</w:t>
            </w:r>
          </w:p>
        </w:tc>
        <w:tc>
          <w:tcPr>
            <w:tcW w:w="2113" w:type="dxa"/>
            <w:tcBorders>
              <w:top w:val="single" w:sz="4" w:space="0" w:color="BFBFBF"/>
              <w:left w:val="single" w:sz="4" w:space="0" w:color="BFBFBF"/>
              <w:bottom w:val="single" w:sz="4" w:space="0" w:color="BFBFBF"/>
              <w:right w:val="single" w:sz="4" w:space="0" w:color="BFBFBF"/>
            </w:tcBorders>
          </w:tcPr>
          <w:p w14:paraId="3361494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45</w:t>
            </w:r>
          </w:p>
        </w:tc>
        <w:tc>
          <w:tcPr>
            <w:tcW w:w="2123" w:type="dxa"/>
            <w:tcBorders>
              <w:top w:val="single" w:sz="4" w:space="0" w:color="BFBFBF"/>
              <w:left w:val="single" w:sz="4" w:space="0" w:color="BFBFBF"/>
              <w:bottom w:val="single" w:sz="4" w:space="0" w:color="BFBFBF"/>
              <w:right w:val="single" w:sz="4" w:space="0" w:color="BFBFBF"/>
            </w:tcBorders>
          </w:tcPr>
          <w:p w14:paraId="3644CE2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30.0%</w:t>
            </w:r>
          </w:p>
        </w:tc>
      </w:tr>
      <w:tr w:rsidR="00E818A8" w:rsidRPr="00125DFB" w14:paraId="74207DF1" w14:textId="77777777">
        <w:tc>
          <w:tcPr>
            <w:tcW w:w="2371" w:type="dxa"/>
            <w:vMerge/>
            <w:tcBorders>
              <w:left w:val="single" w:sz="4" w:space="0" w:color="BFBFBF"/>
              <w:right w:val="single" w:sz="4" w:space="0" w:color="BFBFBF"/>
            </w:tcBorders>
          </w:tcPr>
          <w:p w14:paraId="7D49AC9A"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0E6F8AD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Secondary education</w:t>
            </w:r>
          </w:p>
        </w:tc>
        <w:tc>
          <w:tcPr>
            <w:tcW w:w="2113" w:type="dxa"/>
            <w:tcBorders>
              <w:top w:val="single" w:sz="4" w:space="0" w:color="BFBFBF"/>
              <w:left w:val="single" w:sz="4" w:space="0" w:color="BFBFBF"/>
              <w:bottom w:val="single" w:sz="4" w:space="0" w:color="BFBFBF"/>
              <w:right w:val="single" w:sz="4" w:space="0" w:color="BFBFBF"/>
            </w:tcBorders>
          </w:tcPr>
          <w:p w14:paraId="682DBCA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35</w:t>
            </w:r>
          </w:p>
        </w:tc>
        <w:tc>
          <w:tcPr>
            <w:tcW w:w="2123" w:type="dxa"/>
            <w:tcBorders>
              <w:top w:val="single" w:sz="4" w:space="0" w:color="BFBFBF"/>
              <w:left w:val="single" w:sz="4" w:space="0" w:color="BFBFBF"/>
              <w:bottom w:val="single" w:sz="4" w:space="0" w:color="BFBFBF"/>
              <w:right w:val="single" w:sz="4" w:space="0" w:color="BFBFBF"/>
            </w:tcBorders>
          </w:tcPr>
          <w:p w14:paraId="3DAB6A7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23.3%</w:t>
            </w:r>
          </w:p>
        </w:tc>
      </w:tr>
      <w:tr w:rsidR="00E818A8" w:rsidRPr="00125DFB" w14:paraId="1946C0AE" w14:textId="77777777">
        <w:tc>
          <w:tcPr>
            <w:tcW w:w="2371" w:type="dxa"/>
            <w:vMerge/>
            <w:tcBorders>
              <w:left w:val="single" w:sz="4" w:space="0" w:color="BFBFBF"/>
              <w:bottom w:val="single" w:sz="4" w:space="0" w:color="BFBFBF"/>
              <w:right w:val="single" w:sz="4" w:space="0" w:color="BFBFBF"/>
            </w:tcBorders>
          </w:tcPr>
          <w:p w14:paraId="1D8C8C8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743" w:type="dxa"/>
            <w:tcBorders>
              <w:top w:val="single" w:sz="4" w:space="0" w:color="BFBFBF"/>
              <w:left w:val="single" w:sz="4" w:space="0" w:color="BFBFBF"/>
              <w:bottom w:val="single" w:sz="4" w:space="0" w:color="BFBFBF"/>
              <w:right w:val="single" w:sz="4" w:space="0" w:color="BFBFBF"/>
            </w:tcBorders>
          </w:tcPr>
          <w:p w14:paraId="33F7C1D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Tertiary education</w:t>
            </w:r>
          </w:p>
        </w:tc>
        <w:tc>
          <w:tcPr>
            <w:tcW w:w="2113" w:type="dxa"/>
            <w:tcBorders>
              <w:top w:val="single" w:sz="4" w:space="0" w:color="BFBFBF"/>
              <w:left w:val="single" w:sz="4" w:space="0" w:color="BFBFBF"/>
              <w:bottom w:val="single" w:sz="4" w:space="0" w:color="BFBFBF"/>
              <w:right w:val="single" w:sz="4" w:space="0" w:color="BFBFBF"/>
            </w:tcBorders>
          </w:tcPr>
          <w:p w14:paraId="42D3B0F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123" w:type="dxa"/>
            <w:tcBorders>
              <w:top w:val="single" w:sz="4" w:space="0" w:color="BFBFBF"/>
              <w:left w:val="single" w:sz="4" w:space="0" w:color="BFBFBF"/>
              <w:bottom w:val="single" w:sz="4" w:space="0" w:color="BFBFBF"/>
              <w:right w:val="single" w:sz="4" w:space="0" w:color="BFBFBF"/>
            </w:tcBorders>
          </w:tcPr>
          <w:p w14:paraId="4E39C4F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bl>
    <w:p w14:paraId="4A5A917A" w14:textId="77777777" w:rsidR="00E818A8" w:rsidRPr="00125DFB" w:rsidRDefault="005F3352" w:rsidP="001E0F51">
      <w:pPr>
        <w:spacing w:before="40" w:line="360" w:lineRule="auto"/>
        <w:rPr>
          <w:rFonts w:ascii="Times New Roman" w:hAnsi="Times New Roman" w:cs="Times New Roman"/>
          <w:sz w:val="26"/>
          <w:szCs w:val="26"/>
        </w:rPr>
      </w:pPr>
      <w:r w:rsidRPr="00125DFB">
        <w:rPr>
          <w:rFonts w:ascii="Times New Roman" w:hAnsi="Times New Roman" w:cs="Times New Roman"/>
          <w:i/>
          <w:sz w:val="26"/>
          <w:szCs w:val="26"/>
        </w:rPr>
        <w:t>Source: Field survey, 2025.</w:t>
      </w:r>
    </w:p>
    <w:p w14:paraId="0F8BCCFD"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Knowledge of Milk-Borne Diseases</w:t>
      </w:r>
    </w:p>
    <w:p w14:paraId="0143CD52"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2. presents respondents' knowledge of milk-borne zoonotic diseases.</w:t>
      </w:r>
    </w:p>
    <w:p w14:paraId="21287A3D"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2. Knowledge of Milk-Borne Diseases (N = 150)</w:t>
      </w:r>
    </w:p>
    <w:tbl>
      <w:tblPr>
        <w:tblStyle w:val="TableGrid"/>
        <w:tblW w:w="9350" w:type="dxa"/>
        <w:tblInd w:w="-3" w:type="dxa"/>
        <w:tblLook w:val="04A0" w:firstRow="1" w:lastRow="0" w:firstColumn="1" w:lastColumn="0" w:noHBand="0" w:noVBand="1"/>
      </w:tblPr>
      <w:tblGrid>
        <w:gridCol w:w="2338"/>
        <w:gridCol w:w="2338"/>
        <w:gridCol w:w="2337"/>
        <w:gridCol w:w="2337"/>
      </w:tblGrid>
      <w:tr w:rsidR="00E818A8" w:rsidRPr="00125DFB" w14:paraId="2451532A" w14:textId="77777777">
        <w:tc>
          <w:tcPr>
            <w:tcW w:w="2338" w:type="dxa"/>
            <w:tcBorders>
              <w:top w:val="single" w:sz="6" w:space="0" w:color="2E7D52"/>
              <w:left w:val="single" w:sz="6" w:space="0" w:color="2E7D52"/>
              <w:bottom w:val="single" w:sz="6" w:space="0" w:color="2E7D52"/>
              <w:right w:val="single" w:sz="6" w:space="0" w:color="2E7D52"/>
            </w:tcBorders>
          </w:tcPr>
          <w:p w14:paraId="28E63986"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8" w:type="dxa"/>
            <w:tcBorders>
              <w:top w:val="single" w:sz="6" w:space="0" w:color="2E7D52"/>
              <w:left w:val="single" w:sz="6" w:space="0" w:color="2E7D52"/>
              <w:bottom w:val="single" w:sz="6" w:space="0" w:color="2E7D52"/>
              <w:right w:val="single" w:sz="6" w:space="0" w:color="2E7D52"/>
            </w:tcBorders>
          </w:tcPr>
          <w:p w14:paraId="233993F9"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7" w:type="dxa"/>
            <w:tcBorders>
              <w:top w:val="single" w:sz="6" w:space="0" w:color="2E7D52"/>
              <w:left w:val="single" w:sz="6" w:space="0" w:color="2E7D52"/>
              <w:bottom w:val="single" w:sz="6" w:space="0" w:color="2E7D52"/>
              <w:right w:val="single" w:sz="6" w:space="0" w:color="2E7D52"/>
            </w:tcBorders>
          </w:tcPr>
          <w:p w14:paraId="72EE81D2"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7" w:type="dxa"/>
            <w:tcBorders>
              <w:top w:val="single" w:sz="6" w:space="0" w:color="2E7D52"/>
              <w:left w:val="single" w:sz="6" w:space="0" w:color="2E7D52"/>
              <w:bottom w:val="single" w:sz="6" w:space="0" w:color="2E7D52"/>
              <w:right w:val="single" w:sz="6" w:space="0" w:color="2E7D52"/>
            </w:tcBorders>
          </w:tcPr>
          <w:p w14:paraId="42F74CFD"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1066B17A" w14:textId="77777777">
        <w:tc>
          <w:tcPr>
            <w:tcW w:w="2338" w:type="dxa"/>
            <w:tcBorders>
              <w:top w:val="single" w:sz="4" w:space="0" w:color="BFBFBF"/>
              <w:left w:val="single" w:sz="4" w:space="0" w:color="BFBFBF"/>
              <w:bottom w:val="single" w:sz="4" w:space="0" w:color="BFBFBF"/>
              <w:right w:val="single" w:sz="4" w:space="0" w:color="BFBFBF"/>
            </w:tcBorders>
          </w:tcPr>
          <w:p w14:paraId="5EF0302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 xml:space="preserve">Have you heard of diseases </w:t>
            </w:r>
            <w:r w:rsidRPr="00125DFB">
              <w:rPr>
                <w:rFonts w:ascii="Times New Roman" w:hAnsi="Times New Roman" w:cs="Times New Roman"/>
                <w:sz w:val="26"/>
                <w:szCs w:val="26"/>
              </w:rPr>
              <w:lastRenderedPageBreak/>
              <w:t>transmitted through milk</w:t>
            </w:r>
          </w:p>
        </w:tc>
        <w:tc>
          <w:tcPr>
            <w:tcW w:w="2338" w:type="dxa"/>
            <w:tcBorders>
              <w:top w:val="single" w:sz="4" w:space="0" w:color="BFBFBF"/>
              <w:left w:val="single" w:sz="4" w:space="0" w:color="BFBFBF"/>
              <w:bottom w:val="single" w:sz="4" w:space="0" w:color="BFBFBF"/>
              <w:right w:val="single" w:sz="4" w:space="0" w:color="BFBFBF"/>
            </w:tcBorders>
          </w:tcPr>
          <w:p w14:paraId="3F73FCF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lastRenderedPageBreak/>
              <w:t>Yes</w:t>
            </w:r>
          </w:p>
        </w:tc>
        <w:tc>
          <w:tcPr>
            <w:tcW w:w="2337" w:type="dxa"/>
            <w:tcBorders>
              <w:top w:val="single" w:sz="4" w:space="0" w:color="BFBFBF"/>
              <w:left w:val="single" w:sz="4" w:space="0" w:color="BFBFBF"/>
              <w:bottom w:val="single" w:sz="4" w:space="0" w:color="BFBFBF"/>
              <w:right w:val="single" w:sz="4" w:space="0" w:color="BFBFBF"/>
            </w:tcBorders>
          </w:tcPr>
          <w:p w14:paraId="5FBD784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7" w:type="dxa"/>
            <w:tcBorders>
              <w:top w:val="single" w:sz="4" w:space="0" w:color="BFBFBF"/>
              <w:left w:val="single" w:sz="4" w:space="0" w:color="BFBFBF"/>
              <w:bottom w:val="single" w:sz="4" w:space="0" w:color="BFBFBF"/>
              <w:right w:val="single" w:sz="4" w:space="0" w:color="BFBFBF"/>
            </w:tcBorders>
          </w:tcPr>
          <w:p w14:paraId="02BC647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54B895E1" w14:textId="77777777">
        <w:tc>
          <w:tcPr>
            <w:tcW w:w="2338" w:type="dxa"/>
            <w:tcBorders>
              <w:top w:val="single" w:sz="4" w:space="0" w:color="BFBFBF"/>
              <w:left w:val="single" w:sz="4" w:space="0" w:color="BFBFBF"/>
              <w:bottom w:val="single" w:sz="4" w:space="0" w:color="BFBFBF"/>
              <w:right w:val="single" w:sz="4" w:space="0" w:color="BFBFBF"/>
            </w:tcBorders>
          </w:tcPr>
          <w:p w14:paraId="4EB3480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EDFE41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7E3DA66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337" w:type="dxa"/>
            <w:tcBorders>
              <w:top w:val="single" w:sz="4" w:space="0" w:color="BFBFBF"/>
              <w:left w:val="single" w:sz="4" w:space="0" w:color="BFBFBF"/>
              <w:bottom w:val="single" w:sz="4" w:space="0" w:color="BFBFBF"/>
              <w:right w:val="single" w:sz="4" w:space="0" w:color="BFBFBF"/>
            </w:tcBorders>
          </w:tcPr>
          <w:p w14:paraId="1E26E1F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4DDDDA5F" w14:textId="77777777">
        <w:tc>
          <w:tcPr>
            <w:tcW w:w="2338" w:type="dxa"/>
            <w:tcBorders>
              <w:top w:val="single" w:sz="4" w:space="0" w:color="BFBFBF"/>
              <w:left w:val="single" w:sz="4" w:space="0" w:color="BFBFBF"/>
              <w:bottom w:val="single" w:sz="4" w:space="0" w:color="BFBFBF"/>
              <w:right w:val="single" w:sz="4" w:space="0" w:color="BFBFBF"/>
            </w:tcBorders>
          </w:tcPr>
          <w:p w14:paraId="485AB2F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A9008C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7" w:type="dxa"/>
            <w:tcBorders>
              <w:top w:val="single" w:sz="4" w:space="0" w:color="BFBFBF"/>
              <w:left w:val="single" w:sz="4" w:space="0" w:color="BFBFBF"/>
              <w:bottom w:val="single" w:sz="4" w:space="0" w:color="BFBFBF"/>
              <w:right w:val="single" w:sz="4" w:space="0" w:color="BFBFBF"/>
            </w:tcBorders>
          </w:tcPr>
          <w:p w14:paraId="62AE188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4BEFE98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1F166552" w14:textId="77777777">
        <w:tc>
          <w:tcPr>
            <w:tcW w:w="2338" w:type="dxa"/>
            <w:tcBorders>
              <w:top w:val="single" w:sz="4" w:space="0" w:color="BFBFBF"/>
              <w:left w:val="single" w:sz="4" w:space="0" w:color="BFBFBF"/>
              <w:bottom w:val="single" w:sz="4" w:space="0" w:color="BFBFBF"/>
              <w:right w:val="single" w:sz="4" w:space="0" w:color="BFBFBF"/>
            </w:tcBorders>
          </w:tcPr>
          <w:p w14:paraId="530F468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Which diseases are you aware of</w:t>
            </w:r>
          </w:p>
        </w:tc>
        <w:tc>
          <w:tcPr>
            <w:tcW w:w="2338" w:type="dxa"/>
            <w:tcBorders>
              <w:top w:val="single" w:sz="4" w:space="0" w:color="BFBFBF"/>
              <w:left w:val="single" w:sz="4" w:space="0" w:color="BFBFBF"/>
              <w:bottom w:val="single" w:sz="4" w:space="0" w:color="BFBFBF"/>
              <w:right w:val="single" w:sz="4" w:space="0" w:color="BFBFBF"/>
            </w:tcBorders>
          </w:tcPr>
          <w:p w14:paraId="0C12797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Brucellosis</w:t>
            </w:r>
          </w:p>
        </w:tc>
        <w:tc>
          <w:tcPr>
            <w:tcW w:w="2337" w:type="dxa"/>
            <w:tcBorders>
              <w:top w:val="single" w:sz="4" w:space="0" w:color="BFBFBF"/>
              <w:left w:val="single" w:sz="4" w:space="0" w:color="BFBFBF"/>
              <w:bottom w:val="single" w:sz="4" w:space="0" w:color="BFBFBF"/>
              <w:right w:val="single" w:sz="4" w:space="0" w:color="BFBFBF"/>
            </w:tcBorders>
          </w:tcPr>
          <w:p w14:paraId="3BCAE02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25</w:t>
            </w:r>
          </w:p>
        </w:tc>
        <w:tc>
          <w:tcPr>
            <w:tcW w:w="2337" w:type="dxa"/>
            <w:tcBorders>
              <w:top w:val="single" w:sz="4" w:space="0" w:color="BFBFBF"/>
              <w:left w:val="single" w:sz="4" w:space="0" w:color="BFBFBF"/>
              <w:bottom w:val="single" w:sz="4" w:space="0" w:color="BFBFBF"/>
              <w:right w:val="single" w:sz="4" w:space="0" w:color="BFBFBF"/>
            </w:tcBorders>
          </w:tcPr>
          <w:p w14:paraId="7106707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16.7%</w:t>
            </w:r>
          </w:p>
        </w:tc>
      </w:tr>
      <w:tr w:rsidR="00E818A8" w:rsidRPr="00125DFB" w14:paraId="62F0A473" w14:textId="77777777">
        <w:tc>
          <w:tcPr>
            <w:tcW w:w="2338" w:type="dxa"/>
            <w:tcBorders>
              <w:top w:val="single" w:sz="4" w:space="0" w:color="BFBFBF"/>
              <w:left w:val="single" w:sz="4" w:space="0" w:color="BFBFBF"/>
              <w:bottom w:val="single" w:sz="4" w:space="0" w:color="BFBFBF"/>
              <w:right w:val="single" w:sz="4" w:space="0" w:color="BFBFBF"/>
            </w:tcBorders>
          </w:tcPr>
          <w:p w14:paraId="3939C2A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7ED153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Bovine Tuberculosis</w:t>
            </w:r>
          </w:p>
        </w:tc>
        <w:tc>
          <w:tcPr>
            <w:tcW w:w="2337" w:type="dxa"/>
            <w:tcBorders>
              <w:top w:val="single" w:sz="4" w:space="0" w:color="BFBFBF"/>
              <w:left w:val="single" w:sz="4" w:space="0" w:color="BFBFBF"/>
              <w:bottom w:val="single" w:sz="4" w:space="0" w:color="BFBFBF"/>
              <w:right w:val="single" w:sz="4" w:space="0" w:color="BFBFBF"/>
            </w:tcBorders>
          </w:tcPr>
          <w:p w14:paraId="5D53168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15</w:t>
            </w:r>
          </w:p>
        </w:tc>
        <w:tc>
          <w:tcPr>
            <w:tcW w:w="2337" w:type="dxa"/>
            <w:tcBorders>
              <w:top w:val="single" w:sz="4" w:space="0" w:color="BFBFBF"/>
              <w:left w:val="single" w:sz="4" w:space="0" w:color="BFBFBF"/>
              <w:bottom w:val="single" w:sz="4" w:space="0" w:color="BFBFBF"/>
              <w:right w:val="single" w:sz="4" w:space="0" w:color="BFBFBF"/>
            </w:tcBorders>
          </w:tcPr>
          <w:p w14:paraId="5793FA2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r>
      <w:tr w:rsidR="00E818A8" w:rsidRPr="00125DFB" w14:paraId="474ACD58" w14:textId="77777777">
        <w:tc>
          <w:tcPr>
            <w:tcW w:w="2338" w:type="dxa"/>
            <w:tcBorders>
              <w:top w:val="single" w:sz="4" w:space="0" w:color="BFBFBF"/>
              <w:left w:val="single" w:sz="4" w:space="0" w:color="BFBFBF"/>
              <w:bottom w:val="single" w:sz="4" w:space="0" w:color="BFBFBF"/>
              <w:right w:val="single" w:sz="4" w:space="0" w:color="BFBFBF"/>
            </w:tcBorders>
          </w:tcPr>
          <w:p w14:paraId="44E1BA6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2B8C71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Q Fever</w:t>
            </w:r>
          </w:p>
        </w:tc>
        <w:tc>
          <w:tcPr>
            <w:tcW w:w="2337" w:type="dxa"/>
            <w:tcBorders>
              <w:top w:val="single" w:sz="4" w:space="0" w:color="BFBFBF"/>
              <w:left w:val="single" w:sz="4" w:space="0" w:color="BFBFBF"/>
              <w:bottom w:val="single" w:sz="4" w:space="0" w:color="BFBFBF"/>
              <w:right w:val="single" w:sz="4" w:space="0" w:color="BFBFBF"/>
            </w:tcBorders>
          </w:tcPr>
          <w:p w14:paraId="25BB077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w:t>
            </w:r>
          </w:p>
        </w:tc>
        <w:tc>
          <w:tcPr>
            <w:tcW w:w="2337" w:type="dxa"/>
            <w:tcBorders>
              <w:top w:val="single" w:sz="4" w:space="0" w:color="BFBFBF"/>
              <w:left w:val="single" w:sz="4" w:space="0" w:color="BFBFBF"/>
              <w:bottom w:val="single" w:sz="4" w:space="0" w:color="BFBFBF"/>
              <w:right w:val="single" w:sz="4" w:space="0" w:color="BFBFBF"/>
            </w:tcBorders>
          </w:tcPr>
          <w:p w14:paraId="1319291C"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w:t>
            </w:r>
          </w:p>
        </w:tc>
      </w:tr>
      <w:tr w:rsidR="00E818A8" w:rsidRPr="00125DFB" w14:paraId="5BA0E164" w14:textId="77777777">
        <w:tc>
          <w:tcPr>
            <w:tcW w:w="2338" w:type="dxa"/>
            <w:tcBorders>
              <w:top w:val="single" w:sz="4" w:space="0" w:color="BFBFBF"/>
              <w:left w:val="single" w:sz="4" w:space="0" w:color="BFBFBF"/>
              <w:bottom w:val="single" w:sz="4" w:space="0" w:color="BFBFBF"/>
              <w:right w:val="single" w:sz="4" w:space="0" w:color="BFBFBF"/>
            </w:tcBorders>
          </w:tcPr>
          <w:p w14:paraId="1BB48F5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8EB1B4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None of the above</w:t>
            </w:r>
          </w:p>
        </w:tc>
        <w:tc>
          <w:tcPr>
            <w:tcW w:w="2337" w:type="dxa"/>
            <w:tcBorders>
              <w:top w:val="single" w:sz="4" w:space="0" w:color="BFBFBF"/>
              <w:left w:val="single" w:sz="4" w:space="0" w:color="BFBFBF"/>
              <w:bottom w:val="single" w:sz="4" w:space="0" w:color="BFBFBF"/>
              <w:right w:val="single" w:sz="4" w:space="0" w:color="BFBFBF"/>
            </w:tcBorders>
          </w:tcPr>
          <w:p w14:paraId="6E82282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105</w:t>
            </w:r>
          </w:p>
        </w:tc>
        <w:tc>
          <w:tcPr>
            <w:tcW w:w="2337" w:type="dxa"/>
            <w:tcBorders>
              <w:top w:val="single" w:sz="4" w:space="0" w:color="BFBFBF"/>
              <w:left w:val="single" w:sz="4" w:space="0" w:color="BFBFBF"/>
              <w:bottom w:val="single" w:sz="4" w:space="0" w:color="BFBFBF"/>
              <w:right w:val="single" w:sz="4" w:space="0" w:color="BFBFBF"/>
            </w:tcBorders>
          </w:tcPr>
          <w:p w14:paraId="124AD38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70.0%</w:t>
            </w:r>
          </w:p>
        </w:tc>
      </w:tr>
      <w:tr w:rsidR="00E818A8" w:rsidRPr="00125DFB" w14:paraId="60DAC20C" w14:textId="77777777">
        <w:tc>
          <w:tcPr>
            <w:tcW w:w="2338" w:type="dxa"/>
            <w:tcBorders>
              <w:top w:val="single" w:sz="4" w:space="0" w:color="BFBFBF"/>
              <w:left w:val="single" w:sz="4" w:space="0" w:color="BFBFBF"/>
              <w:bottom w:val="single" w:sz="4" w:space="0" w:color="BFBFBF"/>
              <w:right w:val="single" w:sz="4" w:space="0" w:color="BFBFBF"/>
            </w:tcBorders>
          </w:tcPr>
          <w:p w14:paraId="45F397E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How serious do you consider these diseases</w:t>
            </w:r>
          </w:p>
        </w:tc>
        <w:tc>
          <w:tcPr>
            <w:tcW w:w="2338" w:type="dxa"/>
            <w:tcBorders>
              <w:top w:val="single" w:sz="4" w:space="0" w:color="BFBFBF"/>
              <w:left w:val="single" w:sz="4" w:space="0" w:color="BFBFBF"/>
              <w:bottom w:val="single" w:sz="4" w:space="0" w:color="BFBFBF"/>
              <w:right w:val="single" w:sz="4" w:space="0" w:color="BFBFBF"/>
            </w:tcBorders>
          </w:tcPr>
          <w:p w14:paraId="2D16C22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Serious</w:t>
            </w:r>
          </w:p>
        </w:tc>
        <w:tc>
          <w:tcPr>
            <w:tcW w:w="2337" w:type="dxa"/>
            <w:tcBorders>
              <w:top w:val="single" w:sz="4" w:space="0" w:color="BFBFBF"/>
              <w:left w:val="single" w:sz="4" w:space="0" w:color="BFBFBF"/>
              <w:bottom w:val="single" w:sz="4" w:space="0" w:color="BFBFBF"/>
              <w:right w:val="single" w:sz="4" w:space="0" w:color="BFBFBF"/>
            </w:tcBorders>
          </w:tcPr>
          <w:p w14:paraId="5D22E7B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95</w:t>
            </w:r>
          </w:p>
        </w:tc>
        <w:tc>
          <w:tcPr>
            <w:tcW w:w="2337" w:type="dxa"/>
            <w:tcBorders>
              <w:top w:val="single" w:sz="4" w:space="0" w:color="BFBFBF"/>
              <w:left w:val="single" w:sz="4" w:space="0" w:color="BFBFBF"/>
              <w:bottom w:val="single" w:sz="4" w:space="0" w:color="BFBFBF"/>
              <w:right w:val="single" w:sz="4" w:space="0" w:color="BFBFBF"/>
            </w:tcBorders>
          </w:tcPr>
          <w:p w14:paraId="1F21703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63.3%</w:t>
            </w:r>
          </w:p>
        </w:tc>
      </w:tr>
      <w:tr w:rsidR="00E818A8" w:rsidRPr="00125DFB" w14:paraId="0EA1EA7F" w14:textId="77777777">
        <w:tc>
          <w:tcPr>
            <w:tcW w:w="2338" w:type="dxa"/>
            <w:tcBorders>
              <w:top w:val="single" w:sz="4" w:space="0" w:color="BFBFBF"/>
              <w:left w:val="single" w:sz="4" w:space="0" w:color="BFBFBF"/>
              <w:bottom w:val="single" w:sz="4" w:space="0" w:color="BFBFBF"/>
              <w:right w:val="single" w:sz="4" w:space="0" w:color="BFBFBF"/>
            </w:tcBorders>
          </w:tcPr>
          <w:p w14:paraId="43533EEB"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6BA1A12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Serious</w:t>
            </w:r>
          </w:p>
        </w:tc>
        <w:tc>
          <w:tcPr>
            <w:tcW w:w="2337" w:type="dxa"/>
            <w:tcBorders>
              <w:top w:val="single" w:sz="4" w:space="0" w:color="BFBFBF"/>
              <w:left w:val="single" w:sz="4" w:space="0" w:color="BFBFBF"/>
              <w:bottom w:val="single" w:sz="4" w:space="0" w:color="BFBFBF"/>
              <w:right w:val="single" w:sz="4" w:space="0" w:color="BFBFBF"/>
            </w:tcBorders>
          </w:tcPr>
          <w:p w14:paraId="32B1131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25</w:t>
            </w:r>
          </w:p>
        </w:tc>
        <w:tc>
          <w:tcPr>
            <w:tcW w:w="2337" w:type="dxa"/>
            <w:tcBorders>
              <w:top w:val="single" w:sz="4" w:space="0" w:color="BFBFBF"/>
              <w:left w:val="single" w:sz="4" w:space="0" w:color="BFBFBF"/>
              <w:bottom w:val="single" w:sz="4" w:space="0" w:color="BFBFBF"/>
              <w:right w:val="single" w:sz="4" w:space="0" w:color="BFBFBF"/>
            </w:tcBorders>
          </w:tcPr>
          <w:p w14:paraId="4E3627C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16.7%</w:t>
            </w:r>
          </w:p>
        </w:tc>
      </w:tr>
      <w:tr w:rsidR="00E818A8" w:rsidRPr="00125DFB" w14:paraId="355E90A7" w14:textId="77777777">
        <w:tc>
          <w:tcPr>
            <w:tcW w:w="2338" w:type="dxa"/>
            <w:tcBorders>
              <w:top w:val="single" w:sz="4" w:space="0" w:color="BFBFBF"/>
              <w:left w:val="single" w:sz="4" w:space="0" w:color="BFBFBF"/>
              <w:bottom w:val="single" w:sz="4" w:space="0" w:color="BFBFBF"/>
              <w:right w:val="single" w:sz="4" w:space="0" w:color="BFBFBF"/>
            </w:tcBorders>
          </w:tcPr>
          <w:p w14:paraId="74ADC9B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A21ACC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Don't Know</w:t>
            </w:r>
          </w:p>
        </w:tc>
        <w:tc>
          <w:tcPr>
            <w:tcW w:w="2337" w:type="dxa"/>
            <w:tcBorders>
              <w:top w:val="single" w:sz="4" w:space="0" w:color="BFBFBF"/>
              <w:left w:val="single" w:sz="4" w:space="0" w:color="BFBFBF"/>
              <w:bottom w:val="single" w:sz="4" w:space="0" w:color="BFBFBF"/>
              <w:right w:val="single" w:sz="4" w:space="0" w:color="BFBFBF"/>
            </w:tcBorders>
          </w:tcPr>
          <w:p w14:paraId="08ED586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7" w:type="dxa"/>
            <w:tcBorders>
              <w:top w:val="single" w:sz="4" w:space="0" w:color="BFBFBF"/>
              <w:left w:val="single" w:sz="4" w:space="0" w:color="BFBFBF"/>
              <w:bottom w:val="single" w:sz="4" w:space="0" w:color="BFBFBF"/>
              <w:right w:val="single" w:sz="4" w:space="0" w:color="BFBFBF"/>
            </w:tcBorders>
          </w:tcPr>
          <w:p w14:paraId="1466588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511F876D" w14:textId="77777777">
        <w:tc>
          <w:tcPr>
            <w:tcW w:w="2338" w:type="dxa"/>
            <w:tcBorders>
              <w:top w:val="single" w:sz="4" w:space="0" w:color="BFBFBF"/>
              <w:left w:val="single" w:sz="4" w:space="0" w:color="BFBFBF"/>
              <w:bottom w:val="single" w:sz="4" w:space="0" w:color="BFBFBF"/>
              <w:right w:val="single" w:sz="4" w:space="0" w:color="BFBFBF"/>
            </w:tcBorders>
          </w:tcPr>
          <w:p w14:paraId="07E0223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How are these diseases transmitted</w:t>
            </w:r>
          </w:p>
        </w:tc>
        <w:tc>
          <w:tcPr>
            <w:tcW w:w="2338" w:type="dxa"/>
            <w:tcBorders>
              <w:top w:val="single" w:sz="4" w:space="0" w:color="BFBFBF"/>
              <w:left w:val="single" w:sz="4" w:space="0" w:color="BFBFBF"/>
              <w:bottom w:val="single" w:sz="4" w:space="0" w:color="BFBFBF"/>
              <w:right w:val="single" w:sz="4" w:space="0" w:color="BFBFBF"/>
            </w:tcBorders>
          </w:tcPr>
          <w:p w14:paraId="3C8CB59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Drinking raw milk</w:t>
            </w:r>
          </w:p>
        </w:tc>
        <w:tc>
          <w:tcPr>
            <w:tcW w:w="2337" w:type="dxa"/>
            <w:tcBorders>
              <w:top w:val="single" w:sz="4" w:space="0" w:color="BFBFBF"/>
              <w:left w:val="single" w:sz="4" w:space="0" w:color="BFBFBF"/>
              <w:bottom w:val="single" w:sz="4" w:space="0" w:color="BFBFBF"/>
              <w:right w:val="single" w:sz="4" w:space="0" w:color="BFBFBF"/>
            </w:tcBorders>
          </w:tcPr>
          <w:p w14:paraId="7D1F9BD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40A9E76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13E7A800" w14:textId="77777777">
        <w:tc>
          <w:tcPr>
            <w:tcW w:w="2338" w:type="dxa"/>
            <w:tcBorders>
              <w:top w:val="single" w:sz="4" w:space="0" w:color="BFBFBF"/>
              <w:left w:val="single" w:sz="4" w:space="0" w:color="BFBFBF"/>
              <w:bottom w:val="single" w:sz="4" w:space="0" w:color="BFBFBF"/>
              <w:right w:val="single" w:sz="4" w:space="0" w:color="BFBFBF"/>
            </w:tcBorders>
          </w:tcPr>
          <w:p w14:paraId="419B4A19"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D76715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Contact with animals</w:t>
            </w:r>
          </w:p>
        </w:tc>
        <w:tc>
          <w:tcPr>
            <w:tcW w:w="2337" w:type="dxa"/>
            <w:tcBorders>
              <w:top w:val="single" w:sz="4" w:space="0" w:color="BFBFBF"/>
              <w:left w:val="single" w:sz="4" w:space="0" w:color="BFBFBF"/>
              <w:bottom w:val="single" w:sz="4" w:space="0" w:color="BFBFBF"/>
              <w:right w:val="single" w:sz="4" w:space="0" w:color="BFBFBF"/>
            </w:tcBorders>
          </w:tcPr>
          <w:p w14:paraId="43E691F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7F7A5A5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72497BC5" w14:textId="77777777">
        <w:tc>
          <w:tcPr>
            <w:tcW w:w="2338" w:type="dxa"/>
            <w:tcBorders>
              <w:top w:val="single" w:sz="4" w:space="0" w:color="BFBFBF"/>
              <w:left w:val="single" w:sz="4" w:space="0" w:color="BFBFBF"/>
              <w:bottom w:val="single" w:sz="4" w:space="0" w:color="BFBFBF"/>
              <w:right w:val="single" w:sz="4" w:space="0" w:color="BFBFBF"/>
            </w:tcBorders>
          </w:tcPr>
          <w:p w14:paraId="3924C21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235FD9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All of the above</w:t>
            </w:r>
          </w:p>
        </w:tc>
        <w:tc>
          <w:tcPr>
            <w:tcW w:w="2337" w:type="dxa"/>
            <w:tcBorders>
              <w:top w:val="single" w:sz="4" w:space="0" w:color="BFBFBF"/>
              <w:left w:val="single" w:sz="4" w:space="0" w:color="BFBFBF"/>
              <w:bottom w:val="single" w:sz="4" w:space="0" w:color="BFBFBF"/>
              <w:right w:val="single" w:sz="4" w:space="0" w:color="BFBFBF"/>
            </w:tcBorders>
          </w:tcPr>
          <w:p w14:paraId="7C4F380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0625C6D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12433991" w14:textId="77777777">
        <w:tc>
          <w:tcPr>
            <w:tcW w:w="2338" w:type="dxa"/>
            <w:tcBorders>
              <w:top w:val="single" w:sz="4" w:space="0" w:color="BFBFBF"/>
              <w:left w:val="single" w:sz="4" w:space="0" w:color="BFBFBF"/>
              <w:bottom w:val="single" w:sz="4" w:space="0" w:color="BFBFBF"/>
              <w:right w:val="single" w:sz="4" w:space="0" w:color="BFBFBF"/>
            </w:tcBorders>
          </w:tcPr>
          <w:p w14:paraId="081E1CB8"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64084E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Don't Know</w:t>
            </w:r>
          </w:p>
        </w:tc>
        <w:tc>
          <w:tcPr>
            <w:tcW w:w="2337" w:type="dxa"/>
            <w:tcBorders>
              <w:top w:val="single" w:sz="4" w:space="0" w:color="BFBFBF"/>
              <w:left w:val="single" w:sz="4" w:space="0" w:color="BFBFBF"/>
              <w:bottom w:val="single" w:sz="4" w:space="0" w:color="BFBFBF"/>
              <w:right w:val="single" w:sz="4" w:space="0" w:color="BFBFBF"/>
            </w:tcBorders>
          </w:tcPr>
          <w:p w14:paraId="7437656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7" w:type="dxa"/>
            <w:tcBorders>
              <w:top w:val="single" w:sz="4" w:space="0" w:color="BFBFBF"/>
              <w:left w:val="single" w:sz="4" w:space="0" w:color="BFBFBF"/>
              <w:bottom w:val="single" w:sz="4" w:space="0" w:color="BFBFBF"/>
              <w:right w:val="single" w:sz="4" w:space="0" w:color="BFBFBF"/>
            </w:tcBorders>
          </w:tcPr>
          <w:p w14:paraId="0C396E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4BEEBAC3" w14:textId="77777777">
        <w:tc>
          <w:tcPr>
            <w:tcW w:w="2338" w:type="dxa"/>
            <w:vMerge w:val="restart"/>
            <w:tcBorders>
              <w:top w:val="single" w:sz="4" w:space="0" w:color="BFBFBF"/>
              <w:left w:val="single" w:sz="4" w:space="0" w:color="BFBFBF"/>
              <w:right w:val="single" w:sz="4" w:space="0" w:color="BFBFBF"/>
            </w:tcBorders>
          </w:tcPr>
          <w:p w14:paraId="38042507"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Can milk from healthy-looking animals transmit disease</w:t>
            </w:r>
          </w:p>
        </w:tc>
        <w:tc>
          <w:tcPr>
            <w:tcW w:w="2338" w:type="dxa"/>
            <w:tcBorders>
              <w:top w:val="single" w:sz="4" w:space="0" w:color="BFBFBF"/>
              <w:left w:val="single" w:sz="4" w:space="0" w:color="BFBFBF"/>
              <w:bottom w:val="single" w:sz="4" w:space="0" w:color="BFBFBF"/>
              <w:right w:val="single" w:sz="4" w:space="0" w:color="BFBFBF"/>
            </w:tcBorders>
          </w:tcPr>
          <w:p w14:paraId="120D3D9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7" w:type="dxa"/>
            <w:tcBorders>
              <w:top w:val="single" w:sz="4" w:space="0" w:color="BFBFBF"/>
              <w:left w:val="single" w:sz="4" w:space="0" w:color="BFBFBF"/>
              <w:bottom w:val="single" w:sz="4" w:space="0" w:color="BFBFBF"/>
              <w:right w:val="single" w:sz="4" w:space="0" w:color="BFBFBF"/>
            </w:tcBorders>
          </w:tcPr>
          <w:p w14:paraId="210148C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45</w:t>
            </w:r>
          </w:p>
        </w:tc>
        <w:tc>
          <w:tcPr>
            <w:tcW w:w="2337" w:type="dxa"/>
            <w:tcBorders>
              <w:top w:val="single" w:sz="4" w:space="0" w:color="BFBFBF"/>
              <w:left w:val="single" w:sz="4" w:space="0" w:color="BFBFBF"/>
              <w:bottom w:val="single" w:sz="4" w:space="0" w:color="BFBFBF"/>
              <w:right w:val="single" w:sz="4" w:space="0" w:color="BFBFBF"/>
            </w:tcBorders>
          </w:tcPr>
          <w:p w14:paraId="4951386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30.0%</w:t>
            </w:r>
          </w:p>
        </w:tc>
      </w:tr>
      <w:tr w:rsidR="00E818A8" w:rsidRPr="00125DFB" w14:paraId="0C669E9C" w14:textId="77777777">
        <w:tc>
          <w:tcPr>
            <w:tcW w:w="2338" w:type="dxa"/>
            <w:vMerge/>
            <w:tcBorders>
              <w:left w:val="single" w:sz="4" w:space="0" w:color="BFBFBF"/>
              <w:right w:val="single" w:sz="4" w:space="0" w:color="BFBFBF"/>
            </w:tcBorders>
          </w:tcPr>
          <w:p w14:paraId="207FACC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D13EAE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6027FBA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55</w:t>
            </w:r>
          </w:p>
        </w:tc>
        <w:tc>
          <w:tcPr>
            <w:tcW w:w="2337" w:type="dxa"/>
            <w:tcBorders>
              <w:top w:val="single" w:sz="4" w:space="0" w:color="BFBFBF"/>
              <w:left w:val="single" w:sz="4" w:space="0" w:color="BFBFBF"/>
              <w:bottom w:val="single" w:sz="4" w:space="0" w:color="BFBFBF"/>
              <w:right w:val="single" w:sz="4" w:space="0" w:color="BFBFBF"/>
            </w:tcBorders>
          </w:tcPr>
          <w:p w14:paraId="78EF38E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36.7%</w:t>
            </w:r>
          </w:p>
        </w:tc>
      </w:tr>
      <w:tr w:rsidR="00E818A8" w:rsidRPr="00125DFB" w14:paraId="518E2859" w14:textId="77777777">
        <w:tc>
          <w:tcPr>
            <w:tcW w:w="2338" w:type="dxa"/>
            <w:vMerge/>
            <w:tcBorders>
              <w:left w:val="single" w:sz="4" w:space="0" w:color="BFBFBF"/>
              <w:bottom w:val="single" w:sz="4" w:space="0" w:color="BFBFBF"/>
              <w:right w:val="single" w:sz="4" w:space="0" w:color="BFBFBF"/>
            </w:tcBorders>
          </w:tcPr>
          <w:p w14:paraId="57DF6C0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1416DC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Don't Know</w:t>
            </w:r>
          </w:p>
        </w:tc>
        <w:tc>
          <w:tcPr>
            <w:tcW w:w="2337" w:type="dxa"/>
            <w:tcBorders>
              <w:top w:val="single" w:sz="4" w:space="0" w:color="BFBFBF"/>
              <w:left w:val="single" w:sz="4" w:space="0" w:color="BFBFBF"/>
              <w:bottom w:val="single" w:sz="4" w:space="0" w:color="BFBFBF"/>
              <w:right w:val="single" w:sz="4" w:space="0" w:color="BFBFBF"/>
            </w:tcBorders>
          </w:tcPr>
          <w:p w14:paraId="361DBF4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2E3F683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bl>
    <w:p w14:paraId="55AECFC6" w14:textId="77777777" w:rsidR="00E818A8" w:rsidRPr="00125DFB" w:rsidRDefault="005F3352" w:rsidP="001E0F51">
      <w:pPr>
        <w:spacing w:before="40" w:line="360" w:lineRule="auto"/>
        <w:rPr>
          <w:rFonts w:ascii="Times New Roman" w:hAnsi="Times New Roman" w:cs="Times New Roman"/>
          <w:b/>
          <w:sz w:val="26"/>
          <w:szCs w:val="26"/>
        </w:rPr>
      </w:pPr>
      <w:r w:rsidRPr="00125DFB">
        <w:rPr>
          <w:rFonts w:ascii="Times New Roman" w:hAnsi="Times New Roman" w:cs="Times New Roman"/>
          <w:b/>
          <w:sz w:val="26"/>
          <w:szCs w:val="26"/>
        </w:rPr>
        <w:t>Field survey, 2025.</w:t>
      </w:r>
    </w:p>
    <w:p w14:paraId="2E65B8EC"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lastRenderedPageBreak/>
        <w:t>Milk Consumption and Handling Practices</w:t>
      </w:r>
    </w:p>
    <w:p w14:paraId="0F73EEFC"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3. presents the milk consumption and handling practices of respondents.</w:t>
      </w:r>
    </w:p>
    <w:p w14:paraId="6DA3E454"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3. Milk Consumption and Handling Practices (N = 150)</w:t>
      </w:r>
    </w:p>
    <w:tbl>
      <w:tblPr>
        <w:tblStyle w:val="TableGrid"/>
        <w:tblW w:w="9350" w:type="dxa"/>
        <w:tblInd w:w="-18" w:type="dxa"/>
        <w:tblLook w:val="04A0" w:firstRow="1" w:lastRow="0" w:firstColumn="1" w:lastColumn="0" w:noHBand="0" w:noVBand="1"/>
      </w:tblPr>
      <w:tblGrid>
        <w:gridCol w:w="2338"/>
        <w:gridCol w:w="2338"/>
        <w:gridCol w:w="2337"/>
        <w:gridCol w:w="2337"/>
      </w:tblGrid>
      <w:tr w:rsidR="00E818A8" w:rsidRPr="00125DFB" w14:paraId="188ADA90" w14:textId="77777777">
        <w:tc>
          <w:tcPr>
            <w:tcW w:w="2338" w:type="dxa"/>
            <w:tcBorders>
              <w:top w:val="single" w:sz="6" w:space="0" w:color="2E7D52"/>
              <w:left w:val="single" w:sz="6" w:space="0" w:color="2E7D52"/>
              <w:bottom w:val="single" w:sz="6" w:space="0" w:color="2E7D52"/>
              <w:right w:val="single" w:sz="6" w:space="0" w:color="2E7D52"/>
            </w:tcBorders>
          </w:tcPr>
          <w:p w14:paraId="437B5FD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8" w:type="dxa"/>
            <w:tcBorders>
              <w:top w:val="single" w:sz="6" w:space="0" w:color="2E7D52"/>
              <w:left w:val="single" w:sz="6" w:space="0" w:color="2E7D52"/>
              <w:bottom w:val="single" w:sz="6" w:space="0" w:color="2E7D52"/>
              <w:right w:val="single" w:sz="6" w:space="0" w:color="2E7D52"/>
            </w:tcBorders>
          </w:tcPr>
          <w:p w14:paraId="6F19196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7" w:type="dxa"/>
            <w:tcBorders>
              <w:top w:val="single" w:sz="6" w:space="0" w:color="2E7D52"/>
              <w:left w:val="single" w:sz="6" w:space="0" w:color="2E7D52"/>
              <w:bottom w:val="single" w:sz="6" w:space="0" w:color="2E7D52"/>
              <w:right w:val="single" w:sz="6" w:space="0" w:color="2E7D52"/>
            </w:tcBorders>
          </w:tcPr>
          <w:p w14:paraId="30F0F4F0"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7" w:type="dxa"/>
            <w:tcBorders>
              <w:top w:val="single" w:sz="6" w:space="0" w:color="2E7D52"/>
              <w:left w:val="single" w:sz="6" w:space="0" w:color="2E7D52"/>
              <w:bottom w:val="single" w:sz="6" w:space="0" w:color="2E7D52"/>
              <w:right w:val="single" w:sz="6" w:space="0" w:color="2E7D52"/>
            </w:tcBorders>
          </w:tcPr>
          <w:p w14:paraId="26F177BA"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2DD6AB1B" w14:textId="77777777">
        <w:tc>
          <w:tcPr>
            <w:tcW w:w="2338" w:type="dxa"/>
            <w:vMerge w:val="restart"/>
            <w:tcBorders>
              <w:top w:val="single" w:sz="4" w:space="0" w:color="BFBFBF"/>
              <w:left w:val="single" w:sz="4" w:space="0" w:color="BFBFBF"/>
              <w:right w:val="single" w:sz="4" w:space="0" w:color="BFBFBF"/>
            </w:tcBorders>
          </w:tcPr>
          <w:p w14:paraId="21EF7E70"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7BD2440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Type of milk consumed</w:t>
            </w:r>
          </w:p>
        </w:tc>
        <w:tc>
          <w:tcPr>
            <w:tcW w:w="2338" w:type="dxa"/>
            <w:tcBorders>
              <w:top w:val="single" w:sz="4" w:space="0" w:color="BFBFBF"/>
              <w:left w:val="single" w:sz="4" w:space="0" w:color="BFBFBF"/>
              <w:bottom w:val="single" w:sz="4" w:space="0" w:color="BFBFBF"/>
              <w:right w:val="single" w:sz="4" w:space="0" w:color="BFBFBF"/>
            </w:tcBorders>
          </w:tcPr>
          <w:p w14:paraId="4C88F3B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Raw (unprocessed)</w:t>
            </w:r>
          </w:p>
        </w:tc>
        <w:tc>
          <w:tcPr>
            <w:tcW w:w="2337" w:type="dxa"/>
            <w:tcBorders>
              <w:top w:val="single" w:sz="4" w:space="0" w:color="BFBFBF"/>
              <w:left w:val="single" w:sz="4" w:space="0" w:color="BFBFBF"/>
              <w:bottom w:val="single" w:sz="4" w:space="0" w:color="BFBFBF"/>
              <w:right w:val="single" w:sz="4" w:space="0" w:color="BFBFBF"/>
            </w:tcBorders>
          </w:tcPr>
          <w:p w14:paraId="3CF9D93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580E0B5C"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17EBF7BC" w14:textId="77777777">
        <w:tc>
          <w:tcPr>
            <w:tcW w:w="2338" w:type="dxa"/>
            <w:vMerge/>
            <w:tcBorders>
              <w:left w:val="single" w:sz="4" w:space="0" w:color="BFBFBF"/>
              <w:right w:val="single" w:sz="4" w:space="0" w:color="BFBFBF"/>
            </w:tcBorders>
          </w:tcPr>
          <w:p w14:paraId="1F6EE6C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C97399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Boiled</w:t>
            </w:r>
          </w:p>
        </w:tc>
        <w:tc>
          <w:tcPr>
            <w:tcW w:w="2337" w:type="dxa"/>
            <w:tcBorders>
              <w:top w:val="single" w:sz="4" w:space="0" w:color="BFBFBF"/>
              <w:left w:val="single" w:sz="4" w:space="0" w:color="BFBFBF"/>
              <w:bottom w:val="single" w:sz="4" w:space="0" w:color="BFBFBF"/>
              <w:right w:val="single" w:sz="4" w:space="0" w:color="BFBFBF"/>
            </w:tcBorders>
          </w:tcPr>
          <w:p w14:paraId="5088B6D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7" w:type="dxa"/>
            <w:tcBorders>
              <w:top w:val="single" w:sz="4" w:space="0" w:color="BFBFBF"/>
              <w:left w:val="single" w:sz="4" w:space="0" w:color="BFBFBF"/>
              <w:bottom w:val="single" w:sz="4" w:space="0" w:color="BFBFBF"/>
              <w:right w:val="single" w:sz="4" w:space="0" w:color="BFBFBF"/>
            </w:tcBorders>
          </w:tcPr>
          <w:p w14:paraId="27DB021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2A4DF85A" w14:textId="77777777">
        <w:tc>
          <w:tcPr>
            <w:tcW w:w="2338" w:type="dxa"/>
            <w:vMerge/>
            <w:tcBorders>
              <w:left w:val="single" w:sz="4" w:space="0" w:color="BFBFBF"/>
              <w:bottom w:val="single" w:sz="4" w:space="0" w:color="BFBFBF"/>
              <w:right w:val="single" w:sz="4" w:space="0" w:color="BFBFBF"/>
            </w:tcBorders>
          </w:tcPr>
          <w:p w14:paraId="528BB6C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4F07F3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Fermented</w:t>
            </w:r>
          </w:p>
        </w:tc>
        <w:tc>
          <w:tcPr>
            <w:tcW w:w="2337" w:type="dxa"/>
            <w:tcBorders>
              <w:top w:val="single" w:sz="4" w:space="0" w:color="BFBFBF"/>
              <w:left w:val="single" w:sz="4" w:space="0" w:color="BFBFBF"/>
              <w:bottom w:val="single" w:sz="4" w:space="0" w:color="BFBFBF"/>
              <w:right w:val="single" w:sz="4" w:space="0" w:color="BFBFBF"/>
            </w:tcBorders>
          </w:tcPr>
          <w:p w14:paraId="294DF37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2E811D4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144D313D" w14:textId="77777777">
        <w:tc>
          <w:tcPr>
            <w:tcW w:w="2338" w:type="dxa"/>
            <w:vMerge w:val="restart"/>
            <w:tcBorders>
              <w:top w:val="single" w:sz="4" w:space="0" w:color="BFBFBF"/>
              <w:left w:val="single" w:sz="4" w:space="0" w:color="BFBFBF"/>
              <w:right w:val="single" w:sz="4" w:space="0" w:color="BFBFBF"/>
            </w:tcBorders>
          </w:tcPr>
          <w:p w14:paraId="0C3D655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Frequency of raw milk consumption</w:t>
            </w:r>
          </w:p>
        </w:tc>
        <w:tc>
          <w:tcPr>
            <w:tcW w:w="2338" w:type="dxa"/>
            <w:tcBorders>
              <w:top w:val="single" w:sz="4" w:space="0" w:color="BFBFBF"/>
              <w:left w:val="single" w:sz="4" w:space="0" w:color="BFBFBF"/>
              <w:bottom w:val="single" w:sz="4" w:space="0" w:color="BFBFBF"/>
              <w:right w:val="single" w:sz="4" w:space="0" w:color="BFBFBF"/>
            </w:tcBorders>
          </w:tcPr>
          <w:p w14:paraId="2A64BF5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Daily</w:t>
            </w:r>
          </w:p>
        </w:tc>
        <w:tc>
          <w:tcPr>
            <w:tcW w:w="2337" w:type="dxa"/>
            <w:tcBorders>
              <w:top w:val="single" w:sz="4" w:space="0" w:color="BFBFBF"/>
              <w:left w:val="single" w:sz="4" w:space="0" w:color="BFBFBF"/>
              <w:bottom w:val="single" w:sz="4" w:space="0" w:color="BFBFBF"/>
              <w:right w:val="single" w:sz="4" w:space="0" w:color="BFBFBF"/>
            </w:tcBorders>
          </w:tcPr>
          <w:p w14:paraId="760D9AE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w:t>
            </w:r>
          </w:p>
        </w:tc>
        <w:tc>
          <w:tcPr>
            <w:tcW w:w="2337" w:type="dxa"/>
            <w:tcBorders>
              <w:top w:val="single" w:sz="4" w:space="0" w:color="BFBFBF"/>
              <w:left w:val="single" w:sz="4" w:space="0" w:color="BFBFBF"/>
              <w:bottom w:val="single" w:sz="4" w:space="0" w:color="BFBFBF"/>
              <w:right w:val="single" w:sz="4" w:space="0" w:color="BFBFBF"/>
            </w:tcBorders>
          </w:tcPr>
          <w:p w14:paraId="02FBE35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53.3%</w:t>
            </w:r>
          </w:p>
        </w:tc>
      </w:tr>
      <w:tr w:rsidR="00E818A8" w:rsidRPr="00125DFB" w14:paraId="283DAC2F" w14:textId="77777777">
        <w:tc>
          <w:tcPr>
            <w:tcW w:w="2338" w:type="dxa"/>
            <w:vMerge/>
            <w:tcBorders>
              <w:left w:val="single" w:sz="4" w:space="0" w:color="BFBFBF"/>
              <w:right w:val="single" w:sz="4" w:space="0" w:color="BFBFBF"/>
            </w:tcBorders>
          </w:tcPr>
          <w:p w14:paraId="7066A037"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C1D518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Weekly</w:t>
            </w:r>
          </w:p>
        </w:tc>
        <w:tc>
          <w:tcPr>
            <w:tcW w:w="2337" w:type="dxa"/>
            <w:tcBorders>
              <w:top w:val="single" w:sz="4" w:space="0" w:color="BFBFBF"/>
              <w:left w:val="single" w:sz="4" w:space="0" w:color="BFBFBF"/>
              <w:bottom w:val="single" w:sz="4" w:space="0" w:color="BFBFBF"/>
              <w:right w:val="single" w:sz="4" w:space="0" w:color="BFBFBF"/>
            </w:tcBorders>
          </w:tcPr>
          <w:p w14:paraId="7BCD38C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0B070B0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74E9D3CE" w14:textId="77777777">
        <w:tc>
          <w:tcPr>
            <w:tcW w:w="2338" w:type="dxa"/>
            <w:vMerge/>
            <w:tcBorders>
              <w:left w:val="single" w:sz="4" w:space="0" w:color="BFBFBF"/>
              <w:right w:val="single" w:sz="4" w:space="0" w:color="BFBFBF"/>
            </w:tcBorders>
          </w:tcPr>
          <w:p w14:paraId="61034EDB"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6F501D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Occasionally</w:t>
            </w:r>
          </w:p>
        </w:tc>
        <w:tc>
          <w:tcPr>
            <w:tcW w:w="2337" w:type="dxa"/>
            <w:tcBorders>
              <w:top w:val="single" w:sz="4" w:space="0" w:color="BFBFBF"/>
              <w:left w:val="single" w:sz="4" w:space="0" w:color="BFBFBF"/>
              <w:bottom w:val="single" w:sz="4" w:space="0" w:color="BFBFBF"/>
              <w:right w:val="single" w:sz="4" w:space="0" w:color="BFBFBF"/>
            </w:tcBorders>
          </w:tcPr>
          <w:p w14:paraId="1054B6F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1CFB6F4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433E6890" w14:textId="77777777">
        <w:tc>
          <w:tcPr>
            <w:tcW w:w="2338" w:type="dxa"/>
            <w:vMerge/>
            <w:tcBorders>
              <w:left w:val="single" w:sz="4" w:space="0" w:color="BFBFBF"/>
              <w:bottom w:val="single" w:sz="4" w:space="0" w:color="BFBFBF"/>
              <w:right w:val="single" w:sz="4" w:space="0" w:color="BFBFBF"/>
            </w:tcBorders>
          </w:tcPr>
          <w:p w14:paraId="496F892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56EEB9F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Never</w:t>
            </w:r>
          </w:p>
        </w:tc>
        <w:tc>
          <w:tcPr>
            <w:tcW w:w="2337" w:type="dxa"/>
            <w:tcBorders>
              <w:top w:val="single" w:sz="4" w:space="0" w:color="BFBFBF"/>
              <w:left w:val="single" w:sz="4" w:space="0" w:color="BFBFBF"/>
              <w:bottom w:val="single" w:sz="4" w:space="0" w:color="BFBFBF"/>
              <w:right w:val="single" w:sz="4" w:space="0" w:color="BFBFBF"/>
            </w:tcBorders>
          </w:tcPr>
          <w:p w14:paraId="1F606C0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7" w:type="dxa"/>
            <w:tcBorders>
              <w:top w:val="single" w:sz="4" w:space="0" w:color="BFBFBF"/>
              <w:left w:val="single" w:sz="4" w:space="0" w:color="BFBFBF"/>
              <w:bottom w:val="single" w:sz="4" w:space="0" w:color="BFBFBF"/>
              <w:right w:val="single" w:sz="4" w:space="0" w:color="BFBFBF"/>
            </w:tcBorders>
          </w:tcPr>
          <w:p w14:paraId="511C3C3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3F832953" w14:textId="77777777">
        <w:tc>
          <w:tcPr>
            <w:tcW w:w="2338" w:type="dxa"/>
            <w:vMerge w:val="restart"/>
            <w:tcBorders>
              <w:top w:val="single" w:sz="4" w:space="0" w:color="BFBFBF"/>
              <w:left w:val="single" w:sz="4" w:space="0" w:color="BFBFBF"/>
              <w:right w:val="single" w:sz="4" w:space="0" w:color="BFBFBF"/>
            </w:tcBorders>
          </w:tcPr>
          <w:p w14:paraId="4C3E35B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Primary reason for consuming raw milk</w:t>
            </w:r>
          </w:p>
        </w:tc>
        <w:tc>
          <w:tcPr>
            <w:tcW w:w="2338" w:type="dxa"/>
            <w:tcBorders>
              <w:top w:val="single" w:sz="4" w:space="0" w:color="BFBFBF"/>
              <w:left w:val="single" w:sz="4" w:space="0" w:color="BFBFBF"/>
              <w:bottom w:val="single" w:sz="4" w:space="0" w:color="BFBFBF"/>
              <w:right w:val="single" w:sz="4" w:space="0" w:color="BFBFBF"/>
            </w:tcBorders>
          </w:tcPr>
          <w:p w14:paraId="099F089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Better taste</w:t>
            </w:r>
          </w:p>
        </w:tc>
        <w:tc>
          <w:tcPr>
            <w:tcW w:w="2337" w:type="dxa"/>
            <w:tcBorders>
              <w:top w:val="single" w:sz="4" w:space="0" w:color="BFBFBF"/>
              <w:left w:val="single" w:sz="4" w:space="0" w:color="BFBFBF"/>
              <w:bottom w:val="single" w:sz="4" w:space="0" w:color="BFBFBF"/>
              <w:right w:val="single" w:sz="4" w:space="0" w:color="BFBFBF"/>
            </w:tcBorders>
          </w:tcPr>
          <w:p w14:paraId="351A612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500DE1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2171E29C" w14:textId="77777777">
        <w:tc>
          <w:tcPr>
            <w:tcW w:w="2338" w:type="dxa"/>
            <w:vMerge/>
            <w:tcBorders>
              <w:left w:val="single" w:sz="4" w:space="0" w:color="BFBFBF"/>
              <w:right w:val="single" w:sz="4" w:space="0" w:color="BFBFBF"/>
            </w:tcBorders>
          </w:tcPr>
          <w:p w14:paraId="25D529A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7DAC812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Cultural preference</w:t>
            </w:r>
          </w:p>
        </w:tc>
        <w:tc>
          <w:tcPr>
            <w:tcW w:w="2337" w:type="dxa"/>
            <w:tcBorders>
              <w:top w:val="single" w:sz="4" w:space="0" w:color="BFBFBF"/>
              <w:left w:val="single" w:sz="4" w:space="0" w:color="BFBFBF"/>
              <w:bottom w:val="single" w:sz="4" w:space="0" w:color="BFBFBF"/>
              <w:right w:val="single" w:sz="4" w:space="0" w:color="BFBFBF"/>
            </w:tcBorders>
          </w:tcPr>
          <w:p w14:paraId="5DE29A1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85</w:t>
            </w:r>
          </w:p>
        </w:tc>
        <w:tc>
          <w:tcPr>
            <w:tcW w:w="2337" w:type="dxa"/>
            <w:tcBorders>
              <w:top w:val="single" w:sz="4" w:space="0" w:color="BFBFBF"/>
              <w:left w:val="single" w:sz="4" w:space="0" w:color="BFBFBF"/>
              <w:bottom w:val="single" w:sz="4" w:space="0" w:color="BFBFBF"/>
              <w:right w:val="single" w:sz="4" w:space="0" w:color="BFBFBF"/>
            </w:tcBorders>
          </w:tcPr>
          <w:p w14:paraId="593D585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56.7%</w:t>
            </w:r>
          </w:p>
        </w:tc>
      </w:tr>
      <w:tr w:rsidR="00E818A8" w:rsidRPr="00125DFB" w14:paraId="10BAE142" w14:textId="77777777">
        <w:tc>
          <w:tcPr>
            <w:tcW w:w="2338" w:type="dxa"/>
            <w:vMerge/>
            <w:tcBorders>
              <w:left w:val="single" w:sz="4" w:space="0" w:color="BFBFBF"/>
              <w:bottom w:val="single" w:sz="4" w:space="0" w:color="BFBFBF"/>
              <w:right w:val="single" w:sz="4" w:space="0" w:color="BFBFBF"/>
            </w:tcBorders>
          </w:tcPr>
          <w:p w14:paraId="290F439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9A0547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Cheaper/more available</w:t>
            </w:r>
          </w:p>
        </w:tc>
        <w:tc>
          <w:tcPr>
            <w:tcW w:w="2337" w:type="dxa"/>
            <w:tcBorders>
              <w:top w:val="single" w:sz="4" w:space="0" w:color="BFBFBF"/>
              <w:left w:val="single" w:sz="4" w:space="0" w:color="BFBFBF"/>
              <w:bottom w:val="single" w:sz="4" w:space="0" w:color="BFBFBF"/>
              <w:right w:val="single" w:sz="4" w:space="0" w:color="BFBFBF"/>
            </w:tcBorders>
          </w:tcPr>
          <w:p w14:paraId="26D6237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001A6C5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506ADEFA" w14:textId="77777777">
        <w:tc>
          <w:tcPr>
            <w:tcW w:w="2338" w:type="dxa"/>
            <w:vMerge w:val="restart"/>
            <w:tcBorders>
              <w:top w:val="single" w:sz="4" w:space="0" w:color="BFBFBF"/>
              <w:left w:val="single" w:sz="4" w:space="0" w:color="BFBFBF"/>
              <w:right w:val="single" w:sz="4" w:space="0" w:color="BFBFBF"/>
            </w:tcBorders>
          </w:tcPr>
          <w:p w14:paraId="6C60556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Milk storage method</w:t>
            </w:r>
          </w:p>
          <w:p w14:paraId="46BA2480" w14:textId="77777777" w:rsidR="00E818A8" w:rsidRPr="00125DFB" w:rsidRDefault="00E818A8" w:rsidP="001E0F51">
            <w:pPr>
              <w:spacing w:line="360" w:lineRule="auto"/>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6E170FC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Left at room temperature</w:t>
            </w:r>
          </w:p>
        </w:tc>
        <w:tc>
          <w:tcPr>
            <w:tcW w:w="2337" w:type="dxa"/>
            <w:tcBorders>
              <w:top w:val="single" w:sz="4" w:space="0" w:color="BFBFBF"/>
              <w:left w:val="single" w:sz="4" w:space="0" w:color="BFBFBF"/>
              <w:bottom w:val="single" w:sz="4" w:space="0" w:color="BFBFBF"/>
              <w:right w:val="single" w:sz="4" w:space="0" w:color="BFBFBF"/>
            </w:tcBorders>
          </w:tcPr>
          <w:p w14:paraId="05C41D0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4F998AB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06EEB16B" w14:textId="77777777">
        <w:tc>
          <w:tcPr>
            <w:tcW w:w="2338" w:type="dxa"/>
            <w:vMerge/>
            <w:tcBorders>
              <w:left w:val="single" w:sz="4" w:space="0" w:color="BFBFBF"/>
              <w:right w:val="single" w:sz="4" w:space="0" w:color="BFBFBF"/>
            </w:tcBorders>
          </w:tcPr>
          <w:p w14:paraId="2EF8F08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F2FCDA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Refrigerated</w:t>
            </w:r>
          </w:p>
        </w:tc>
        <w:tc>
          <w:tcPr>
            <w:tcW w:w="2337" w:type="dxa"/>
            <w:tcBorders>
              <w:top w:val="single" w:sz="4" w:space="0" w:color="BFBFBF"/>
              <w:left w:val="single" w:sz="4" w:space="0" w:color="BFBFBF"/>
              <w:bottom w:val="single" w:sz="4" w:space="0" w:color="BFBFBF"/>
              <w:right w:val="single" w:sz="4" w:space="0" w:color="BFBFBF"/>
            </w:tcBorders>
          </w:tcPr>
          <w:p w14:paraId="07F2118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7" w:type="dxa"/>
            <w:tcBorders>
              <w:top w:val="single" w:sz="4" w:space="0" w:color="BFBFBF"/>
              <w:left w:val="single" w:sz="4" w:space="0" w:color="BFBFBF"/>
              <w:bottom w:val="single" w:sz="4" w:space="0" w:color="BFBFBF"/>
              <w:right w:val="single" w:sz="4" w:space="0" w:color="BFBFBF"/>
            </w:tcBorders>
          </w:tcPr>
          <w:p w14:paraId="6C97644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33625574" w14:textId="77777777">
        <w:tc>
          <w:tcPr>
            <w:tcW w:w="2338" w:type="dxa"/>
            <w:vMerge/>
            <w:tcBorders>
              <w:left w:val="single" w:sz="4" w:space="0" w:color="BFBFBF"/>
              <w:bottom w:val="single" w:sz="4" w:space="0" w:color="BFBFBF"/>
              <w:right w:val="single" w:sz="4" w:space="0" w:color="BFBFBF"/>
            </w:tcBorders>
          </w:tcPr>
          <w:p w14:paraId="0E18FD3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6FB6C1F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Immediately boiled</w:t>
            </w:r>
          </w:p>
        </w:tc>
        <w:tc>
          <w:tcPr>
            <w:tcW w:w="2337" w:type="dxa"/>
            <w:tcBorders>
              <w:top w:val="single" w:sz="4" w:space="0" w:color="BFBFBF"/>
              <w:left w:val="single" w:sz="4" w:space="0" w:color="BFBFBF"/>
              <w:bottom w:val="single" w:sz="4" w:space="0" w:color="BFBFBF"/>
              <w:right w:val="single" w:sz="4" w:space="0" w:color="BFBFBF"/>
            </w:tcBorders>
          </w:tcPr>
          <w:p w14:paraId="513B967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7608319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7FB6C701" w14:textId="77777777">
        <w:tc>
          <w:tcPr>
            <w:tcW w:w="2338" w:type="dxa"/>
            <w:vMerge w:val="restart"/>
            <w:tcBorders>
              <w:top w:val="single" w:sz="4" w:space="0" w:color="BFBFBF"/>
              <w:left w:val="single" w:sz="4" w:space="0" w:color="BFBFBF"/>
              <w:right w:val="single" w:sz="4" w:space="0" w:color="BFBFBF"/>
            </w:tcBorders>
          </w:tcPr>
          <w:p w14:paraId="5E750B9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 you clean the udder before milking</w:t>
            </w:r>
          </w:p>
        </w:tc>
        <w:tc>
          <w:tcPr>
            <w:tcW w:w="2338" w:type="dxa"/>
            <w:tcBorders>
              <w:top w:val="single" w:sz="4" w:space="0" w:color="BFBFBF"/>
              <w:left w:val="single" w:sz="4" w:space="0" w:color="BFBFBF"/>
              <w:bottom w:val="single" w:sz="4" w:space="0" w:color="BFBFBF"/>
              <w:right w:val="single" w:sz="4" w:space="0" w:color="BFBFBF"/>
            </w:tcBorders>
          </w:tcPr>
          <w:p w14:paraId="4B4AB8D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 cleaning</w:t>
            </w:r>
          </w:p>
        </w:tc>
        <w:tc>
          <w:tcPr>
            <w:tcW w:w="2337" w:type="dxa"/>
            <w:tcBorders>
              <w:top w:val="single" w:sz="4" w:space="0" w:color="BFBFBF"/>
              <w:left w:val="single" w:sz="4" w:space="0" w:color="BFBFBF"/>
              <w:bottom w:val="single" w:sz="4" w:space="0" w:color="BFBFBF"/>
              <w:right w:val="single" w:sz="4" w:space="0" w:color="BFBFBF"/>
            </w:tcBorders>
          </w:tcPr>
          <w:p w14:paraId="0CA2A65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337" w:type="dxa"/>
            <w:tcBorders>
              <w:top w:val="single" w:sz="4" w:space="0" w:color="BFBFBF"/>
              <w:left w:val="single" w:sz="4" w:space="0" w:color="BFBFBF"/>
              <w:bottom w:val="single" w:sz="4" w:space="0" w:color="BFBFBF"/>
              <w:right w:val="single" w:sz="4" w:space="0" w:color="BFBFBF"/>
            </w:tcBorders>
          </w:tcPr>
          <w:p w14:paraId="56D3357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3BF2D558" w14:textId="77777777">
        <w:tc>
          <w:tcPr>
            <w:tcW w:w="2338" w:type="dxa"/>
            <w:vMerge/>
            <w:tcBorders>
              <w:left w:val="single" w:sz="4" w:space="0" w:color="BFBFBF"/>
              <w:right w:val="single" w:sz="4" w:space="0" w:color="BFBFBF"/>
            </w:tcBorders>
          </w:tcPr>
          <w:p w14:paraId="21FD7B1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467A91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Wipe with cloth</w:t>
            </w:r>
          </w:p>
        </w:tc>
        <w:tc>
          <w:tcPr>
            <w:tcW w:w="2337" w:type="dxa"/>
            <w:tcBorders>
              <w:top w:val="single" w:sz="4" w:space="0" w:color="BFBFBF"/>
              <w:left w:val="single" w:sz="4" w:space="0" w:color="BFBFBF"/>
              <w:bottom w:val="single" w:sz="4" w:space="0" w:color="BFBFBF"/>
              <w:right w:val="single" w:sz="4" w:space="0" w:color="BFBFBF"/>
            </w:tcBorders>
          </w:tcPr>
          <w:p w14:paraId="67CE0C9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66C558F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7098F03A" w14:textId="77777777">
        <w:tc>
          <w:tcPr>
            <w:tcW w:w="2338" w:type="dxa"/>
            <w:vMerge/>
            <w:tcBorders>
              <w:left w:val="single" w:sz="4" w:space="0" w:color="BFBFBF"/>
              <w:right w:val="single" w:sz="4" w:space="0" w:color="BFBFBF"/>
            </w:tcBorders>
          </w:tcPr>
          <w:p w14:paraId="6DEF7419"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645C8D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Wash with water</w:t>
            </w:r>
          </w:p>
        </w:tc>
        <w:tc>
          <w:tcPr>
            <w:tcW w:w="2337" w:type="dxa"/>
            <w:tcBorders>
              <w:top w:val="single" w:sz="4" w:space="0" w:color="BFBFBF"/>
              <w:left w:val="single" w:sz="4" w:space="0" w:color="BFBFBF"/>
              <w:bottom w:val="single" w:sz="4" w:space="0" w:color="BFBFBF"/>
              <w:right w:val="single" w:sz="4" w:space="0" w:color="BFBFBF"/>
            </w:tcBorders>
          </w:tcPr>
          <w:p w14:paraId="0E3686F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25</w:t>
            </w:r>
          </w:p>
        </w:tc>
        <w:tc>
          <w:tcPr>
            <w:tcW w:w="2337" w:type="dxa"/>
            <w:tcBorders>
              <w:top w:val="single" w:sz="4" w:space="0" w:color="BFBFBF"/>
              <w:left w:val="single" w:sz="4" w:space="0" w:color="BFBFBF"/>
              <w:bottom w:val="single" w:sz="4" w:space="0" w:color="BFBFBF"/>
              <w:right w:val="single" w:sz="4" w:space="0" w:color="BFBFBF"/>
            </w:tcBorders>
          </w:tcPr>
          <w:p w14:paraId="5CE5A28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16.7%</w:t>
            </w:r>
          </w:p>
        </w:tc>
      </w:tr>
      <w:tr w:rsidR="00E818A8" w:rsidRPr="00125DFB" w14:paraId="412BC88C" w14:textId="77777777">
        <w:tc>
          <w:tcPr>
            <w:tcW w:w="2338" w:type="dxa"/>
            <w:vMerge/>
            <w:tcBorders>
              <w:left w:val="single" w:sz="4" w:space="0" w:color="BFBFBF"/>
              <w:bottom w:val="single" w:sz="4" w:space="0" w:color="BFBFBF"/>
              <w:right w:val="single" w:sz="4" w:space="0" w:color="BFBFBF"/>
            </w:tcBorders>
          </w:tcPr>
          <w:p w14:paraId="3644E37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BD6685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Wash with soap and water</w:t>
            </w:r>
          </w:p>
        </w:tc>
        <w:tc>
          <w:tcPr>
            <w:tcW w:w="2337" w:type="dxa"/>
            <w:tcBorders>
              <w:top w:val="single" w:sz="4" w:space="0" w:color="BFBFBF"/>
              <w:left w:val="single" w:sz="4" w:space="0" w:color="BFBFBF"/>
              <w:bottom w:val="single" w:sz="4" w:space="0" w:color="BFBFBF"/>
              <w:right w:val="single" w:sz="4" w:space="0" w:color="BFBFBF"/>
            </w:tcBorders>
          </w:tcPr>
          <w:p w14:paraId="3B6E19A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w:t>
            </w:r>
          </w:p>
        </w:tc>
        <w:tc>
          <w:tcPr>
            <w:tcW w:w="2337" w:type="dxa"/>
            <w:tcBorders>
              <w:top w:val="single" w:sz="4" w:space="0" w:color="BFBFBF"/>
              <w:left w:val="single" w:sz="4" w:space="0" w:color="BFBFBF"/>
              <w:bottom w:val="single" w:sz="4" w:space="0" w:color="BFBFBF"/>
              <w:right w:val="single" w:sz="4" w:space="0" w:color="BFBFBF"/>
            </w:tcBorders>
          </w:tcPr>
          <w:p w14:paraId="09DB67D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w:t>
            </w:r>
          </w:p>
        </w:tc>
      </w:tr>
      <w:tr w:rsidR="00E818A8" w:rsidRPr="00125DFB" w14:paraId="5BEA0DA4" w14:textId="77777777">
        <w:tc>
          <w:tcPr>
            <w:tcW w:w="2338" w:type="dxa"/>
            <w:vMerge w:val="restart"/>
            <w:tcBorders>
              <w:top w:val="single" w:sz="4" w:space="0" w:color="BFBFBF"/>
              <w:left w:val="single" w:sz="4" w:space="0" w:color="BFBFBF"/>
              <w:right w:val="single" w:sz="4" w:space="0" w:color="BFBFBF"/>
            </w:tcBorders>
          </w:tcPr>
          <w:p w14:paraId="47B97F1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 vendors boil milk before selling</w:t>
            </w:r>
          </w:p>
        </w:tc>
        <w:tc>
          <w:tcPr>
            <w:tcW w:w="2338" w:type="dxa"/>
            <w:tcBorders>
              <w:top w:val="single" w:sz="4" w:space="0" w:color="BFBFBF"/>
              <w:left w:val="single" w:sz="4" w:space="0" w:color="BFBFBF"/>
              <w:bottom w:val="single" w:sz="4" w:space="0" w:color="BFBFBF"/>
              <w:right w:val="single" w:sz="4" w:space="0" w:color="BFBFBF"/>
            </w:tcBorders>
          </w:tcPr>
          <w:p w14:paraId="324DAC9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Never</w:t>
            </w:r>
          </w:p>
        </w:tc>
        <w:tc>
          <w:tcPr>
            <w:tcW w:w="2337" w:type="dxa"/>
            <w:tcBorders>
              <w:top w:val="single" w:sz="4" w:space="0" w:color="BFBFBF"/>
              <w:left w:val="single" w:sz="4" w:space="0" w:color="BFBFBF"/>
              <w:bottom w:val="single" w:sz="4" w:space="0" w:color="BFBFBF"/>
              <w:right w:val="single" w:sz="4" w:space="0" w:color="BFBFBF"/>
            </w:tcBorders>
          </w:tcPr>
          <w:p w14:paraId="68E1D8E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3B4B899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0E250F4B" w14:textId="77777777">
        <w:tc>
          <w:tcPr>
            <w:tcW w:w="2338" w:type="dxa"/>
            <w:vMerge/>
            <w:tcBorders>
              <w:left w:val="single" w:sz="4" w:space="0" w:color="BFBFBF"/>
              <w:right w:val="single" w:sz="4" w:space="0" w:color="BFBFBF"/>
            </w:tcBorders>
          </w:tcPr>
          <w:p w14:paraId="3D1A37BA"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1D8AAA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Sometimes</w:t>
            </w:r>
          </w:p>
        </w:tc>
        <w:tc>
          <w:tcPr>
            <w:tcW w:w="2337" w:type="dxa"/>
            <w:tcBorders>
              <w:top w:val="single" w:sz="4" w:space="0" w:color="BFBFBF"/>
              <w:left w:val="single" w:sz="4" w:space="0" w:color="BFBFBF"/>
              <w:bottom w:val="single" w:sz="4" w:space="0" w:color="BFBFBF"/>
              <w:right w:val="single" w:sz="4" w:space="0" w:color="BFBFBF"/>
            </w:tcBorders>
          </w:tcPr>
          <w:p w14:paraId="601842A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35</w:t>
            </w:r>
          </w:p>
        </w:tc>
        <w:tc>
          <w:tcPr>
            <w:tcW w:w="2337" w:type="dxa"/>
            <w:tcBorders>
              <w:top w:val="single" w:sz="4" w:space="0" w:color="BFBFBF"/>
              <w:left w:val="single" w:sz="4" w:space="0" w:color="BFBFBF"/>
              <w:bottom w:val="single" w:sz="4" w:space="0" w:color="BFBFBF"/>
              <w:right w:val="single" w:sz="4" w:space="0" w:color="BFBFBF"/>
            </w:tcBorders>
          </w:tcPr>
          <w:p w14:paraId="1DC0F28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23.3%</w:t>
            </w:r>
          </w:p>
        </w:tc>
      </w:tr>
      <w:tr w:rsidR="00E818A8" w:rsidRPr="00125DFB" w14:paraId="2FE120BF" w14:textId="77777777">
        <w:tc>
          <w:tcPr>
            <w:tcW w:w="2338" w:type="dxa"/>
            <w:vMerge/>
            <w:tcBorders>
              <w:left w:val="single" w:sz="4" w:space="0" w:color="BFBFBF"/>
              <w:bottom w:val="single" w:sz="4" w:space="0" w:color="BFBFBF"/>
              <w:right w:val="single" w:sz="4" w:space="0" w:color="BFBFBF"/>
            </w:tcBorders>
          </w:tcPr>
          <w:p w14:paraId="3EC8797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BE81C6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Always</w:t>
            </w:r>
          </w:p>
        </w:tc>
        <w:tc>
          <w:tcPr>
            <w:tcW w:w="2337" w:type="dxa"/>
            <w:tcBorders>
              <w:top w:val="single" w:sz="4" w:space="0" w:color="BFBFBF"/>
              <w:left w:val="single" w:sz="4" w:space="0" w:color="BFBFBF"/>
              <w:bottom w:val="single" w:sz="4" w:space="0" w:color="BFBFBF"/>
              <w:right w:val="single" w:sz="4" w:space="0" w:color="BFBFBF"/>
            </w:tcBorders>
          </w:tcPr>
          <w:p w14:paraId="0295626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15</w:t>
            </w:r>
          </w:p>
        </w:tc>
        <w:tc>
          <w:tcPr>
            <w:tcW w:w="2337" w:type="dxa"/>
            <w:tcBorders>
              <w:top w:val="single" w:sz="4" w:space="0" w:color="BFBFBF"/>
              <w:left w:val="single" w:sz="4" w:space="0" w:color="BFBFBF"/>
              <w:bottom w:val="single" w:sz="4" w:space="0" w:color="BFBFBF"/>
              <w:right w:val="single" w:sz="4" w:space="0" w:color="BFBFBF"/>
            </w:tcBorders>
          </w:tcPr>
          <w:p w14:paraId="37ED910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r>
    </w:tbl>
    <w:p w14:paraId="6AB20525" w14:textId="77777777" w:rsidR="00E818A8" w:rsidRPr="00125DFB" w:rsidRDefault="005F3352" w:rsidP="001E0F51">
      <w:pPr>
        <w:spacing w:before="40" w:line="360" w:lineRule="auto"/>
        <w:rPr>
          <w:rFonts w:ascii="Times New Roman" w:hAnsi="Times New Roman" w:cs="Times New Roman"/>
          <w:b/>
          <w:sz w:val="26"/>
          <w:szCs w:val="26"/>
        </w:rPr>
      </w:pPr>
      <w:r w:rsidRPr="00125DFB">
        <w:rPr>
          <w:rFonts w:ascii="Times New Roman" w:hAnsi="Times New Roman" w:cs="Times New Roman"/>
          <w:b/>
          <w:sz w:val="26"/>
          <w:szCs w:val="26"/>
        </w:rPr>
        <w:t>Field survey, 2025.</w:t>
      </w:r>
    </w:p>
    <w:p w14:paraId="4A7C3A67" w14:textId="77777777" w:rsidR="00E818A8" w:rsidRPr="00125DFB" w:rsidRDefault="00E818A8" w:rsidP="001E0F51">
      <w:pPr>
        <w:spacing w:before="200" w:after="80" w:line="360" w:lineRule="auto"/>
        <w:rPr>
          <w:rFonts w:ascii="Times New Roman" w:hAnsi="Times New Roman" w:cs="Times New Roman"/>
          <w:b/>
          <w:sz w:val="26"/>
          <w:szCs w:val="26"/>
        </w:rPr>
      </w:pPr>
    </w:p>
    <w:p w14:paraId="1AD952B8"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Attitudes and Barriers to Milk Safety</w:t>
      </w:r>
    </w:p>
    <w:p w14:paraId="1E471365"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4. presents respondents' attitudes towards milk safety and barriers to safe practices.</w:t>
      </w:r>
    </w:p>
    <w:p w14:paraId="27BFC629"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4. Attitudes and Barriers to Milk Safety (N = 150)</w:t>
      </w:r>
    </w:p>
    <w:tbl>
      <w:tblPr>
        <w:tblStyle w:val="TableGrid"/>
        <w:tblW w:w="9350" w:type="dxa"/>
        <w:tblInd w:w="-15" w:type="dxa"/>
        <w:tblLook w:val="04A0" w:firstRow="1" w:lastRow="0" w:firstColumn="1" w:lastColumn="0" w:noHBand="0" w:noVBand="1"/>
      </w:tblPr>
      <w:tblGrid>
        <w:gridCol w:w="2336"/>
        <w:gridCol w:w="2338"/>
        <w:gridCol w:w="2338"/>
        <w:gridCol w:w="2338"/>
      </w:tblGrid>
      <w:tr w:rsidR="00E818A8" w:rsidRPr="00125DFB" w14:paraId="6A657EE1" w14:textId="77777777">
        <w:tc>
          <w:tcPr>
            <w:tcW w:w="2336" w:type="dxa"/>
            <w:tcBorders>
              <w:top w:val="single" w:sz="6" w:space="0" w:color="2E7D52"/>
              <w:left w:val="single" w:sz="6" w:space="0" w:color="2E7D52"/>
              <w:bottom w:val="single" w:sz="6" w:space="0" w:color="2E7D52"/>
              <w:right w:val="single" w:sz="6" w:space="0" w:color="2E7D52"/>
            </w:tcBorders>
          </w:tcPr>
          <w:p w14:paraId="0321DCC7"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8" w:type="dxa"/>
            <w:tcBorders>
              <w:top w:val="single" w:sz="6" w:space="0" w:color="2E7D52"/>
              <w:left w:val="single" w:sz="6" w:space="0" w:color="2E7D52"/>
              <w:bottom w:val="single" w:sz="6" w:space="0" w:color="2E7D52"/>
              <w:right w:val="single" w:sz="6" w:space="0" w:color="2E7D52"/>
            </w:tcBorders>
          </w:tcPr>
          <w:p w14:paraId="451F758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8" w:type="dxa"/>
            <w:tcBorders>
              <w:top w:val="single" w:sz="6" w:space="0" w:color="2E7D52"/>
              <w:left w:val="single" w:sz="6" w:space="0" w:color="2E7D52"/>
              <w:bottom w:val="single" w:sz="6" w:space="0" w:color="2E7D52"/>
              <w:right w:val="single" w:sz="6" w:space="0" w:color="2E7D52"/>
            </w:tcBorders>
          </w:tcPr>
          <w:p w14:paraId="62EC1DC6"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8" w:type="dxa"/>
            <w:tcBorders>
              <w:top w:val="single" w:sz="6" w:space="0" w:color="2E7D52"/>
              <w:left w:val="single" w:sz="6" w:space="0" w:color="2E7D52"/>
              <w:bottom w:val="single" w:sz="6" w:space="0" w:color="2E7D52"/>
              <w:right w:val="single" w:sz="6" w:space="0" w:color="2E7D52"/>
            </w:tcBorders>
          </w:tcPr>
          <w:p w14:paraId="173F1717"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3353DAA1" w14:textId="77777777">
        <w:tc>
          <w:tcPr>
            <w:tcW w:w="2336" w:type="dxa"/>
            <w:vMerge w:val="restart"/>
            <w:tcBorders>
              <w:top w:val="single" w:sz="4" w:space="0" w:color="BFBFBF"/>
              <w:left w:val="single" w:sz="4" w:space="0" w:color="BFBFBF"/>
              <w:right w:val="single" w:sz="4" w:space="0" w:color="BFBFBF"/>
            </w:tcBorders>
          </w:tcPr>
          <w:p w14:paraId="52C1806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What safety practices do you follow</w:t>
            </w:r>
          </w:p>
        </w:tc>
        <w:tc>
          <w:tcPr>
            <w:tcW w:w="2338" w:type="dxa"/>
            <w:tcBorders>
              <w:top w:val="single" w:sz="4" w:space="0" w:color="BFBFBF"/>
              <w:left w:val="single" w:sz="4" w:space="0" w:color="BFBFBF"/>
              <w:bottom w:val="single" w:sz="4" w:space="0" w:color="BFBFBF"/>
              <w:right w:val="single" w:sz="4" w:space="0" w:color="BFBFBF"/>
            </w:tcBorders>
          </w:tcPr>
          <w:p w14:paraId="646833F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Always boil milk</w:t>
            </w:r>
          </w:p>
        </w:tc>
        <w:tc>
          <w:tcPr>
            <w:tcW w:w="2338" w:type="dxa"/>
            <w:tcBorders>
              <w:top w:val="single" w:sz="4" w:space="0" w:color="BFBFBF"/>
              <w:left w:val="single" w:sz="4" w:space="0" w:color="BFBFBF"/>
              <w:bottom w:val="single" w:sz="4" w:space="0" w:color="BFBFBF"/>
              <w:right w:val="single" w:sz="4" w:space="0" w:color="BFBFBF"/>
            </w:tcBorders>
          </w:tcPr>
          <w:p w14:paraId="0C9E027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35</w:t>
            </w:r>
          </w:p>
        </w:tc>
        <w:tc>
          <w:tcPr>
            <w:tcW w:w="2338" w:type="dxa"/>
            <w:tcBorders>
              <w:top w:val="single" w:sz="4" w:space="0" w:color="BFBFBF"/>
              <w:left w:val="single" w:sz="4" w:space="0" w:color="BFBFBF"/>
              <w:bottom w:val="single" w:sz="4" w:space="0" w:color="BFBFBF"/>
              <w:right w:val="single" w:sz="4" w:space="0" w:color="BFBFBF"/>
            </w:tcBorders>
          </w:tcPr>
          <w:p w14:paraId="24D2500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23.3%</w:t>
            </w:r>
          </w:p>
        </w:tc>
      </w:tr>
      <w:tr w:rsidR="00E818A8" w:rsidRPr="00125DFB" w14:paraId="1FD0470B" w14:textId="77777777">
        <w:tc>
          <w:tcPr>
            <w:tcW w:w="2336" w:type="dxa"/>
            <w:vMerge/>
            <w:tcBorders>
              <w:left w:val="single" w:sz="4" w:space="0" w:color="BFBFBF"/>
              <w:right w:val="single" w:sz="4" w:space="0" w:color="BFBFBF"/>
            </w:tcBorders>
          </w:tcPr>
          <w:p w14:paraId="32F72908"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EEDE9E1"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Avoid milk from sick animals</w:t>
            </w:r>
          </w:p>
        </w:tc>
        <w:tc>
          <w:tcPr>
            <w:tcW w:w="2338" w:type="dxa"/>
            <w:tcBorders>
              <w:top w:val="single" w:sz="4" w:space="0" w:color="BFBFBF"/>
              <w:left w:val="single" w:sz="4" w:space="0" w:color="BFBFBF"/>
              <w:bottom w:val="single" w:sz="4" w:space="0" w:color="BFBFBF"/>
              <w:right w:val="single" w:sz="4" w:space="0" w:color="BFBFBF"/>
            </w:tcBorders>
          </w:tcPr>
          <w:p w14:paraId="18322BA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70</w:t>
            </w:r>
          </w:p>
        </w:tc>
        <w:tc>
          <w:tcPr>
            <w:tcW w:w="2338" w:type="dxa"/>
            <w:tcBorders>
              <w:top w:val="single" w:sz="4" w:space="0" w:color="BFBFBF"/>
              <w:left w:val="single" w:sz="4" w:space="0" w:color="BFBFBF"/>
              <w:bottom w:val="single" w:sz="4" w:space="0" w:color="BFBFBF"/>
              <w:right w:val="single" w:sz="4" w:space="0" w:color="BFBFBF"/>
            </w:tcBorders>
          </w:tcPr>
          <w:p w14:paraId="57C0F05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46.7%</w:t>
            </w:r>
          </w:p>
        </w:tc>
      </w:tr>
      <w:tr w:rsidR="00E818A8" w:rsidRPr="00125DFB" w14:paraId="03F5B4C7" w14:textId="77777777">
        <w:tc>
          <w:tcPr>
            <w:tcW w:w="2336" w:type="dxa"/>
            <w:vMerge/>
            <w:tcBorders>
              <w:left w:val="single" w:sz="4" w:space="0" w:color="BFBFBF"/>
              <w:bottom w:val="single" w:sz="4" w:space="0" w:color="BFBFBF"/>
              <w:right w:val="single" w:sz="4" w:space="0" w:color="BFBFBF"/>
            </w:tcBorders>
          </w:tcPr>
          <w:p w14:paraId="14422EE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4A0D95A7"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 specific practices</w:t>
            </w:r>
          </w:p>
        </w:tc>
        <w:tc>
          <w:tcPr>
            <w:tcW w:w="2338" w:type="dxa"/>
            <w:tcBorders>
              <w:top w:val="single" w:sz="4" w:space="0" w:color="BFBFBF"/>
              <w:left w:val="single" w:sz="4" w:space="0" w:color="BFBFBF"/>
              <w:bottom w:val="single" w:sz="4" w:space="0" w:color="BFBFBF"/>
              <w:right w:val="single" w:sz="4" w:space="0" w:color="BFBFBF"/>
            </w:tcBorders>
          </w:tcPr>
          <w:p w14:paraId="063303A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8" w:type="dxa"/>
            <w:tcBorders>
              <w:top w:val="single" w:sz="4" w:space="0" w:color="BFBFBF"/>
              <w:left w:val="single" w:sz="4" w:space="0" w:color="BFBFBF"/>
              <w:bottom w:val="single" w:sz="4" w:space="0" w:color="BFBFBF"/>
              <w:right w:val="single" w:sz="4" w:space="0" w:color="BFBFBF"/>
            </w:tcBorders>
          </w:tcPr>
          <w:p w14:paraId="6E2106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3A9EB094" w14:textId="77777777">
        <w:tc>
          <w:tcPr>
            <w:tcW w:w="2336" w:type="dxa"/>
            <w:vMerge w:val="restart"/>
            <w:tcBorders>
              <w:top w:val="single" w:sz="4" w:space="0" w:color="BFBFBF"/>
              <w:left w:val="single" w:sz="4" w:space="0" w:color="BFBFBF"/>
              <w:right w:val="single" w:sz="4" w:space="0" w:color="BFBFBF"/>
            </w:tcBorders>
          </w:tcPr>
          <w:p w14:paraId="0424E92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What are the barriers to safe milk handling</w:t>
            </w:r>
          </w:p>
        </w:tc>
        <w:tc>
          <w:tcPr>
            <w:tcW w:w="2338" w:type="dxa"/>
            <w:tcBorders>
              <w:top w:val="single" w:sz="4" w:space="0" w:color="BFBFBF"/>
              <w:left w:val="single" w:sz="4" w:space="0" w:color="BFBFBF"/>
              <w:bottom w:val="single" w:sz="4" w:space="0" w:color="BFBFBF"/>
              <w:right w:val="single" w:sz="4" w:space="0" w:color="BFBFBF"/>
            </w:tcBorders>
          </w:tcPr>
          <w:p w14:paraId="1711FD47"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Lack of knowledge</w:t>
            </w:r>
          </w:p>
        </w:tc>
        <w:tc>
          <w:tcPr>
            <w:tcW w:w="2338" w:type="dxa"/>
            <w:tcBorders>
              <w:top w:val="single" w:sz="4" w:space="0" w:color="BFBFBF"/>
              <w:left w:val="single" w:sz="4" w:space="0" w:color="BFBFBF"/>
              <w:bottom w:val="single" w:sz="4" w:space="0" w:color="BFBFBF"/>
              <w:right w:val="single" w:sz="4" w:space="0" w:color="BFBFBF"/>
            </w:tcBorders>
          </w:tcPr>
          <w:p w14:paraId="282E3A6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120</w:t>
            </w:r>
          </w:p>
        </w:tc>
        <w:tc>
          <w:tcPr>
            <w:tcW w:w="2338" w:type="dxa"/>
            <w:tcBorders>
              <w:top w:val="single" w:sz="4" w:space="0" w:color="BFBFBF"/>
              <w:left w:val="single" w:sz="4" w:space="0" w:color="BFBFBF"/>
              <w:bottom w:val="single" w:sz="4" w:space="0" w:color="BFBFBF"/>
              <w:right w:val="single" w:sz="4" w:space="0" w:color="BFBFBF"/>
            </w:tcBorders>
          </w:tcPr>
          <w:p w14:paraId="108432D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80.0%</w:t>
            </w:r>
          </w:p>
        </w:tc>
      </w:tr>
      <w:tr w:rsidR="00E818A8" w:rsidRPr="00125DFB" w14:paraId="2A9077F5" w14:textId="77777777">
        <w:tc>
          <w:tcPr>
            <w:tcW w:w="2336" w:type="dxa"/>
            <w:vMerge/>
            <w:tcBorders>
              <w:left w:val="single" w:sz="4" w:space="0" w:color="BFBFBF"/>
              <w:right w:val="single" w:sz="4" w:space="0" w:color="BFBFBF"/>
            </w:tcBorders>
          </w:tcPr>
          <w:p w14:paraId="74E8F52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2810EB4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Fuel cost for boiling</w:t>
            </w:r>
          </w:p>
        </w:tc>
        <w:tc>
          <w:tcPr>
            <w:tcW w:w="2338" w:type="dxa"/>
            <w:tcBorders>
              <w:top w:val="single" w:sz="4" w:space="0" w:color="BFBFBF"/>
              <w:left w:val="single" w:sz="4" w:space="0" w:color="BFBFBF"/>
              <w:bottom w:val="single" w:sz="4" w:space="0" w:color="BFBFBF"/>
              <w:right w:val="single" w:sz="4" w:space="0" w:color="BFBFBF"/>
            </w:tcBorders>
          </w:tcPr>
          <w:p w14:paraId="2C1DBE4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8" w:type="dxa"/>
            <w:tcBorders>
              <w:top w:val="single" w:sz="4" w:space="0" w:color="BFBFBF"/>
              <w:left w:val="single" w:sz="4" w:space="0" w:color="BFBFBF"/>
              <w:bottom w:val="single" w:sz="4" w:space="0" w:color="BFBFBF"/>
              <w:right w:val="single" w:sz="4" w:space="0" w:color="BFBFBF"/>
            </w:tcBorders>
          </w:tcPr>
          <w:p w14:paraId="0C18B2C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1D869499" w14:textId="77777777">
        <w:tc>
          <w:tcPr>
            <w:tcW w:w="2336" w:type="dxa"/>
            <w:vMerge/>
            <w:tcBorders>
              <w:left w:val="single" w:sz="4" w:space="0" w:color="BFBFBF"/>
              <w:right w:val="single" w:sz="4" w:space="0" w:color="BFBFBF"/>
            </w:tcBorders>
          </w:tcPr>
          <w:p w14:paraId="0356B3CC"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03C38A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Cultural beliefs</w:t>
            </w:r>
          </w:p>
        </w:tc>
        <w:tc>
          <w:tcPr>
            <w:tcW w:w="2338" w:type="dxa"/>
            <w:tcBorders>
              <w:top w:val="single" w:sz="4" w:space="0" w:color="BFBFBF"/>
              <w:left w:val="single" w:sz="4" w:space="0" w:color="BFBFBF"/>
              <w:bottom w:val="single" w:sz="4" w:space="0" w:color="BFBFBF"/>
              <w:right w:val="single" w:sz="4" w:space="0" w:color="BFBFBF"/>
            </w:tcBorders>
          </w:tcPr>
          <w:p w14:paraId="11564A9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8" w:type="dxa"/>
            <w:tcBorders>
              <w:top w:val="single" w:sz="4" w:space="0" w:color="BFBFBF"/>
              <w:left w:val="single" w:sz="4" w:space="0" w:color="BFBFBF"/>
              <w:bottom w:val="single" w:sz="4" w:space="0" w:color="BFBFBF"/>
              <w:right w:val="single" w:sz="4" w:space="0" w:color="BFBFBF"/>
            </w:tcBorders>
          </w:tcPr>
          <w:p w14:paraId="367765B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1E34B88A" w14:textId="77777777">
        <w:tc>
          <w:tcPr>
            <w:tcW w:w="2336" w:type="dxa"/>
            <w:vMerge/>
            <w:tcBorders>
              <w:left w:val="single" w:sz="4" w:space="0" w:color="BFBFBF"/>
              <w:bottom w:val="single" w:sz="4" w:space="0" w:color="BFBFBF"/>
              <w:right w:val="single" w:sz="4" w:space="0" w:color="BFBFBF"/>
            </w:tcBorders>
          </w:tcPr>
          <w:p w14:paraId="4EFF6701"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71F7EC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 perceived risk</w:t>
            </w:r>
          </w:p>
        </w:tc>
        <w:tc>
          <w:tcPr>
            <w:tcW w:w="2338" w:type="dxa"/>
            <w:tcBorders>
              <w:top w:val="single" w:sz="4" w:space="0" w:color="BFBFBF"/>
              <w:left w:val="single" w:sz="4" w:space="0" w:color="BFBFBF"/>
              <w:bottom w:val="single" w:sz="4" w:space="0" w:color="BFBFBF"/>
              <w:right w:val="single" w:sz="4" w:space="0" w:color="BFBFBF"/>
            </w:tcBorders>
          </w:tcPr>
          <w:p w14:paraId="4E4EB9C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8" w:type="dxa"/>
            <w:tcBorders>
              <w:top w:val="single" w:sz="4" w:space="0" w:color="BFBFBF"/>
              <w:left w:val="single" w:sz="4" w:space="0" w:color="BFBFBF"/>
              <w:bottom w:val="single" w:sz="4" w:space="0" w:color="BFBFBF"/>
              <w:right w:val="single" w:sz="4" w:space="0" w:color="BFBFBF"/>
            </w:tcBorders>
          </w:tcPr>
          <w:p w14:paraId="3D3B122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030B595D" w14:textId="77777777">
        <w:tc>
          <w:tcPr>
            <w:tcW w:w="2336" w:type="dxa"/>
            <w:vMerge w:val="restart"/>
            <w:tcBorders>
              <w:top w:val="single" w:sz="4" w:space="0" w:color="BFBFBF"/>
              <w:left w:val="single" w:sz="4" w:space="0" w:color="BFBFBF"/>
              <w:right w:val="single" w:sz="4" w:space="0" w:color="BFBFBF"/>
            </w:tcBorders>
          </w:tcPr>
          <w:p w14:paraId="6798537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Can sick animals cause illness in humans</w:t>
            </w:r>
          </w:p>
        </w:tc>
        <w:tc>
          <w:tcPr>
            <w:tcW w:w="2338" w:type="dxa"/>
            <w:tcBorders>
              <w:top w:val="single" w:sz="4" w:space="0" w:color="BFBFBF"/>
              <w:left w:val="single" w:sz="4" w:space="0" w:color="BFBFBF"/>
              <w:bottom w:val="single" w:sz="4" w:space="0" w:color="BFBFBF"/>
              <w:right w:val="single" w:sz="4" w:space="0" w:color="BFBFBF"/>
            </w:tcBorders>
          </w:tcPr>
          <w:p w14:paraId="59C69ABA"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8" w:type="dxa"/>
            <w:tcBorders>
              <w:top w:val="single" w:sz="4" w:space="0" w:color="BFBFBF"/>
              <w:left w:val="single" w:sz="4" w:space="0" w:color="BFBFBF"/>
              <w:bottom w:val="single" w:sz="4" w:space="0" w:color="BFBFBF"/>
              <w:right w:val="single" w:sz="4" w:space="0" w:color="BFBFBF"/>
            </w:tcBorders>
          </w:tcPr>
          <w:p w14:paraId="332AA8A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130</w:t>
            </w:r>
          </w:p>
        </w:tc>
        <w:tc>
          <w:tcPr>
            <w:tcW w:w="2338" w:type="dxa"/>
            <w:tcBorders>
              <w:top w:val="single" w:sz="4" w:space="0" w:color="BFBFBF"/>
              <w:left w:val="single" w:sz="4" w:space="0" w:color="BFBFBF"/>
              <w:bottom w:val="single" w:sz="4" w:space="0" w:color="BFBFBF"/>
              <w:right w:val="single" w:sz="4" w:space="0" w:color="BFBFBF"/>
            </w:tcBorders>
          </w:tcPr>
          <w:p w14:paraId="0694519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86.7%</w:t>
            </w:r>
          </w:p>
        </w:tc>
      </w:tr>
      <w:tr w:rsidR="00E818A8" w:rsidRPr="00125DFB" w14:paraId="2202A24D" w14:textId="77777777">
        <w:tc>
          <w:tcPr>
            <w:tcW w:w="2336" w:type="dxa"/>
            <w:vMerge/>
            <w:tcBorders>
              <w:left w:val="single" w:sz="4" w:space="0" w:color="BFBFBF"/>
              <w:right w:val="single" w:sz="4" w:space="0" w:color="BFBFBF"/>
            </w:tcBorders>
          </w:tcPr>
          <w:p w14:paraId="65700526"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5825DC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8" w:type="dxa"/>
            <w:tcBorders>
              <w:top w:val="single" w:sz="4" w:space="0" w:color="BFBFBF"/>
              <w:left w:val="single" w:sz="4" w:space="0" w:color="BFBFBF"/>
              <w:bottom w:val="single" w:sz="4" w:space="0" w:color="BFBFBF"/>
              <w:right w:val="single" w:sz="4" w:space="0" w:color="BFBFBF"/>
            </w:tcBorders>
          </w:tcPr>
          <w:p w14:paraId="45542CA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8" w:type="dxa"/>
            <w:tcBorders>
              <w:top w:val="single" w:sz="4" w:space="0" w:color="BFBFBF"/>
              <w:left w:val="single" w:sz="4" w:space="0" w:color="BFBFBF"/>
              <w:bottom w:val="single" w:sz="4" w:space="0" w:color="BFBFBF"/>
              <w:right w:val="single" w:sz="4" w:space="0" w:color="BFBFBF"/>
            </w:tcBorders>
          </w:tcPr>
          <w:p w14:paraId="4942C81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14CD168F" w14:textId="77777777">
        <w:tc>
          <w:tcPr>
            <w:tcW w:w="2336" w:type="dxa"/>
            <w:vMerge/>
            <w:tcBorders>
              <w:left w:val="single" w:sz="4" w:space="0" w:color="BFBFBF"/>
              <w:bottom w:val="single" w:sz="4" w:space="0" w:color="BFBFBF"/>
              <w:right w:val="single" w:sz="4" w:space="0" w:color="BFBFBF"/>
            </w:tcBorders>
          </w:tcPr>
          <w:p w14:paraId="5A19213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11B17A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8" w:type="dxa"/>
            <w:tcBorders>
              <w:top w:val="single" w:sz="4" w:space="0" w:color="BFBFBF"/>
              <w:left w:val="single" w:sz="4" w:space="0" w:color="BFBFBF"/>
              <w:bottom w:val="single" w:sz="4" w:space="0" w:color="BFBFBF"/>
              <w:right w:val="single" w:sz="4" w:space="0" w:color="BFBFBF"/>
            </w:tcBorders>
          </w:tcPr>
          <w:p w14:paraId="5766A2F4"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w:t>
            </w:r>
          </w:p>
        </w:tc>
        <w:tc>
          <w:tcPr>
            <w:tcW w:w="2338" w:type="dxa"/>
            <w:tcBorders>
              <w:top w:val="single" w:sz="4" w:space="0" w:color="BFBFBF"/>
              <w:left w:val="single" w:sz="4" w:space="0" w:color="BFBFBF"/>
              <w:bottom w:val="single" w:sz="4" w:space="0" w:color="BFBFBF"/>
              <w:right w:val="single" w:sz="4" w:space="0" w:color="BFBFBF"/>
            </w:tcBorders>
          </w:tcPr>
          <w:p w14:paraId="1786433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6.7%</w:t>
            </w:r>
          </w:p>
        </w:tc>
      </w:tr>
      <w:tr w:rsidR="00E818A8" w:rsidRPr="00125DFB" w14:paraId="7B19E5A1" w14:textId="77777777">
        <w:tc>
          <w:tcPr>
            <w:tcW w:w="2336" w:type="dxa"/>
            <w:vMerge w:val="restart"/>
            <w:tcBorders>
              <w:top w:val="single" w:sz="4" w:space="0" w:color="BFBFBF"/>
              <w:left w:val="single" w:sz="4" w:space="0" w:color="BFBFBF"/>
              <w:right w:val="single" w:sz="4" w:space="0" w:color="BFBFBF"/>
            </w:tcBorders>
          </w:tcPr>
          <w:p w14:paraId="1AE7184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Would you sell milk from a sick animal</w:t>
            </w:r>
          </w:p>
        </w:tc>
        <w:tc>
          <w:tcPr>
            <w:tcW w:w="2338" w:type="dxa"/>
            <w:tcBorders>
              <w:top w:val="single" w:sz="4" w:space="0" w:color="BFBFBF"/>
              <w:left w:val="single" w:sz="4" w:space="0" w:color="BFBFBF"/>
              <w:bottom w:val="single" w:sz="4" w:space="0" w:color="BFBFBF"/>
              <w:right w:val="single" w:sz="4" w:space="0" w:color="BFBFBF"/>
            </w:tcBorders>
          </w:tcPr>
          <w:p w14:paraId="2E9C568F"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8" w:type="dxa"/>
            <w:tcBorders>
              <w:top w:val="single" w:sz="4" w:space="0" w:color="BFBFBF"/>
              <w:left w:val="single" w:sz="4" w:space="0" w:color="BFBFBF"/>
              <w:bottom w:val="single" w:sz="4" w:space="0" w:color="BFBFBF"/>
              <w:right w:val="single" w:sz="4" w:space="0" w:color="BFBFBF"/>
            </w:tcBorders>
          </w:tcPr>
          <w:p w14:paraId="3EB166D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8" w:type="dxa"/>
            <w:tcBorders>
              <w:top w:val="single" w:sz="4" w:space="0" w:color="BFBFBF"/>
              <w:left w:val="single" w:sz="4" w:space="0" w:color="BFBFBF"/>
              <w:bottom w:val="single" w:sz="4" w:space="0" w:color="BFBFBF"/>
              <w:right w:val="single" w:sz="4" w:space="0" w:color="BFBFBF"/>
            </w:tcBorders>
          </w:tcPr>
          <w:p w14:paraId="36C33D7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70CBD3EF" w14:textId="77777777">
        <w:tc>
          <w:tcPr>
            <w:tcW w:w="2336" w:type="dxa"/>
            <w:vMerge/>
            <w:tcBorders>
              <w:left w:val="single" w:sz="4" w:space="0" w:color="BFBFBF"/>
              <w:right w:val="single" w:sz="4" w:space="0" w:color="BFBFBF"/>
            </w:tcBorders>
          </w:tcPr>
          <w:p w14:paraId="2B8B44CE"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18DB5B4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8" w:type="dxa"/>
            <w:tcBorders>
              <w:top w:val="single" w:sz="4" w:space="0" w:color="BFBFBF"/>
              <w:left w:val="single" w:sz="4" w:space="0" w:color="BFBFBF"/>
              <w:bottom w:val="single" w:sz="4" w:space="0" w:color="BFBFBF"/>
              <w:right w:val="single" w:sz="4" w:space="0" w:color="BFBFBF"/>
            </w:tcBorders>
          </w:tcPr>
          <w:p w14:paraId="324A188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30</w:t>
            </w:r>
          </w:p>
        </w:tc>
        <w:tc>
          <w:tcPr>
            <w:tcW w:w="2338" w:type="dxa"/>
            <w:tcBorders>
              <w:top w:val="single" w:sz="4" w:space="0" w:color="BFBFBF"/>
              <w:left w:val="single" w:sz="4" w:space="0" w:color="BFBFBF"/>
              <w:bottom w:val="single" w:sz="4" w:space="0" w:color="BFBFBF"/>
              <w:right w:val="single" w:sz="4" w:space="0" w:color="BFBFBF"/>
            </w:tcBorders>
          </w:tcPr>
          <w:p w14:paraId="5F9BA31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20.0%</w:t>
            </w:r>
          </w:p>
        </w:tc>
      </w:tr>
      <w:tr w:rsidR="00E818A8" w:rsidRPr="00125DFB" w14:paraId="5DFD2455" w14:textId="77777777">
        <w:tc>
          <w:tcPr>
            <w:tcW w:w="2336" w:type="dxa"/>
            <w:vMerge/>
            <w:tcBorders>
              <w:left w:val="single" w:sz="4" w:space="0" w:color="BFBFBF"/>
              <w:bottom w:val="single" w:sz="4" w:space="0" w:color="BFBFBF"/>
              <w:right w:val="single" w:sz="4" w:space="0" w:color="BFBFBF"/>
            </w:tcBorders>
          </w:tcPr>
          <w:p w14:paraId="568E755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3237FAF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Only after boiling</w:t>
            </w:r>
          </w:p>
        </w:tc>
        <w:tc>
          <w:tcPr>
            <w:tcW w:w="2338" w:type="dxa"/>
            <w:tcBorders>
              <w:top w:val="single" w:sz="4" w:space="0" w:color="BFBFBF"/>
              <w:left w:val="single" w:sz="4" w:space="0" w:color="BFBFBF"/>
              <w:bottom w:val="single" w:sz="4" w:space="0" w:color="BFBFBF"/>
              <w:right w:val="single" w:sz="4" w:space="0" w:color="BFBFBF"/>
            </w:tcBorders>
          </w:tcPr>
          <w:p w14:paraId="28A2F12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w:t>
            </w:r>
          </w:p>
        </w:tc>
        <w:tc>
          <w:tcPr>
            <w:tcW w:w="2338" w:type="dxa"/>
            <w:tcBorders>
              <w:top w:val="single" w:sz="4" w:space="0" w:color="BFBFBF"/>
              <w:left w:val="single" w:sz="4" w:space="0" w:color="BFBFBF"/>
              <w:bottom w:val="single" w:sz="4" w:space="0" w:color="BFBFBF"/>
              <w:right w:val="single" w:sz="4" w:space="0" w:color="BFBFBF"/>
            </w:tcBorders>
          </w:tcPr>
          <w:p w14:paraId="0E0B2E5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40.0%</w:t>
            </w:r>
          </w:p>
        </w:tc>
      </w:tr>
      <w:tr w:rsidR="00E818A8" w:rsidRPr="00125DFB" w14:paraId="52F43CC7" w14:textId="77777777">
        <w:tc>
          <w:tcPr>
            <w:tcW w:w="2336" w:type="dxa"/>
            <w:vMerge w:val="restart"/>
            <w:tcBorders>
              <w:top w:val="single" w:sz="4" w:space="0" w:color="BFBFBF"/>
              <w:left w:val="single" w:sz="4" w:space="0" w:color="BFBFBF"/>
              <w:right w:val="single" w:sz="4" w:space="0" w:color="BFBFBF"/>
            </w:tcBorders>
          </w:tcPr>
          <w:p w14:paraId="5367A63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Does boiling make milk safe to drink</w:t>
            </w:r>
          </w:p>
        </w:tc>
        <w:tc>
          <w:tcPr>
            <w:tcW w:w="2338" w:type="dxa"/>
            <w:tcBorders>
              <w:top w:val="single" w:sz="4" w:space="0" w:color="BFBFBF"/>
              <w:left w:val="single" w:sz="4" w:space="0" w:color="BFBFBF"/>
              <w:bottom w:val="single" w:sz="4" w:space="0" w:color="BFBFBF"/>
              <w:right w:val="single" w:sz="4" w:space="0" w:color="BFBFBF"/>
            </w:tcBorders>
          </w:tcPr>
          <w:p w14:paraId="4A60AE4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8" w:type="dxa"/>
            <w:tcBorders>
              <w:top w:val="single" w:sz="4" w:space="0" w:color="BFBFBF"/>
              <w:left w:val="single" w:sz="4" w:space="0" w:color="BFBFBF"/>
              <w:bottom w:val="single" w:sz="4" w:space="0" w:color="BFBFBF"/>
              <w:right w:val="single" w:sz="4" w:space="0" w:color="BFBFBF"/>
            </w:tcBorders>
          </w:tcPr>
          <w:p w14:paraId="7A0A9DE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125</w:t>
            </w:r>
          </w:p>
        </w:tc>
        <w:tc>
          <w:tcPr>
            <w:tcW w:w="2338" w:type="dxa"/>
            <w:tcBorders>
              <w:top w:val="single" w:sz="4" w:space="0" w:color="BFBFBF"/>
              <w:left w:val="single" w:sz="4" w:space="0" w:color="BFBFBF"/>
              <w:bottom w:val="single" w:sz="4" w:space="0" w:color="BFBFBF"/>
              <w:right w:val="single" w:sz="4" w:space="0" w:color="BFBFBF"/>
            </w:tcBorders>
          </w:tcPr>
          <w:p w14:paraId="0458850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83.3%</w:t>
            </w:r>
          </w:p>
        </w:tc>
      </w:tr>
      <w:tr w:rsidR="00E818A8" w:rsidRPr="00125DFB" w14:paraId="53C46DE2" w14:textId="77777777">
        <w:tc>
          <w:tcPr>
            <w:tcW w:w="2336" w:type="dxa"/>
            <w:vMerge/>
            <w:tcBorders>
              <w:left w:val="single" w:sz="4" w:space="0" w:color="BFBFBF"/>
              <w:right w:val="single" w:sz="4" w:space="0" w:color="BFBFBF"/>
            </w:tcBorders>
          </w:tcPr>
          <w:p w14:paraId="7ECC72F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4632AF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8" w:type="dxa"/>
            <w:tcBorders>
              <w:top w:val="single" w:sz="4" w:space="0" w:color="BFBFBF"/>
              <w:left w:val="single" w:sz="4" w:space="0" w:color="BFBFBF"/>
              <w:bottom w:val="single" w:sz="4" w:space="0" w:color="BFBFBF"/>
              <w:right w:val="single" w:sz="4" w:space="0" w:color="BFBFBF"/>
            </w:tcBorders>
          </w:tcPr>
          <w:p w14:paraId="6B736F3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w:t>
            </w:r>
          </w:p>
        </w:tc>
        <w:tc>
          <w:tcPr>
            <w:tcW w:w="2338" w:type="dxa"/>
            <w:tcBorders>
              <w:top w:val="single" w:sz="4" w:space="0" w:color="BFBFBF"/>
              <w:left w:val="single" w:sz="4" w:space="0" w:color="BFBFBF"/>
              <w:bottom w:val="single" w:sz="4" w:space="0" w:color="BFBFBF"/>
              <w:right w:val="single" w:sz="4" w:space="0" w:color="BFBFBF"/>
            </w:tcBorders>
          </w:tcPr>
          <w:p w14:paraId="467D662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w:t>
            </w:r>
          </w:p>
        </w:tc>
      </w:tr>
      <w:tr w:rsidR="00E818A8" w:rsidRPr="00125DFB" w14:paraId="7510BD65" w14:textId="77777777">
        <w:tc>
          <w:tcPr>
            <w:tcW w:w="2336" w:type="dxa"/>
            <w:vMerge/>
            <w:tcBorders>
              <w:left w:val="single" w:sz="4" w:space="0" w:color="BFBFBF"/>
              <w:bottom w:val="single" w:sz="4" w:space="0" w:color="BFBFBF"/>
              <w:right w:val="single" w:sz="4" w:space="0" w:color="BFBFBF"/>
            </w:tcBorders>
          </w:tcPr>
          <w:p w14:paraId="31B86C2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8" w:type="dxa"/>
            <w:tcBorders>
              <w:top w:val="single" w:sz="4" w:space="0" w:color="BFBFBF"/>
              <w:left w:val="single" w:sz="4" w:space="0" w:color="BFBFBF"/>
              <w:bottom w:val="single" w:sz="4" w:space="0" w:color="BFBFBF"/>
              <w:right w:val="single" w:sz="4" w:space="0" w:color="BFBFBF"/>
            </w:tcBorders>
          </w:tcPr>
          <w:p w14:paraId="0B19704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8" w:type="dxa"/>
            <w:tcBorders>
              <w:top w:val="single" w:sz="4" w:space="0" w:color="BFBFBF"/>
              <w:left w:val="single" w:sz="4" w:space="0" w:color="BFBFBF"/>
              <w:bottom w:val="single" w:sz="4" w:space="0" w:color="BFBFBF"/>
              <w:right w:val="single" w:sz="4" w:space="0" w:color="BFBFBF"/>
            </w:tcBorders>
          </w:tcPr>
          <w:p w14:paraId="69F52D6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8" w:type="dxa"/>
            <w:tcBorders>
              <w:top w:val="single" w:sz="4" w:space="0" w:color="BFBFBF"/>
              <w:left w:val="single" w:sz="4" w:space="0" w:color="BFBFBF"/>
              <w:bottom w:val="single" w:sz="4" w:space="0" w:color="BFBFBF"/>
              <w:right w:val="single" w:sz="4" w:space="0" w:color="BFBFBF"/>
            </w:tcBorders>
          </w:tcPr>
          <w:p w14:paraId="7DDBD1E8"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bl>
    <w:p w14:paraId="1E3EBF4F" w14:textId="77777777" w:rsidR="00E818A8" w:rsidRPr="00125DFB" w:rsidRDefault="005F3352" w:rsidP="001E0F51">
      <w:pPr>
        <w:spacing w:before="40" w:line="360" w:lineRule="auto"/>
        <w:rPr>
          <w:rFonts w:ascii="Times New Roman" w:hAnsi="Times New Roman" w:cs="Times New Roman"/>
          <w:b/>
          <w:sz w:val="26"/>
          <w:szCs w:val="26"/>
        </w:rPr>
      </w:pPr>
      <w:r w:rsidRPr="00125DFB">
        <w:rPr>
          <w:rFonts w:ascii="Times New Roman" w:hAnsi="Times New Roman" w:cs="Times New Roman"/>
          <w:b/>
          <w:sz w:val="26"/>
          <w:szCs w:val="26"/>
        </w:rPr>
        <w:t>Source: Field survey, 2025.</w:t>
      </w:r>
    </w:p>
    <w:p w14:paraId="683DF7AA"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Public Health Impact and Intervention Preferences</w:t>
      </w:r>
    </w:p>
    <w:p w14:paraId="2C5316EA"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Table 5. presents the perceived public health impact of MBZDs and community-preferred interventions.</w:t>
      </w:r>
    </w:p>
    <w:p w14:paraId="0AA2E6E7" w14:textId="77777777" w:rsidR="00E818A8" w:rsidRPr="00125DFB" w:rsidRDefault="005F3352" w:rsidP="001E0F51">
      <w:pPr>
        <w:spacing w:before="200" w:after="60" w:line="360" w:lineRule="auto"/>
        <w:rPr>
          <w:rFonts w:ascii="Times New Roman" w:hAnsi="Times New Roman" w:cs="Times New Roman"/>
          <w:sz w:val="26"/>
          <w:szCs w:val="26"/>
        </w:rPr>
      </w:pPr>
      <w:r w:rsidRPr="00125DFB">
        <w:rPr>
          <w:rFonts w:ascii="Times New Roman" w:hAnsi="Times New Roman" w:cs="Times New Roman"/>
          <w:b/>
          <w:sz w:val="26"/>
          <w:szCs w:val="26"/>
        </w:rPr>
        <w:t>Table 5. Public Health Impact and Intervention Preferences (N = 150)</w:t>
      </w:r>
    </w:p>
    <w:tbl>
      <w:tblPr>
        <w:tblStyle w:val="TableGrid"/>
        <w:tblW w:w="9350" w:type="dxa"/>
        <w:tblInd w:w="-15" w:type="dxa"/>
        <w:tblLook w:val="04A0" w:firstRow="1" w:lastRow="0" w:firstColumn="1" w:lastColumn="0" w:noHBand="0" w:noVBand="1"/>
      </w:tblPr>
      <w:tblGrid>
        <w:gridCol w:w="2337"/>
        <w:gridCol w:w="2339"/>
        <w:gridCol w:w="2337"/>
        <w:gridCol w:w="2337"/>
      </w:tblGrid>
      <w:tr w:rsidR="00E818A8" w:rsidRPr="00125DFB" w14:paraId="5B481655" w14:textId="77777777">
        <w:tc>
          <w:tcPr>
            <w:tcW w:w="2337" w:type="dxa"/>
            <w:tcBorders>
              <w:top w:val="single" w:sz="6" w:space="0" w:color="2E7D52"/>
              <w:left w:val="single" w:sz="6" w:space="0" w:color="2E7D52"/>
              <w:bottom w:val="single" w:sz="6" w:space="0" w:color="2E7D52"/>
              <w:right w:val="single" w:sz="6" w:space="0" w:color="2E7D52"/>
            </w:tcBorders>
          </w:tcPr>
          <w:p w14:paraId="2680E1DE"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Question</w:t>
            </w:r>
          </w:p>
        </w:tc>
        <w:tc>
          <w:tcPr>
            <w:tcW w:w="2339" w:type="dxa"/>
            <w:tcBorders>
              <w:top w:val="single" w:sz="6" w:space="0" w:color="2E7D52"/>
              <w:left w:val="single" w:sz="6" w:space="0" w:color="2E7D52"/>
              <w:bottom w:val="single" w:sz="6" w:space="0" w:color="2E7D52"/>
              <w:right w:val="single" w:sz="6" w:space="0" w:color="2E7D52"/>
            </w:tcBorders>
          </w:tcPr>
          <w:p w14:paraId="3965D319"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Response Option</w:t>
            </w:r>
          </w:p>
        </w:tc>
        <w:tc>
          <w:tcPr>
            <w:tcW w:w="2337" w:type="dxa"/>
            <w:tcBorders>
              <w:top w:val="single" w:sz="6" w:space="0" w:color="2E7D52"/>
              <w:left w:val="single" w:sz="6" w:space="0" w:color="2E7D52"/>
              <w:bottom w:val="single" w:sz="6" w:space="0" w:color="2E7D52"/>
              <w:right w:val="single" w:sz="6" w:space="0" w:color="2E7D52"/>
            </w:tcBorders>
          </w:tcPr>
          <w:p w14:paraId="12602A92"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Frequency (n)</w:t>
            </w:r>
          </w:p>
        </w:tc>
        <w:tc>
          <w:tcPr>
            <w:tcW w:w="2337" w:type="dxa"/>
            <w:tcBorders>
              <w:top w:val="single" w:sz="6" w:space="0" w:color="2E7D52"/>
              <w:left w:val="single" w:sz="6" w:space="0" w:color="2E7D52"/>
              <w:bottom w:val="single" w:sz="6" w:space="0" w:color="2E7D52"/>
              <w:right w:val="single" w:sz="6" w:space="0" w:color="2E7D52"/>
            </w:tcBorders>
          </w:tcPr>
          <w:p w14:paraId="0E4DD744" w14:textId="77777777" w:rsidR="00E818A8" w:rsidRPr="00125DFB" w:rsidRDefault="005F3352" w:rsidP="001E0F51">
            <w:pPr>
              <w:spacing w:before="40" w:after="40" w:line="360" w:lineRule="auto"/>
              <w:jc w:val="center"/>
              <w:rPr>
                <w:rFonts w:ascii="Times New Roman" w:hAnsi="Times New Roman" w:cs="Times New Roman"/>
                <w:sz w:val="26"/>
                <w:szCs w:val="26"/>
              </w:rPr>
            </w:pPr>
            <w:r w:rsidRPr="00125DFB">
              <w:rPr>
                <w:rFonts w:ascii="Times New Roman" w:hAnsi="Times New Roman" w:cs="Times New Roman"/>
                <w:b/>
                <w:sz w:val="26"/>
                <w:szCs w:val="26"/>
              </w:rPr>
              <w:t>Percentage (%)</w:t>
            </w:r>
          </w:p>
        </w:tc>
      </w:tr>
      <w:tr w:rsidR="00E818A8" w:rsidRPr="00125DFB" w14:paraId="1DA89077" w14:textId="77777777">
        <w:tc>
          <w:tcPr>
            <w:tcW w:w="2337" w:type="dxa"/>
            <w:tcBorders>
              <w:top w:val="single" w:sz="4" w:space="0" w:color="BFBFBF"/>
              <w:left w:val="single" w:sz="4" w:space="0" w:color="BFBFBF"/>
              <w:bottom w:val="single" w:sz="4" w:space="0" w:color="BFBFBF"/>
              <w:right w:val="single" w:sz="4" w:space="0" w:color="BFBFBF"/>
            </w:tcBorders>
          </w:tcPr>
          <w:p w14:paraId="778D916B"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Has anyone in your household been ill after consuming milk</w:t>
            </w:r>
          </w:p>
        </w:tc>
        <w:tc>
          <w:tcPr>
            <w:tcW w:w="2339" w:type="dxa"/>
            <w:tcBorders>
              <w:top w:val="single" w:sz="4" w:space="0" w:color="BFBFBF"/>
              <w:left w:val="single" w:sz="4" w:space="0" w:color="BFBFBF"/>
              <w:bottom w:val="single" w:sz="4" w:space="0" w:color="BFBFBF"/>
              <w:right w:val="single" w:sz="4" w:space="0" w:color="BFBFBF"/>
            </w:tcBorders>
          </w:tcPr>
          <w:p w14:paraId="0D10AE3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7" w:type="dxa"/>
            <w:tcBorders>
              <w:top w:val="single" w:sz="4" w:space="0" w:color="BFBFBF"/>
              <w:left w:val="single" w:sz="4" w:space="0" w:color="BFBFBF"/>
              <w:bottom w:val="single" w:sz="4" w:space="0" w:color="BFBFBF"/>
              <w:right w:val="single" w:sz="4" w:space="0" w:color="BFBFBF"/>
            </w:tcBorders>
          </w:tcPr>
          <w:p w14:paraId="53F7F64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40</w:t>
            </w:r>
          </w:p>
        </w:tc>
        <w:tc>
          <w:tcPr>
            <w:tcW w:w="2337" w:type="dxa"/>
            <w:tcBorders>
              <w:top w:val="single" w:sz="4" w:space="0" w:color="BFBFBF"/>
              <w:left w:val="single" w:sz="4" w:space="0" w:color="BFBFBF"/>
              <w:bottom w:val="single" w:sz="4" w:space="0" w:color="BFBFBF"/>
              <w:right w:val="single" w:sz="4" w:space="0" w:color="BFBFBF"/>
            </w:tcBorders>
          </w:tcPr>
          <w:p w14:paraId="6AB0DA0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26.7%</w:t>
            </w:r>
          </w:p>
        </w:tc>
      </w:tr>
      <w:tr w:rsidR="00E818A8" w:rsidRPr="00125DFB" w14:paraId="70CD6772" w14:textId="77777777">
        <w:tc>
          <w:tcPr>
            <w:tcW w:w="2337" w:type="dxa"/>
            <w:vMerge w:val="restart"/>
            <w:tcBorders>
              <w:top w:val="single" w:sz="4" w:space="0" w:color="BFBFBF"/>
              <w:left w:val="single" w:sz="4" w:space="0" w:color="BFBFBF"/>
              <w:right w:val="single" w:sz="4" w:space="0" w:color="BFBFBF"/>
            </w:tcBorders>
          </w:tcPr>
          <w:p w14:paraId="66BAE3D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Impact of milk-borne illness on household income</w:t>
            </w:r>
          </w:p>
        </w:tc>
        <w:tc>
          <w:tcPr>
            <w:tcW w:w="2339" w:type="dxa"/>
            <w:tcBorders>
              <w:top w:val="single" w:sz="4" w:space="0" w:color="BFBFBF"/>
              <w:left w:val="single" w:sz="4" w:space="0" w:color="BFBFBF"/>
              <w:bottom w:val="single" w:sz="4" w:space="0" w:color="BFBFBF"/>
              <w:right w:val="single" w:sz="4" w:space="0" w:color="BFBFBF"/>
            </w:tcBorders>
          </w:tcPr>
          <w:p w14:paraId="2AC4B628"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578CF5B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55BA8D5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4ECCAFE9" w14:textId="77777777">
        <w:tc>
          <w:tcPr>
            <w:tcW w:w="2337" w:type="dxa"/>
            <w:vMerge/>
            <w:tcBorders>
              <w:left w:val="single" w:sz="4" w:space="0" w:color="BFBFBF"/>
              <w:right w:val="single" w:sz="4" w:space="0" w:color="BFBFBF"/>
            </w:tcBorders>
          </w:tcPr>
          <w:p w14:paraId="130671A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7942190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7" w:type="dxa"/>
            <w:tcBorders>
              <w:top w:val="single" w:sz="4" w:space="0" w:color="BFBFBF"/>
              <w:left w:val="single" w:sz="4" w:space="0" w:color="BFBFBF"/>
              <w:bottom w:val="single" w:sz="4" w:space="0" w:color="BFBFBF"/>
              <w:right w:val="single" w:sz="4" w:space="0" w:color="BFBFBF"/>
            </w:tcBorders>
          </w:tcPr>
          <w:p w14:paraId="77C654A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0EAAF02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5327DBD4" w14:textId="77777777">
        <w:tc>
          <w:tcPr>
            <w:tcW w:w="2337" w:type="dxa"/>
            <w:vMerge/>
            <w:tcBorders>
              <w:left w:val="single" w:sz="4" w:space="0" w:color="BFBFBF"/>
              <w:bottom w:val="single" w:sz="4" w:space="0" w:color="BFBFBF"/>
              <w:right w:val="single" w:sz="4" w:space="0" w:color="BFBFBF"/>
            </w:tcBorders>
          </w:tcPr>
          <w:p w14:paraId="1D855503"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1F1B25F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Severe/Moderate impact</w:t>
            </w:r>
          </w:p>
        </w:tc>
        <w:tc>
          <w:tcPr>
            <w:tcW w:w="2337" w:type="dxa"/>
            <w:tcBorders>
              <w:top w:val="single" w:sz="4" w:space="0" w:color="BFBFBF"/>
              <w:left w:val="single" w:sz="4" w:space="0" w:color="BFBFBF"/>
              <w:bottom w:val="single" w:sz="4" w:space="0" w:color="BFBFBF"/>
              <w:right w:val="single" w:sz="4" w:space="0" w:color="BFBFBF"/>
            </w:tcBorders>
          </w:tcPr>
          <w:p w14:paraId="6F8D22D7"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50</w:t>
            </w:r>
          </w:p>
        </w:tc>
        <w:tc>
          <w:tcPr>
            <w:tcW w:w="2337" w:type="dxa"/>
            <w:tcBorders>
              <w:top w:val="single" w:sz="4" w:space="0" w:color="BFBFBF"/>
              <w:left w:val="single" w:sz="4" w:space="0" w:color="BFBFBF"/>
              <w:bottom w:val="single" w:sz="4" w:space="0" w:color="BFBFBF"/>
              <w:right w:val="single" w:sz="4" w:space="0" w:color="BFBFBF"/>
            </w:tcBorders>
          </w:tcPr>
          <w:p w14:paraId="147E7A5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33.3%</w:t>
            </w:r>
          </w:p>
        </w:tc>
      </w:tr>
      <w:tr w:rsidR="00E818A8" w:rsidRPr="00125DFB" w14:paraId="68909370" w14:textId="77777777">
        <w:tc>
          <w:tcPr>
            <w:tcW w:w="2337" w:type="dxa"/>
            <w:vMerge w:val="restart"/>
            <w:tcBorders>
              <w:top w:val="single" w:sz="4" w:space="0" w:color="BFBFBF"/>
              <w:left w:val="single" w:sz="4" w:space="0" w:color="BFBFBF"/>
              <w:right w:val="single" w:sz="4" w:space="0" w:color="BFBFBF"/>
            </w:tcBorders>
          </w:tcPr>
          <w:p w14:paraId="3B2942C3"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Would you support pasteurization initiatives</w:t>
            </w:r>
          </w:p>
        </w:tc>
        <w:tc>
          <w:tcPr>
            <w:tcW w:w="2339" w:type="dxa"/>
            <w:tcBorders>
              <w:top w:val="single" w:sz="4" w:space="0" w:color="BFBFBF"/>
              <w:left w:val="single" w:sz="4" w:space="0" w:color="BFBFBF"/>
              <w:bottom w:val="single" w:sz="4" w:space="0" w:color="BFBFBF"/>
              <w:right w:val="single" w:sz="4" w:space="0" w:color="BFBFBF"/>
            </w:tcBorders>
          </w:tcPr>
          <w:p w14:paraId="38F2F826"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Little/No impact</w:t>
            </w:r>
          </w:p>
        </w:tc>
        <w:tc>
          <w:tcPr>
            <w:tcW w:w="2337" w:type="dxa"/>
            <w:tcBorders>
              <w:top w:val="single" w:sz="4" w:space="0" w:color="BFBFBF"/>
              <w:left w:val="single" w:sz="4" w:space="0" w:color="BFBFBF"/>
              <w:bottom w:val="single" w:sz="4" w:space="0" w:color="BFBFBF"/>
              <w:right w:val="single" w:sz="4" w:space="0" w:color="BFBFBF"/>
            </w:tcBorders>
          </w:tcPr>
          <w:p w14:paraId="5C26A45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517AA17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38A89940" w14:textId="77777777">
        <w:tc>
          <w:tcPr>
            <w:tcW w:w="2337" w:type="dxa"/>
            <w:vMerge/>
            <w:tcBorders>
              <w:left w:val="single" w:sz="4" w:space="0" w:color="BFBFBF"/>
              <w:right w:val="single" w:sz="4" w:space="0" w:color="BFBFBF"/>
            </w:tcBorders>
          </w:tcPr>
          <w:p w14:paraId="0D7527A7"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27EDDB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Yes</w:t>
            </w:r>
          </w:p>
        </w:tc>
        <w:tc>
          <w:tcPr>
            <w:tcW w:w="2337" w:type="dxa"/>
            <w:tcBorders>
              <w:top w:val="single" w:sz="4" w:space="0" w:color="BFBFBF"/>
              <w:left w:val="single" w:sz="4" w:space="0" w:color="BFBFBF"/>
              <w:bottom w:val="single" w:sz="4" w:space="0" w:color="BFBFBF"/>
              <w:right w:val="single" w:sz="4" w:space="0" w:color="BFBFBF"/>
            </w:tcBorders>
          </w:tcPr>
          <w:p w14:paraId="380CFAE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6502D4B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2A203AB6" w14:textId="77777777">
        <w:tc>
          <w:tcPr>
            <w:tcW w:w="2337" w:type="dxa"/>
            <w:vMerge/>
            <w:tcBorders>
              <w:left w:val="single" w:sz="4" w:space="0" w:color="BFBFBF"/>
              <w:bottom w:val="single" w:sz="4" w:space="0" w:color="BFBFBF"/>
              <w:right w:val="single" w:sz="4" w:space="0" w:color="BFBFBF"/>
            </w:tcBorders>
          </w:tcPr>
          <w:p w14:paraId="370BFB60"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1B7648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w:t>
            </w:r>
          </w:p>
        </w:tc>
        <w:tc>
          <w:tcPr>
            <w:tcW w:w="2337" w:type="dxa"/>
            <w:tcBorders>
              <w:top w:val="single" w:sz="4" w:space="0" w:color="BFBFBF"/>
              <w:left w:val="single" w:sz="4" w:space="0" w:color="BFBFBF"/>
              <w:bottom w:val="single" w:sz="4" w:space="0" w:color="BFBFBF"/>
              <w:right w:val="single" w:sz="4" w:space="0" w:color="BFBFBF"/>
            </w:tcBorders>
          </w:tcPr>
          <w:p w14:paraId="5398299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0F7F850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52D46021" w14:textId="77777777">
        <w:tc>
          <w:tcPr>
            <w:tcW w:w="2337" w:type="dxa"/>
            <w:vMerge w:val="restart"/>
            <w:tcBorders>
              <w:top w:val="single" w:sz="4" w:space="0" w:color="BFBFBF"/>
              <w:left w:val="single" w:sz="4" w:space="0" w:color="BFBFBF"/>
              <w:right w:val="single" w:sz="4" w:space="0" w:color="BFBFBF"/>
            </w:tcBorders>
          </w:tcPr>
          <w:p w14:paraId="31791CAE"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0E4DFA68"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608C2E4A"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7CD8A3CC"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1E10BDE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Most effective interventions</w:t>
            </w:r>
          </w:p>
        </w:tc>
        <w:tc>
          <w:tcPr>
            <w:tcW w:w="2339" w:type="dxa"/>
            <w:tcBorders>
              <w:top w:val="single" w:sz="4" w:space="0" w:color="BFBFBF"/>
              <w:left w:val="single" w:sz="4" w:space="0" w:color="BFBFBF"/>
              <w:bottom w:val="single" w:sz="4" w:space="0" w:color="BFBFBF"/>
              <w:right w:val="single" w:sz="4" w:space="0" w:color="BFBFBF"/>
            </w:tcBorders>
          </w:tcPr>
          <w:p w14:paraId="0352E77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Not Sure</w:t>
            </w:r>
          </w:p>
        </w:tc>
        <w:tc>
          <w:tcPr>
            <w:tcW w:w="2337" w:type="dxa"/>
            <w:tcBorders>
              <w:top w:val="single" w:sz="4" w:space="0" w:color="BFBFBF"/>
              <w:left w:val="single" w:sz="4" w:space="0" w:color="BFBFBF"/>
              <w:bottom w:val="single" w:sz="4" w:space="0" w:color="BFBFBF"/>
              <w:right w:val="single" w:sz="4" w:space="0" w:color="BFBFBF"/>
            </w:tcBorders>
          </w:tcPr>
          <w:p w14:paraId="1E86AD2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20</w:t>
            </w:r>
          </w:p>
        </w:tc>
        <w:tc>
          <w:tcPr>
            <w:tcW w:w="2337" w:type="dxa"/>
            <w:tcBorders>
              <w:top w:val="single" w:sz="4" w:space="0" w:color="BFBFBF"/>
              <w:left w:val="single" w:sz="4" w:space="0" w:color="BFBFBF"/>
              <w:bottom w:val="single" w:sz="4" w:space="0" w:color="BFBFBF"/>
              <w:right w:val="single" w:sz="4" w:space="0" w:color="BFBFBF"/>
            </w:tcBorders>
          </w:tcPr>
          <w:p w14:paraId="2FAE753D"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13.3%</w:t>
            </w:r>
          </w:p>
        </w:tc>
      </w:tr>
      <w:tr w:rsidR="00E818A8" w:rsidRPr="00125DFB" w14:paraId="66C5DA8D" w14:textId="77777777">
        <w:tc>
          <w:tcPr>
            <w:tcW w:w="2337" w:type="dxa"/>
            <w:vMerge/>
            <w:tcBorders>
              <w:left w:val="single" w:sz="4" w:space="0" w:color="BFBFBF"/>
              <w:right w:val="single" w:sz="4" w:space="0" w:color="BFBFBF"/>
            </w:tcBorders>
          </w:tcPr>
          <w:p w14:paraId="3878A9F4"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081CD8E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Community Education</w:t>
            </w:r>
          </w:p>
        </w:tc>
        <w:tc>
          <w:tcPr>
            <w:tcW w:w="2337" w:type="dxa"/>
            <w:tcBorders>
              <w:top w:val="single" w:sz="4" w:space="0" w:color="BFBFBF"/>
              <w:left w:val="single" w:sz="4" w:space="0" w:color="BFBFBF"/>
              <w:bottom w:val="single" w:sz="4" w:space="0" w:color="BFBFBF"/>
              <w:right w:val="single" w:sz="4" w:space="0" w:color="BFBFBF"/>
            </w:tcBorders>
          </w:tcPr>
          <w:p w14:paraId="55BAA30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140</w:t>
            </w:r>
          </w:p>
        </w:tc>
        <w:tc>
          <w:tcPr>
            <w:tcW w:w="2337" w:type="dxa"/>
            <w:tcBorders>
              <w:top w:val="single" w:sz="4" w:space="0" w:color="BFBFBF"/>
              <w:left w:val="single" w:sz="4" w:space="0" w:color="BFBFBF"/>
              <w:bottom w:val="single" w:sz="4" w:space="0" w:color="BFBFBF"/>
              <w:right w:val="single" w:sz="4" w:space="0" w:color="BFBFBF"/>
            </w:tcBorders>
          </w:tcPr>
          <w:p w14:paraId="740E61A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93.3%</w:t>
            </w:r>
          </w:p>
        </w:tc>
      </w:tr>
      <w:tr w:rsidR="00E818A8" w:rsidRPr="00125DFB" w14:paraId="68F9B1EA" w14:textId="77777777">
        <w:tc>
          <w:tcPr>
            <w:tcW w:w="2337" w:type="dxa"/>
            <w:vMerge/>
            <w:tcBorders>
              <w:left w:val="single" w:sz="4" w:space="0" w:color="BFBFBF"/>
              <w:right w:val="single" w:sz="4" w:space="0" w:color="BFBFBF"/>
            </w:tcBorders>
          </w:tcPr>
          <w:p w14:paraId="4F5E2FC2"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B5B0BD4"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Veterinary Screening</w:t>
            </w:r>
          </w:p>
        </w:tc>
        <w:tc>
          <w:tcPr>
            <w:tcW w:w="2337" w:type="dxa"/>
            <w:tcBorders>
              <w:top w:val="single" w:sz="4" w:space="0" w:color="BFBFBF"/>
              <w:left w:val="single" w:sz="4" w:space="0" w:color="BFBFBF"/>
              <w:bottom w:val="single" w:sz="4" w:space="0" w:color="BFBFBF"/>
              <w:right w:val="single" w:sz="4" w:space="0" w:color="BFBFBF"/>
            </w:tcBorders>
          </w:tcPr>
          <w:p w14:paraId="1EE1A28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120</w:t>
            </w:r>
          </w:p>
        </w:tc>
        <w:tc>
          <w:tcPr>
            <w:tcW w:w="2337" w:type="dxa"/>
            <w:tcBorders>
              <w:top w:val="single" w:sz="4" w:space="0" w:color="BFBFBF"/>
              <w:left w:val="single" w:sz="4" w:space="0" w:color="BFBFBF"/>
              <w:bottom w:val="single" w:sz="4" w:space="0" w:color="BFBFBF"/>
              <w:right w:val="single" w:sz="4" w:space="0" w:color="BFBFBF"/>
            </w:tcBorders>
          </w:tcPr>
          <w:p w14:paraId="5123E449"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80.0%</w:t>
            </w:r>
          </w:p>
        </w:tc>
      </w:tr>
      <w:tr w:rsidR="00E818A8" w:rsidRPr="00125DFB" w14:paraId="2B8C36A1" w14:textId="77777777">
        <w:tc>
          <w:tcPr>
            <w:tcW w:w="2337" w:type="dxa"/>
            <w:vMerge/>
            <w:tcBorders>
              <w:left w:val="single" w:sz="4" w:space="0" w:color="BFBFBF"/>
              <w:right w:val="single" w:sz="4" w:space="0" w:color="BFBFBF"/>
            </w:tcBorders>
          </w:tcPr>
          <w:p w14:paraId="4E2B3F57"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C29C492"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Pasteurization Facilities</w:t>
            </w:r>
          </w:p>
        </w:tc>
        <w:tc>
          <w:tcPr>
            <w:tcW w:w="2337" w:type="dxa"/>
            <w:tcBorders>
              <w:top w:val="single" w:sz="4" w:space="0" w:color="BFBFBF"/>
              <w:left w:val="single" w:sz="4" w:space="0" w:color="BFBFBF"/>
              <w:bottom w:val="single" w:sz="4" w:space="0" w:color="BFBFBF"/>
              <w:right w:val="single" w:sz="4" w:space="0" w:color="BFBFBF"/>
            </w:tcBorders>
          </w:tcPr>
          <w:p w14:paraId="1966F852"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1E512F31"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1967F134" w14:textId="77777777">
        <w:tc>
          <w:tcPr>
            <w:tcW w:w="2337" w:type="dxa"/>
            <w:vMerge/>
            <w:tcBorders>
              <w:left w:val="single" w:sz="4" w:space="0" w:color="BFBFBF"/>
              <w:bottom w:val="single" w:sz="4" w:space="0" w:color="BFBFBF"/>
              <w:right w:val="single" w:sz="4" w:space="0" w:color="BFBFBF"/>
            </w:tcBorders>
          </w:tcPr>
          <w:p w14:paraId="3D18916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72902C1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Regulation of Vendors</w:t>
            </w:r>
          </w:p>
        </w:tc>
        <w:tc>
          <w:tcPr>
            <w:tcW w:w="2337" w:type="dxa"/>
            <w:tcBorders>
              <w:top w:val="single" w:sz="4" w:space="0" w:color="BFBFBF"/>
              <w:left w:val="single" w:sz="4" w:space="0" w:color="BFBFBF"/>
              <w:bottom w:val="single" w:sz="4" w:space="0" w:color="BFBFBF"/>
              <w:right w:val="single" w:sz="4" w:space="0" w:color="BFBFBF"/>
            </w:tcBorders>
          </w:tcPr>
          <w:p w14:paraId="1FF81CE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0C7902A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3448B9FB" w14:textId="77777777">
        <w:tc>
          <w:tcPr>
            <w:tcW w:w="2337" w:type="dxa"/>
            <w:vMerge w:val="restart"/>
            <w:tcBorders>
              <w:top w:val="single" w:sz="4" w:space="0" w:color="BFBFBF"/>
              <w:left w:val="single" w:sz="4" w:space="0" w:color="BFBFBF"/>
              <w:right w:val="single" w:sz="4" w:space="0" w:color="BFBFBF"/>
            </w:tcBorders>
          </w:tcPr>
          <w:p w14:paraId="439D0945"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Who should lead health interventions</w:t>
            </w:r>
          </w:p>
        </w:tc>
        <w:tc>
          <w:tcPr>
            <w:tcW w:w="2339" w:type="dxa"/>
            <w:tcBorders>
              <w:top w:val="single" w:sz="4" w:space="0" w:color="BFBFBF"/>
              <w:left w:val="single" w:sz="4" w:space="0" w:color="BFBFBF"/>
              <w:bottom w:val="single" w:sz="4" w:space="0" w:color="BFBFBF"/>
              <w:right w:val="single" w:sz="4" w:space="0" w:color="BFBFBF"/>
            </w:tcBorders>
          </w:tcPr>
          <w:p w14:paraId="7A796A7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Health Workers</w:t>
            </w:r>
          </w:p>
        </w:tc>
        <w:tc>
          <w:tcPr>
            <w:tcW w:w="2337" w:type="dxa"/>
            <w:tcBorders>
              <w:top w:val="single" w:sz="4" w:space="0" w:color="BFBFBF"/>
              <w:left w:val="single" w:sz="4" w:space="0" w:color="BFBFBF"/>
              <w:bottom w:val="single" w:sz="4" w:space="0" w:color="BFBFBF"/>
              <w:right w:val="single" w:sz="4" w:space="0" w:color="BFBFBF"/>
            </w:tcBorders>
          </w:tcPr>
          <w:p w14:paraId="1EF54AB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130</w:t>
            </w:r>
          </w:p>
        </w:tc>
        <w:tc>
          <w:tcPr>
            <w:tcW w:w="2337" w:type="dxa"/>
            <w:tcBorders>
              <w:top w:val="single" w:sz="4" w:space="0" w:color="BFBFBF"/>
              <w:left w:val="single" w:sz="4" w:space="0" w:color="BFBFBF"/>
              <w:bottom w:val="single" w:sz="4" w:space="0" w:color="BFBFBF"/>
              <w:right w:val="single" w:sz="4" w:space="0" w:color="BFBFBF"/>
            </w:tcBorders>
          </w:tcPr>
          <w:p w14:paraId="43411ED5"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86.7%</w:t>
            </w:r>
          </w:p>
        </w:tc>
      </w:tr>
      <w:tr w:rsidR="00E818A8" w:rsidRPr="00125DFB" w14:paraId="7121146A" w14:textId="77777777">
        <w:tc>
          <w:tcPr>
            <w:tcW w:w="2337" w:type="dxa"/>
            <w:vMerge/>
            <w:tcBorders>
              <w:left w:val="single" w:sz="4" w:space="0" w:color="BFBFBF"/>
              <w:right w:val="single" w:sz="4" w:space="0" w:color="BFBFBF"/>
            </w:tcBorders>
          </w:tcPr>
          <w:p w14:paraId="65139B89"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3C42D04E"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Local Government</w:t>
            </w:r>
          </w:p>
        </w:tc>
        <w:tc>
          <w:tcPr>
            <w:tcW w:w="2337" w:type="dxa"/>
            <w:tcBorders>
              <w:top w:val="single" w:sz="4" w:space="0" w:color="BFBFBF"/>
              <w:left w:val="single" w:sz="4" w:space="0" w:color="BFBFBF"/>
              <w:bottom w:val="single" w:sz="4" w:space="0" w:color="BFBFBF"/>
              <w:right w:val="single" w:sz="4" w:space="0" w:color="BFBFBF"/>
            </w:tcBorders>
          </w:tcPr>
          <w:p w14:paraId="6A3E0BA3"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110</w:t>
            </w:r>
          </w:p>
        </w:tc>
        <w:tc>
          <w:tcPr>
            <w:tcW w:w="2337" w:type="dxa"/>
            <w:tcBorders>
              <w:top w:val="single" w:sz="4" w:space="0" w:color="BFBFBF"/>
              <w:left w:val="single" w:sz="4" w:space="0" w:color="BFBFBF"/>
              <w:bottom w:val="single" w:sz="4" w:space="0" w:color="BFBFBF"/>
              <w:right w:val="single" w:sz="4" w:space="0" w:color="BFBFBF"/>
            </w:tcBorders>
          </w:tcPr>
          <w:p w14:paraId="69515B1B"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73.3%</w:t>
            </w:r>
          </w:p>
        </w:tc>
      </w:tr>
      <w:tr w:rsidR="00E818A8" w:rsidRPr="00125DFB" w14:paraId="2B53CB6C" w14:textId="77777777">
        <w:tc>
          <w:tcPr>
            <w:tcW w:w="2337" w:type="dxa"/>
            <w:vMerge/>
            <w:tcBorders>
              <w:left w:val="single" w:sz="4" w:space="0" w:color="BFBFBF"/>
              <w:bottom w:val="single" w:sz="4" w:space="0" w:color="BFBFBF"/>
              <w:right w:val="single" w:sz="4" w:space="0" w:color="BFBFBF"/>
            </w:tcBorders>
          </w:tcPr>
          <w:p w14:paraId="1D191F25"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67CC9300"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Religious Leaders</w:t>
            </w:r>
          </w:p>
        </w:tc>
        <w:tc>
          <w:tcPr>
            <w:tcW w:w="2337" w:type="dxa"/>
            <w:tcBorders>
              <w:top w:val="single" w:sz="4" w:space="0" w:color="BFBFBF"/>
              <w:left w:val="single" w:sz="4" w:space="0" w:color="BFBFBF"/>
              <w:bottom w:val="single" w:sz="4" w:space="0" w:color="BFBFBF"/>
              <w:right w:val="single" w:sz="4" w:space="0" w:color="BFBFBF"/>
            </w:tcBorders>
          </w:tcPr>
          <w:p w14:paraId="2E30488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90</w:t>
            </w:r>
          </w:p>
        </w:tc>
        <w:tc>
          <w:tcPr>
            <w:tcW w:w="2337" w:type="dxa"/>
            <w:tcBorders>
              <w:top w:val="single" w:sz="4" w:space="0" w:color="BFBFBF"/>
              <w:left w:val="single" w:sz="4" w:space="0" w:color="BFBFBF"/>
              <w:bottom w:val="single" w:sz="4" w:space="0" w:color="BFBFBF"/>
              <w:right w:val="single" w:sz="4" w:space="0" w:color="BFBFBF"/>
            </w:tcBorders>
          </w:tcPr>
          <w:p w14:paraId="0D5C5C7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60.0%</w:t>
            </w:r>
          </w:p>
        </w:tc>
      </w:tr>
      <w:tr w:rsidR="00E818A8" w:rsidRPr="00125DFB" w14:paraId="123868E5" w14:textId="77777777">
        <w:tc>
          <w:tcPr>
            <w:tcW w:w="2337" w:type="dxa"/>
            <w:vMerge w:val="restart"/>
            <w:tcBorders>
              <w:top w:val="single" w:sz="4" w:space="0" w:color="BFBFBF"/>
              <w:left w:val="single" w:sz="4" w:space="0" w:color="BFBFBF"/>
              <w:right w:val="single" w:sz="4" w:space="0" w:color="BFBFBF"/>
            </w:tcBorders>
          </w:tcPr>
          <w:p w14:paraId="48AFBCAF" w14:textId="77777777" w:rsidR="00E818A8" w:rsidRPr="00125DFB" w:rsidRDefault="00E818A8" w:rsidP="001E0F51">
            <w:pPr>
              <w:spacing w:before="40" w:after="40" w:line="360" w:lineRule="auto"/>
              <w:ind w:left="57"/>
              <w:rPr>
                <w:rFonts w:ascii="Times New Roman" w:hAnsi="Times New Roman" w:cs="Times New Roman"/>
                <w:sz w:val="26"/>
                <w:szCs w:val="26"/>
              </w:rPr>
            </w:pPr>
          </w:p>
          <w:p w14:paraId="18E6663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Best information channel</w:t>
            </w:r>
          </w:p>
        </w:tc>
        <w:tc>
          <w:tcPr>
            <w:tcW w:w="2339" w:type="dxa"/>
            <w:tcBorders>
              <w:top w:val="single" w:sz="4" w:space="0" w:color="BFBFBF"/>
              <w:left w:val="single" w:sz="4" w:space="0" w:color="BFBFBF"/>
              <w:bottom w:val="single" w:sz="4" w:space="0" w:color="BFBFBF"/>
              <w:right w:val="single" w:sz="4" w:space="0" w:color="BFBFBF"/>
            </w:tcBorders>
          </w:tcPr>
          <w:p w14:paraId="59ECCB69"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Radio Programmes</w:t>
            </w:r>
          </w:p>
        </w:tc>
        <w:tc>
          <w:tcPr>
            <w:tcW w:w="2337" w:type="dxa"/>
            <w:tcBorders>
              <w:top w:val="single" w:sz="4" w:space="0" w:color="BFBFBF"/>
              <w:left w:val="single" w:sz="4" w:space="0" w:color="BFBFBF"/>
              <w:bottom w:val="single" w:sz="4" w:space="0" w:color="BFBFBF"/>
              <w:right w:val="single" w:sz="4" w:space="0" w:color="BFBFBF"/>
            </w:tcBorders>
          </w:tcPr>
          <w:p w14:paraId="6C445D26"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120</w:t>
            </w:r>
          </w:p>
        </w:tc>
        <w:tc>
          <w:tcPr>
            <w:tcW w:w="2337" w:type="dxa"/>
            <w:tcBorders>
              <w:top w:val="single" w:sz="4" w:space="0" w:color="BFBFBF"/>
              <w:left w:val="single" w:sz="4" w:space="0" w:color="BFBFBF"/>
              <w:bottom w:val="single" w:sz="4" w:space="0" w:color="BFBFBF"/>
              <w:right w:val="single" w:sz="4" w:space="0" w:color="BFBFBF"/>
            </w:tcBorders>
          </w:tcPr>
          <w:p w14:paraId="15B66B2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80.0%</w:t>
            </w:r>
          </w:p>
        </w:tc>
      </w:tr>
      <w:tr w:rsidR="00E818A8" w:rsidRPr="00125DFB" w14:paraId="69D7D910" w14:textId="77777777">
        <w:tc>
          <w:tcPr>
            <w:tcW w:w="2337" w:type="dxa"/>
            <w:vMerge/>
            <w:tcBorders>
              <w:left w:val="single" w:sz="4" w:space="0" w:color="BFBFBF"/>
              <w:right w:val="single" w:sz="4" w:space="0" w:color="BFBFBF"/>
            </w:tcBorders>
          </w:tcPr>
          <w:p w14:paraId="191CCA7F"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0091318C"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Mosque Announcements</w:t>
            </w:r>
          </w:p>
        </w:tc>
        <w:tc>
          <w:tcPr>
            <w:tcW w:w="2337" w:type="dxa"/>
            <w:tcBorders>
              <w:top w:val="single" w:sz="4" w:space="0" w:color="BFBFBF"/>
              <w:left w:val="single" w:sz="4" w:space="0" w:color="BFBFBF"/>
              <w:bottom w:val="single" w:sz="4" w:space="0" w:color="BFBFBF"/>
              <w:right w:val="single" w:sz="4" w:space="0" w:color="BFBFBF"/>
            </w:tcBorders>
          </w:tcPr>
          <w:p w14:paraId="5D267F4E"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100</w:t>
            </w:r>
          </w:p>
        </w:tc>
        <w:tc>
          <w:tcPr>
            <w:tcW w:w="2337" w:type="dxa"/>
            <w:tcBorders>
              <w:top w:val="single" w:sz="4" w:space="0" w:color="BFBFBF"/>
              <w:left w:val="single" w:sz="4" w:space="0" w:color="BFBFBF"/>
              <w:bottom w:val="single" w:sz="4" w:space="0" w:color="BFBFBF"/>
              <w:right w:val="single" w:sz="4" w:space="0" w:color="BFBFBF"/>
            </w:tcBorders>
          </w:tcPr>
          <w:p w14:paraId="28EEBD10"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66.7%</w:t>
            </w:r>
          </w:p>
        </w:tc>
      </w:tr>
      <w:tr w:rsidR="00E818A8" w:rsidRPr="00125DFB" w14:paraId="1E849F26" w14:textId="77777777">
        <w:tc>
          <w:tcPr>
            <w:tcW w:w="2337" w:type="dxa"/>
            <w:vMerge/>
            <w:tcBorders>
              <w:left w:val="single" w:sz="4" w:space="0" w:color="BFBFBF"/>
              <w:bottom w:val="single" w:sz="4" w:space="0" w:color="BFBFBF"/>
              <w:right w:val="single" w:sz="4" w:space="0" w:color="BFBFBF"/>
            </w:tcBorders>
          </w:tcPr>
          <w:p w14:paraId="18AF3B3E" w14:textId="77777777" w:rsidR="00E818A8" w:rsidRPr="00125DFB" w:rsidRDefault="00E818A8" w:rsidP="001E0F51">
            <w:pPr>
              <w:spacing w:before="40" w:after="40" w:line="360" w:lineRule="auto"/>
              <w:ind w:left="57"/>
              <w:rPr>
                <w:rFonts w:ascii="Times New Roman" w:hAnsi="Times New Roman" w:cs="Times New Roman"/>
                <w:sz w:val="26"/>
                <w:szCs w:val="26"/>
              </w:rPr>
            </w:pPr>
          </w:p>
        </w:tc>
        <w:tc>
          <w:tcPr>
            <w:tcW w:w="2339" w:type="dxa"/>
            <w:tcBorders>
              <w:top w:val="single" w:sz="4" w:space="0" w:color="BFBFBF"/>
              <w:left w:val="single" w:sz="4" w:space="0" w:color="BFBFBF"/>
              <w:bottom w:val="single" w:sz="4" w:space="0" w:color="BFBFBF"/>
              <w:right w:val="single" w:sz="4" w:space="0" w:color="BFBFBF"/>
            </w:tcBorders>
          </w:tcPr>
          <w:p w14:paraId="158079BD" w14:textId="77777777" w:rsidR="00E818A8" w:rsidRPr="00125DFB" w:rsidRDefault="005F3352" w:rsidP="001E0F51">
            <w:pPr>
              <w:spacing w:before="40" w:after="40" w:line="360" w:lineRule="auto"/>
              <w:ind w:left="57"/>
              <w:rPr>
                <w:rFonts w:ascii="Times New Roman" w:hAnsi="Times New Roman" w:cs="Times New Roman"/>
                <w:sz w:val="26"/>
                <w:szCs w:val="26"/>
              </w:rPr>
            </w:pPr>
            <w:r w:rsidRPr="00125DFB">
              <w:rPr>
                <w:rFonts w:ascii="Times New Roman" w:hAnsi="Times New Roman" w:cs="Times New Roman"/>
                <w:sz w:val="26"/>
                <w:szCs w:val="26"/>
              </w:rPr>
              <w:t>Community Meetings</w:t>
            </w:r>
          </w:p>
        </w:tc>
        <w:tc>
          <w:tcPr>
            <w:tcW w:w="2337" w:type="dxa"/>
            <w:tcBorders>
              <w:top w:val="single" w:sz="4" w:space="0" w:color="BFBFBF"/>
              <w:left w:val="single" w:sz="4" w:space="0" w:color="BFBFBF"/>
              <w:bottom w:val="single" w:sz="4" w:space="0" w:color="BFBFBF"/>
              <w:right w:val="single" w:sz="4" w:space="0" w:color="BFBFBF"/>
            </w:tcBorders>
          </w:tcPr>
          <w:p w14:paraId="7CCB14AF"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95</w:t>
            </w:r>
          </w:p>
        </w:tc>
        <w:tc>
          <w:tcPr>
            <w:tcW w:w="2337" w:type="dxa"/>
            <w:tcBorders>
              <w:top w:val="single" w:sz="4" w:space="0" w:color="BFBFBF"/>
              <w:left w:val="single" w:sz="4" w:space="0" w:color="BFBFBF"/>
              <w:bottom w:val="single" w:sz="4" w:space="0" w:color="BFBFBF"/>
              <w:right w:val="single" w:sz="4" w:space="0" w:color="BFBFBF"/>
            </w:tcBorders>
          </w:tcPr>
          <w:p w14:paraId="15E5734A" w14:textId="77777777" w:rsidR="00E818A8" w:rsidRPr="00125DFB" w:rsidRDefault="005F3352" w:rsidP="001E0F51">
            <w:pPr>
              <w:spacing w:before="40" w:after="40" w:line="360" w:lineRule="auto"/>
              <w:ind w:left="57"/>
              <w:jc w:val="center"/>
              <w:rPr>
                <w:rFonts w:ascii="Times New Roman" w:hAnsi="Times New Roman" w:cs="Times New Roman"/>
                <w:sz w:val="26"/>
                <w:szCs w:val="26"/>
              </w:rPr>
            </w:pPr>
            <w:r w:rsidRPr="00125DFB">
              <w:rPr>
                <w:rFonts w:ascii="Times New Roman" w:hAnsi="Times New Roman" w:cs="Times New Roman"/>
                <w:sz w:val="26"/>
                <w:szCs w:val="26"/>
              </w:rPr>
              <w:t>63.3%</w:t>
            </w:r>
          </w:p>
        </w:tc>
      </w:tr>
    </w:tbl>
    <w:p w14:paraId="60DA304C" w14:textId="77777777" w:rsidR="00E818A8" w:rsidRPr="00125DFB" w:rsidRDefault="005F3352" w:rsidP="001E0F51">
      <w:pPr>
        <w:spacing w:before="40" w:line="360" w:lineRule="auto"/>
        <w:rPr>
          <w:rFonts w:ascii="Times New Roman" w:hAnsi="Times New Roman" w:cs="Times New Roman"/>
          <w:sz w:val="26"/>
          <w:szCs w:val="26"/>
        </w:rPr>
      </w:pPr>
      <w:r w:rsidRPr="00125DFB">
        <w:rPr>
          <w:rFonts w:ascii="Times New Roman" w:hAnsi="Times New Roman" w:cs="Times New Roman"/>
          <w:sz w:val="26"/>
          <w:szCs w:val="26"/>
        </w:rPr>
        <w:t>Source: Field survey, 2025</w:t>
      </w:r>
      <w:r w:rsidRPr="00125DFB">
        <w:rPr>
          <w:rFonts w:ascii="Times New Roman" w:hAnsi="Times New Roman" w:cs="Times New Roman"/>
          <w:i/>
          <w:sz w:val="26"/>
          <w:szCs w:val="26"/>
        </w:rPr>
        <w:t>.</w:t>
      </w:r>
    </w:p>
    <w:p w14:paraId="2D7BB5FE" w14:textId="77777777" w:rsidR="00E818A8" w:rsidRPr="00125DFB" w:rsidRDefault="00E818A8" w:rsidP="001E0F51">
      <w:pPr>
        <w:spacing w:before="200" w:after="80" w:line="360" w:lineRule="auto"/>
        <w:rPr>
          <w:rFonts w:ascii="Times New Roman" w:hAnsi="Times New Roman" w:cs="Times New Roman"/>
          <w:b/>
          <w:i/>
          <w:sz w:val="26"/>
          <w:szCs w:val="26"/>
        </w:rPr>
      </w:pPr>
    </w:p>
    <w:p w14:paraId="7E0197B4" w14:textId="77777777" w:rsidR="00E818A8" w:rsidRPr="00125DFB" w:rsidRDefault="005F3352" w:rsidP="001E0F51">
      <w:pPr>
        <w:spacing w:before="200" w:after="80" w:line="360" w:lineRule="auto"/>
        <w:rPr>
          <w:rFonts w:ascii="Times New Roman" w:hAnsi="Times New Roman" w:cs="Times New Roman"/>
          <w:sz w:val="26"/>
          <w:szCs w:val="26"/>
        </w:rPr>
      </w:pPr>
      <w:commentRangeStart w:id="9"/>
      <w:r w:rsidRPr="00125DFB">
        <w:rPr>
          <w:rFonts w:ascii="Times New Roman" w:hAnsi="Times New Roman" w:cs="Times New Roman"/>
          <w:b/>
          <w:sz w:val="26"/>
          <w:szCs w:val="26"/>
        </w:rPr>
        <w:t>Discussion</w:t>
      </w:r>
      <w:commentRangeEnd w:id="9"/>
      <w:r w:rsidR="007107AD" w:rsidRPr="00125DFB">
        <w:rPr>
          <w:rStyle w:val="CommentReference"/>
          <w:rFonts w:ascii="Times New Roman" w:hAnsi="Times New Roman" w:cs="Times New Roman"/>
          <w:sz w:val="26"/>
          <w:szCs w:val="26"/>
        </w:rPr>
        <w:commentReference w:id="9"/>
      </w:r>
    </w:p>
    <w:p w14:paraId="1E25CAB4"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Socio-Demographic Profile and Its Implications</w:t>
      </w:r>
    </w:p>
    <w:p w14:paraId="2ADE2E0A"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data obtained based on socio-demographic status of the respondents is presented in (Table 1). This present a status of a high risk community for MBZDs, this is in consistent with studies across sub-Saharan Africa. The high proportion of respondents engaged animal handling and livestock farmers (46.7%) confirms a population with strong direct exposure to livestock, a primary risk factor for diseases such as brucellosis and bovine tuberculosis (Muma et al., 2007). The significant presence of milk vendors and processors (13.3%) further indicates a critical point for potential disease spread and transmission, as their practices directly affect many consumers.</w:t>
      </w:r>
    </w:p>
    <w:p w14:paraId="2898F686"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Data analysis</w:t>
      </w:r>
    </w:p>
    <w:p w14:paraId="0F3631B3"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Typical of surveys involving Pastoralist, the higher proportion of men (60%), heads of the household, an indication of their gender role in economic activities. Contrary to the usual, since women frequently handle and process milk in the households, the interpretation takes this into consideration. Gusi et al.’s findings from the North of Nigeria </w:t>
      </w:r>
      <w:r w:rsidRPr="00125DFB">
        <w:rPr>
          <w:rFonts w:ascii="Times New Roman" w:hAnsi="Times New Roman" w:cs="Times New Roman"/>
          <w:sz w:val="26"/>
          <w:szCs w:val="26"/>
        </w:rPr>
        <w:lastRenderedPageBreak/>
        <w:t xml:space="preserve">are consistent with the low level of formal education, with only about 33.3% having formal education the other has only primary or Quaranic education. The findings also indicate that a major factor militating against understanding disease spread and implementation of preventive measures is the low literacy level.  </w:t>
      </w:r>
    </w:p>
    <w:p w14:paraId="2D1D4A4A"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Knowledge Gaps</w:t>
      </w:r>
    </w:p>
    <w:p w14:paraId="57B7BD71"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knowledge assessment result is presented in (Table 2) which reveals serious gaps that perpetuate the cycle of disease. Only 16.7% of respondents were aware of zoonotic brucellosis, and 70% knew none of the listed diseases. This finding agrees with a study in Ethiopia by Megersa et al. (2011), who reported that, only 21.5% of pastoralists had heard of brucellosis and tuberculosis. The resulting silent epidemic persists because communities cannot name or identify the diseases that affect them, leading to misdiagnosis and underreporting in formal health systems (Bale et al., 2019).</w:t>
      </w:r>
    </w:p>
    <w:p w14:paraId="3EEB799C"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A particularly dangerous knowledge gap is the widespread misconception about asymptomatic animals here only 30% of respondents knew that milk from healthy looking animals could carry disease and further transmit it in their meat of milk. This directly correlates with the high risk practices observed, as communities see no reason to treat milk from apparently healthy animals as dangerous a finding consistent with Osbjer et al. (2015), who reported that pastoralists in Kenya perceived minimal risk from their own healthy looking herds. The high perception of severity (63.3%) and knowledge that raw milk is a transmission route (73.3%) are positive findings, indicating a receptive audience for targeted public health education.</w:t>
      </w:r>
    </w:p>
    <w:p w14:paraId="6AA51C2D"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Practices; The Pervasiveness of High Risk Behaviours</w:t>
      </w:r>
    </w:p>
    <w:p w14:paraId="5B36E7A0"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 xml:space="preserve">The data on practices (Table 3) demonstrate that high risk behaviours are deeply rooted in the cultural and economic status of the community. High consumption of raw milk (66.7%), primarily due to taste (60%) and cultural preference (56.7%), has agreed with Lucey (2015), who reported that sensory preferences and deeply held beliefs about the nutritional superiority of raw milk supersede public health advice. Poor milking hygienic practices are a major concern, 46.7% of the respondent reported not cleaning the udder before milking, and 73.3% stored milk at room temperature, creating conducive </w:t>
      </w:r>
      <w:r w:rsidRPr="00125DFB">
        <w:rPr>
          <w:rFonts w:ascii="Times New Roman" w:hAnsi="Times New Roman" w:cs="Times New Roman"/>
          <w:sz w:val="26"/>
          <w:szCs w:val="26"/>
        </w:rPr>
        <w:lastRenderedPageBreak/>
        <w:t>environment for bacterial contamination and proliferation this findings are in consistent with Kagu et al. (2020) in Maiduguri. Most alarmingly, 66.7% of vendors reported never boiling milk before sale, effectively making the milk market a route for disease transmission which most are zoontics.</w:t>
      </w:r>
    </w:p>
    <w:p w14:paraId="6460D9F0" w14:textId="77777777" w:rsidR="00E818A8" w:rsidRPr="00125DFB" w:rsidRDefault="005F3352" w:rsidP="001E0F51">
      <w:pPr>
        <w:spacing w:after="120" w:line="360" w:lineRule="auto"/>
        <w:jc w:val="both"/>
        <w:rPr>
          <w:rFonts w:ascii="Times New Roman" w:hAnsi="Times New Roman" w:cs="Times New Roman"/>
          <w:b/>
          <w:sz w:val="26"/>
          <w:szCs w:val="26"/>
        </w:rPr>
      </w:pPr>
      <w:commentRangeStart w:id="10"/>
      <w:r w:rsidRPr="00125DFB">
        <w:rPr>
          <w:rFonts w:ascii="Times New Roman" w:hAnsi="Times New Roman" w:cs="Times New Roman"/>
          <w:b/>
          <w:sz w:val="26"/>
          <w:szCs w:val="26"/>
        </w:rPr>
        <w:t>Attitudes and Barriers</w:t>
      </w:r>
      <w:commentRangeEnd w:id="10"/>
      <w:r w:rsidR="007107AD" w:rsidRPr="00125DFB">
        <w:rPr>
          <w:rStyle w:val="CommentReference"/>
          <w:rFonts w:ascii="Times New Roman" w:hAnsi="Times New Roman" w:cs="Times New Roman"/>
          <w:b/>
          <w:sz w:val="26"/>
          <w:szCs w:val="26"/>
        </w:rPr>
        <w:commentReference w:id="10"/>
      </w:r>
    </w:p>
    <w:p w14:paraId="7295ACD8"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 xml:space="preserve">Table 4 clearly shows the gap between attitudes and actual practices which often hinders public health efforts. A high level of geneal knowledge was observed, with 86.7% of respondents understanding that sick animals can lead to human illness and 83.3% being confident that boiling is a safe method. However, this knowledge was not reflected in their actions, as 60% of the respondents continued to sell milk from sick animals. The identification of lack of knowledge (80%) as the main barrier, despite the existing general awareness, indicates a nedd for education that is specific, practical, and focused on actionable steps rather than just raising awareness. The second key barrier, the cost of boiling (60%), points to significant socioeconomic challenges. This finding aligns with Kamu et al., (2021), who noted that the cost of energy is a major obstacle to consistently boiling milk in rural arrears, where most of the consumed milk comes from. </w:t>
      </w:r>
    </w:p>
    <w:p w14:paraId="7314C072" w14:textId="77777777" w:rsidR="00E818A8" w:rsidRPr="00125DFB" w:rsidRDefault="00E818A8" w:rsidP="001E0F51">
      <w:pPr>
        <w:spacing w:before="200" w:after="80" w:line="360" w:lineRule="auto"/>
        <w:rPr>
          <w:rFonts w:ascii="Times New Roman" w:hAnsi="Times New Roman" w:cs="Times New Roman"/>
          <w:b/>
          <w:sz w:val="26"/>
          <w:szCs w:val="26"/>
        </w:rPr>
      </w:pPr>
    </w:p>
    <w:p w14:paraId="7E27B77E" w14:textId="77777777" w:rsidR="00E818A8" w:rsidRPr="00125DFB" w:rsidRDefault="005F3352" w:rsidP="001E0F51">
      <w:pPr>
        <w:spacing w:before="200" w:after="80" w:line="360" w:lineRule="auto"/>
        <w:rPr>
          <w:rFonts w:ascii="Times New Roman" w:hAnsi="Times New Roman" w:cs="Times New Roman"/>
          <w:sz w:val="26"/>
          <w:szCs w:val="26"/>
        </w:rPr>
      </w:pPr>
      <w:r w:rsidRPr="00125DFB">
        <w:rPr>
          <w:rFonts w:ascii="Times New Roman" w:hAnsi="Times New Roman" w:cs="Times New Roman"/>
          <w:b/>
          <w:sz w:val="26"/>
          <w:szCs w:val="26"/>
        </w:rPr>
        <w:t>Public Health Impact and a call for Intervention</w:t>
      </w:r>
    </w:p>
    <w:p w14:paraId="54B75422" w14:textId="77777777" w:rsidR="00E818A8" w:rsidRPr="00125DFB" w:rsidRDefault="005F3352" w:rsidP="001E0F51">
      <w:pPr>
        <w:spacing w:after="120" w:line="360" w:lineRule="auto"/>
        <w:ind w:firstLine="425"/>
        <w:jc w:val="both"/>
        <w:rPr>
          <w:rFonts w:ascii="Times New Roman" w:hAnsi="Times New Roman" w:cs="Times New Roman"/>
          <w:sz w:val="26"/>
          <w:szCs w:val="26"/>
        </w:rPr>
      </w:pPr>
      <w:r w:rsidRPr="00125DFB">
        <w:rPr>
          <w:rFonts w:ascii="Times New Roman" w:hAnsi="Times New Roman" w:cs="Times New Roman"/>
          <w:sz w:val="26"/>
          <w:szCs w:val="26"/>
        </w:rPr>
        <w:t>The entire findings of this study was narrowed in to mitigate public health hazards and economic hardship as a role to play in curtaining MBZD. The reported burden of diseases (26.7% of households) and the apparent economic effect (33.3% reporting moderate or severe income loss) provide palpable evidence of the community's health and socio-economic burden impose by MBZDs. The communities has a clear and consistent message for policymakers (Table 5): community education (93.3%), delivered by health workers (86.7%) via radio (80%), provides a direct blueprint for effective intervention. The support for multi-pronged strategies including veterinary screening and pasteurization facilities mirrors the successful One Health approaches as advocated by Jost et al. (2016), which integrate human, animal medicine and environmental health have shown assurance in analogous settings (Holt et al., 2019).</w:t>
      </w:r>
    </w:p>
    <w:p w14:paraId="25852FF0" w14:textId="2BE23800" w:rsidR="00E818A8" w:rsidRDefault="005F3352" w:rsidP="00D82E08">
      <w:pPr>
        <w:spacing w:after="120" w:line="360" w:lineRule="auto"/>
        <w:jc w:val="both"/>
        <w:rPr>
          <w:rFonts w:ascii="Times New Roman" w:hAnsi="Times New Roman" w:cs="Times New Roman"/>
          <w:b/>
          <w:sz w:val="26"/>
          <w:szCs w:val="26"/>
        </w:rPr>
      </w:pPr>
      <w:r w:rsidRPr="00125DFB">
        <w:rPr>
          <w:rFonts w:ascii="Times New Roman" w:hAnsi="Times New Roman" w:cs="Times New Roman"/>
          <w:b/>
          <w:sz w:val="26"/>
          <w:szCs w:val="26"/>
        </w:rPr>
        <w:lastRenderedPageBreak/>
        <w:t xml:space="preserve">CONCLUSION </w:t>
      </w:r>
    </w:p>
    <w:p w14:paraId="77205E37" w14:textId="77777777" w:rsidR="00D82E08" w:rsidRPr="00E37877" w:rsidRDefault="00D82E08" w:rsidP="00D82E08">
      <w:pPr>
        <w:spacing w:before="100" w:beforeAutospacing="1" w:after="100" w:afterAutospacing="1" w:line="240" w:lineRule="auto"/>
        <w:rPr>
          <w:rFonts w:ascii="Times New Roman" w:eastAsia="Times New Roman" w:hAnsi="Times New Roman" w:cs="Times New Roman"/>
          <w:sz w:val="24"/>
          <w:szCs w:val="24"/>
          <w:lang w:eastAsia="en-GB"/>
        </w:rPr>
      </w:pPr>
      <w:r w:rsidRPr="00E37877">
        <w:rPr>
          <w:rFonts w:ascii="Times New Roman" w:eastAsia="Times New Roman" w:hAnsi="Times New Roman" w:cs="Times New Roman"/>
          <w:sz w:val="24"/>
          <w:szCs w:val="24"/>
          <w:lang w:eastAsia="en-GB"/>
        </w:rPr>
        <w:t>The surveyed communities showed limited knowledge of specific milk-borne zoonotic diseases and reported several practices that may increase exposure to contaminated milk. Raw milk consumption, room-temperature storage, inadequate udder cleaning and the sale of unboiled milk were commonly reported. Nevertheless, most respondents recognised that sick animals could transmit illness and that boiling could improve milk safety. These findings indicate a gap between general awareness and routine practice. Public-health responses should therefore emphasise practical milk-hygiene education, safe heating and storage, veterinary screening and training for milk handlers and vendors. Communication should use locally accessible languages and channels, including radio and community meetings. Because the study was descriptive and based on self-reported information, the results should be interpreted as evidence of reported knowledge and behaviour rather than confirmed occurrence of milk-borne disease.</w:t>
      </w:r>
    </w:p>
    <w:p w14:paraId="0D404EEC" w14:textId="77777777" w:rsidR="00D82E08" w:rsidRDefault="00D82E08" w:rsidP="00D82E08">
      <w:pPr>
        <w:spacing w:after="120" w:line="360" w:lineRule="auto"/>
        <w:jc w:val="both"/>
        <w:rPr>
          <w:rFonts w:ascii="Times New Roman" w:hAnsi="Times New Roman" w:cs="Times New Roman"/>
          <w:sz w:val="26"/>
          <w:szCs w:val="26"/>
        </w:rPr>
      </w:pPr>
    </w:p>
    <w:p w14:paraId="4A86AE86" w14:textId="77777777" w:rsidR="00D82E08" w:rsidRDefault="00D82E08" w:rsidP="001E0F51">
      <w:pPr>
        <w:spacing w:after="120" w:line="360" w:lineRule="auto"/>
        <w:jc w:val="both"/>
        <w:rPr>
          <w:rFonts w:ascii="Times New Roman" w:hAnsi="Times New Roman" w:cs="Times New Roman"/>
          <w:sz w:val="26"/>
          <w:szCs w:val="26"/>
        </w:rPr>
      </w:pPr>
    </w:p>
    <w:p w14:paraId="5D754221" w14:textId="77777777" w:rsidR="00D82E08" w:rsidRPr="00125DFB" w:rsidRDefault="00D82E08" w:rsidP="00D82E08">
      <w:pPr>
        <w:spacing w:after="120" w:line="360" w:lineRule="auto"/>
        <w:jc w:val="both"/>
        <w:rPr>
          <w:rFonts w:ascii="Times New Roman" w:hAnsi="Times New Roman" w:cs="Times New Roman"/>
          <w:b/>
          <w:sz w:val="26"/>
          <w:szCs w:val="26"/>
        </w:rPr>
      </w:pPr>
      <w:r w:rsidRPr="00125DFB">
        <w:rPr>
          <w:rFonts w:ascii="Times New Roman" w:hAnsi="Times New Roman" w:cs="Times New Roman"/>
          <w:b/>
          <w:sz w:val="26"/>
          <w:szCs w:val="26"/>
        </w:rPr>
        <w:t xml:space="preserve">RECOMMENDATION </w:t>
      </w:r>
    </w:p>
    <w:p w14:paraId="06434330" w14:textId="77777777" w:rsidR="00D82E08" w:rsidRPr="00125DFB" w:rsidRDefault="00D82E08" w:rsidP="001E0F51">
      <w:pPr>
        <w:spacing w:after="120" w:line="360" w:lineRule="auto"/>
        <w:jc w:val="both"/>
        <w:rPr>
          <w:rFonts w:ascii="Times New Roman" w:hAnsi="Times New Roman" w:cs="Times New Roman"/>
          <w:sz w:val="26"/>
          <w:szCs w:val="26"/>
        </w:rPr>
      </w:pPr>
    </w:p>
    <w:p w14:paraId="018CCE74" w14:textId="77777777" w:rsidR="00E818A8" w:rsidRPr="00125DFB" w:rsidRDefault="005F3352" w:rsidP="001E0F51">
      <w:pPr>
        <w:spacing w:after="120" w:line="360" w:lineRule="auto"/>
        <w:jc w:val="both"/>
        <w:rPr>
          <w:rFonts w:ascii="Times New Roman" w:hAnsi="Times New Roman" w:cs="Times New Roman"/>
          <w:sz w:val="26"/>
          <w:szCs w:val="26"/>
        </w:rPr>
      </w:pPr>
      <w:r w:rsidRPr="00125DFB">
        <w:rPr>
          <w:rFonts w:ascii="Times New Roman" w:hAnsi="Times New Roman" w:cs="Times New Roman"/>
          <w:sz w:val="26"/>
          <w:szCs w:val="26"/>
        </w:rPr>
        <w:t>The study also reveals a clear way forward. The community perceives MBZDs as a serious threat, has high confidence in simple solutions such as boiling, and strongly supports a public health response led by education delivered through trusted channels. On the basis of these findings, the following recommendations were made: (i)  community health education programmes delivered in Hausa, Fulani and Kanuri via radio, mosque announcements, and community meetings, led by health workers and local government officials should address specific knowledge gaps, particularly regarding asymptomatic carriers and the correct practice of boiling; (ii) economic barriers should be addressed through promotion of fuel efficient cooking stoves and the possible establishment of community based milk pasteurisation stations; (iii) veterinary extension services should be strengthened to provide accessible livestock disease screening; and (iv) regulatory authorities should consider enforceable hygiene standards for informal milk vendors, supported by regular training and inspection. These multi-pronged, One Health-aligned interventions have explicit community endorsement, providing a strong mandate for action.</w:t>
      </w:r>
    </w:p>
    <w:p w14:paraId="1C6BAA73" w14:textId="77777777" w:rsidR="00F1686A" w:rsidRDefault="00F1686A" w:rsidP="00F1686A">
      <w:pPr>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Ethical approval</w:t>
      </w:r>
    </w:p>
    <w:p w14:paraId="6976B5AC" w14:textId="77777777" w:rsidR="00F1686A" w:rsidRDefault="00F1686A" w:rsidP="00F1686A">
      <w:p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lastRenderedPageBreak/>
        <w:t>The study was carried out in conformity with the recommended ethical guidelines for human participation in survey such as confidentiality, informed consent, anonymity, and voluntary participation.</w:t>
      </w:r>
    </w:p>
    <w:p w14:paraId="339C1D76" w14:textId="77777777" w:rsidR="00F1686A" w:rsidRPr="00125DFB" w:rsidRDefault="00F1686A" w:rsidP="001E0F51">
      <w:pPr>
        <w:spacing w:after="120" w:line="360" w:lineRule="auto"/>
        <w:jc w:val="both"/>
        <w:rPr>
          <w:rFonts w:ascii="Times New Roman" w:hAnsi="Times New Roman" w:cs="Times New Roman"/>
          <w:sz w:val="26"/>
          <w:szCs w:val="26"/>
        </w:rPr>
      </w:pPr>
    </w:p>
    <w:p w14:paraId="0722F5D6" w14:textId="77777777" w:rsidR="00E818A8" w:rsidRPr="00125DFB" w:rsidRDefault="005F3352" w:rsidP="001E0F51">
      <w:pPr>
        <w:spacing w:line="360" w:lineRule="auto"/>
        <w:rPr>
          <w:rFonts w:ascii="Times New Roman" w:hAnsi="Times New Roman" w:cs="Times New Roman"/>
          <w:b/>
          <w:sz w:val="26"/>
          <w:szCs w:val="26"/>
        </w:rPr>
      </w:pPr>
      <w:r w:rsidRPr="00125DFB">
        <w:rPr>
          <w:rFonts w:ascii="Times New Roman" w:hAnsi="Times New Roman" w:cs="Times New Roman"/>
          <w:b/>
          <w:sz w:val="26"/>
          <w:szCs w:val="26"/>
        </w:rPr>
        <w:br w:type="page"/>
      </w:r>
    </w:p>
    <w:p w14:paraId="37BC8811" w14:textId="77777777" w:rsidR="00D82E08" w:rsidRPr="00E37877" w:rsidRDefault="00D82E08" w:rsidP="00D82E0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E37877">
        <w:rPr>
          <w:rFonts w:ascii="Times New Roman" w:eastAsia="Times New Roman" w:hAnsi="Times New Roman" w:cs="Times New Roman"/>
          <w:b/>
          <w:bCs/>
          <w:sz w:val="36"/>
          <w:szCs w:val="36"/>
          <w:lang w:eastAsia="en-GB"/>
        </w:rPr>
        <w:lastRenderedPageBreak/>
        <w:t>Limitations</w:t>
      </w:r>
    </w:p>
    <w:p w14:paraId="56BCD5F5" w14:textId="77777777" w:rsidR="00D82E08" w:rsidRDefault="00D82E08" w:rsidP="00D82E08">
      <w:pPr>
        <w:spacing w:before="100" w:beforeAutospacing="1" w:after="100" w:afterAutospacing="1" w:line="240" w:lineRule="auto"/>
        <w:rPr>
          <w:rFonts w:ascii="Times New Roman" w:eastAsia="Times New Roman" w:hAnsi="Times New Roman" w:cs="Times New Roman"/>
          <w:sz w:val="24"/>
          <w:szCs w:val="24"/>
          <w:lang w:eastAsia="en-GB"/>
        </w:rPr>
      </w:pPr>
      <w:r w:rsidRPr="00E37877">
        <w:rPr>
          <w:rFonts w:ascii="Times New Roman" w:eastAsia="Times New Roman" w:hAnsi="Times New Roman" w:cs="Times New Roman"/>
          <w:sz w:val="24"/>
          <w:szCs w:val="24"/>
          <w:lang w:eastAsia="en-GB"/>
        </w:rPr>
        <w:t>The study used a cross-sectional design and relied on self-reported responses, which may be affected by recall and social-desirability bias. Recruitment from only three locations and the partial use of convenience and snowball sampling limit the generalisability of the findings to the wider population of Yobe State. No microbiological testing of milk, clinical diagnosis or laboratory confirmation of zoonotic infection was conducted. Some questions were relevant only to milk producers or vendors, and subgroup-specific denominators should therefore be considered when interpreting those responses.</w:t>
      </w:r>
    </w:p>
    <w:p w14:paraId="0856DF74" w14:textId="77777777" w:rsidR="00D82E08" w:rsidRPr="000839CE" w:rsidRDefault="00D82E08" w:rsidP="00D82E08">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7C70D4E" w14:textId="77777777" w:rsidR="00D82E08" w:rsidRPr="000839CE" w:rsidRDefault="00D82E08" w:rsidP="00D82E08">
      <w:pPr>
        <w:spacing w:after="0" w:line="240" w:lineRule="auto"/>
        <w:rPr>
          <w:rFonts w:ascii="Times New Roman" w:hAnsi="Times New Roman" w:cs="Times New Roman"/>
        </w:rPr>
      </w:pPr>
    </w:p>
    <w:p w14:paraId="7A562A98" w14:textId="77777777" w:rsidR="00D82E08" w:rsidRPr="000839CE" w:rsidRDefault="00D82E08" w:rsidP="00D82E0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E98317" w14:textId="77777777" w:rsidR="00D82E08" w:rsidRPr="00E37877" w:rsidRDefault="00D82E08" w:rsidP="00D82E08">
      <w:pPr>
        <w:spacing w:before="100" w:beforeAutospacing="1" w:after="100" w:afterAutospacing="1" w:line="240" w:lineRule="auto"/>
        <w:rPr>
          <w:rFonts w:ascii="Times New Roman" w:eastAsia="Times New Roman" w:hAnsi="Times New Roman" w:cs="Times New Roman"/>
          <w:sz w:val="24"/>
          <w:szCs w:val="24"/>
          <w:lang w:eastAsia="en-GB"/>
        </w:rPr>
      </w:pPr>
    </w:p>
    <w:p w14:paraId="633DCE88" w14:textId="77777777" w:rsidR="00E818A8" w:rsidRPr="00125DFB" w:rsidRDefault="005F3352" w:rsidP="001E0F51">
      <w:pPr>
        <w:spacing w:after="100" w:line="360" w:lineRule="auto"/>
        <w:ind w:left="425" w:hanging="425"/>
        <w:jc w:val="both"/>
        <w:rPr>
          <w:rFonts w:ascii="Times New Roman" w:hAnsi="Times New Roman" w:cs="Times New Roman"/>
          <w:b/>
          <w:sz w:val="26"/>
          <w:szCs w:val="26"/>
        </w:rPr>
      </w:pPr>
      <w:r w:rsidRPr="00125DFB">
        <w:rPr>
          <w:rFonts w:ascii="Times New Roman" w:hAnsi="Times New Roman" w:cs="Times New Roman"/>
          <w:b/>
          <w:sz w:val="26"/>
          <w:szCs w:val="26"/>
        </w:rPr>
        <w:t xml:space="preserve">REFERENCES </w:t>
      </w:r>
    </w:p>
    <w:p w14:paraId="552935A9"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Andrade, C., Menon, V., Ameen, S., &amp; Kumar Praharaj, S. (2020). Designing and conducting knowledge, attitude, and practice surveys in psychiatry: Practical guidance. Indian Journal of Psychological Medicine, 42(5), 478-481. https://doi.org/10.1177/0253717620946111</w:t>
      </w:r>
    </w:p>
    <w:p w14:paraId="28FC70B5"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Babbie, E. R. (2020). The practice of social research (15th edition). Cengage Learning.</w:t>
      </w:r>
    </w:p>
    <w:p w14:paraId="777CA133"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Bale, O. O., Kwanashie, G., &amp; Adeyemi, A. O. (2019). Sero-epidemiology of brucellosis in livestock and humans in Nigeria: A systematic review. Nigerian Veterinary Journal, 40(2), 1-15.</w:t>
      </w:r>
    </w:p>
    <w:p w14:paraId="03410C61"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Corbel, M. J. (2006). Brucellosis in humans and animals. World Health Organization Press.</w:t>
      </w:r>
    </w:p>
    <w:p w14:paraId="7184999C"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Dean, A. S., Crump, L., Greter, H., Hattendorf, J., Schelling, E., &amp; Zinsstag, J. (2012). Global burden of human brucellosis: A systematic review of disease frequency. PLoS Neglected Tropical Diseases, 6(10), e1865. https://doi.org/10.1371/journal.pntd.0001865</w:t>
      </w:r>
    </w:p>
    <w:p w14:paraId="0705F49B"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lastRenderedPageBreak/>
        <w:t>Food and Agriculture Organization of the United Nations (FAO). (2013). Milk and dairy products in human nutrition. FAO.</w:t>
      </w:r>
    </w:p>
    <w:p w14:paraId="0A859D54"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Franc, K. A., Krecek, R. C., Hasler, B. N., &amp; Arenas-Gamboa, A. M. (2018). Brucellosis remains a neglected disease in the developing world: A call for interdisciplinary action. BMC Public Health, 18(1), 125. https://doi.org/10.1186/s12889-017-5016-y</w:t>
      </w:r>
    </w:p>
    <w:p w14:paraId="42F149C6"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Gusi, A. M., Oluwole, A. S., &amp; Baba, M. M. (2020). Cultural practices and milk consumption patterns in Northern Nigeria. Journal of Ethnobiology and Ethnomedicine, 16(1), 45. https://doi.org/10.1186/s13002-020-00395-z</w:t>
      </w:r>
    </w:p>
    <w:p w14:paraId="3DA81BDA"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Holt, H. R., Muwonge, A., Mackintosh, C., Rajic, A., &amp; Petrokofsky, C. (2019). Systematic review and meta-analysis of the effectiveness of farmer-focused interventions to reduce zoonotic disease in sub-Saharan Africa. Infection Ecology and Epidemiology, 9(1), 1549413.</w:t>
      </w:r>
    </w:p>
    <w:p w14:paraId="75415BC0"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Jost, C. C., Mariner, J. C., Roeder, P. L., Sawitri, E., &amp; Macgregor-Skinner, G. J. (2016). Participatory epidemiology in disease surveillance and research. Revue Scientifique et Technique (International Office of Epizootics), 26(3), 537-549.</w:t>
      </w:r>
    </w:p>
    <w:p w14:paraId="6769C19E"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5404F6">
        <w:rPr>
          <w:rFonts w:ascii="Times New Roman" w:hAnsi="Times New Roman" w:cs="Times New Roman"/>
          <w:sz w:val="26"/>
          <w:szCs w:val="26"/>
          <w:lang w:val="sv-SE"/>
        </w:rPr>
        <w:t xml:space="preserve">Kagu, M. B., Garba, H. S., &amp; Kawu, M. U. (2020). </w:t>
      </w:r>
      <w:r w:rsidRPr="00125DFB">
        <w:rPr>
          <w:rFonts w:ascii="Times New Roman" w:hAnsi="Times New Roman" w:cs="Times New Roman"/>
          <w:sz w:val="26"/>
          <w:szCs w:val="26"/>
        </w:rPr>
        <w:t>Milk vending practices and public health risks in Maiduguri metropolis. Sahel Journal of Veterinary Sciences, 17(2), 1-8.</w:t>
      </w:r>
    </w:p>
    <w:p w14:paraId="5F35C7C0"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Kaltungo, B. Y., Umaru, M. A., &amp; Saidu, S. N. A. (2014). A review of zoonotic infections in Nigeria: The role of wildlife and livestock. Veterinary World, 7(7), 539-544. https://doi.org/10.14202/vetworld.2014.539-544</w:t>
      </w:r>
    </w:p>
    <w:p w14:paraId="2D3D0C88"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Kamu, A., Musuka, G., Tshikuka, J. G., &amp; Mwanza, M. (2021). Economic barriers to milk safety in pastoral communities of sub-Saharan Africa. Pastoralism: Research, Policy and Practice, 11(1), 12. https://doi.org/10.1186/s13570-021-00201-9</w:t>
      </w:r>
    </w:p>
    <w:p w14:paraId="1A1699F2"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Lucey, J. A. (2015). Raw milk consumption: Risks and benefits. Nutrition Today, 50(4), 189-193. https://doi.org/10.1097/NT.0000000000000108</w:t>
      </w:r>
    </w:p>
    <w:p w14:paraId="701C98E6"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5404F6">
        <w:rPr>
          <w:rFonts w:ascii="Times New Roman" w:hAnsi="Times New Roman" w:cs="Times New Roman"/>
          <w:sz w:val="26"/>
          <w:szCs w:val="26"/>
          <w:lang w:val="sv-SE"/>
        </w:rPr>
        <w:t xml:space="preserve">Megersa, B., Biffa, D., Abunna, F., Regassa, A., Godfroid, J., &amp; Skjerve, E. (2011). </w:t>
      </w:r>
      <w:r w:rsidRPr="00125DFB">
        <w:rPr>
          <w:rFonts w:ascii="Times New Roman" w:hAnsi="Times New Roman" w:cs="Times New Roman"/>
          <w:sz w:val="26"/>
          <w:szCs w:val="26"/>
        </w:rPr>
        <w:t xml:space="preserve">Seroprevalence of brucellosis and its contribution to abortion in cattle, camel, and goat </w:t>
      </w:r>
      <w:r w:rsidRPr="00125DFB">
        <w:rPr>
          <w:rFonts w:ascii="Times New Roman" w:hAnsi="Times New Roman" w:cs="Times New Roman"/>
          <w:sz w:val="26"/>
          <w:szCs w:val="26"/>
        </w:rPr>
        <w:lastRenderedPageBreak/>
        <w:t>kept under pastoral management in Borana, Ethiopia. Tropical Animal Health and Production, 43(3), 651-656. https://doi.org/10.1007/s11250-010-9748-2</w:t>
      </w:r>
    </w:p>
    <w:p w14:paraId="1422B468"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Muma, J. B., Samui, K. L., Oloya, J., Munyeme, M., &amp; Skjerve, E. (2007). Risk factors for brucellosis in indigenous cattle reared in livestock-wildlife interface areas of Zambia. Preventive Veterinary Medicine, 80(4), 306-317. https://doi.org/10.1016/j.prevetmed.2007.03.003</w:t>
      </w:r>
    </w:p>
    <w:p w14:paraId="126FAF35"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O'Reilly, L. M., &amp; Daborn, C. J. (1995). The epidemiology of Mycobacterium bovis infections in animals and man: A review. Tubercle and Lung Disease, 76(Suppl 1), 1-46. https://doi.org/10.1016/0962-8479(95)90591-X</w:t>
      </w:r>
    </w:p>
    <w:p w14:paraId="61A14B49"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Osbjer, K., Boqvist, S., Sokerya, S., Kannarath, C., San, S., Davun, H., &amp; Magnusson, U. (2015). Risk practices for zoonotic disease transmission in smallholder dairy farms in Cambodia. Journal of Dairy Research, 82(4), 479-486. https://doi.org/10.1017/S0022029915000380</w:t>
      </w:r>
    </w:p>
    <w:p w14:paraId="03D210DB"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Salami, A. K., Katibi, I. A., &amp; Gbadamosi, A. A. (2020). Bovine tuberculosis in Nigeria: A review. Nigerian Journal of Clinical Practice, 23(2), 145-152. https://doi.org/10.4103/njcp.njcp_258_19</w:t>
      </w:r>
    </w:p>
    <w:p w14:paraId="2CDD532A" w14:textId="77777777" w:rsidR="00E818A8" w:rsidRPr="00125DFB" w:rsidRDefault="005F3352" w:rsidP="001E0F51">
      <w:pPr>
        <w:spacing w:after="100" w:line="360" w:lineRule="auto"/>
        <w:ind w:left="425" w:hanging="425"/>
        <w:jc w:val="both"/>
        <w:rPr>
          <w:rFonts w:ascii="Times New Roman" w:hAnsi="Times New Roman" w:cs="Times New Roman"/>
          <w:sz w:val="26"/>
          <w:szCs w:val="26"/>
        </w:rPr>
      </w:pPr>
      <w:r w:rsidRPr="00125DFB">
        <w:rPr>
          <w:rFonts w:ascii="Times New Roman" w:hAnsi="Times New Roman" w:cs="Times New Roman"/>
          <w:sz w:val="26"/>
          <w:szCs w:val="26"/>
        </w:rPr>
        <w:t>World Health Organization (WHO). (2022). Zoonoses. https://www.who.int/news-room/fact-sheets/detail/zoonoses</w:t>
      </w:r>
    </w:p>
    <w:sectPr w:rsidR="00E818A8" w:rsidRPr="00125DFB">
      <w:headerReference w:type="even" r:id="rId12"/>
      <w:headerReference w:type="default" r:id="rId13"/>
      <w:footerReference w:type="even" r:id="rId14"/>
      <w:footerReference w:type="default" r:id="rId15"/>
      <w:headerReference w:type="first" r:id="rId16"/>
      <w:footerReference w:type="first" r:id="rId17"/>
      <w:pgSz w:w="12240" w:h="15840"/>
      <w:pgMar w:top="900" w:right="1440" w:bottom="126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mashankar Rawat" w:date="2026-07-12T01:52:00Z" w:initials="UR">
    <w:p w14:paraId="558B3BF6" w14:textId="77777777" w:rsidR="005404F6" w:rsidRDefault="005404F6" w:rsidP="005404F6">
      <w:pPr>
        <w:pStyle w:val="CommentText"/>
      </w:pPr>
      <w:r>
        <w:rPr>
          <w:rStyle w:val="CommentReference"/>
        </w:rPr>
        <w:annotationRef/>
      </w:r>
      <w:r>
        <w:rPr>
          <w:lang w:val="en-IN"/>
        </w:rPr>
        <w:t>Use one</w:t>
      </w:r>
    </w:p>
  </w:comment>
  <w:comment w:id="1" w:author="Umashankar Rawat" w:date="2026-07-12T01:53:00Z" w:initials="UR">
    <w:p w14:paraId="36EE58F0" w14:textId="77777777" w:rsidR="005404F6" w:rsidRDefault="005404F6" w:rsidP="005404F6">
      <w:pPr>
        <w:pStyle w:val="CommentText"/>
      </w:pPr>
      <w:r>
        <w:rPr>
          <w:rStyle w:val="CommentReference"/>
        </w:rPr>
        <w:annotationRef/>
      </w:r>
      <w:r>
        <w:rPr>
          <w:lang w:val="en-IN"/>
        </w:rPr>
        <w:t>assess</w:t>
      </w:r>
    </w:p>
  </w:comment>
  <w:comment w:id="2" w:author="Umashankar Rawat" w:date="2026-07-12T01:58:00Z" w:initials="UR">
    <w:p w14:paraId="5A54C2CF" w14:textId="77777777" w:rsidR="00770FFC" w:rsidRDefault="00770FFC" w:rsidP="00770FFC">
      <w:pPr>
        <w:pStyle w:val="CommentText"/>
      </w:pPr>
      <w:r>
        <w:rPr>
          <w:rStyle w:val="CommentReference"/>
        </w:rPr>
        <w:annotationRef/>
      </w:r>
      <w:r>
        <w:t>The authors should clearly describe the sampling frame, sample size calculation, justification for selecting 150 respondents, inclusion criteria, exclusion criteria, response rate, questionnaire development, questionnaire validation, pilot testing, and reliability statistics</w:t>
      </w:r>
    </w:p>
  </w:comment>
  <w:comment w:id="3" w:author="Umashankar Rawat" w:date="2026-07-12T02:00:00Z" w:initials="UR">
    <w:p w14:paraId="3DB7595C" w14:textId="77777777" w:rsidR="00770FFC" w:rsidRDefault="00770FFC" w:rsidP="00770FFC">
      <w:pPr>
        <w:pStyle w:val="CommentText"/>
      </w:pPr>
      <w:r>
        <w:rPr>
          <w:rStyle w:val="CommentReference"/>
        </w:rPr>
        <w:annotationRef/>
      </w:r>
      <w:r>
        <w:rPr>
          <w:lang w:val="en-IN"/>
        </w:rPr>
        <w:t>exempt</w:t>
      </w:r>
    </w:p>
  </w:comment>
  <w:comment w:id="4" w:author="Umashankar Rawat" w:date="2026-07-12T02:02:00Z" w:initials="UR">
    <w:p w14:paraId="11E48AC7" w14:textId="77777777" w:rsidR="00770FFC" w:rsidRDefault="00770FFC" w:rsidP="00770FFC">
      <w:pPr>
        <w:pStyle w:val="CommentText"/>
      </w:pPr>
      <w:r>
        <w:rPr>
          <w:rStyle w:val="CommentReference"/>
        </w:rPr>
        <w:annotationRef/>
      </w:r>
      <w:r>
        <w:rPr>
          <w:lang w:val="en-IN"/>
        </w:rPr>
        <w:t>remove</w:t>
      </w:r>
    </w:p>
  </w:comment>
  <w:comment w:id="5" w:author="Umashankar Rawat" w:date="2026-07-12T02:06:00Z" w:initials="UR">
    <w:p w14:paraId="204E3CDE" w14:textId="77777777" w:rsidR="007107AD" w:rsidRDefault="007107AD" w:rsidP="007107AD">
      <w:pPr>
        <w:pStyle w:val="CommentText"/>
      </w:pPr>
      <w:r>
        <w:rPr>
          <w:rStyle w:val="CommentReference"/>
        </w:rPr>
        <w:annotationRef/>
      </w:r>
      <w:r>
        <w:rPr>
          <w:lang w:val="en-IN"/>
        </w:rPr>
        <w:t>Check spelling</w:t>
      </w:r>
    </w:p>
  </w:comment>
  <w:comment w:id="6" w:author="Umashankar Rawat" w:date="2026-07-12T02:07:00Z" w:initials="UR">
    <w:p w14:paraId="256D0401" w14:textId="77777777" w:rsidR="007107AD" w:rsidRDefault="007107AD" w:rsidP="007107AD">
      <w:pPr>
        <w:pStyle w:val="CommentText"/>
      </w:pPr>
      <w:r>
        <w:rPr>
          <w:rStyle w:val="CommentReference"/>
        </w:rPr>
        <w:annotationRef/>
      </w:r>
      <w:r>
        <w:t>The authors should clearly explain</w:t>
      </w:r>
    </w:p>
    <w:p w14:paraId="623F55C8" w14:textId="77777777" w:rsidR="007107AD" w:rsidRDefault="007107AD" w:rsidP="007107AD">
      <w:pPr>
        <w:pStyle w:val="CommentText"/>
        <w:numPr>
          <w:ilvl w:val="0"/>
          <w:numId w:val="10"/>
        </w:numPr>
      </w:pPr>
      <w:r>
        <w:t xml:space="preserve">why multiple sampling techniques were necessary, </w:t>
      </w:r>
    </w:p>
    <w:p w14:paraId="32CAB512" w14:textId="77777777" w:rsidR="007107AD" w:rsidRDefault="007107AD" w:rsidP="007107AD">
      <w:pPr>
        <w:pStyle w:val="CommentText"/>
        <w:numPr>
          <w:ilvl w:val="0"/>
          <w:numId w:val="10"/>
        </w:numPr>
      </w:pPr>
      <w:r>
        <w:t xml:space="preserve">at which stage each technique was applied, </w:t>
      </w:r>
    </w:p>
    <w:p w14:paraId="5D95EAE0" w14:textId="77777777" w:rsidR="007107AD" w:rsidRDefault="007107AD" w:rsidP="007107AD">
      <w:pPr>
        <w:pStyle w:val="CommentText"/>
        <w:numPr>
          <w:ilvl w:val="0"/>
          <w:numId w:val="10"/>
        </w:numPr>
      </w:pPr>
      <w:r>
        <w:t>potential biases introduced by convenience and snowball sampling.</w:t>
      </w:r>
    </w:p>
  </w:comment>
  <w:comment w:id="7" w:author="Umashankar Rawat" w:date="2026-07-12T02:08:00Z" w:initials="UR">
    <w:p w14:paraId="08F3BA89" w14:textId="77777777" w:rsidR="007107AD" w:rsidRDefault="007107AD" w:rsidP="007107AD">
      <w:pPr>
        <w:pStyle w:val="CommentText"/>
      </w:pPr>
      <w:r>
        <w:rPr>
          <w:rStyle w:val="CommentReference"/>
        </w:rPr>
        <w:annotationRef/>
      </w:r>
      <w:r>
        <w:rPr>
          <w:lang w:val="en-IN"/>
        </w:rPr>
        <w:t>Check spelling</w:t>
      </w:r>
    </w:p>
  </w:comment>
  <w:comment w:id="8" w:author="Umashankar Rawat" w:date="2026-07-12T02:09:00Z" w:initials="UR">
    <w:p w14:paraId="2F1ED4B6" w14:textId="77777777" w:rsidR="007107AD" w:rsidRDefault="007107AD" w:rsidP="007107AD">
      <w:pPr>
        <w:pStyle w:val="CommentText"/>
      </w:pPr>
      <w:r>
        <w:rPr>
          <w:rStyle w:val="CommentReference"/>
        </w:rPr>
        <w:annotationRef/>
      </w:r>
      <w:r>
        <w:rPr>
          <w:lang w:val="en-IN"/>
        </w:rPr>
        <w:t>conducted</w:t>
      </w:r>
    </w:p>
  </w:comment>
  <w:comment w:id="9" w:author="Umashankar Rawat" w:date="2026-07-12T02:14:00Z" w:initials="UR">
    <w:p w14:paraId="64ADF0D8" w14:textId="77777777" w:rsidR="007107AD" w:rsidRDefault="007107AD" w:rsidP="007107AD">
      <w:pPr>
        <w:pStyle w:val="CommentText"/>
      </w:pPr>
      <w:r>
        <w:rPr>
          <w:rStyle w:val="CommentReference"/>
        </w:rPr>
        <w:annotationRef/>
      </w:r>
      <w:r>
        <w:t>The Discussion mostly repeats the Results. A stronger discussion should include:</w:t>
      </w:r>
    </w:p>
    <w:p w14:paraId="7FFD82FB" w14:textId="77777777" w:rsidR="007107AD" w:rsidRDefault="007107AD" w:rsidP="007107AD">
      <w:pPr>
        <w:pStyle w:val="CommentText"/>
      </w:pPr>
      <w:r>
        <w:t xml:space="preserve">comparison with previous African studies, comparison with WHO recommendations </w:t>
      </w:r>
    </w:p>
    <w:p w14:paraId="3B96C255" w14:textId="77777777" w:rsidR="007107AD" w:rsidRDefault="007107AD" w:rsidP="007107AD">
      <w:pPr>
        <w:pStyle w:val="CommentText"/>
      </w:pPr>
      <w:r>
        <w:t xml:space="preserve">explanation of differences </w:t>
      </w:r>
    </w:p>
    <w:p w14:paraId="21AA0721" w14:textId="77777777" w:rsidR="007107AD" w:rsidRDefault="007107AD" w:rsidP="007107AD">
      <w:pPr>
        <w:pStyle w:val="CommentText"/>
      </w:pPr>
      <w:r>
        <w:t xml:space="preserve">public health implications </w:t>
      </w:r>
    </w:p>
    <w:p w14:paraId="12E04513" w14:textId="77777777" w:rsidR="007107AD" w:rsidRDefault="007107AD" w:rsidP="007107AD">
      <w:pPr>
        <w:pStyle w:val="CommentText"/>
      </w:pPr>
      <w:r>
        <w:t xml:space="preserve">One Health perspective </w:t>
      </w:r>
    </w:p>
    <w:p w14:paraId="40C69357" w14:textId="77777777" w:rsidR="007107AD" w:rsidRDefault="007107AD" w:rsidP="007107AD">
      <w:pPr>
        <w:pStyle w:val="CommentText"/>
      </w:pPr>
      <w:r>
        <w:t xml:space="preserve">policy implications </w:t>
      </w:r>
    </w:p>
    <w:p w14:paraId="161A5CA4" w14:textId="77777777" w:rsidR="007107AD" w:rsidRDefault="007107AD" w:rsidP="007107AD">
      <w:pPr>
        <w:pStyle w:val="CommentText"/>
      </w:pPr>
      <w:r>
        <w:t>Currently, interpretation is limited.</w:t>
      </w:r>
    </w:p>
  </w:comment>
  <w:comment w:id="10" w:author="Umashankar Rawat" w:date="2026-07-12T02:15:00Z" w:initials="UR">
    <w:p w14:paraId="3A724872" w14:textId="77777777" w:rsidR="007107AD" w:rsidRDefault="007107AD" w:rsidP="007107AD">
      <w:pPr>
        <w:pStyle w:val="CommentText"/>
      </w:pPr>
      <w:r>
        <w:rPr>
          <w:rStyle w:val="CommentReference"/>
        </w:rPr>
        <w:annotationRef/>
      </w:r>
      <w:r>
        <w:t>The manuscript reports only frequencies.</w:t>
      </w:r>
    </w:p>
    <w:p w14:paraId="242AC77B" w14:textId="77777777" w:rsidR="007107AD" w:rsidRDefault="007107AD" w:rsidP="007107AD">
      <w:pPr>
        <w:pStyle w:val="CommentText"/>
      </w:pPr>
      <w:r>
        <w:t>The authors should consider generating composite KAP scores and examining factors associated with poor knowledge or risky practices.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8B3BF6" w15:done="0"/>
  <w15:commentEx w15:paraId="36EE58F0" w15:done="0"/>
  <w15:commentEx w15:paraId="5A54C2CF" w15:done="0"/>
  <w15:commentEx w15:paraId="3DB7595C" w15:done="0"/>
  <w15:commentEx w15:paraId="11E48AC7" w15:done="0"/>
  <w15:commentEx w15:paraId="204E3CDE" w15:done="0"/>
  <w15:commentEx w15:paraId="5D95EAE0" w15:done="0"/>
  <w15:commentEx w15:paraId="08F3BA89" w15:done="0"/>
  <w15:commentEx w15:paraId="2F1ED4B6" w15:done="0"/>
  <w15:commentEx w15:paraId="161A5CA4" w15:done="0"/>
  <w15:commentEx w15:paraId="242AC7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E9E7D3" w16cex:dateUtc="2026-07-11T20:22:00Z"/>
  <w16cex:commentExtensible w16cex:durableId="15817D8D" w16cex:dateUtc="2026-07-11T20:23:00Z"/>
  <w16cex:commentExtensible w16cex:durableId="5E27134E" w16cex:dateUtc="2026-07-11T20:28:00Z"/>
  <w16cex:commentExtensible w16cex:durableId="4BD27945" w16cex:dateUtc="2026-07-11T20:30:00Z"/>
  <w16cex:commentExtensible w16cex:durableId="7068E302" w16cex:dateUtc="2026-07-11T20:32:00Z"/>
  <w16cex:commentExtensible w16cex:durableId="7040DE82" w16cex:dateUtc="2026-07-11T20:36:00Z"/>
  <w16cex:commentExtensible w16cex:durableId="2F3D3DCD" w16cex:dateUtc="2026-07-11T20:37:00Z"/>
  <w16cex:commentExtensible w16cex:durableId="340DF295" w16cex:dateUtc="2026-07-11T20:38:00Z"/>
  <w16cex:commentExtensible w16cex:durableId="760EB86C" w16cex:dateUtc="2026-07-11T20:39:00Z"/>
  <w16cex:commentExtensible w16cex:durableId="623BDFCE" w16cex:dateUtc="2026-07-11T20:44:00Z"/>
  <w16cex:commentExtensible w16cex:durableId="52B0860D" w16cex:dateUtc="2026-07-11T2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8B3BF6" w16cid:durableId="43E9E7D3"/>
  <w16cid:commentId w16cid:paraId="36EE58F0" w16cid:durableId="15817D8D"/>
  <w16cid:commentId w16cid:paraId="5A54C2CF" w16cid:durableId="5E27134E"/>
  <w16cid:commentId w16cid:paraId="3DB7595C" w16cid:durableId="4BD27945"/>
  <w16cid:commentId w16cid:paraId="11E48AC7" w16cid:durableId="7068E302"/>
  <w16cid:commentId w16cid:paraId="204E3CDE" w16cid:durableId="7040DE82"/>
  <w16cid:commentId w16cid:paraId="5D95EAE0" w16cid:durableId="2F3D3DCD"/>
  <w16cid:commentId w16cid:paraId="08F3BA89" w16cid:durableId="340DF295"/>
  <w16cid:commentId w16cid:paraId="2F1ED4B6" w16cid:durableId="760EB86C"/>
  <w16cid:commentId w16cid:paraId="161A5CA4" w16cid:durableId="623BDFCE"/>
  <w16cid:commentId w16cid:paraId="242AC77B" w16cid:durableId="52B086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F1C7" w14:textId="77777777" w:rsidR="001B76A8" w:rsidRDefault="001B76A8">
      <w:pPr>
        <w:spacing w:after="0" w:line="240" w:lineRule="auto"/>
      </w:pPr>
      <w:r>
        <w:separator/>
      </w:r>
    </w:p>
  </w:endnote>
  <w:endnote w:type="continuationSeparator" w:id="0">
    <w:p w14:paraId="0B3DF409" w14:textId="77777777" w:rsidR="001B76A8" w:rsidRDefault="001B7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6658" w14:textId="77777777" w:rsidR="00D22E5F" w:rsidRDefault="00D22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C51D" w14:textId="77777777" w:rsidR="005F3352" w:rsidRDefault="005F3352">
    <w:pPr>
      <w:pStyle w:val="Footer"/>
      <w:jc w:val="center"/>
    </w:pPr>
    <w:r>
      <w:fldChar w:fldCharType="begin"/>
    </w:r>
    <w:r>
      <w:instrText xml:space="preserve"> PAGE   \* MERGEFORMAT </w:instrText>
    </w:r>
    <w:r>
      <w:fldChar w:fldCharType="separate"/>
    </w:r>
    <w:r w:rsidR="00A15670">
      <w:rPr>
        <w:noProof/>
      </w:rPr>
      <w:t>21</w:t>
    </w:r>
    <w:r>
      <w:rPr>
        <w:noProof/>
      </w:rPr>
      <w:fldChar w:fldCharType="end"/>
    </w:r>
  </w:p>
  <w:p w14:paraId="14A2DBA7" w14:textId="77777777" w:rsidR="005F3352" w:rsidRDefault="005F335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5985" w14:textId="77777777" w:rsidR="00D22E5F" w:rsidRDefault="00D22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829C2" w14:textId="77777777" w:rsidR="001B76A8" w:rsidRDefault="001B76A8">
      <w:pPr>
        <w:spacing w:after="0" w:line="240" w:lineRule="auto"/>
      </w:pPr>
      <w:r>
        <w:separator/>
      </w:r>
    </w:p>
  </w:footnote>
  <w:footnote w:type="continuationSeparator" w:id="0">
    <w:p w14:paraId="7E165318" w14:textId="77777777" w:rsidR="001B76A8" w:rsidRDefault="001B7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D3F5" w14:textId="0B4EF6BB" w:rsidR="00D22E5F" w:rsidRDefault="00000000">
    <w:pPr>
      <w:pStyle w:val="Header"/>
    </w:pPr>
    <w:r>
      <w:rPr>
        <w:noProof/>
      </w:rPr>
      <w:pict w14:anchorId="33F64F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1"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6014" w14:textId="75C3F206" w:rsidR="00D22E5F" w:rsidRDefault="00000000">
    <w:pPr>
      <w:pStyle w:val="Header"/>
    </w:pPr>
    <w:r>
      <w:rPr>
        <w:noProof/>
      </w:rPr>
      <w:pict w14:anchorId="068D4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2"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4FD2" w14:textId="089E6B59" w:rsidR="00D22E5F" w:rsidRDefault="00000000">
    <w:pPr>
      <w:pStyle w:val="Header"/>
    </w:pPr>
    <w:r>
      <w:rPr>
        <w:noProof/>
      </w:rPr>
      <w:pict w14:anchorId="22FE1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1393640"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1" w15:restartNumberingAfterBreak="0">
    <w:nsid w:val="00000002"/>
    <w:multiLevelType w:val="singleLevel"/>
    <w:tmpl w:val="FB12693A"/>
    <w:lvl w:ilvl="0">
      <w:start w:val="1"/>
      <w:numFmt w:val="decimal"/>
      <w:pStyle w:val="ListNumber3"/>
      <w:lvlText w:val="%1."/>
      <w:lvlJc w:val="left"/>
      <w:pPr>
        <w:tabs>
          <w:tab w:val="left" w:pos="1080"/>
        </w:tabs>
        <w:ind w:left="1080" w:hanging="360"/>
      </w:pPr>
    </w:lvl>
  </w:abstractNum>
  <w:abstractNum w:abstractNumId="2" w15:restartNumberingAfterBreak="0">
    <w:nsid w:val="00000003"/>
    <w:multiLevelType w:val="singleLevel"/>
    <w:tmpl w:val="38441652"/>
    <w:lvl w:ilvl="0">
      <w:start w:val="1"/>
      <w:numFmt w:val="decimal"/>
      <w:pStyle w:val="ListNumber2"/>
      <w:lvlText w:val="%1."/>
      <w:lvlJc w:val="left"/>
      <w:pPr>
        <w:tabs>
          <w:tab w:val="left" w:pos="720"/>
        </w:tabs>
        <w:ind w:left="720" w:hanging="360"/>
      </w:pPr>
    </w:lvl>
  </w:abstractNum>
  <w:abstractNum w:abstractNumId="3"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4" w15:restartNumberingAfterBreak="0">
    <w:nsid w:val="00000005"/>
    <w:multiLevelType w:val="singleLevel"/>
    <w:tmpl w:val="F3EAFDEC"/>
    <w:lvl w:ilvl="0">
      <w:start w:val="1"/>
      <w:numFmt w:val="bullet"/>
      <w:pStyle w:val="ListBullet3"/>
      <w:lvlText w:val=""/>
      <w:lvlJc w:val="left"/>
      <w:pPr>
        <w:tabs>
          <w:tab w:val="left" w:pos="1080"/>
        </w:tabs>
        <w:ind w:left="1080" w:hanging="360"/>
      </w:pPr>
      <w:rPr>
        <w:rFonts w:ascii="Symbol" w:hAnsi="Symbol" w:hint="default"/>
      </w:rPr>
    </w:lvl>
  </w:abstractNum>
  <w:abstractNum w:abstractNumId="5" w15:restartNumberingAfterBreak="0">
    <w:nsid w:val="00000006"/>
    <w:multiLevelType w:val="singleLevel"/>
    <w:tmpl w:val="3D1EFFD4"/>
    <w:lvl w:ilvl="0">
      <w:start w:val="1"/>
      <w:numFmt w:val="bullet"/>
      <w:pStyle w:val="ListBullet2"/>
      <w:lvlText w:val=""/>
      <w:lvlJc w:val="left"/>
      <w:pPr>
        <w:tabs>
          <w:tab w:val="left" w:pos="720"/>
        </w:tabs>
        <w:ind w:left="720" w:hanging="360"/>
      </w:pPr>
      <w:rPr>
        <w:rFonts w:ascii="Symbol" w:hAnsi="Symbol" w:hint="default"/>
      </w:rPr>
    </w:lvl>
  </w:abstractNum>
  <w:abstractNum w:abstractNumId="6" w15:restartNumberingAfterBreak="0">
    <w:nsid w:val="00000007"/>
    <w:multiLevelType w:val="singleLevel"/>
    <w:tmpl w:val="D0A62B40"/>
    <w:lvl w:ilvl="0">
      <w:start w:val="1"/>
      <w:numFmt w:val="decimal"/>
      <w:pStyle w:val="ListNumber"/>
      <w:lvlText w:val="%1."/>
      <w:lvlJc w:val="left"/>
      <w:pPr>
        <w:tabs>
          <w:tab w:val="left" w:pos="360"/>
        </w:tabs>
        <w:ind w:left="360" w:hanging="360"/>
      </w:pPr>
    </w:lvl>
  </w:abstractNum>
  <w:abstractNum w:abstractNumId="7" w15:restartNumberingAfterBreak="0">
    <w:nsid w:val="00000008"/>
    <w:multiLevelType w:val="singleLevel"/>
    <w:tmpl w:val="29761A62"/>
    <w:lvl w:ilvl="0">
      <w:start w:val="1"/>
      <w:numFmt w:val="bullet"/>
      <w:pStyle w:val="ListBullet"/>
      <w:lvlText w:val=""/>
      <w:lvlJc w:val="left"/>
      <w:pPr>
        <w:tabs>
          <w:tab w:val="left" w:pos="360"/>
        </w:tabs>
        <w:ind w:left="360" w:hanging="360"/>
      </w:pPr>
      <w:rPr>
        <w:rFonts w:ascii="Symbol" w:hAnsi="Symbol" w:hint="default"/>
      </w:rPr>
    </w:lvl>
  </w:abstractNum>
  <w:abstractNum w:abstractNumId="8" w15:restartNumberingAfterBreak="0">
    <w:nsid w:val="5C42191C"/>
    <w:multiLevelType w:val="hybridMultilevel"/>
    <w:tmpl w:val="0F188450"/>
    <w:lvl w:ilvl="0" w:tplc="8F40EC7A">
      <w:start w:val="1"/>
      <w:numFmt w:val="bullet"/>
      <w:lvlText w:val=""/>
      <w:lvlJc w:val="left"/>
      <w:pPr>
        <w:ind w:left="1080" w:hanging="360"/>
      </w:pPr>
      <w:rPr>
        <w:rFonts w:ascii="Symbol" w:hAnsi="Symbol"/>
      </w:rPr>
    </w:lvl>
    <w:lvl w:ilvl="1" w:tplc="8BB4170A">
      <w:start w:val="1"/>
      <w:numFmt w:val="bullet"/>
      <w:lvlText w:val=""/>
      <w:lvlJc w:val="left"/>
      <w:pPr>
        <w:ind w:left="1080" w:hanging="360"/>
      </w:pPr>
      <w:rPr>
        <w:rFonts w:ascii="Symbol" w:hAnsi="Symbol"/>
      </w:rPr>
    </w:lvl>
    <w:lvl w:ilvl="2" w:tplc="412A5834">
      <w:start w:val="1"/>
      <w:numFmt w:val="bullet"/>
      <w:lvlText w:val=""/>
      <w:lvlJc w:val="left"/>
      <w:pPr>
        <w:ind w:left="1080" w:hanging="360"/>
      </w:pPr>
      <w:rPr>
        <w:rFonts w:ascii="Symbol" w:hAnsi="Symbol"/>
      </w:rPr>
    </w:lvl>
    <w:lvl w:ilvl="3" w:tplc="4510F098">
      <w:start w:val="1"/>
      <w:numFmt w:val="bullet"/>
      <w:lvlText w:val=""/>
      <w:lvlJc w:val="left"/>
      <w:pPr>
        <w:ind w:left="1080" w:hanging="360"/>
      </w:pPr>
      <w:rPr>
        <w:rFonts w:ascii="Symbol" w:hAnsi="Symbol"/>
      </w:rPr>
    </w:lvl>
    <w:lvl w:ilvl="4" w:tplc="761EC6FE">
      <w:start w:val="1"/>
      <w:numFmt w:val="bullet"/>
      <w:lvlText w:val=""/>
      <w:lvlJc w:val="left"/>
      <w:pPr>
        <w:ind w:left="1080" w:hanging="360"/>
      </w:pPr>
      <w:rPr>
        <w:rFonts w:ascii="Symbol" w:hAnsi="Symbol"/>
      </w:rPr>
    </w:lvl>
    <w:lvl w:ilvl="5" w:tplc="93D61F5A">
      <w:start w:val="1"/>
      <w:numFmt w:val="bullet"/>
      <w:lvlText w:val=""/>
      <w:lvlJc w:val="left"/>
      <w:pPr>
        <w:ind w:left="1080" w:hanging="360"/>
      </w:pPr>
      <w:rPr>
        <w:rFonts w:ascii="Symbol" w:hAnsi="Symbol"/>
      </w:rPr>
    </w:lvl>
    <w:lvl w:ilvl="6" w:tplc="0A8606B6">
      <w:start w:val="1"/>
      <w:numFmt w:val="bullet"/>
      <w:lvlText w:val=""/>
      <w:lvlJc w:val="left"/>
      <w:pPr>
        <w:ind w:left="1080" w:hanging="360"/>
      </w:pPr>
      <w:rPr>
        <w:rFonts w:ascii="Symbol" w:hAnsi="Symbol"/>
      </w:rPr>
    </w:lvl>
    <w:lvl w:ilvl="7" w:tplc="EA9292DC">
      <w:start w:val="1"/>
      <w:numFmt w:val="bullet"/>
      <w:lvlText w:val=""/>
      <w:lvlJc w:val="left"/>
      <w:pPr>
        <w:ind w:left="1080" w:hanging="360"/>
      </w:pPr>
      <w:rPr>
        <w:rFonts w:ascii="Symbol" w:hAnsi="Symbol"/>
      </w:rPr>
    </w:lvl>
    <w:lvl w:ilvl="8" w:tplc="A946568E">
      <w:start w:val="1"/>
      <w:numFmt w:val="bullet"/>
      <w:lvlText w:val=""/>
      <w:lvlJc w:val="left"/>
      <w:pPr>
        <w:ind w:left="1080" w:hanging="360"/>
      </w:pPr>
      <w:rPr>
        <w:rFonts w:ascii="Symbol" w:hAnsi="Symbol"/>
      </w:rPr>
    </w:lvl>
  </w:abstractNum>
  <w:abstractNum w:abstractNumId="9" w15:restartNumberingAfterBreak="0">
    <w:nsid w:val="6CAB1AB6"/>
    <w:multiLevelType w:val="singleLevel"/>
    <w:tmpl w:val="C310EC42"/>
    <w:lvl w:ilvl="0">
      <w:start w:val="1"/>
      <w:numFmt w:val="decimal"/>
      <w:lvlText w:val="%1."/>
      <w:lvlJc w:val="left"/>
      <w:pPr>
        <w:tabs>
          <w:tab w:val="left" w:pos="1800"/>
        </w:tabs>
        <w:ind w:left="1800" w:hanging="360"/>
      </w:pPr>
    </w:lvl>
  </w:abstractNum>
  <w:num w:numId="1" w16cid:durableId="637997423">
    <w:abstractNumId w:val="7"/>
  </w:num>
  <w:num w:numId="2" w16cid:durableId="251547444">
    <w:abstractNumId w:val="5"/>
  </w:num>
  <w:num w:numId="3" w16cid:durableId="492792608">
    <w:abstractNumId w:val="4"/>
  </w:num>
  <w:num w:numId="4" w16cid:durableId="503709938">
    <w:abstractNumId w:val="6"/>
  </w:num>
  <w:num w:numId="5" w16cid:durableId="35594111">
    <w:abstractNumId w:val="2"/>
  </w:num>
  <w:num w:numId="6" w16cid:durableId="385377747">
    <w:abstractNumId w:val="1"/>
  </w:num>
  <w:num w:numId="7" w16cid:durableId="215509241">
    <w:abstractNumId w:val="3"/>
  </w:num>
  <w:num w:numId="8" w16cid:durableId="1251505640">
    <w:abstractNumId w:val="0"/>
  </w:num>
  <w:num w:numId="9" w16cid:durableId="1706755403">
    <w:abstractNumId w:val="9"/>
  </w:num>
  <w:num w:numId="10" w16cid:durableId="185722789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mashankar Rawat">
    <w15:presenceInfo w15:providerId="Windows Live" w15:userId="9c57b51a2fa81e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A8"/>
    <w:rsid w:val="00125DFB"/>
    <w:rsid w:val="001B76A8"/>
    <w:rsid w:val="001E0F51"/>
    <w:rsid w:val="001F1BCA"/>
    <w:rsid w:val="003544D2"/>
    <w:rsid w:val="005404F6"/>
    <w:rsid w:val="005F3352"/>
    <w:rsid w:val="006B2CCE"/>
    <w:rsid w:val="007107AD"/>
    <w:rsid w:val="00715889"/>
    <w:rsid w:val="00770FFC"/>
    <w:rsid w:val="007726D7"/>
    <w:rsid w:val="00995EC7"/>
    <w:rsid w:val="009F3D14"/>
    <w:rsid w:val="00A15670"/>
    <w:rsid w:val="00B97B2F"/>
    <w:rsid w:val="00C05EDA"/>
    <w:rsid w:val="00C9207E"/>
    <w:rsid w:val="00CB2FB5"/>
    <w:rsid w:val="00D22E5F"/>
    <w:rsid w:val="00D82E08"/>
    <w:rsid w:val="00E818A8"/>
    <w:rsid w:val="00F1074A"/>
    <w:rsid w:val="00F1686A"/>
    <w:rsid w:val="00FF3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AE53D4"/>
  <w15:docId w15:val="{AF91C7D1-2893-4A20-9F83-33611888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qFormat/>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qFormat/>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qFormat/>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qFormat/>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qFormat/>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qFormat/>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Calibri" w:eastAsia="MS Gothic" w:hAnsi="Calibri" w:cs="SimSun"/>
      <w:b/>
      <w:bCs/>
      <w:color w:val="365F91"/>
      <w:sz w:val="28"/>
      <w:szCs w:val="28"/>
    </w:rPr>
  </w:style>
  <w:style w:type="character" w:customStyle="1" w:styleId="Heading2Char">
    <w:name w:val="Heading 2 Char"/>
    <w:basedOn w:val="DefaultParagraphFont"/>
    <w:link w:val="Heading2"/>
    <w:uiPriority w:val="9"/>
    <w:rPr>
      <w:rFonts w:ascii="Calibri" w:eastAsia="MS Gothic" w:hAnsi="Calibri" w:cs="SimSun"/>
      <w:b/>
      <w:bCs/>
      <w:color w:val="4F81BD"/>
      <w:sz w:val="26"/>
      <w:szCs w:val="26"/>
    </w:rPr>
  </w:style>
  <w:style w:type="character" w:customStyle="1" w:styleId="Heading3Char">
    <w:name w:val="Heading 3 Char"/>
    <w:basedOn w:val="DefaultParagraphFont"/>
    <w:link w:val="Heading3"/>
    <w:uiPriority w:val="9"/>
    <w:rPr>
      <w:rFonts w:ascii="Calibri" w:eastAsia="MS Gothic" w:hAnsi="Calibri" w:cs="SimSun"/>
      <w:b/>
      <w:bCs/>
      <w:color w:val="4F81BD"/>
    </w:r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10"/>
    <w:rPr>
      <w:rFonts w:ascii="Calibri" w:eastAsia="MS Gothic" w:hAnsi="Calibri" w:cs="SimSun"/>
      <w:color w:val="17365D"/>
      <w:spacing w:val="5"/>
      <w:kern w:val="28"/>
      <w:sz w:val="52"/>
      <w:szCs w:val="52"/>
    </w:rPr>
  </w:style>
  <w:style w:type="paragraph" w:styleId="Subtitle">
    <w:name w:val="Subtitle"/>
    <w:basedOn w:val="Normal"/>
    <w:next w:val="Normal"/>
    <w:link w:val="SubtitleChar"/>
    <w:uiPriority w:val="11"/>
    <w:qFormat/>
    <w:pPr>
      <w:numPr>
        <w:ilvl w:val="1"/>
      </w:numPr>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11"/>
    <w:rPr>
      <w:rFonts w:ascii="Calibri" w:eastAsia="MS Gothic" w:hAnsi="Calibri" w:cs="SimSun"/>
      <w:i/>
      <w:iCs/>
      <w:color w:val="4F81BD"/>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Bullet">
    <w:name w:val="List Bullet"/>
    <w:basedOn w:val="Normal"/>
    <w:uiPriority w:val="99"/>
    <w:pPr>
      <w:numPr>
        <w:numId w:val="1"/>
      </w:numPr>
      <w:contextualSpacing/>
    </w:pPr>
  </w:style>
  <w:style w:type="paragraph" w:styleId="ListBullet2">
    <w:name w:val="List Bullet 2"/>
    <w:basedOn w:val="Normal"/>
    <w:uiPriority w:val="99"/>
    <w:pPr>
      <w:numPr>
        <w:numId w:val="2"/>
      </w:numPr>
      <w:contextualSpacing/>
    </w:pPr>
  </w:style>
  <w:style w:type="paragraph" w:styleId="ListBullet3">
    <w:name w:val="List Bullet 3"/>
    <w:basedOn w:val="Normal"/>
    <w:uiPriority w:val="99"/>
    <w:pPr>
      <w:numPr>
        <w:numId w:val="3"/>
      </w:numPr>
      <w:contextualSpacing/>
    </w:pPr>
  </w:style>
  <w:style w:type="paragraph" w:styleId="ListNumber">
    <w:name w:val="List Number"/>
    <w:basedOn w:val="Normal"/>
    <w:uiPriority w:val="99"/>
    <w:pPr>
      <w:numPr>
        <w:numId w:val="4"/>
      </w:numPr>
      <w:contextualSpacing/>
    </w:pPr>
  </w:style>
  <w:style w:type="paragraph" w:styleId="ListNumber2">
    <w:name w:val="List Number 2"/>
    <w:basedOn w:val="Normal"/>
    <w:uiPriority w:val="99"/>
    <w:pPr>
      <w:numPr>
        <w:numId w:val="5"/>
      </w:numPr>
      <w:contextualSpacing/>
    </w:pPr>
  </w:style>
  <w:style w:type="paragraph" w:styleId="ListNumber3">
    <w:name w:val="List Number 3"/>
    <w:basedOn w:val="Normal"/>
    <w:uiPriority w:val="99"/>
    <w:pPr>
      <w:numPr>
        <w:numId w:val="6"/>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MacroText">
    <w:name w:val="macro"/>
    <w:link w:val="MacroTextCh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rPr>
  </w:style>
  <w:style w:type="character" w:customStyle="1" w:styleId="Heading4Char">
    <w:name w:val="Heading 4 Char"/>
    <w:basedOn w:val="DefaultParagraphFont"/>
    <w:link w:val="Heading4"/>
    <w:uiPriority w:val="9"/>
    <w:rPr>
      <w:rFonts w:ascii="Calibri" w:eastAsia="MS Gothic" w:hAnsi="Calibri" w:cs="SimSun"/>
      <w:b/>
      <w:bCs/>
      <w:i/>
      <w:iCs/>
      <w:color w:val="4F81BD"/>
    </w:rPr>
  </w:style>
  <w:style w:type="character" w:customStyle="1" w:styleId="Heading5Char">
    <w:name w:val="Heading 5 Char"/>
    <w:basedOn w:val="DefaultParagraphFont"/>
    <w:link w:val="Heading5"/>
    <w:uiPriority w:val="9"/>
    <w:rPr>
      <w:rFonts w:ascii="Calibri" w:eastAsia="MS Gothic" w:hAnsi="Calibri" w:cs="SimSun"/>
      <w:color w:val="243F60"/>
    </w:rPr>
  </w:style>
  <w:style w:type="character" w:customStyle="1" w:styleId="Heading6Char">
    <w:name w:val="Heading 6 Char"/>
    <w:basedOn w:val="DefaultParagraphFont"/>
    <w:link w:val="Heading6"/>
    <w:uiPriority w:val="9"/>
    <w:rPr>
      <w:rFonts w:ascii="Calibri" w:eastAsia="MS Gothic" w:hAnsi="Calibri" w:cs="SimSun"/>
      <w:i/>
      <w:iCs/>
      <w:color w:val="243F60"/>
    </w:rPr>
  </w:style>
  <w:style w:type="character" w:customStyle="1" w:styleId="Heading7Char">
    <w:name w:val="Heading 7 Char"/>
    <w:basedOn w:val="DefaultParagraphFont"/>
    <w:link w:val="Heading7"/>
    <w:uiPriority w:val="9"/>
    <w:rPr>
      <w:rFonts w:ascii="Calibri" w:eastAsia="MS Gothic" w:hAnsi="Calibri" w:cs="SimSun"/>
      <w:i/>
      <w:iCs/>
      <w:color w:val="404040"/>
    </w:rPr>
  </w:style>
  <w:style w:type="character" w:customStyle="1" w:styleId="Heading8Char">
    <w:name w:val="Heading 8 Char"/>
    <w:basedOn w:val="DefaultParagraphFont"/>
    <w:link w:val="Heading8"/>
    <w:uiPriority w:val="9"/>
    <w:rPr>
      <w:rFonts w:ascii="Calibri" w:eastAsia="MS Gothic" w:hAnsi="Calibri" w:cs="SimSun"/>
      <w:color w:val="4F81BD"/>
      <w:sz w:val="20"/>
      <w:szCs w:val="20"/>
    </w:rPr>
  </w:style>
  <w:style w:type="character" w:customStyle="1" w:styleId="Heading9Char">
    <w:name w:val="Heading 9 Char"/>
    <w:basedOn w:val="DefaultParagraphFont"/>
    <w:link w:val="Heading9"/>
    <w:uiPriority w:val="9"/>
    <w:rPr>
      <w:rFonts w:ascii="Calibri" w:eastAsia="MS Gothic" w:hAnsi="Calibri" w:cs="SimSun"/>
      <w:i/>
      <w:iCs/>
      <w:color w:val="404040"/>
      <w:sz w:val="20"/>
      <w:szCs w:val="20"/>
    </w:rPr>
  </w:style>
  <w:style w:type="paragraph" w:styleId="Caption">
    <w:name w:val="caption"/>
    <w:basedOn w:val="Normal"/>
    <w:next w:val="Normal"/>
    <w:uiPriority w:val="35"/>
    <w:qFormat/>
    <w:pPr>
      <w:spacing w:line="240" w:lineRule="auto"/>
    </w:pPr>
    <w:rPr>
      <w:b/>
      <w:bCs/>
      <w:color w:val="4F81BD"/>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rPr>
  </w:style>
  <w:style w:type="character" w:styleId="SubtleEmphasis">
    <w:name w:val="Subtle Emphasis"/>
    <w:basedOn w:val="DefaultParagraphFont"/>
    <w:uiPriority w:val="19"/>
    <w:qFormat/>
    <w:rPr>
      <w:i/>
      <w:iCs/>
      <w:color w:val="808080"/>
    </w:rPr>
  </w:style>
  <w:style w:type="character" w:styleId="IntenseEmphasis">
    <w:name w:val="Intense Emphasis"/>
    <w:basedOn w:val="DefaultParagraphFont"/>
    <w:uiPriority w:val="21"/>
    <w:qFormat/>
    <w:rPr>
      <w:b/>
      <w:bCs/>
      <w:i/>
      <w:iCs/>
      <w:color w:val="4F81BD"/>
    </w:rPr>
  </w:style>
  <w:style w:type="character" w:styleId="SubtleReference">
    <w:name w:val="Subtle Reference"/>
    <w:basedOn w:val="DefaultParagraphFont"/>
    <w:uiPriority w:val="31"/>
    <w:qFormat/>
    <w:rPr>
      <w:smallCaps/>
      <w:color w:val="C0504D"/>
      <w:u w:val="single"/>
    </w:rPr>
  </w:style>
  <w:style w:type="character" w:styleId="IntenseReference">
    <w:name w:val="Intense Reference"/>
    <w:basedOn w:val="DefaultParagraphFont"/>
    <w:uiPriority w:val="32"/>
    <w:qFormat/>
    <w:rPr>
      <w:b/>
      <w:bCs/>
      <w:smallCaps/>
      <w:color w:val="C0504D"/>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PageNumber">
    <w:name w:val="page number"/>
    <w:basedOn w:val="DefaultParagraphFont"/>
    <w:uiPriority w:val="99"/>
    <w:semiHidden/>
    <w:unhideWhenUsed/>
    <w:rsid w:val="001E0F51"/>
  </w:style>
  <w:style w:type="character" w:styleId="Hyperlink">
    <w:name w:val="Hyperlink"/>
    <w:basedOn w:val="DefaultParagraphFont"/>
    <w:uiPriority w:val="99"/>
    <w:unhideWhenUsed/>
    <w:rsid w:val="00D82E08"/>
    <w:rPr>
      <w:color w:val="0000FF" w:themeColor="hyperlink"/>
      <w:u w:val="single"/>
    </w:rPr>
  </w:style>
  <w:style w:type="character" w:styleId="UnresolvedMention">
    <w:name w:val="Unresolved Mention"/>
    <w:basedOn w:val="DefaultParagraphFont"/>
    <w:uiPriority w:val="99"/>
    <w:semiHidden/>
    <w:unhideWhenUsed/>
    <w:rsid w:val="00D82E08"/>
    <w:rPr>
      <w:color w:val="605E5C"/>
      <w:shd w:val="clear" w:color="auto" w:fill="E1DFDD"/>
    </w:rPr>
  </w:style>
  <w:style w:type="character" w:styleId="CommentReference">
    <w:name w:val="annotation reference"/>
    <w:basedOn w:val="DefaultParagraphFont"/>
    <w:uiPriority w:val="99"/>
    <w:semiHidden/>
    <w:unhideWhenUsed/>
    <w:rsid w:val="005404F6"/>
    <w:rPr>
      <w:sz w:val="16"/>
      <w:szCs w:val="16"/>
    </w:rPr>
  </w:style>
  <w:style w:type="paragraph" w:styleId="CommentText">
    <w:name w:val="annotation text"/>
    <w:basedOn w:val="Normal"/>
    <w:link w:val="CommentTextChar"/>
    <w:uiPriority w:val="99"/>
    <w:unhideWhenUsed/>
    <w:rsid w:val="005404F6"/>
    <w:pPr>
      <w:spacing w:line="240" w:lineRule="auto"/>
    </w:pPr>
    <w:rPr>
      <w:sz w:val="20"/>
      <w:szCs w:val="20"/>
    </w:rPr>
  </w:style>
  <w:style w:type="character" w:customStyle="1" w:styleId="CommentTextChar">
    <w:name w:val="Comment Text Char"/>
    <w:basedOn w:val="DefaultParagraphFont"/>
    <w:link w:val="CommentText"/>
    <w:uiPriority w:val="99"/>
    <w:rsid w:val="005404F6"/>
    <w:rPr>
      <w:sz w:val="20"/>
      <w:szCs w:val="20"/>
    </w:rPr>
  </w:style>
  <w:style w:type="paragraph" w:styleId="CommentSubject">
    <w:name w:val="annotation subject"/>
    <w:basedOn w:val="CommentText"/>
    <w:next w:val="CommentText"/>
    <w:link w:val="CommentSubjectChar"/>
    <w:uiPriority w:val="99"/>
    <w:semiHidden/>
    <w:unhideWhenUsed/>
    <w:rsid w:val="005404F6"/>
    <w:rPr>
      <w:b/>
      <w:bCs/>
    </w:rPr>
  </w:style>
  <w:style w:type="character" w:customStyle="1" w:styleId="CommentSubjectChar">
    <w:name w:val="Comment Subject Char"/>
    <w:basedOn w:val="CommentTextChar"/>
    <w:link w:val="CommentSubject"/>
    <w:uiPriority w:val="99"/>
    <w:semiHidden/>
    <w:rsid w:val="005404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193BE-D5EA-4D70-9890-A798296DD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5136</Words>
  <Characters>29280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Umashankar Rawat</cp:lastModifiedBy>
  <cp:revision>10</cp:revision>
  <dcterms:created xsi:type="dcterms:W3CDTF">2026-07-10T16:13:00Z</dcterms:created>
  <dcterms:modified xsi:type="dcterms:W3CDTF">2026-07-11T20:45:00Z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d62c10b03aec4a0d9772ab6b757ed122</vt:lpwstr>
  </property>
  <property fmtid="{D5CDD505-2E9C-101B-9397-08002B2CF9AE}" pid="3" name="GrammarlyDocumentId">
    <vt:lpwstr>3e3274d0-edf1-4880-9c2c-42582bbe1170</vt:lpwstr>
  </property>
</Properties>
</file>