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112E0" w14:textId="77777777" w:rsidR="0097291C" w:rsidRPr="0075534A" w:rsidRDefault="0075534A">
      <w:pPr>
        <w:jc w:val="center"/>
      </w:pPr>
      <w:r w:rsidRPr="0075534A">
        <w:rPr>
          <w:rFonts w:ascii="Times New Roman" w:hAnsi="Times New Roman" w:cs="Times New Roman"/>
          <w:b/>
          <w:bCs/>
          <w:sz w:val="28"/>
          <w:szCs w:val="28"/>
        </w:rPr>
        <w:t xml:space="preserve">Evaluation of </w:t>
      </w:r>
      <w:r w:rsidRPr="0075534A">
        <w:rPr>
          <w:rFonts w:ascii="Times New Roman" w:hAnsi="Times New Roman" w:cs="Times New Roman"/>
          <w:b/>
          <w:bCs/>
          <w:i/>
          <w:iCs/>
          <w:sz w:val="28"/>
          <w:szCs w:val="28"/>
        </w:rPr>
        <w:t>Trichoderma spp</w:t>
      </w:r>
      <w:r w:rsidRPr="0075534A">
        <w:rPr>
          <w:rFonts w:ascii="Times New Roman" w:hAnsi="Times New Roman" w:cs="Times New Roman"/>
          <w:b/>
          <w:bCs/>
          <w:sz w:val="28"/>
          <w:szCs w:val="28"/>
        </w:rPr>
        <w:t xml:space="preserve">. against </w:t>
      </w:r>
      <w:r w:rsidRPr="0075534A">
        <w:rPr>
          <w:rFonts w:ascii="Times New Roman" w:hAnsi="Times New Roman" w:cs="Times New Roman"/>
          <w:b/>
          <w:bCs/>
          <w:i/>
          <w:iCs/>
          <w:sz w:val="28"/>
          <w:szCs w:val="28"/>
        </w:rPr>
        <w:t>Macrophomina phaseolina</w:t>
      </w:r>
      <w:r w:rsidRPr="0075534A">
        <w:rPr>
          <w:rFonts w:ascii="Times New Roman" w:hAnsi="Times New Roman" w:cs="Times New Roman"/>
          <w:b/>
          <w:bCs/>
          <w:sz w:val="28"/>
          <w:szCs w:val="28"/>
        </w:rPr>
        <w:t xml:space="preserve"> causing Dry Root Rot in blackgram</w:t>
      </w:r>
    </w:p>
    <w:p w14:paraId="3C51B271" w14:textId="77777777" w:rsidR="005B3088" w:rsidRPr="0075534A" w:rsidRDefault="005B3088">
      <w:pPr>
        <w:spacing w:after="0"/>
      </w:pPr>
    </w:p>
    <w:p w14:paraId="77D9C4FD" w14:textId="77777777" w:rsidR="0097291C" w:rsidRPr="0075534A" w:rsidRDefault="0097291C">
      <w:pPr>
        <w:spacing w:after="0"/>
        <w:rPr>
          <w:rFonts w:ascii="Times New Roman" w:hAnsi="Times New Roman" w:cs="Times New Roman"/>
        </w:rPr>
      </w:pPr>
    </w:p>
    <w:p w14:paraId="786720F5" w14:textId="77777777" w:rsidR="0097291C" w:rsidRPr="0075534A" w:rsidRDefault="0075534A">
      <w:pPr>
        <w:rPr>
          <w:rFonts w:ascii="Times New Roman" w:hAnsi="Times New Roman" w:cs="Times New Roman"/>
          <w:b/>
          <w:bCs/>
          <w:sz w:val="28"/>
          <w:szCs w:val="28"/>
        </w:rPr>
      </w:pPr>
      <w:r w:rsidRPr="0075534A">
        <w:rPr>
          <w:rFonts w:ascii="Times New Roman" w:hAnsi="Times New Roman" w:cs="Times New Roman"/>
          <w:b/>
          <w:bCs/>
          <w:sz w:val="28"/>
          <w:szCs w:val="28"/>
        </w:rPr>
        <w:t xml:space="preserve">Abstract </w:t>
      </w:r>
    </w:p>
    <w:p w14:paraId="27684B5F" w14:textId="77777777" w:rsidR="0097291C" w:rsidRPr="0075534A" w:rsidRDefault="0075534A">
      <w:pPr>
        <w:jc w:val="both"/>
      </w:pPr>
      <w:r w:rsidRPr="0075534A">
        <w:rPr>
          <w:rFonts w:ascii="Times New Roman" w:hAnsi="Times New Roman" w:cs="Times New Roman"/>
        </w:rPr>
        <w:t xml:space="preserve">Dry root rot caused by </w:t>
      </w:r>
      <w:r w:rsidRPr="0075534A">
        <w:rPr>
          <w:rFonts w:ascii="Times New Roman" w:hAnsi="Times New Roman" w:cs="Times New Roman"/>
          <w:i/>
          <w:iCs/>
        </w:rPr>
        <w:t>Macrophomina phaseolina</w:t>
      </w:r>
      <w:r w:rsidRPr="0075534A">
        <w:rPr>
          <w:rFonts w:ascii="Times New Roman" w:hAnsi="Times New Roman" w:cs="Times New Roman"/>
        </w:rPr>
        <w:t xml:space="preserve"> is one of the most destructive diseases of blackgram, particularly under conditions of high temperature and moisture stress. The disease results in severe yield losses and poses a major challenge to blackgram cultivation. In recent years, biological control using antagonistic microorganisms has emerged as an environmentally safe and sustainable approach for managing soil-borne pathogens. Therefore, the present study was undertaken to evaluate the antagonistic potential of twenty isolates of </w:t>
      </w:r>
      <w:r w:rsidRPr="0075534A">
        <w:rPr>
          <w:rFonts w:ascii="Times New Roman" w:hAnsi="Times New Roman" w:cs="Times New Roman"/>
          <w:i/>
          <w:iCs/>
        </w:rPr>
        <w:t>Trichoderma</w:t>
      </w:r>
      <w:r w:rsidRPr="0075534A">
        <w:rPr>
          <w:rFonts w:ascii="Times New Roman" w:hAnsi="Times New Roman" w:cs="Times New Roman"/>
        </w:rPr>
        <w:t xml:space="preserve"> spp. against </w:t>
      </w:r>
      <w:r w:rsidRPr="0075534A">
        <w:rPr>
          <w:rFonts w:ascii="Times New Roman" w:hAnsi="Times New Roman" w:cs="Times New Roman"/>
          <w:i/>
          <w:iCs/>
        </w:rPr>
        <w:t>M. phaseolina</w:t>
      </w:r>
      <w:r w:rsidRPr="0075534A">
        <w:rPr>
          <w:rFonts w:ascii="Times New Roman" w:hAnsi="Times New Roman" w:cs="Times New Roman"/>
        </w:rPr>
        <w:t xml:space="preserve"> under in vitro conditions using the dual culture technique.The results showed considerable variation among the </w:t>
      </w:r>
      <w:r w:rsidRPr="0075534A">
        <w:rPr>
          <w:rFonts w:ascii="Times New Roman" w:hAnsi="Times New Roman" w:cs="Times New Roman"/>
          <w:i/>
          <w:iCs/>
        </w:rPr>
        <w:t>Trichoderma</w:t>
      </w:r>
      <w:r w:rsidRPr="0075534A">
        <w:rPr>
          <w:rFonts w:ascii="Times New Roman" w:hAnsi="Times New Roman" w:cs="Times New Roman"/>
        </w:rPr>
        <w:t xml:space="preserve"> spp. in suppressing the growth of the pathogen. Among the isolates tested, TPP-15 exhibited the highest inhibition of mycelial growth (80.1%), followed by TPP-10 (79.6%) and TPP-2 (78.1%). The lowest inhibition was recorded by TPP-6 (64.9%). Several other isolates, including TPP-5, TPP-12, TPP-3 and TPP-18 also showed appreciable antagonistic activity.The findings of the study indicate that certain isolates of </w:t>
      </w:r>
      <w:r w:rsidRPr="0075534A">
        <w:rPr>
          <w:rFonts w:ascii="Times New Roman" w:hAnsi="Times New Roman" w:cs="Times New Roman"/>
          <w:i/>
          <w:iCs/>
        </w:rPr>
        <w:t>Trichoderma</w:t>
      </w:r>
      <w:r w:rsidRPr="0075534A">
        <w:rPr>
          <w:rFonts w:ascii="Times New Roman" w:hAnsi="Times New Roman" w:cs="Times New Roman"/>
        </w:rPr>
        <w:t xml:space="preserve"> possess strong antagonistic potential against </w:t>
      </w:r>
      <w:r w:rsidRPr="0075534A">
        <w:rPr>
          <w:rFonts w:ascii="Times New Roman" w:hAnsi="Times New Roman" w:cs="Times New Roman"/>
          <w:i/>
          <w:iCs/>
        </w:rPr>
        <w:t>M. phaseolina</w:t>
      </w:r>
      <w:r w:rsidRPr="0075534A">
        <w:rPr>
          <w:rFonts w:ascii="Times New Roman" w:hAnsi="Times New Roman" w:cs="Times New Roman"/>
        </w:rPr>
        <w:t xml:space="preserve"> and can be further explored as promising biocontrol agents for the eco-friendly management of dry root rot in blackgram.</w:t>
      </w:r>
    </w:p>
    <w:p w14:paraId="6720326F" w14:textId="77777777" w:rsidR="0097291C" w:rsidRPr="0075534A" w:rsidRDefault="0075534A">
      <w:pPr>
        <w:jc w:val="both"/>
      </w:pPr>
      <w:r w:rsidRPr="0075534A">
        <w:rPr>
          <w:rFonts w:ascii="Times New Roman" w:hAnsi="Times New Roman" w:cs="Times New Roman"/>
          <w:b/>
          <w:bCs/>
        </w:rPr>
        <w:t>Keywords:</w:t>
      </w:r>
      <w:r w:rsidRPr="0075534A">
        <w:rPr>
          <w:rFonts w:ascii="Times New Roman" w:hAnsi="Times New Roman" w:cs="Times New Roman"/>
        </w:rPr>
        <w:t xml:space="preserve">Blackgram, dry root rot, </w:t>
      </w:r>
      <w:r w:rsidRPr="0075534A">
        <w:rPr>
          <w:rFonts w:ascii="Times New Roman" w:hAnsi="Times New Roman" w:cs="Times New Roman"/>
          <w:i/>
          <w:iCs/>
        </w:rPr>
        <w:t>Macrophomina phaseolina</w:t>
      </w:r>
      <w:r w:rsidRPr="0075534A">
        <w:rPr>
          <w:rFonts w:ascii="Times New Roman" w:hAnsi="Times New Roman" w:cs="Times New Roman"/>
        </w:rPr>
        <w:t xml:space="preserve">, </w:t>
      </w:r>
      <w:r w:rsidRPr="0075534A">
        <w:rPr>
          <w:rFonts w:ascii="Times New Roman" w:hAnsi="Times New Roman" w:cs="Times New Roman"/>
          <w:i/>
          <w:iCs/>
        </w:rPr>
        <w:t>Trichoderma</w:t>
      </w:r>
      <w:r w:rsidRPr="0075534A">
        <w:rPr>
          <w:rFonts w:ascii="Times New Roman" w:hAnsi="Times New Roman" w:cs="Times New Roman"/>
        </w:rPr>
        <w:t>, biological control.</w:t>
      </w:r>
    </w:p>
    <w:p w14:paraId="593BABA2" w14:textId="77777777" w:rsidR="0097291C" w:rsidRPr="0075534A" w:rsidRDefault="0075534A">
      <w:pPr>
        <w:jc w:val="both"/>
        <w:rPr>
          <w:rFonts w:ascii="Times New Roman" w:hAnsi="Times New Roman" w:cs="Times New Roman"/>
          <w:b/>
          <w:bCs/>
          <w:sz w:val="28"/>
          <w:szCs w:val="28"/>
        </w:rPr>
      </w:pPr>
      <w:r w:rsidRPr="0075534A">
        <w:rPr>
          <w:rFonts w:ascii="Times New Roman" w:hAnsi="Times New Roman" w:cs="Times New Roman"/>
          <w:b/>
          <w:bCs/>
          <w:sz w:val="28"/>
          <w:szCs w:val="28"/>
        </w:rPr>
        <w:t xml:space="preserve">Introduction </w:t>
      </w:r>
    </w:p>
    <w:p w14:paraId="6134417D" w14:textId="77777777" w:rsidR="0097291C" w:rsidRPr="0075534A" w:rsidRDefault="0075534A">
      <w:pPr>
        <w:jc w:val="both"/>
        <w:rPr>
          <w:rFonts w:ascii="Times New Roman" w:hAnsi="Times New Roman" w:cs="Times New Roman"/>
        </w:rPr>
      </w:pPr>
      <w:r w:rsidRPr="0075534A">
        <w:rPr>
          <w:rFonts w:ascii="Times New Roman" w:hAnsi="Times New Roman" w:cs="Times New Roman"/>
          <w:b/>
          <w:bCs/>
          <w:sz w:val="28"/>
          <w:szCs w:val="28"/>
        </w:rPr>
        <w:tab/>
      </w:r>
      <w:r w:rsidRPr="0075534A">
        <w:rPr>
          <w:rFonts w:ascii="Times New Roman" w:hAnsi="Times New Roman" w:cs="Times New Roman"/>
        </w:rPr>
        <w:t>Blackgram (</w:t>
      </w:r>
      <w:r w:rsidRPr="0075534A">
        <w:rPr>
          <w:rFonts w:ascii="Times New Roman" w:hAnsi="Times New Roman" w:cs="Times New Roman"/>
          <w:i/>
          <w:iCs/>
        </w:rPr>
        <w:t xml:space="preserve">Vigna mungo </w:t>
      </w:r>
      <w:r w:rsidRPr="0075534A">
        <w:rPr>
          <w:rFonts w:ascii="Times New Roman" w:hAnsi="Times New Roman" w:cs="Times New Roman"/>
        </w:rPr>
        <w:t xml:space="preserve">L.) is an important pulse crop cultivated extensively in India because of its high nutritional value and its role in improving soil fertility through biological nitrogen fixation. Blackgram production is constrained by several diseases, among which dry root rot caused by </w:t>
      </w:r>
      <w:r w:rsidRPr="0075534A">
        <w:rPr>
          <w:rFonts w:ascii="Times New Roman" w:hAnsi="Times New Roman" w:cs="Times New Roman"/>
          <w:i/>
          <w:iCs/>
        </w:rPr>
        <w:t>Macrophomina phaseolina</w:t>
      </w:r>
      <w:r w:rsidRPr="0075534A">
        <w:rPr>
          <w:rFonts w:ascii="Times New Roman" w:hAnsi="Times New Roman" w:cs="Times New Roman"/>
        </w:rPr>
        <w:t xml:space="preserve"> (Tassi) Goid. is one of the most destructive. </w:t>
      </w:r>
      <w:r w:rsidRPr="0075534A">
        <w:rPr>
          <w:rFonts w:ascii="Times New Roman" w:hAnsi="Times New Roman" w:cs="Times New Roman"/>
          <w:i/>
          <w:iCs/>
        </w:rPr>
        <w:t>Macrophomina phaseolina</w:t>
      </w:r>
      <w:r w:rsidRPr="0075534A">
        <w:rPr>
          <w:rFonts w:ascii="Times New Roman" w:hAnsi="Times New Roman" w:cs="Times New Roman"/>
        </w:rPr>
        <w:t xml:space="preserve"> is a soil-borne fungal pathogen with a broad host range and the ability to survive under adverse environmental conditions through the production of microsclerotia. The disease is particularly severe under conditions of high temperature and low soil moisture, leading to root decay, yellowing, wilting and ultimately plant death (Elmerich et al., 2022).</w:t>
      </w:r>
    </w:p>
    <w:p w14:paraId="2CC137DF" w14:textId="77777777" w:rsidR="0097291C" w:rsidRPr="0075534A" w:rsidRDefault="0075534A">
      <w:pPr>
        <w:spacing w:after="120" w:line="240" w:lineRule="auto"/>
      </w:pPr>
      <w:r w:rsidRPr="0075534A">
        <w:t xml:space="preserve">Recent blackgram research confirms that </w:t>
      </w:r>
      <w:r w:rsidRPr="0075534A">
        <w:rPr>
          <w:i/>
        </w:rPr>
        <w:t>M. phaseolina</w:t>
      </w:r>
      <w:r w:rsidRPr="0075534A">
        <w:t xml:space="preserve"> behaves as a persistent, polyphagous necrotroph and that microsclerotial survival, host susceptibility and stress-responsive plant defence jointly influence disease development. These features explain why dry root rot is difficult to manage with a single intervention and support the use of integrated strategies combining resistant germplasm, biological control and appropriate crop management (Elmerich et al., 2022; Marquez et al., 2021; Shirai &amp; Eulgem, 2023).</w:t>
      </w:r>
    </w:p>
    <w:p w14:paraId="0B89293A" w14:textId="77777777" w:rsidR="0097291C" w:rsidRPr="0075534A" w:rsidRDefault="0075534A">
      <w:pPr>
        <w:ind w:firstLine="720"/>
        <w:jc w:val="both"/>
        <w:rPr>
          <w:rFonts w:ascii="Times New Roman" w:hAnsi="Times New Roman" w:cs="Times New Roman"/>
        </w:rPr>
      </w:pPr>
      <w:r w:rsidRPr="0075534A">
        <w:rPr>
          <w:rFonts w:ascii="Times New Roman" w:hAnsi="Times New Roman" w:cs="Times New Roman"/>
        </w:rPr>
        <w:t xml:space="preserve">At high temperatures (30 °C – 35 °C) and when soil moisture is below 60%, this fungus can cause substantial yield losses in various crops (Gupta et al., 2012). Although </w:t>
      </w:r>
      <w:r w:rsidRPr="0075534A">
        <w:rPr>
          <w:rFonts w:ascii="Times New Roman" w:hAnsi="Times New Roman" w:cs="Times New Roman"/>
        </w:rPr>
        <w:lastRenderedPageBreak/>
        <w:t>fungicides are available for disease management, their repeated application may increase production costs and adversely affect environmental and soil health (Bellaloui et al., 2023).</w:t>
      </w:r>
    </w:p>
    <w:p w14:paraId="27FF46ED" w14:textId="77777777" w:rsidR="0097291C" w:rsidRPr="0075534A" w:rsidRDefault="0075534A">
      <w:pPr>
        <w:ind w:firstLine="720"/>
        <w:jc w:val="both"/>
        <w:rPr>
          <w:rFonts w:ascii="Times New Roman" w:hAnsi="Times New Roman" w:cs="Times New Roman"/>
        </w:rPr>
      </w:pPr>
      <w:r w:rsidRPr="0075534A">
        <w:rPr>
          <w:rFonts w:ascii="Times New Roman" w:hAnsi="Times New Roman" w:cs="Times New Roman"/>
        </w:rPr>
        <w:t xml:space="preserve">The use of </w:t>
      </w:r>
      <w:r w:rsidRPr="0075534A">
        <w:rPr>
          <w:rFonts w:ascii="Times New Roman" w:hAnsi="Times New Roman" w:cs="Times New Roman"/>
          <w:i/>
          <w:iCs/>
        </w:rPr>
        <w:t>Trichoderma</w:t>
      </w:r>
      <w:r w:rsidRPr="0075534A">
        <w:rPr>
          <w:rFonts w:ascii="Times New Roman" w:hAnsi="Times New Roman" w:cs="Times New Roman"/>
        </w:rPr>
        <w:t xml:space="preserve"> species as biological control agents has received considerable attention as a sustainable alternative for controlling various soil-dwelling pathogens, including </w:t>
      </w:r>
      <w:r w:rsidRPr="0075534A">
        <w:rPr>
          <w:rFonts w:ascii="Times New Roman" w:hAnsi="Times New Roman" w:cs="Times New Roman"/>
          <w:i/>
          <w:iCs/>
        </w:rPr>
        <w:t xml:space="preserve">M. phaseolina </w:t>
      </w:r>
      <w:r w:rsidRPr="0075534A">
        <w:rPr>
          <w:rFonts w:ascii="Times New Roman" w:hAnsi="Times New Roman" w:cs="Times New Roman"/>
        </w:rPr>
        <w:t xml:space="preserve">across diverse host crops (Marquez et al., 2021). Studies have demonstrated that </w:t>
      </w:r>
      <w:r w:rsidRPr="0075534A">
        <w:rPr>
          <w:rFonts w:ascii="Times New Roman" w:hAnsi="Times New Roman" w:cs="Times New Roman"/>
          <w:i/>
          <w:iCs/>
        </w:rPr>
        <w:t>Trichoderma</w:t>
      </w:r>
      <w:r w:rsidRPr="0075534A">
        <w:rPr>
          <w:rFonts w:ascii="Times New Roman" w:hAnsi="Times New Roman" w:cs="Times New Roman"/>
        </w:rPr>
        <w:t xml:space="preserve"> species can form inhibition zones, parasitize pathogen hyphae and significantly reduce the </w:t>
      </w:r>
      <w:r w:rsidRPr="0075534A">
        <w:rPr>
          <w:rFonts w:ascii="Times New Roman" w:hAnsi="Times New Roman" w:cs="Times New Roman"/>
          <w:color w:val="000000"/>
        </w:rPr>
        <w:t xml:space="preserve">mycelial growth of </w:t>
      </w:r>
      <w:r w:rsidRPr="0075534A">
        <w:rPr>
          <w:rFonts w:ascii="Times New Roman" w:hAnsi="Times New Roman" w:cs="Times New Roman"/>
          <w:i/>
          <w:iCs/>
          <w:color w:val="000000"/>
        </w:rPr>
        <w:t>M. phaseolina</w:t>
      </w:r>
      <w:r w:rsidRPr="0075534A">
        <w:rPr>
          <w:rFonts w:ascii="Times New Roman" w:hAnsi="Times New Roman" w:cs="Times New Roman"/>
          <w:color w:val="000000"/>
        </w:rPr>
        <w:t xml:space="preserve"> under in vitro conditions. The main objective of this study is to evaluate the antagonistic potential of different </w:t>
      </w:r>
      <w:r w:rsidRPr="0075534A">
        <w:rPr>
          <w:rFonts w:ascii="Times New Roman" w:hAnsi="Times New Roman" w:cs="Times New Roman"/>
          <w:i/>
          <w:iCs/>
          <w:color w:val="000000"/>
        </w:rPr>
        <w:t>Trichoderma</w:t>
      </w:r>
      <w:r w:rsidRPr="0075534A">
        <w:rPr>
          <w:rFonts w:ascii="Times New Roman" w:hAnsi="Times New Roman" w:cs="Times New Roman"/>
          <w:color w:val="000000"/>
        </w:rPr>
        <w:t xml:space="preserve"> isolates against </w:t>
      </w:r>
      <w:r w:rsidRPr="0075534A">
        <w:rPr>
          <w:rFonts w:ascii="Times New Roman" w:hAnsi="Times New Roman" w:cs="Times New Roman"/>
          <w:i/>
          <w:iCs/>
          <w:color w:val="000000"/>
        </w:rPr>
        <w:t>M. phaseolina</w:t>
      </w:r>
      <w:r w:rsidRPr="0075534A">
        <w:rPr>
          <w:rFonts w:ascii="Times New Roman" w:hAnsi="Times New Roman" w:cs="Times New Roman"/>
          <w:color w:val="000000"/>
        </w:rPr>
        <w:t xml:space="preserve"> by using the dual culture technique.</w:t>
      </w:r>
    </w:p>
    <w:p w14:paraId="0750B610" w14:textId="77777777" w:rsidR="0097291C" w:rsidRPr="0075534A" w:rsidRDefault="0075534A">
      <w:pPr>
        <w:spacing w:after="120" w:line="240" w:lineRule="auto"/>
      </w:pPr>
      <w:r w:rsidRPr="0075534A">
        <w:rPr>
          <w:i/>
        </w:rPr>
        <w:t>Trichoderma</w:t>
      </w:r>
      <w:r w:rsidRPr="0075534A">
        <w:t xml:space="preserve"> antagonism is strain dependent and may involve rapid rhizosphere colonization, competition for nutrients and space, secretion of antifungal metabolites and cell-wall-degrading enzymes, and induction of host defence. Consequently, screening locally adapted isolates is important because isolates belonging to the same genus may differ substantially in pathogen suppression and plant-beneficial activity (Bell et al., 1982; Kumari et al., 2024; Woo et al., 2023).</w:t>
      </w:r>
    </w:p>
    <w:p w14:paraId="3E652D9F" w14:textId="77777777" w:rsidR="0097291C" w:rsidRPr="0075534A" w:rsidRDefault="0075534A">
      <w:pPr>
        <w:jc w:val="both"/>
        <w:rPr>
          <w:rFonts w:ascii="Times New Roman" w:hAnsi="Times New Roman" w:cs="Times New Roman"/>
          <w:b/>
          <w:bCs/>
        </w:rPr>
      </w:pPr>
      <w:r w:rsidRPr="0075534A">
        <w:rPr>
          <w:rFonts w:ascii="Times New Roman" w:hAnsi="Times New Roman" w:cs="Times New Roman"/>
          <w:b/>
          <w:bCs/>
        </w:rPr>
        <w:t>MATERIALS AND METHODS</w:t>
      </w:r>
    </w:p>
    <w:p w14:paraId="4A94143D" w14:textId="77777777" w:rsidR="0097291C" w:rsidRPr="0075534A" w:rsidRDefault="0075534A">
      <w:pPr>
        <w:jc w:val="both"/>
      </w:pPr>
      <w:r w:rsidRPr="0075534A">
        <w:rPr>
          <w:rFonts w:ascii="Times New Roman" w:hAnsi="Times New Roman" w:cs="Times New Roman"/>
          <w:b/>
          <w:bCs/>
        </w:rPr>
        <w:t>Isolation and maintenance of the Pathogen</w:t>
      </w:r>
    </w:p>
    <w:p w14:paraId="2DD93C15" w14:textId="77777777" w:rsidR="0097291C" w:rsidRPr="0075534A" w:rsidRDefault="0075534A">
      <w:pPr>
        <w:jc w:val="both"/>
        <w:rPr>
          <w:rFonts w:ascii="Times New Roman" w:hAnsi="Times New Roman" w:cs="Times New Roman"/>
        </w:rPr>
      </w:pPr>
      <w:r w:rsidRPr="0075534A">
        <w:rPr>
          <w:rFonts w:ascii="Times New Roman" w:hAnsi="Times New Roman" w:cs="Times New Roman"/>
        </w:rPr>
        <w:t xml:space="preserve">The </w:t>
      </w:r>
      <w:r w:rsidRPr="0075534A">
        <w:rPr>
          <w:rFonts w:ascii="Times New Roman" w:hAnsi="Times New Roman" w:cs="Times New Roman"/>
          <w:i/>
          <w:iCs/>
        </w:rPr>
        <w:t>Macrophomina  phaseolina</w:t>
      </w:r>
      <w:r w:rsidRPr="0075534A">
        <w:rPr>
          <w:rFonts w:ascii="Times New Roman" w:hAnsi="Times New Roman" w:cs="Times New Roman"/>
        </w:rPr>
        <w:t xml:space="preserve">  was isolated from diseased blackgram plants showing typical symptoms of dry root rot from Tirupati district. Small bits of infected root tissue were surface sterilized in one per cent sodium hypochlorite solution for one minute and washed thoroughly in sterile distilled water. The tissue bits were then transferred onto Potato Dextrose Agar (PDA) medium. The fungal culture was purified by the single hyphal tip method and maintained on PDA slants at 4°C for further studies.</w:t>
      </w:r>
    </w:p>
    <w:p w14:paraId="01E2B5E5" w14:textId="77777777" w:rsidR="0097291C" w:rsidRPr="0075534A" w:rsidRDefault="0075534A">
      <w:pPr>
        <w:jc w:val="both"/>
        <w:rPr>
          <w:rFonts w:ascii="Times New Roman" w:hAnsi="Times New Roman" w:cs="Times New Roman"/>
          <w:b/>
          <w:bCs/>
        </w:rPr>
      </w:pPr>
      <w:r w:rsidRPr="0075534A">
        <w:rPr>
          <w:rFonts w:ascii="Times New Roman" w:hAnsi="Times New Roman" w:cs="Times New Roman"/>
          <w:b/>
          <w:bCs/>
        </w:rPr>
        <w:t>Isolation and maintenance of Trichoderma spp.</w:t>
      </w:r>
    </w:p>
    <w:p w14:paraId="7168B182" w14:textId="77777777" w:rsidR="0097291C" w:rsidRPr="0075534A" w:rsidRDefault="0075534A">
      <w:pPr>
        <w:jc w:val="both"/>
      </w:pPr>
      <w:r w:rsidRPr="0075534A">
        <w:t>Different isolates of Trichoderma spp. were isolated from blackgram rhizosphere soil of Tirupati district of Andhra Pradesh by soil dilution technique (Dhingra &amp; Sinclair, 1995) and plated on modified Trichoderma selective medium. The probable colonies of Trichoderma were picked up sub cultured, purified and preserved in PDA slants at 4°C for subsequent use. The Trichoderma spp. were identified by slide culture technique following the taxonomic keys and monograph of (Rifai, 1969). A total of 20 Trichoderma isolates were isolated and designated as TPP-1 to TPP-20 were maintained on PDA medium and sub-cultured periodically to ensure culture viability.</w:t>
      </w:r>
    </w:p>
    <w:p w14:paraId="586EC595" w14:textId="77777777" w:rsidR="0097291C" w:rsidRPr="0075534A" w:rsidRDefault="0075534A">
      <w:pPr>
        <w:jc w:val="both"/>
        <w:rPr>
          <w:rFonts w:ascii="Times New Roman" w:hAnsi="Times New Roman" w:cs="Times New Roman"/>
          <w:b/>
          <w:bCs/>
          <w:sz w:val="22"/>
          <w:szCs w:val="22"/>
        </w:rPr>
      </w:pPr>
      <w:r w:rsidRPr="0075534A">
        <w:rPr>
          <w:rFonts w:ascii="Times New Roman" w:hAnsi="Times New Roman" w:cs="Times New Roman"/>
          <w:b/>
          <w:bCs/>
        </w:rPr>
        <w:t xml:space="preserve">Evaluation of Trichoderma spp. against </w:t>
      </w:r>
      <w:r w:rsidRPr="0075534A">
        <w:rPr>
          <w:rFonts w:ascii="Times New Roman" w:hAnsi="Times New Roman" w:cs="Times New Roman"/>
          <w:b/>
          <w:bCs/>
          <w:i/>
          <w:iCs/>
        </w:rPr>
        <w:t>Macrophomina phaseolina</w:t>
      </w:r>
    </w:p>
    <w:p w14:paraId="2C9ED18D" w14:textId="77777777" w:rsidR="0097291C" w:rsidRPr="0075534A" w:rsidRDefault="0075534A">
      <w:pPr>
        <w:jc w:val="both"/>
      </w:pPr>
      <w:r w:rsidRPr="0075534A">
        <w:rPr>
          <w:rFonts w:ascii="Times New Roman" w:hAnsi="Times New Roman" w:cs="Times New Roman"/>
        </w:rPr>
        <w:t xml:space="preserve">The antagonistic activity of </w:t>
      </w:r>
      <w:r w:rsidRPr="0075534A">
        <w:rPr>
          <w:rFonts w:ascii="Times New Roman" w:hAnsi="Times New Roman" w:cs="Times New Roman"/>
          <w:i/>
          <w:iCs/>
        </w:rPr>
        <w:t>Trichoderma</w:t>
      </w:r>
      <w:r w:rsidRPr="0075534A">
        <w:rPr>
          <w:rFonts w:ascii="Times New Roman" w:hAnsi="Times New Roman" w:cs="Times New Roman"/>
        </w:rPr>
        <w:t xml:space="preserve"> isolates against </w:t>
      </w:r>
      <w:r w:rsidRPr="0075534A">
        <w:rPr>
          <w:rFonts w:ascii="Times New Roman" w:hAnsi="Times New Roman" w:cs="Times New Roman"/>
          <w:i/>
          <w:iCs/>
        </w:rPr>
        <w:t>M. phaseolina</w:t>
      </w:r>
      <w:r w:rsidRPr="0075534A">
        <w:rPr>
          <w:rFonts w:ascii="Times New Roman" w:hAnsi="Times New Roman" w:cs="Times New Roman"/>
        </w:rPr>
        <w:t xml:space="preserve"> was evaluated by the dual culture technique described by Bell et al. (1982). A 9-mm mycelial disc of the pathogen and a 9-mm disc of the antagonist were placed opposite each other on PDA plates at 1 cm distances from the edge of the Petri plate. Plates inoculated only with the pathogen served as control. The plates were incubated at 28 ± 2°C for seven days and observations on radial </w:t>
      </w:r>
      <w:r w:rsidRPr="0075534A">
        <w:rPr>
          <w:rFonts w:ascii="Times New Roman" w:hAnsi="Times New Roman" w:cs="Times New Roman"/>
        </w:rPr>
        <w:lastRenderedPageBreak/>
        <w:t>growth of the pathogen were recorded. The experiment was conducted with three replications in Completely Randomized Design.</w:t>
      </w:r>
    </w:p>
    <w:p w14:paraId="63D9E1B1" w14:textId="77777777" w:rsidR="0097291C" w:rsidRPr="0075534A" w:rsidRDefault="0075534A">
      <w:pPr>
        <w:jc w:val="both"/>
        <w:rPr>
          <w:rFonts w:ascii="Times New Roman" w:hAnsi="Times New Roman" w:cs="Times New Roman"/>
        </w:rPr>
      </w:pPr>
      <w:r w:rsidRPr="0075534A">
        <w:t>The percentage inhibition of radial growth was calculated using the following formula by Garcia et al. (1994)</w:t>
      </w:r>
    </w:p>
    <w:p w14:paraId="38B42A7A" w14:textId="77777777" w:rsidR="0097291C" w:rsidRPr="0075534A" w:rsidRDefault="0075534A">
      <w:pPr>
        <w:spacing w:after="0"/>
        <w:jc w:val="center"/>
        <w:rPr>
          <w:rFonts w:ascii="Times New Roman" w:hAnsi="Times New Roman" w:cs="Times New Roman"/>
        </w:rPr>
      </w:pPr>
      <w:r w:rsidRPr="0075534A">
        <w:rPr>
          <w:rFonts w:ascii="Times New Roman" w:hAnsi="Times New Roman" w:cs="Times New Roman"/>
        </w:rPr>
        <w:t>I = [(C-T)/C] × 100</w:t>
      </w:r>
    </w:p>
    <w:p w14:paraId="72CE68BA" w14:textId="77777777" w:rsidR="0097291C" w:rsidRPr="0075534A" w:rsidRDefault="0075534A">
      <w:pPr>
        <w:spacing w:after="0"/>
        <w:rPr>
          <w:rFonts w:ascii="Times New Roman" w:hAnsi="Times New Roman" w:cs="Times New Roman"/>
        </w:rPr>
      </w:pPr>
      <w:r w:rsidRPr="0075534A">
        <w:rPr>
          <w:rFonts w:ascii="Times New Roman" w:hAnsi="Times New Roman" w:cs="Times New Roman"/>
        </w:rPr>
        <w:t>Where,</w:t>
      </w:r>
    </w:p>
    <w:p w14:paraId="7394A2AD" w14:textId="77777777" w:rsidR="0097291C" w:rsidRPr="0075534A" w:rsidRDefault="0075534A">
      <w:pPr>
        <w:spacing w:after="0"/>
      </w:pPr>
      <w:r w:rsidRPr="0075534A">
        <w:rPr>
          <w:rFonts w:ascii="Times New Roman" w:hAnsi="Times New Roman" w:cs="Times New Roman"/>
        </w:rPr>
        <w:t>I = Percent inhibition of mycelial growth</w:t>
      </w:r>
    </w:p>
    <w:p w14:paraId="2831B179" w14:textId="77777777" w:rsidR="0097291C" w:rsidRPr="0075534A" w:rsidRDefault="0075534A">
      <w:pPr>
        <w:spacing w:after="0"/>
        <w:rPr>
          <w:rFonts w:ascii="Times New Roman" w:hAnsi="Times New Roman" w:cs="Times New Roman"/>
        </w:rPr>
      </w:pPr>
      <w:r w:rsidRPr="0075534A">
        <w:rPr>
          <w:rFonts w:ascii="Times New Roman" w:hAnsi="Times New Roman" w:cs="Times New Roman"/>
        </w:rPr>
        <w:t>C = Radial growth of pathogen in control</w:t>
      </w:r>
    </w:p>
    <w:p w14:paraId="157234B8" w14:textId="77777777" w:rsidR="0097291C" w:rsidRPr="0075534A" w:rsidRDefault="0075534A">
      <w:pPr>
        <w:spacing w:after="0"/>
        <w:rPr>
          <w:rFonts w:ascii="Times New Roman" w:hAnsi="Times New Roman" w:cs="Times New Roman"/>
        </w:rPr>
      </w:pPr>
      <w:r w:rsidRPr="0075534A">
        <w:rPr>
          <w:rFonts w:ascii="Times New Roman" w:hAnsi="Times New Roman" w:cs="Times New Roman"/>
        </w:rPr>
        <w:t>T = Radial growth of pathogen in treatment.</w:t>
      </w:r>
    </w:p>
    <w:p w14:paraId="595D2E70" w14:textId="77777777" w:rsidR="0097291C" w:rsidRPr="0075534A" w:rsidRDefault="0075534A">
      <w:pPr>
        <w:pStyle w:val="h2"/>
        <w:spacing w:before="160" w:after="160" w:line="336" w:lineRule="auto"/>
      </w:pPr>
      <w:r w:rsidRPr="0075534A">
        <w:t>SEED PRIMING WITH BIOAGENTS</w:t>
      </w:r>
    </w:p>
    <w:p w14:paraId="66CB7659" w14:textId="77777777" w:rsidR="0097291C" w:rsidRPr="0075534A" w:rsidRDefault="0075534A">
      <w:pPr>
        <w:pStyle w:val="para"/>
        <w:spacing w:before="160" w:after="160" w:line="348" w:lineRule="auto"/>
      </w:pPr>
      <w:r w:rsidRPr="0075534A">
        <w:t>The biopriming of seeds blackgram were done with 20 Trichoderma   inoculum were prepared as per procedure given by Nagamani et al. (2017).  Blackgram variety TBG 104 seeds were thoroughly washed with distilled water, air dried and finally dipped into the suspension of bioagents for few minutes, stirred thoroughly to ensure uniform coverage of seeds with suspension of bioagents. The treated seeds were spreaded on a cleaned blotter paper and allowed to shade dry. The treated seeds were seeded into Petri dishes lined with double layered moist blotter paper and covered with upper lid of Petri plate lined with moist blotter paper and incubated for one week at 28 ± 1°C. Treated seeds were sown in soil under greenhouse conditions. Seeds were sown in the earthen pots (30 diameter at 10 seeds/pot containing soil and manure in the ratio of 1:1. The germination of seeds was observed periodically and the root length, shoots length, root and shoot weight under wet and dry condition was measured. The vigour index respective crop seedlings were calculated on the basis of root and shoot length as follows:</w:t>
      </w:r>
    </w:p>
    <w:p w14:paraId="2688113F" w14:textId="77777777" w:rsidR="0097291C" w:rsidRPr="0075534A" w:rsidRDefault="0075534A">
      <w:pPr>
        <w:widowControl w:val="0"/>
        <w:spacing w:before="160"/>
        <w:ind w:right="29"/>
        <w:rPr>
          <w:rFonts w:ascii="Times New Roman" w:hAnsi="Times New Roman" w:cs="Times New Roman"/>
        </w:rPr>
      </w:pPr>
      <w:r w:rsidRPr="0075534A">
        <w:rPr>
          <w:rFonts w:ascii="Times New Roman" w:hAnsi="Times New Roman" w:cs="Times New Roman"/>
        </w:rPr>
        <w:t>Vigour index = [Root length (cm) + shoot length (cm)] x germination %)</w:t>
      </w:r>
    </w:p>
    <w:p w14:paraId="4D0A5A5A" w14:textId="77777777" w:rsidR="0097291C" w:rsidRPr="0075534A" w:rsidRDefault="0097291C">
      <w:pPr>
        <w:spacing w:after="0"/>
        <w:rPr>
          <w:rFonts w:ascii="Times New Roman" w:hAnsi="Times New Roman" w:cs="Times New Roman"/>
        </w:rPr>
      </w:pPr>
    </w:p>
    <w:p w14:paraId="21391EF1" w14:textId="77777777" w:rsidR="0097291C" w:rsidRPr="0075534A" w:rsidRDefault="0075534A">
      <w:pPr>
        <w:rPr>
          <w:rFonts w:ascii="Times New Roman" w:hAnsi="Times New Roman" w:cs="Times New Roman"/>
          <w:b/>
          <w:bCs/>
        </w:rPr>
      </w:pPr>
      <w:r w:rsidRPr="0075534A">
        <w:rPr>
          <w:rFonts w:ascii="Times New Roman" w:hAnsi="Times New Roman" w:cs="Times New Roman"/>
          <w:b/>
          <w:bCs/>
        </w:rPr>
        <w:t>RESULTS AND DISCUSSION</w:t>
      </w:r>
    </w:p>
    <w:p w14:paraId="2764BAC6" w14:textId="77777777" w:rsidR="0097291C" w:rsidRPr="0075534A" w:rsidRDefault="0075534A">
      <w:pPr>
        <w:spacing w:before="120" w:after="60"/>
      </w:pPr>
      <w:r w:rsidRPr="0075534A">
        <w:rPr>
          <w:b/>
        </w:rPr>
        <w:t>Antagonistic activity of Trichoderma isolates</w:t>
      </w:r>
    </w:p>
    <w:p w14:paraId="5E5E12BF" w14:textId="77777777" w:rsidR="0097291C" w:rsidRPr="0075534A" w:rsidRDefault="0075534A">
      <w:pPr>
        <w:spacing w:after="0"/>
        <w:jc w:val="both"/>
        <w:rPr>
          <w:rFonts w:ascii="Times New Roman" w:hAnsi="Times New Roman" w:cs="Times New Roman"/>
        </w:rPr>
      </w:pPr>
      <w:r w:rsidRPr="0075534A">
        <w:rPr>
          <w:rFonts w:ascii="Times New Roman" w:hAnsi="Times New Roman" w:cs="Times New Roman"/>
          <w:b/>
          <w:bCs/>
        </w:rPr>
        <w:tab/>
      </w:r>
      <w:r w:rsidRPr="0075534A">
        <w:rPr>
          <w:rFonts w:ascii="Times New Roman" w:hAnsi="Times New Roman" w:cs="Times New Roman"/>
        </w:rPr>
        <w:t xml:space="preserve">The antagonistic potential of twenty </w:t>
      </w:r>
      <w:r w:rsidRPr="0075534A">
        <w:rPr>
          <w:rFonts w:ascii="Times New Roman" w:hAnsi="Times New Roman" w:cs="Times New Roman"/>
          <w:i/>
          <w:iCs/>
        </w:rPr>
        <w:t>Trichoderma</w:t>
      </w:r>
      <w:r w:rsidRPr="0075534A">
        <w:rPr>
          <w:rFonts w:ascii="Times New Roman" w:hAnsi="Times New Roman" w:cs="Times New Roman"/>
        </w:rPr>
        <w:t xml:space="preserve"> isolates against </w:t>
      </w:r>
      <w:r w:rsidRPr="0075534A">
        <w:rPr>
          <w:rFonts w:ascii="Times New Roman" w:hAnsi="Times New Roman" w:cs="Times New Roman"/>
          <w:i/>
          <w:iCs/>
        </w:rPr>
        <w:t>Macrophomina phaseolina</w:t>
      </w:r>
      <w:r w:rsidRPr="0075534A">
        <w:rPr>
          <w:rFonts w:ascii="Times New Roman" w:hAnsi="Times New Roman" w:cs="Times New Roman"/>
        </w:rPr>
        <w:t xml:space="preserve"> was evaluated under in vitro conditions using the dual culture technique. Considerable variation was observed among the isolates in suppressing the mycelial growth of the pathogen (Table 1).</w:t>
      </w:r>
    </w:p>
    <w:p w14:paraId="5A021AE7" w14:textId="77777777" w:rsidR="0097291C" w:rsidRPr="0075534A" w:rsidRDefault="0075534A">
      <w:pPr>
        <w:ind w:firstLine="720"/>
        <w:jc w:val="both"/>
        <w:rPr>
          <w:rFonts w:ascii="Times New Roman" w:hAnsi="Times New Roman" w:cs="Times New Roman"/>
          <w:i/>
          <w:iCs/>
        </w:rPr>
      </w:pPr>
      <w:r w:rsidRPr="0075534A">
        <w:rPr>
          <w:rFonts w:ascii="Times New Roman" w:hAnsi="Times New Roman" w:cs="Times New Roman"/>
        </w:rPr>
        <w:t xml:space="preserve">The dual culture assay revealed that all the </w:t>
      </w:r>
      <w:r w:rsidRPr="0075534A">
        <w:rPr>
          <w:rFonts w:ascii="Times New Roman" w:hAnsi="Times New Roman" w:cs="Times New Roman"/>
          <w:i/>
          <w:iCs/>
        </w:rPr>
        <w:t>Trichoderma</w:t>
      </w:r>
      <w:r w:rsidRPr="0075534A">
        <w:rPr>
          <w:rFonts w:ascii="Times New Roman" w:hAnsi="Times New Roman" w:cs="Times New Roman"/>
        </w:rPr>
        <w:t xml:space="preserve"> isolates were capable of suppressing the mycelial growth of </w:t>
      </w:r>
      <w:r w:rsidRPr="0075534A">
        <w:rPr>
          <w:rFonts w:ascii="Times New Roman" w:hAnsi="Times New Roman" w:cs="Times New Roman"/>
          <w:i/>
          <w:iCs/>
        </w:rPr>
        <w:t>Macrophomina phaseolina</w:t>
      </w:r>
      <w:r w:rsidRPr="0075534A">
        <w:rPr>
          <w:rFonts w:ascii="Times New Roman" w:hAnsi="Times New Roman" w:cs="Times New Roman"/>
        </w:rPr>
        <w:t xml:space="preserve">, although the extent of inhibition varied considerably among the isolates. Among the twenty </w:t>
      </w:r>
      <w:r w:rsidRPr="0075534A">
        <w:rPr>
          <w:rFonts w:ascii="Times New Roman" w:hAnsi="Times New Roman" w:cs="Times New Roman"/>
          <w:i/>
          <w:iCs/>
        </w:rPr>
        <w:t>Trichoderma</w:t>
      </w:r>
      <w:r w:rsidRPr="0075534A">
        <w:rPr>
          <w:rFonts w:ascii="Times New Roman" w:hAnsi="Times New Roman" w:cs="Times New Roman"/>
        </w:rPr>
        <w:t xml:space="preserve"> isolates evaluated, TPP-15 exhibited the highest inhibition of mycelial growth with 80.1 per cent, followed by TPP-10 with 79.6 per cent inhibition. These isolates rapidly colonized the culture </w:t>
      </w:r>
      <w:r w:rsidRPr="0075534A">
        <w:rPr>
          <w:rFonts w:ascii="Times New Roman" w:hAnsi="Times New Roman" w:cs="Times New Roman"/>
        </w:rPr>
        <w:lastRenderedPageBreak/>
        <w:t xml:space="preserve">medium and effectively restricted the growth of the pathogen, indicating their superior antagonistic potential. Moderately high inhibition was observed in TPP-5 (75.8%), TPP-12 (75.7%), TPP-3 (75.4%) and TPP-18 (75.4%). The isolates TPP-8, TPP-7, TPP-11, TPP-20 and TPP-9 also showed appreciable antagonistic activity, recording more than 73 per cent inhibition. The least inhibition was observed in TPP-6 (64.9%). Similar findings were reported by Sreedevi et al. (2011), who evaluated </w:t>
      </w:r>
      <w:r w:rsidRPr="0075534A">
        <w:rPr>
          <w:rFonts w:ascii="Times New Roman" w:hAnsi="Times New Roman" w:cs="Times New Roman"/>
          <w:i/>
          <w:iCs/>
        </w:rPr>
        <w:t xml:space="preserve">Trichoderma </w:t>
      </w:r>
      <w:r w:rsidRPr="0075534A">
        <w:rPr>
          <w:rFonts w:ascii="Times New Roman" w:hAnsi="Times New Roman" w:cs="Times New Roman"/>
        </w:rPr>
        <w:t>against</w:t>
      </w:r>
      <w:r w:rsidRPr="0075534A">
        <w:rPr>
          <w:rFonts w:ascii="Times New Roman" w:hAnsi="Times New Roman" w:cs="Times New Roman"/>
          <w:i/>
          <w:iCs/>
        </w:rPr>
        <w:t xml:space="preserve"> M. phaseolina</w:t>
      </w:r>
      <w:r w:rsidRPr="0075534A">
        <w:rPr>
          <w:rFonts w:ascii="Times New Roman" w:hAnsi="Times New Roman" w:cs="Times New Roman"/>
        </w:rPr>
        <w:t xml:space="preserve"> and reported that </w:t>
      </w:r>
      <w:r w:rsidRPr="0075534A">
        <w:rPr>
          <w:rFonts w:ascii="Times New Roman" w:hAnsi="Times New Roman" w:cs="Times New Roman"/>
          <w:i/>
          <w:iCs/>
        </w:rPr>
        <w:t>T. viride</w:t>
      </w:r>
      <w:r w:rsidRPr="0075534A">
        <w:rPr>
          <w:rFonts w:ascii="Times New Roman" w:hAnsi="Times New Roman" w:cs="Times New Roman"/>
        </w:rPr>
        <w:t xml:space="preserve"> and </w:t>
      </w:r>
      <w:r w:rsidRPr="0075534A">
        <w:rPr>
          <w:rFonts w:ascii="Times New Roman" w:hAnsi="Times New Roman" w:cs="Times New Roman"/>
          <w:i/>
          <w:iCs/>
        </w:rPr>
        <w:t xml:space="preserve">T. harzianum </w:t>
      </w:r>
      <w:r w:rsidRPr="0075534A">
        <w:rPr>
          <w:rFonts w:ascii="Times New Roman" w:hAnsi="Times New Roman" w:cs="Times New Roman"/>
        </w:rPr>
        <w:t xml:space="preserve">reduced the mycelial growth by 61.1 per cent and 64.4 per cent respectively. Our findings also echo those of Divya et al. (2015), who observed significant inhibition of </w:t>
      </w:r>
      <w:r w:rsidRPr="0075534A">
        <w:rPr>
          <w:rFonts w:ascii="Times New Roman" w:hAnsi="Times New Roman" w:cs="Times New Roman"/>
          <w:i/>
          <w:iCs/>
        </w:rPr>
        <w:t>M. phaseolina</w:t>
      </w:r>
      <w:r w:rsidRPr="0075534A">
        <w:rPr>
          <w:rFonts w:ascii="Times New Roman" w:hAnsi="Times New Roman" w:cs="Times New Roman"/>
        </w:rPr>
        <w:t xml:space="preserve"> by different species of </w:t>
      </w:r>
      <w:r w:rsidRPr="0075534A">
        <w:rPr>
          <w:rFonts w:ascii="Times New Roman" w:hAnsi="Times New Roman" w:cs="Times New Roman"/>
          <w:i/>
          <w:iCs/>
        </w:rPr>
        <w:t>Trichoderma</w:t>
      </w:r>
      <w:r w:rsidRPr="0075534A">
        <w:rPr>
          <w:rFonts w:ascii="Times New Roman" w:hAnsi="Times New Roman" w:cs="Times New Roman"/>
        </w:rPr>
        <w:t xml:space="preserve"> under dual culture conditions. The isolate Tri-12 was recorded the highest per cent inhibition of 81.1 per cent and lowest inhibition of 48.1 was observed in isolate Tri-8. Similarly, da Veiga et al. (2026) observed that all the </w:t>
      </w:r>
      <w:r w:rsidRPr="0075534A">
        <w:rPr>
          <w:rFonts w:ascii="Times New Roman" w:hAnsi="Times New Roman" w:cs="Times New Roman"/>
          <w:i/>
          <w:iCs/>
        </w:rPr>
        <w:t xml:space="preserve">Trichoderma </w:t>
      </w:r>
      <w:r w:rsidRPr="0075534A">
        <w:rPr>
          <w:rFonts w:ascii="Times New Roman" w:hAnsi="Times New Roman" w:cs="Times New Roman"/>
        </w:rPr>
        <w:t xml:space="preserve">isolates inhibited the growth of </w:t>
      </w:r>
      <w:r w:rsidRPr="0075534A">
        <w:rPr>
          <w:rFonts w:ascii="Times New Roman" w:hAnsi="Times New Roman" w:cs="Times New Roman"/>
          <w:i/>
          <w:iCs/>
        </w:rPr>
        <w:t>M. phaseolina</w:t>
      </w:r>
      <w:r w:rsidRPr="0075534A">
        <w:rPr>
          <w:rFonts w:ascii="Times New Roman" w:hAnsi="Times New Roman" w:cs="Times New Roman"/>
        </w:rPr>
        <w:t xml:space="preserve">. The highest inhibition of 66 per cent was exhibited by </w:t>
      </w:r>
      <w:r w:rsidRPr="0075534A">
        <w:rPr>
          <w:rFonts w:ascii="Times New Roman" w:hAnsi="Times New Roman" w:cs="Times New Roman"/>
          <w:i/>
          <w:iCs/>
        </w:rPr>
        <w:t>T. endophyticum</w:t>
      </w:r>
      <w:r w:rsidRPr="0075534A">
        <w:rPr>
          <w:rFonts w:ascii="Times New Roman" w:hAnsi="Times New Roman" w:cs="Times New Roman"/>
        </w:rPr>
        <w:t xml:space="preserve">, followed by </w:t>
      </w:r>
      <w:r w:rsidRPr="0075534A">
        <w:rPr>
          <w:rFonts w:ascii="Times New Roman" w:hAnsi="Times New Roman" w:cs="Times New Roman"/>
          <w:i/>
          <w:iCs/>
        </w:rPr>
        <w:t xml:space="preserve">T. harzianum </w:t>
      </w:r>
      <w:r w:rsidRPr="0075534A">
        <w:rPr>
          <w:rFonts w:ascii="Times New Roman" w:hAnsi="Times New Roman" w:cs="Times New Roman"/>
        </w:rPr>
        <w:t>with 59 per cent inhibition.</w:t>
      </w:r>
    </w:p>
    <w:p w14:paraId="1DCEF0E1" w14:textId="77777777" w:rsidR="0097291C" w:rsidRPr="0075534A" w:rsidRDefault="0075534A">
      <w:pPr>
        <w:spacing w:after="120" w:line="240" w:lineRule="auto"/>
      </w:pPr>
      <w:r w:rsidRPr="0075534A">
        <w:t xml:space="preserve">The 80.1% inhibition recorded for TPP-15 is within the upper range reported for effective </w:t>
      </w:r>
      <w:r w:rsidRPr="0075534A">
        <w:rPr>
          <w:i/>
        </w:rPr>
        <w:t>Trichoderma</w:t>
      </w:r>
      <w:r w:rsidRPr="0075534A">
        <w:t xml:space="preserve"> isolates tested against </w:t>
      </w:r>
      <w:r w:rsidRPr="0075534A">
        <w:rPr>
          <w:i/>
        </w:rPr>
        <w:t>M. phaseolina</w:t>
      </w:r>
      <w:r w:rsidRPr="0075534A">
        <w:t xml:space="preserve"> in dual-culture assays. Comparable studies have also demonstrated substantial isolate-to-isolate variation, with inhibition depending on the growth rate, metabolite profile and mycoparasitic competence of the antagonist (El-Benawy et al., 2020; Khaledi &amp; Taheri, 2016; Parihar et al., 2025). The present result therefore identifies TPP-15 as a strong candidate for subsequent characterization, but in vitro inhibition alone should not be interpreted as proof of field efficacy.</w:t>
      </w:r>
    </w:p>
    <w:p w14:paraId="26FB9CDD" w14:textId="77777777" w:rsidR="0097291C" w:rsidRPr="0075534A" w:rsidRDefault="0075534A">
      <w:pPr>
        <w:jc w:val="both"/>
        <w:rPr>
          <w:rFonts w:ascii="Times New Roman" w:hAnsi="Times New Roman" w:cs="Times New Roman"/>
        </w:rPr>
      </w:pPr>
      <w:r w:rsidRPr="0075534A">
        <w:rPr>
          <w:rFonts w:ascii="Times New Roman" w:hAnsi="Times New Roman" w:cs="Times New Roman"/>
        </w:rPr>
        <w:tab/>
        <w:t xml:space="preserve">The inhibitory effect of </w:t>
      </w:r>
      <w:r w:rsidRPr="0075534A">
        <w:rPr>
          <w:rFonts w:ascii="Times New Roman" w:hAnsi="Times New Roman" w:cs="Times New Roman"/>
          <w:i/>
          <w:iCs/>
        </w:rPr>
        <w:t>Trichoderma</w:t>
      </w:r>
      <w:r w:rsidRPr="0075534A">
        <w:rPr>
          <w:rFonts w:ascii="Times New Roman" w:hAnsi="Times New Roman" w:cs="Times New Roman"/>
        </w:rPr>
        <w:t xml:space="preserve"> may be attributed to competition for nutrients and space, production of antifungal metabolites and direct mycoparasitism. Inhibition halos and overgrowth of the pathogen colony by </w:t>
      </w:r>
      <w:r w:rsidRPr="0075534A">
        <w:rPr>
          <w:rFonts w:ascii="Times New Roman" w:hAnsi="Times New Roman" w:cs="Times New Roman"/>
          <w:i/>
          <w:iCs/>
        </w:rPr>
        <w:t>Trichoderma</w:t>
      </w:r>
      <w:r w:rsidRPr="0075534A">
        <w:rPr>
          <w:rFonts w:ascii="Times New Roman" w:hAnsi="Times New Roman" w:cs="Times New Roman"/>
        </w:rPr>
        <w:t xml:space="preserve"> species have been widely reported and are considered evidence of antibiosis and hyperparasitism (Woo et al., 2023; Kumari et al., 2024).</w:t>
      </w:r>
    </w:p>
    <w:p w14:paraId="1DBD9BCF" w14:textId="77777777" w:rsidR="0097291C" w:rsidRPr="0075534A" w:rsidRDefault="0075534A">
      <w:pPr>
        <w:spacing w:after="120" w:line="240" w:lineRule="auto"/>
      </w:pPr>
      <w:r w:rsidRPr="0075534A">
        <w:t>Mechanistically, the observed restriction of pathogen growth may reflect the combined action of diffusible and volatile metabolites and hydrolytic enzymes such as chitinases, rather than a single antagonistic process. Such multifactorial activity can improve competitive exclusion of soil-borne pathogens, although confirmation would require enzyme assays, metabolite profiling and microscopic examination of antagonist-pathogen contact zones (Garcia et al., 1994; Nagamani et al., 2017; Woo et al., 2023).</w:t>
      </w:r>
    </w:p>
    <w:p w14:paraId="0E0F1FA8" w14:textId="77777777" w:rsidR="0097291C" w:rsidRPr="0075534A" w:rsidRDefault="0075534A">
      <w:pPr>
        <w:pStyle w:val="para"/>
        <w:spacing w:before="120" w:after="60"/>
      </w:pPr>
      <w:r w:rsidRPr="0075534A">
        <w:rPr>
          <w:b/>
        </w:rPr>
        <w:t>Effect of Trichoderma seed biopriming on blackgram seedlings</w:t>
      </w:r>
    </w:p>
    <w:p w14:paraId="753E2022" w14:textId="77777777" w:rsidR="0097291C" w:rsidRPr="0075534A" w:rsidRDefault="0075534A">
      <w:pPr>
        <w:pStyle w:val="para"/>
        <w:spacing w:before="160" w:after="160" w:line="336" w:lineRule="auto"/>
      </w:pPr>
      <w:r w:rsidRPr="0075534A">
        <w:t xml:space="preserve">Blackgram seeds were primed with twenty isolates of </w:t>
      </w:r>
      <w:r w:rsidRPr="0075534A">
        <w:rPr>
          <w:i/>
          <w:iCs/>
        </w:rPr>
        <w:t xml:space="preserve">Trichoderma </w:t>
      </w:r>
      <w:r w:rsidRPr="0075534A">
        <w:t>to judge their potentialities in terms of improvement in per cent germination of seeds, vigour index and seedling biomass of crop under</w:t>
      </w:r>
      <w:r w:rsidRPr="0075534A">
        <w:rPr>
          <w:i/>
        </w:rPr>
        <w:t xml:space="preserve"> paper </w:t>
      </w:r>
      <w:r w:rsidRPr="0075534A">
        <w:t xml:space="preserve">towel technique. It appeared from the results presented in Table 2 that most of the isolates of </w:t>
      </w:r>
      <w:r w:rsidRPr="0075534A">
        <w:rPr>
          <w:i/>
          <w:iCs/>
        </w:rPr>
        <w:t xml:space="preserve">Trichoderma </w:t>
      </w:r>
      <w:r w:rsidRPr="0075534A">
        <w:t xml:space="preserve">significantly differed in their responses when used for seed priming irrespective of form of inoculum used. Scan over the results also indicated that irrespective of </w:t>
      </w:r>
      <w:r w:rsidRPr="0075534A">
        <w:rPr>
          <w:i/>
        </w:rPr>
        <w:t>Trichoderma</w:t>
      </w:r>
      <w:r w:rsidRPr="0075534A">
        <w:t xml:space="preserve"> spp. an enhancement in the seed germination (%), vigour index and seedling biomass was noted. Highest per cent germination of seed was obtained (93.6 %) for the isolate TPP-15 Trichoderma</w:t>
      </w:r>
      <w:r w:rsidRPr="0075534A">
        <w:rPr>
          <w:i/>
          <w:iCs/>
        </w:rPr>
        <w:t xml:space="preserve"> </w:t>
      </w:r>
      <w:r w:rsidRPr="0075534A">
        <w:t xml:space="preserve">and also highest vigour index (3969.6) </w:t>
      </w:r>
      <w:r w:rsidRPr="0075534A">
        <w:lastRenderedPageBreak/>
        <w:t xml:space="preserve">and lowest seed germination (70.3), seed vogour index with 1911.4 recorded in isolate TPP-1 under </w:t>
      </w:r>
      <w:r w:rsidRPr="0075534A">
        <w:rPr>
          <w:i/>
        </w:rPr>
        <w:t>invitro</w:t>
      </w:r>
      <w:r w:rsidRPr="0075534A">
        <w:t xml:space="preserve"> condition (Table 2).</w:t>
      </w:r>
      <w:r w:rsidRPr="0075534A">
        <w:rPr>
          <w:color w:val="FF0000"/>
        </w:rPr>
        <w:t xml:space="preserve"> </w:t>
      </w:r>
    </w:p>
    <w:p w14:paraId="6B63A9B7" w14:textId="77777777" w:rsidR="0097291C" w:rsidRPr="0075534A" w:rsidRDefault="0075534A">
      <w:pPr>
        <w:pStyle w:val="para"/>
        <w:spacing w:before="160" w:after="160"/>
      </w:pPr>
      <w:r w:rsidRPr="0075534A">
        <w:t xml:space="preserve">The results presented in Table 2 revealed that all antagonists isolate were able to increased germination (%) but also increased root and shoot length and biomass </w:t>
      </w:r>
      <w:r w:rsidRPr="0075534A">
        <w:rPr>
          <w:i/>
        </w:rPr>
        <w:t>in vitro</w:t>
      </w:r>
      <w:r w:rsidRPr="0075534A">
        <w:t xml:space="preserve">. The isolates TPP -15 was most promising isolates in inducing germination, increase in root and shoot length, seedling vigour index and biomass of test crop. The enhancement of germination in blackgram seeds was 93.6 % by Trichoderma isolate TPP-15. The entire root systems were fully covered with whitish green mycelial mass of </w:t>
      </w:r>
      <w:r w:rsidRPr="0075534A">
        <w:rPr>
          <w:i/>
          <w:iCs/>
        </w:rPr>
        <w:t>Trichoderma</w:t>
      </w:r>
      <w:r w:rsidRPr="0075534A">
        <w:t xml:space="preserve"> exhibiting as if it was infected with fungal genera but it gave protection to germinated seeds and seedlings from other pathogenic fungi. </w:t>
      </w:r>
    </w:p>
    <w:p w14:paraId="6972CAF0" w14:textId="77777777" w:rsidR="0097291C" w:rsidRPr="0075534A" w:rsidRDefault="0075534A">
      <w:pPr>
        <w:pStyle w:val="para"/>
        <w:spacing w:after="120" w:line="240" w:lineRule="auto"/>
      </w:pPr>
      <w:r w:rsidRPr="0075534A">
        <w:t xml:space="preserve">The simultaneous improvement in germination, root and shoot growth, and vigour index following TPP-15 treatment is consistent with reports that </w:t>
      </w:r>
      <w:r w:rsidRPr="0075534A">
        <w:rPr>
          <w:i/>
        </w:rPr>
        <w:t>Trichoderma</w:t>
      </w:r>
      <w:r w:rsidRPr="0075534A">
        <w:t xml:space="preserve"> seed biopriming can accelerate reserve mobilization, promote early root establishment and strengthen antioxidative capacity during seedling development (Paul &amp; Rakshit, 2023; Swain et al., 2021; Woo et al., 2023). Nevertheless, the magnitude of the response is likely to depend on inoculum density, seed physiological status, colonization ability and the compatibility of the isolate with the host genotype.</w:t>
      </w:r>
    </w:p>
    <w:p w14:paraId="73E043F5" w14:textId="77777777" w:rsidR="0097291C" w:rsidRPr="0075534A" w:rsidRDefault="0075534A">
      <w:pPr>
        <w:pStyle w:val="para"/>
        <w:spacing w:after="120" w:line="240" w:lineRule="auto"/>
      </w:pPr>
      <w:r w:rsidRPr="0075534A">
        <w:t>Because the paper-towel assay provides controlled conditions, the superior performance of TPP-15 should be validated in pathogen-infested soil and under greenhouse and field environments. Such evaluation should include disease incidence, persistence of root colonization, yield response and comparison with an untreated and an appropriate commercial bioagent control before practical recommendation.</w:t>
      </w:r>
    </w:p>
    <w:p w14:paraId="7D9C07FC" w14:textId="77777777" w:rsidR="0097291C" w:rsidRPr="0075534A" w:rsidRDefault="0075534A">
      <w:pPr>
        <w:jc w:val="both"/>
        <w:rPr>
          <w:rFonts w:ascii="Times New Roman" w:hAnsi="Times New Roman" w:cs="Times New Roman"/>
          <w:b/>
          <w:bCs/>
          <w:sz w:val="28"/>
          <w:szCs w:val="28"/>
        </w:rPr>
      </w:pPr>
      <w:r w:rsidRPr="0075534A">
        <w:rPr>
          <w:rFonts w:ascii="Times New Roman" w:hAnsi="Times New Roman" w:cs="Times New Roman"/>
          <w:b/>
          <w:bCs/>
          <w:sz w:val="28"/>
          <w:szCs w:val="28"/>
        </w:rPr>
        <w:t xml:space="preserve">Conclusion </w:t>
      </w:r>
    </w:p>
    <w:p w14:paraId="65EB43A8" w14:textId="77777777" w:rsidR="0097291C" w:rsidRPr="0075534A" w:rsidRDefault="0075534A">
      <w:pPr>
        <w:jc w:val="both"/>
        <w:rPr>
          <w:rFonts w:ascii="Times New Roman" w:hAnsi="Times New Roman" w:cs="Times New Roman"/>
        </w:rPr>
      </w:pPr>
      <w:r w:rsidRPr="0075534A">
        <w:rPr>
          <w:rFonts w:ascii="Times New Roman" w:hAnsi="Times New Roman" w:cs="Times New Roman"/>
        </w:rPr>
        <w:t xml:space="preserve">The present investigation demonstrated that native </w:t>
      </w:r>
      <w:r w:rsidRPr="0075534A">
        <w:rPr>
          <w:rFonts w:ascii="Times New Roman" w:hAnsi="Times New Roman" w:cs="Times New Roman"/>
          <w:i/>
          <w:iCs/>
        </w:rPr>
        <w:t>Trichoderma</w:t>
      </w:r>
      <w:r w:rsidRPr="0075534A">
        <w:rPr>
          <w:rFonts w:ascii="Times New Roman" w:hAnsi="Times New Roman" w:cs="Times New Roman"/>
        </w:rPr>
        <w:t xml:space="preserve"> isolates possess significant potential to suppress </w:t>
      </w:r>
      <w:r w:rsidRPr="0075534A">
        <w:rPr>
          <w:rFonts w:ascii="Times New Roman" w:hAnsi="Times New Roman" w:cs="Times New Roman"/>
          <w:i/>
          <w:iCs/>
        </w:rPr>
        <w:t>Macrophomina phaseolina</w:t>
      </w:r>
      <w:r w:rsidRPr="0075534A">
        <w:rPr>
          <w:rFonts w:ascii="Times New Roman" w:hAnsi="Times New Roman" w:cs="Times New Roman"/>
        </w:rPr>
        <w:t>, the causal agent of dry root rot in blackgram. Among the isolates tested, TPP-15, TPP-10 and TPP-2 were found to be the most effective antagonists. Their ability to inhibit the pathogen suggests the involvement of multiple mechanisms such as competition, antibiosis and mycoparasitism. These promising isolates may be further evaluated under greenhouse and field conditions for their possible use in developing eco-friendly and sustainable management strategies against dry root rot of blackgram.</w:t>
      </w:r>
    </w:p>
    <w:p w14:paraId="0D8F80A4" w14:textId="77777777" w:rsidR="0097291C" w:rsidRPr="0075534A" w:rsidRDefault="0097291C">
      <w:pPr>
        <w:jc w:val="both"/>
        <w:rPr>
          <w:rFonts w:ascii="Times New Roman" w:hAnsi="Times New Roman" w:cs="Times New Roman"/>
        </w:rPr>
      </w:pPr>
    </w:p>
    <w:p w14:paraId="5546C9AD" w14:textId="77777777" w:rsidR="0097291C" w:rsidRPr="0075534A" w:rsidRDefault="0075534A">
      <w:pPr>
        <w:jc w:val="both"/>
        <w:rPr>
          <w:rFonts w:ascii="Times New Roman" w:hAnsi="Times New Roman" w:cs="Times New Roman"/>
          <w:b/>
          <w:bCs/>
          <w:sz w:val="28"/>
          <w:szCs w:val="28"/>
        </w:rPr>
      </w:pPr>
      <w:r w:rsidRPr="0075534A">
        <w:rPr>
          <w:rFonts w:ascii="Times New Roman" w:hAnsi="Times New Roman" w:cs="Times New Roman"/>
          <w:b/>
          <w:bCs/>
          <w:sz w:val="28"/>
          <w:szCs w:val="28"/>
        </w:rPr>
        <w:t>REFERENCES</w:t>
      </w:r>
    </w:p>
    <w:p w14:paraId="17B3D13C" w14:textId="77777777" w:rsidR="0097291C" w:rsidRPr="0075534A" w:rsidRDefault="0075534A">
      <w:pPr>
        <w:spacing w:after="60" w:line="240" w:lineRule="auto"/>
        <w:ind w:left="720" w:hanging="720"/>
      </w:pPr>
      <w:r w:rsidRPr="0075534A">
        <w:t xml:space="preserve">Bell, D. K., Wells, H. D., &amp; Markham, C. R. (1982). In vitro antagonism of </w:t>
      </w:r>
      <w:r w:rsidRPr="0075534A">
        <w:rPr>
          <w:i/>
        </w:rPr>
        <w:t>Trichoderma</w:t>
      </w:r>
      <w:r w:rsidRPr="0075534A">
        <w:t xml:space="preserve"> species against six fungal plant pathogens. </w:t>
      </w:r>
      <w:r w:rsidRPr="0075534A">
        <w:rPr>
          <w:i/>
        </w:rPr>
        <w:t>Phytopathology, 72</w:t>
      </w:r>
      <w:r w:rsidRPr="0075534A">
        <w:t>(4), 379–382. https://doi.org/10.1094/Phyto-72-379</w:t>
      </w:r>
    </w:p>
    <w:p w14:paraId="686EA709" w14:textId="77777777" w:rsidR="0097291C" w:rsidRPr="0075534A" w:rsidRDefault="0075534A">
      <w:pPr>
        <w:spacing w:after="60" w:line="240" w:lineRule="auto"/>
        <w:ind w:left="720" w:hanging="720"/>
      </w:pPr>
      <w:r w:rsidRPr="0075534A">
        <w:t xml:space="preserve">Bellaloui, N., Mengistu, A., Smith, J. R., Abbas, H. K., Accinelli, C., &amp; Shier, W. T. (2023). Soybean seed sugars: A role in the mechanism of resistance to charcoal rot and </w:t>
      </w:r>
      <w:r w:rsidRPr="0075534A">
        <w:lastRenderedPageBreak/>
        <w:t xml:space="preserve">potential use as biomarkers in selection. </w:t>
      </w:r>
      <w:r w:rsidRPr="0075534A">
        <w:rPr>
          <w:i/>
        </w:rPr>
        <w:t>Plants, 12</w:t>
      </w:r>
      <w:r w:rsidRPr="0075534A">
        <w:t>(2), 392. https://doi.org/10.3390/plants12020392</w:t>
      </w:r>
    </w:p>
    <w:p w14:paraId="780B05F8" w14:textId="77777777" w:rsidR="0097291C" w:rsidRPr="0075534A" w:rsidRDefault="0075534A">
      <w:pPr>
        <w:spacing w:after="60" w:line="240" w:lineRule="auto"/>
        <w:ind w:left="720" w:hanging="720"/>
      </w:pPr>
      <w:r w:rsidRPr="0075534A">
        <w:t xml:space="preserve">da Veiga, J. D., Ludwig, J., Chitolina, S. F., da Cruz de Camargo, J. C. J., Soares, E. F., Moreira, T. F., &amp; da Silva, A. C. (2026). </w:t>
      </w:r>
      <w:r w:rsidRPr="0075534A">
        <w:rPr>
          <w:i/>
        </w:rPr>
        <w:t>Trichoderma endophyticum</w:t>
      </w:r>
      <w:r w:rsidRPr="0075534A">
        <w:t xml:space="preserve">, </w:t>
      </w:r>
      <w:r w:rsidRPr="0075534A">
        <w:rPr>
          <w:i/>
        </w:rPr>
        <w:t>T. asperellum</w:t>
      </w:r>
      <w:r w:rsidRPr="0075534A">
        <w:t xml:space="preserve">, and </w:t>
      </w:r>
      <w:r w:rsidRPr="0075534A">
        <w:rPr>
          <w:i/>
        </w:rPr>
        <w:t>T. harzianum</w:t>
      </w:r>
      <w:r w:rsidRPr="0075534A">
        <w:t xml:space="preserve"> suppress charcoal rot in soybean seeds infected by </w:t>
      </w:r>
      <w:r w:rsidRPr="0075534A">
        <w:rPr>
          <w:i/>
        </w:rPr>
        <w:t>Macrophomina phaseolina</w:t>
      </w:r>
      <w:r w:rsidRPr="0075534A">
        <w:t xml:space="preserve">. </w:t>
      </w:r>
      <w:r w:rsidRPr="0075534A">
        <w:rPr>
          <w:i/>
        </w:rPr>
        <w:t>European Journal of Plant Pathology, 174</w:t>
      </w:r>
      <w:r w:rsidRPr="0075534A">
        <w:t>, 1149–1163. https://doi.org/10.1007/s10658-026-03192-8</w:t>
      </w:r>
    </w:p>
    <w:p w14:paraId="59F0E50B" w14:textId="77777777" w:rsidR="0097291C" w:rsidRPr="0075534A" w:rsidRDefault="0075534A">
      <w:pPr>
        <w:spacing w:after="60" w:line="240" w:lineRule="auto"/>
        <w:ind w:left="720" w:hanging="720"/>
      </w:pPr>
      <w:r w:rsidRPr="0075534A">
        <w:t xml:space="preserve">Dhingra, O. D., &amp; Sinclair, J. B. (1995). </w:t>
      </w:r>
      <w:r w:rsidRPr="0075534A">
        <w:rPr>
          <w:i/>
        </w:rPr>
        <w:t>Basic plant pathology methods</w:t>
      </w:r>
      <w:r w:rsidRPr="0075534A">
        <w:t xml:space="preserve"> (2nd ed.). CRC Press. https://doi.org/10.1201/9781315138138</w:t>
      </w:r>
    </w:p>
    <w:p w14:paraId="098FAAD8" w14:textId="77777777" w:rsidR="0097291C" w:rsidRPr="0075534A" w:rsidRDefault="0075534A">
      <w:pPr>
        <w:spacing w:after="60" w:line="240" w:lineRule="auto"/>
        <w:ind w:left="720" w:hanging="720"/>
      </w:pPr>
      <w:r w:rsidRPr="0075534A">
        <w:t xml:space="preserve">Divya, N., Amaresh, Y. S., Naik, M. K., Aswathanarayana, D. S., &amp; Shakuntala, N. M. (2015). Screening of </w:t>
      </w:r>
      <w:r w:rsidRPr="0075534A">
        <w:rPr>
          <w:i/>
        </w:rPr>
        <w:t>Trichoderma</w:t>
      </w:r>
      <w:r w:rsidRPr="0075534A">
        <w:t xml:space="preserve"> species against major soil-borne fungal pathogens. </w:t>
      </w:r>
      <w:r w:rsidRPr="0075534A">
        <w:rPr>
          <w:i/>
        </w:rPr>
        <w:t>Journal of Biological Control, 29</w:t>
      </w:r>
      <w:r w:rsidRPr="0075534A">
        <w:t>(3), 145–147. https://informaticsjournals.co.in/index.php/jbc/issue/archive</w:t>
      </w:r>
    </w:p>
    <w:p w14:paraId="6799DDC2" w14:textId="77777777" w:rsidR="0097291C" w:rsidRPr="0075534A" w:rsidRDefault="0075534A">
      <w:pPr>
        <w:spacing w:after="60" w:line="240" w:lineRule="auto"/>
        <w:ind w:left="720" w:hanging="720"/>
      </w:pPr>
      <w:r w:rsidRPr="0075534A">
        <w:t xml:space="preserve">El-Benawy, N. M., Abdel-Fattah, G. M., Ghoneem, K. M., &amp; Shabana, Y. M. (2020). Antimicrobial activities of </w:t>
      </w:r>
      <w:r w:rsidRPr="0075534A">
        <w:rPr>
          <w:i/>
        </w:rPr>
        <w:t>Trichoderma atroviride</w:t>
      </w:r>
      <w:r w:rsidRPr="0075534A">
        <w:t xml:space="preserve"> against common bean seed-borne </w:t>
      </w:r>
      <w:r w:rsidRPr="0075534A">
        <w:rPr>
          <w:i/>
        </w:rPr>
        <w:t>Macrophomina phaseolina</w:t>
      </w:r>
      <w:r w:rsidRPr="0075534A">
        <w:t xml:space="preserve"> and </w:t>
      </w:r>
      <w:r w:rsidRPr="0075534A">
        <w:rPr>
          <w:i/>
        </w:rPr>
        <w:t>Rhizoctonia solani</w:t>
      </w:r>
      <w:r w:rsidRPr="0075534A">
        <w:t xml:space="preserve">. </w:t>
      </w:r>
      <w:r w:rsidRPr="0075534A">
        <w:rPr>
          <w:i/>
        </w:rPr>
        <w:t>Egyptian Journal of Basic and Applied Sciences, 7</w:t>
      </w:r>
      <w:r w:rsidRPr="0075534A">
        <w:t>(1), 267–280. https://doi.org/10.1080/2314808X.2020.1809849</w:t>
      </w:r>
    </w:p>
    <w:p w14:paraId="14DD4BA6" w14:textId="77777777" w:rsidR="0097291C" w:rsidRPr="0075534A" w:rsidRDefault="0075534A">
      <w:pPr>
        <w:spacing w:after="60" w:line="240" w:lineRule="auto"/>
        <w:ind w:left="720" w:hanging="720"/>
      </w:pPr>
      <w:r w:rsidRPr="0075534A">
        <w:t>Elmerich, C., Pandey, A. K., Vemula, A. K., Rathore, A., &amp; Nair, R. M. (2022). Blackgram–</w:t>
      </w:r>
      <w:r w:rsidRPr="0075534A">
        <w:rPr>
          <w:i/>
        </w:rPr>
        <w:t>Macrophomina phaseolina</w:t>
      </w:r>
      <w:r w:rsidRPr="0075534A">
        <w:t xml:space="preserve"> interactions and identification of novel sources of resistance. </w:t>
      </w:r>
      <w:r w:rsidRPr="0075534A">
        <w:rPr>
          <w:i/>
        </w:rPr>
        <w:t>Plant Disease, 106</w:t>
      </w:r>
      <w:r w:rsidRPr="0075534A">
        <w:t>(11), 2911–2919. https://doi.org/10.1094/PDIS-11-21-2588-RE</w:t>
      </w:r>
    </w:p>
    <w:p w14:paraId="08ABCF90" w14:textId="77777777" w:rsidR="0097291C" w:rsidRPr="0075534A" w:rsidRDefault="0075534A">
      <w:pPr>
        <w:spacing w:after="60" w:line="240" w:lineRule="auto"/>
        <w:ind w:left="720" w:hanging="720"/>
      </w:pPr>
      <w:r w:rsidRPr="0075534A">
        <w:t xml:space="preserve">Garcia, I., Lora, J. M., De la Cruz, J., Benitez, T., Llobell, A., &amp; Pintor-Toro, J. A. (1994). Cloning and characterization of a chitinase (CHIT42) cDNA from the mycoparasitic fungus </w:t>
      </w:r>
      <w:r w:rsidRPr="0075534A">
        <w:rPr>
          <w:i/>
        </w:rPr>
        <w:t>Trichoderma harzianum</w:t>
      </w:r>
      <w:r w:rsidRPr="0075534A">
        <w:t xml:space="preserve">. </w:t>
      </w:r>
      <w:r w:rsidRPr="0075534A">
        <w:rPr>
          <w:i/>
        </w:rPr>
        <w:t>Current Genetics, 27</w:t>
      </w:r>
      <w:r w:rsidRPr="0075534A">
        <w:t>(1), 83–89. https://doi.org/10.1007/BF00326583</w:t>
      </w:r>
    </w:p>
    <w:p w14:paraId="424679E4" w14:textId="77777777" w:rsidR="0097291C" w:rsidRPr="0075534A" w:rsidRDefault="0075534A">
      <w:pPr>
        <w:spacing w:after="60" w:line="240" w:lineRule="auto"/>
        <w:ind w:left="720" w:hanging="720"/>
      </w:pPr>
      <w:r w:rsidRPr="0075534A">
        <w:t xml:space="preserve">Gupta, G. K., Sharma, S. K., &amp; Ramteke, R. (2012). Biology, epidemiology and management of the pathogenic fungus </w:t>
      </w:r>
      <w:r w:rsidRPr="0075534A">
        <w:rPr>
          <w:i/>
        </w:rPr>
        <w:t>Macrophomina phaseolina</w:t>
      </w:r>
      <w:r w:rsidRPr="0075534A">
        <w:t xml:space="preserve"> (Tassi) Goid with special reference to charcoal rot of soybean (</w:t>
      </w:r>
      <w:r w:rsidRPr="0075534A">
        <w:rPr>
          <w:i/>
        </w:rPr>
        <w:t>Glycine max</w:t>
      </w:r>
      <w:r w:rsidRPr="0075534A">
        <w:t xml:space="preserve"> (L.) Merrill). </w:t>
      </w:r>
      <w:r w:rsidRPr="0075534A">
        <w:rPr>
          <w:i/>
        </w:rPr>
        <w:t>Journal of Phytopathology, 160</w:t>
      </w:r>
      <w:r w:rsidRPr="0075534A">
        <w:t>(4), 167–180. https://doi.org/10.1111/j.1439-0434.2012.01884.x</w:t>
      </w:r>
    </w:p>
    <w:p w14:paraId="24BEEA9C" w14:textId="77777777" w:rsidR="0097291C" w:rsidRPr="0075534A" w:rsidRDefault="0075534A">
      <w:pPr>
        <w:spacing w:after="60" w:line="240" w:lineRule="auto"/>
        <w:ind w:left="720" w:hanging="720"/>
      </w:pPr>
      <w:r w:rsidRPr="0075534A">
        <w:t xml:space="preserve">Khaledi, N., &amp; Taheri, P. (2016). Biocontrol mechanisms of </w:t>
      </w:r>
      <w:r w:rsidRPr="0075534A">
        <w:rPr>
          <w:i/>
        </w:rPr>
        <w:t>Trichoderma harzianum</w:t>
      </w:r>
      <w:r w:rsidRPr="0075534A">
        <w:t xml:space="preserve"> against soybean charcoal rot caused by </w:t>
      </w:r>
      <w:r w:rsidRPr="0075534A">
        <w:rPr>
          <w:i/>
        </w:rPr>
        <w:t>Macrophomina phaseolina</w:t>
      </w:r>
      <w:r w:rsidRPr="0075534A">
        <w:t xml:space="preserve">. </w:t>
      </w:r>
      <w:r w:rsidRPr="0075534A">
        <w:rPr>
          <w:i/>
        </w:rPr>
        <w:t>Journal of Plant Protection Research, 56</w:t>
      </w:r>
      <w:r w:rsidRPr="0075534A">
        <w:t>(1), 21–31. https://doi.org/10.1515/jppr-2016-0004</w:t>
      </w:r>
    </w:p>
    <w:p w14:paraId="4B3B20C9" w14:textId="77777777" w:rsidR="0097291C" w:rsidRPr="0075534A" w:rsidRDefault="0075534A">
      <w:pPr>
        <w:spacing w:after="60" w:line="240" w:lineRule="auto"/>
        <w:ind w:left="720" w:hanging="720"/>
      </w:pPr>
      <w:r w:rsidRPr="0075534A">
        <w:t xml:space="preserve">Kumari, R., Kumar, V., Arukha, A. P., Rabbee, M. F., Ameen, F., &amp; Koul, B. (2024). Screening of the biocontrol efficacy of potent </w:t>
      </w:r>
      <w:r w:rsidRPr="0075534A">
        <w:rPr>
          <w:i/>
        </w:rPr>
        <w:t>Trichoderma</w:t>
      </w:r>
      <w:r w:rsidRPr="0075534A">
        <w:t xml:space="preserve"> strains against </w:t>
      </w:r>
      <w:r w:rsidRPr="0075534A">
        <w:rPr>
          <w:i/>
        </w:rPr>
        <w:t>Fusarium oxysporum</w:t>
      </w:r>
      <w:r w:rsidRPr="0075534A">
        <w:t xml:space="preserve"> f. sp. </w:t>
      </w:r>
      <w:r w:rsidRPr="0075534A">
        <w:rPr>
          <w:i/>
        </w:rPr>
        <w:t>ciceri</w:t>
      </w:r>
      <w:r w:rsidRPr="0075534A">
        <w:t xml:space="preserve"> and </w:t>
      </w:r>
      <w:r w:rsidRPr="0075534A">
        <w:rPr>
          <w:i/>
        </w:rPr>
        <w:t>Scelrotium rolfsii</w:t>
      </w:r>
      <w:r w:rsidRPr="0075534A">
        <w:t xml:space="preserve"> causing wilt and collar rot in chickpea. </w:t>
      </w:r>
      <w:r w:rsidRPr="0075534A">
        <w:rPr>
          <w:i/>
        </w:rPr>
        <w:t>Microorganisms, 12</w:t>
      </w:r>
      <w:r w:rsidRPr="0075534A">
        <w:t>(7), 1280. https://doi.org/10.3390/microorganisms12071280</w:t>
      </w:r>
    </w:p>
    <w:p w14:paraId="3665AF1D" w14:textId="77777777" w:rsidR="0097291C" w:rsidRPr="0075534A" w:rsidRDefault="0075534A">
      <w:pPr>
        <w:spacing w:after="60" w:line="240" w:lineRule="auto"/>
        <w:ind w:left="720" w:hanging="720"/>
      </w:pPr>
      <w:r w:rsidRPr="0075534A">
        <w:t xml:space="preserve">Marquez, N., Giachero, M. L., Declerck, S., &amp; Ducasse, D. A. (2021). </w:t>
      </w:r>
      <w:r w:rsidRPr="0075534A">
        <w:rPr>
          <w:i/>
        </w:rPr>
        <w:t>Macrophomina phaseolina</w:t>
      </w:r>
      <w:r w:rsidRPr="0075534A">
        <w:t xml:space="preserve">: General characteristics of pathogenicity and methods of control. </w:t>
      </w:r>
      <w:r w:rsidRPr="0075534A">
        <w:rPr>
          <w:i/>
        </w:rPr>
        <w:t>Frontiers in Plant Science, 12</w:t>
      </w:r>
      <w:r w:rsidRPr="0075534A">
        <w:t>, 634397. https://doi.org/10.3389/fpls.2021.634397</w:t>
      </w:r>
    </w:p>
    <w:p w14:paraId="75FBBB2E" w14:textId="77777777" w:rsidR="0097291C" w:rsidRPr="0075534A" w:rsidRDefault="0075534A">
      <w:pPr>
        <w:spacing w:after="60" w:line="240" w:lineRule="auto"/>
        <w:ind w:left="720" w:hanging="720"/>
      </w:pPr>
      <w:r w:rsidRPr="0075534A">
        <w:t xml:space="preserve">Nagamani, P., Bhagat, S., Biswas, M. K., &amp; Viswanath, K. (2017). Effect of volatile and non-volatile compounds of </w:t>
      </w:r>
      <w:r w:rsidRPr="0075534A">
        <w:rPr>
          <w:i/>
        </w:rPr>
        <w:t>Trichoderma</w:t>
      </w:r>
      <w:r w:rsidRPr="0075534A">
        <w:t xml:space="preserve"> spp. against soil-borne diseases of chickpea. </w:t>
      </w:r>
      <w:r w:rsidRPr="0075534A">
        <w:rPr>
          <w:i/>
        </w:rPr>
        <w:t>International Journal of Current Microbiology and Applied Sciences, 6</w:t>
      </w:r>
      <w:r w:rsidRPr="0075534A">
        <w:t>(7), 1486–1491. https://doi.org/10.20546/ijcmas.2017.607.177</w:t>
      </w:r>
    </w:p>
    <w:p w14:paraId="5548D722" w14:textId="77777777" w:rsidR="0097291C" w:rsidRPr="0075534A" w:rsidRDefault="0075534A">
      <w:pPr>
        <w:spacing w:after="60" w:line="240" w:lineRule="auto"/>
        <w:ind w:left="720" w:hanging="720"/>
      </w:pPr>
      <w:r w:rsidRPr="0075534A">
        <w:t xml:space="preserve">Parihar, S., Saxena, H. O., Kumar, A., &amp; Singh, S. (2025). In-vitro antagonistic activity of </w:t>
      </w:r>
      <w:r w:rsidRPr="0075534A">
        <w:rPr>
          <w:i/>
        </w:rPr>
        <w:t>Trichoderma</w:t>
      </w:r>
      <w:r w:rsidRPr="0075534A">
        <w:t xml:space="preserve"> spp. isolated from forest soils of central India against </w:t>
      </w:r>
      <w:r w:rsidRPr="0075534A">
        <w:rPr>
          <w:i/>
        </w:rPr>
        <w:t xml:space="preserve">Macrophomina </w:t>
      </w:r>
      <w:r w:rsidRPr="0075534A">
        <w:rPr>
          <w:i/>
        </w:rPr>
        <w:lastRenderedPageBreak/>
        <w:t>phaseolina</w:t>
      </w:r>
      <w:r w:rsidRPr="0075534A">
        <w:t xml:space="preserve"> for identification of potential strain. </w:t>
      </w:r>
      <w:r w:rsidRPr="0075534A">
        <w:rPr>
          <w:i/>
        </w:rPr>
        <w:t>Vegetos, 38</w:t>
      </w:r>
      <w:r w:rsidRPr="0075534A">
        <w:t>, 1643–1649. https://doi.org/10.1007/s42535-024-00947-8</w:t>
      </w:r>
    </w:p>
    <w:p w14:paraId="66722444" w14:textId="77777777" w:rsidR="0097291C" w:rsidRPr="0075534A" w:rsidRDefault="0075534A">
      <w:pPr>
        <w:spacing w:after="60" w:line="240" w:lineRule="auto"/>
        <w:ind w:left="720" w:hanging="720"/>
      </w:pPr>
      <w:r w:rsidRPr="0075534A">
        <w:t xml:space="preserve">Paul, S., &amp; Rakshit, A. (2023). Bio-priming with </w:t>
      </w:r>
      <w:r w:rsidRPr="0075534A">
        <w:rPr>
          <w:i/>
        </w:rPr>
        <w:t>Trichoderma</w:t>
      </w:r>
      <w:r w:rsidRPr="0075534A">
        <w:t xml:space="preserve"> enhanced faster reserve mobilization in germinating soybean cotyledons under graded macronutrients. </w:t>
      </w:r>
      <w:r w:rsidRPr="0075534A">
        <w:rPr>
          <w:i/>
        </w:rPr>
        <w:t>Journal of Plant Growth Regulation, 42</w:t>
      </w:r>
      <w:r w:rsidRPr="0075534A">
        <w:t>, 5461–5475. https://doi.org/10.1007/s00344-023-10929-w</w:t>
      </w:r>
    </w:p>
    <w:p w14:paraId="43E63AA4" w14:textId="77777777" w:rsidR="0097291C" w:rsidRPr="0075534A" w:rsidRDefault="0075534A">
      <w:pPr>
        <w:spacing w:after="60" w:line="240" w:lineRule="auto"/>
        <w:ind w:left="720" w:hanging="720"/>
      </w:pPr>
      <w:r w:rsidRPr="0075534A">
        <w:t xml:space="preserve">Rifai, M. A. (1969). </w:t>
      </w:r>
      <w:r w:rsidRPr="0075534A">
        <w:rPr>
          <w:i/>
        </w:rPr>
        <w:t>A revision of the genus Trichoderma</w:t>
      </w:r>
      <w:r w:rsidRPr="0075534A">
        <w:t xml:space="preserve"> (Mycological Papers No. 116). Commonwealth Mycological Institute. https://nhm.primo.exlibrisgroup.com/discovery/fulldisplay/alma9923674702081/44NHM_INST:44NHM_V1</w:t>
      </w:r>
    </w:p>
    <w:p w14:paraId="72647BAB" w14:textId="77777777" w:rsidR="0097291C" w:rsidRPr="0075534A" w:rsidRDefault="0075534A">
      <w:pPr>
        <w:spacing w:after="60" w:line="240" w:lineRule="auto"/>
        <w:ind w:left="720" w:hanging="720"/>
      </w:pPr>
      <w:r w:rsidRPr="0075534A">
        <w:t xml:space="preserve">Shirai, M., &amp; Eulgem, T. (2023). Molecular interactions between the soilborne pathogenic fungus </w:t>
      </w:r>
      <w:r w:rsidRPr="0075534A">
        <w:rPr>
          <w:i/>
        </w:rPr>
        <w:t>Macrophomina phaseolina</w:t>
      </w:r>
      <w:r w:rsidRPr="0075534A">
        <w:t xml:space="preserve"> and its host plants. </w:t>
      </w:r>
      <w:r w:rsidRPr="0075534A">
        <w:rPr>
          <w:i/>
        </w:rPr>
        <w:t>Frontiers in Plant Science, 14</w:t>
      </w:r>
      <w:r w:rsidRPr="0075534A">
        <w:t>, 1264569. https://doi.org/10.3389/fpls.2023.1264569</w:t>
      </w:r>
    </w:p>
    <w:p w14:paraId="13E94403" w14:textId="77777777" w:rsidR="0097291C" w:rsidRPr="0075534A" w:rsidRDefault="0075534A">
      <w:pPr>
        <w:spacing w:after="60" w:line="240" w:lineRule="auto"/>
        <w:ind w:left="720" w:hanging="720"/>
      </w:pPr>
      <w:r w:rsidRPr="0075534A">
        <w:t xml:space="preserve">Sreedevi, B., Charitha Devi, M., &amp; Saigopal, D. V. R. (2011). Isolation and screening of effective </w:t>
      </w:r>
      <w:r w:rsidRPr="0075534A">
        <w:rPr>
          <w:i/>
        </w:rPr>
        <w:t>Trichoderma</w:t>
      </w:r>
      <w:r w:rsidRPr="0075534A">
        <w:t xml:space="preserve"> spp. against the root rot pathogen </w:t>
      </w:r>
      <w:r w:rsidRPr="0075534A">
        <w:rPr>
          <w:i/>
        </w:rPr>
        <w:t>Macrophomina phaseolina</w:t>
      </w:r>
      <w:r w:rsidRPr="0075534A">
        <w:t xml:space="preserve">. </w:t>
      </w:r>
      <w:r w:rsidRPr="0075534A">
        <w:rPr>
          <w:i/>
        </w:rPr>
        <w:t>Journal of Agricultural Technology, 7</w:t>
      </w:r>
      <w:r w:rsidRPr="0075534A">
        <w:t>(3), 623–635. https://www.ijat-aatsea.com/pdf/May_v7_n3_11/9%20JAT2010_102FJ.pdf</w:t>
      </w:r>
    </w:p>
    <w:p w14:paraId="76E2E859" w14:textId="77777777" w:rsidR="0097291C" w:rsidRPr="0075534A" w:rsidRDefault="0075534A">
      <w:pPr>
        <w:spacing w:after="60" w:line="240" w:lineRule="auto"/>
        <w:ind w:left="720" w:hanging="720"/>
      </w:pPr>
      <w:r w:rsidRPr="0075534A">
        <w:t xml:space="preserve">Swain, H., Adak, T., Mukherjee, A. K., Sarangi, S., Samal, P., Khandual, A., Jena, R., Bhattacharyya, P., Naik, S. K., Mehetre, S. T., Baite, M. S., Kumar M, S., &amp; Zaidi, N. W. (2021). Seed biopriming with </w:t>
      </w:r>
      <w:r w:rsidRPr="0075534A">
        <w:rPr>
          <w:i/>
        </w:rPr>
        <w:t>Trichoderma</w:t>
      </w:r>
      <w:r w:rsidRPr="0075534A">
        <w:t xml:space="preserve"> strains isolated from tree bark improves plant growth, antioxidative defense system in rice and enhance straw degradation capacity. </w:t>
      </w:r>
      <w:r w:rsidRPr="0075534A">
        <w:rPr>
          <w:i/>
        </w:rPr>
        <w:t>Frontiers in Microbiology, 12</w:t>
      </w:r>
      <w:r w:rsidRPr="0075534A">
        <w:t>, 633881. https://doi.org/10.3389/fmicb.2021.633881</w:t>
      </w:r>
    </w:p>
    <w:p w14:paraId="79F8A68C" w14:textId="77777777" w:rsidR="0097291C" w:rsidRPr="0075534A" w:rsidRDefault="0075534A">
      <w:pPr>
        <w:spacing w:after="60" w:line="240" w:lineRule="auto"/>
        <w:ind w:left="720" w:hanging="720"/>
      </w:pPr>
      <w:r w:rsidRPr="0075534A">
        <w:t xml:space="preserve">Woo, S. L., Hermosa, R., Lorito, M., &amp; Monte, E. (2023). </w:t>
      </w:r>
      <w:r w:rsidRPr="0075534A">
        <w:rPr>
          <w:i/>
        </w:rPr>
        <w:t>Trichoderma</w:t>
      </w:r>
      <w:r w:rsidRPr="0075534A">
        <w:t xml:space="preserve">: A multipurpose, plant-beneficial microorganism for eco-sustainable agriculture. </w:t>
      </w:r>
      <w:r w:rsidRPr="0075534A">
        <w:rPr>
          <w:i/>
        </w:rPr>
        <w:t>Nature Reviews Microbiology, 21</w:t>
      </w:r>
      <w:r w:rsidRPr="0075534A">
        <w:t>, 312–326. https://doi.org/10.1038/s41579-022-00819-5</w:t>
      </w:r>
    </w:p>
    <w:p w14:paraId="531A51C1" w14:textId="77777777" w:rsidR="0097291C" w:rsidRPr="0075534A" w:rsidRDefault="0075534A">
      <w:pPr>
        <w:ind w:left="720" w:hanging="720"/>
        <w:jc w:val="both"/>
        <w:rPr>
          <w:rFonts w:ascii="Times New Roman" w:hAnsi="Times New Roman" w:cs="Times New Roman"/>
        </w:rPr>
      </w:pPr>
      <w:r w:rsidRPr="0075534A">
        <w:rPr>
          <w:rFonts w:ascii="Times New Roman" w:hAnsi="Times New Roman" w:cs="Times New Roman"/>
          <w:b/>
          <w:bCs/>
        </w:rPr>
        <w:t>Table 1:</w:t>
      </w:r>
      <w:r w:rsidRPr="0075534A">
        <w:rPr>
          <w:rFonts w:ascii="Times New Roman" w:hAnsi="Times New Roman" w:cs="Times New Roman"/>
        </w:rPr>
        <w:t xml:space="preserve"> Antagonistic effect of Trichoderma spp. Against </w:t>
      </w:r>
      <w:r w:rsidRPr="0075534A">
        <w:rPr>
          <w:rFonts w:ascii="Times New Roman" w:hAnsi="Times New Roman" w:cs="Times New Roman"/>
          <w:i/>
          <w:iCs/>
        </w:rPr>
        <w:t xml:space="preserve">M.Phaseolina </w:t>
      </w:r>
      <w:r w:rsidRPr="0075534A">
        <w:rPr>
          <w:rFonts w:ascii="Times New Roman" w:hAnsi="Times New Roman" w:cs="Times New Roman"/>
        </w:rPr>
        <w:t>by dual culture technique</w:t>
      </w:r>
    </w:p>
    <w:p w14:paraId="33BF2D8F" w14:textId="77777777" w:rsidR="0097291C" w:rsidRPr="0075534A" w:rsidRDefault="0097291C">
      <w:pPr>
        <w:jc w:val="both"/>
        <w:rPr>
          <w:rFonts w:ascii="Times New Roman" w:hAnsi="Times New Roman" w:cs="Times New Roman"/>
        </w:rPr>
      </w:pPr>
    </w:p>
    <w:tbl>
      <w:tblPr>
        <w:tblW w:w="7560" w:type="dxa"/>
        <w:jc w:val="center"/>
        <w:tblLayout w:type="fixed"/>
        <w:tblLook w:val="04A0" w:firstRow="1" w:lastRow="0" w:firstColumn="1" w:lastColumn="0" w:noHBand="0" w:noVBand="1"/>
      </w:tblPr>
      <w:tblGrid>
        <w:gridCol w:w="1368"/>
        <w:gridCol w:w="2160"/>
        <w:gridCol w:w="4032"/>
      </w:tblGrid>
      <w:tr w:rsidR="0097291C" w:rsidRPr="0075534A" w14:paraId="28308156"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484395A0" w14:textId="77777777" w:rsidR="0097291C" w:rsidRPr="0075534A" w:rsidRDefault="0075534A" w:rsidP="0075534A">
            <w:pPr>
              <w:spacing w:after="0" w:line="240" w:lineRule="auto"/>
              <w:jc w:val="center"/>
              <w:rPr>
                <w:rFonts w:ascii="Times New Roman" w:hAnsi="Times New Roman" w:cs="Times New Roman"/>
                <w:b/>
                <w:iCs/>
              </w:rPr>
            </w:pPr>
            <w:r w:rsidRPr="0075534A">
              <w:rPr>
                <w:rFonts w:ascii="Times New Roman" w:hAnsi="Times New Roman" w:cs="Times New Roman"/>
                <w:b/>
                <w:iCs/>
              </w:rPr>
              <w:t>S. No.</w:t>
            </w:r>
          </w:p>
        </w:tc>
        <w:tc>
          <w:tcPr>
            <w:tcW w:w="2160" w:type="dxa"/>
            <w:tcBorders>
              <w:top w:val="single" w:sz="4" w:space="0" w:color="000000"/>
              <w:left w:val="single" w:sz="4" w:space="0" w:color="000000"/>
              <w:bottom w:val="single" w:sz="4" w:space="0" w:color="000000"/>
              <w:right w:val="single" w:sz="4" w:space="0" w:color="000000"/>
            </w:tcBorders>
            <w:vAlign w:val="center"/>
          </w:tcPr>
          <w:p w14:paraId="63CFEA53" w14:textId="77777777" w:rsidR="0097291C" w:rsidRPr="0075534A" w:rsidRDefault="0075534A" w:rsidP="0075534A">
            <w:pPr>
              <w:spacing w:after="0" w:line="240" w:lineRule="auto"/>
              <w:jc w:val="center"/>
            </w:pPr>
            <w:r w:rsidRPr="0075534A">
              <w:rPr>
                <w:rFonts w:ascii="Times New Roman" w:hAnsi="Times New Roman" w:cs="Times New Roman"/>
                <w:b/>
                <w:i/>
              </w:rPr>
              <w:t>Trichoderma</w:t>
            </w:r>
            <w:r w:rsidRPr="0075534A">
              <w:rPr>
                <w:rFonts w:ascii="Times New Roman" w:hAnsi="Times New Roman" w:cs="Times New Roman"/>
                <w:b/>
              </w:rPr>
              <w:t xml:space="preserve"> spp.</w:t>
            </w:r>
          </w:p>
        </w:tc>
        <w:tc>
          <w:tcPr>
            <w:tcW w:w="4032" w:type="dxa"/>
            <w:tcBorders>
              <w:top w:val="single" w:sz="4" w:space="0" w:color="000000"/>
              <w:left w:val="single" w:sz="4" w:space="0" w:color="000000"/>
              <w:bottom w:val="single" w:sz="4" w:space="0" w:color="000000"/>
              <w:right w:val="single" w:sz="4" w:space="0" w:color="000000"/>
            </w:tcBorders>
            <w:vAlign w:val="center"/>
          </w:tcPr>
          <w:p w14:paraId="3A5D4BC4" w14:textId="77777777" w:rsidR="0097291C" w:rsidRPr="0075534A" w:rsidRDefault="0075534A" w:rsidP="0075534A">
            <w:pPr>
              <w:widowControl w:val="0"/>
              <w:spacing w:after="0" w:line="240" w:lineRule="auto"/>
              <w:ind w:right="-20"/>
              <w:jc w:val="center"/>
            </w:pPr>
            <w:r w:rsidRPr="0075534A">
              <w:rPr>
                <w:rFonts w:ascii="Times New Roman" w:hAnsi="Times New Roman" w:cs="Times New Roman"/>
                <w:b/>
              </w:rPr>
              <w:t>Per cent inhibition (%)</w:t>
            </w:r>
          </w:p>
        </w:tc>
      </w:tr>
      <w:tr w:rsidR="0097291C" w:rsidRPr="0075534A" w14:paraId="34FB0E6F"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67DE7FA1"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w:t>
            </w:r>
          </w:p>
        </w:tc>
        <w:tc>
          <w:tcPr>
            <w:tcW w:w="2160" w:type="dxa"/>
            <w:tcBorders>
              <w:top w:val="single" w:sz="4" w:space="0" w:color="000000"/>
              <w:left w:val="single" w:sz="4" w:space="0" w:color="000000"/>
              <w:bottom w:val="single" w:sz="4" w:space="0" w:color="000000"/>
              <w:right w:val="single" w:sz="4" w:space="0" w:color="000000"/>
            </w:tcBorders>
            <w:vAlign w:val="center"/>
          </w:tcPr>
          <w:p w14:paraId="5DD336F4"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TPP-1</w:t>
            </w:r>
          </w:p>
        </w:tc>
        <w:tc>
          <w:tcPr>
            <w:tcW w:w="4032" w:type="dxa"/>
            <w:tcBorders>
              <w:top w:val="single" w:sz="4" w:space="0" w:color="000000"/>
              <w:left w:val="single" w:sz="4" w:space="0" w:color="000000"/>
              <w:bottom w:val="single" w:sz="4" w:space="0" w:color="000000"/>
              <w:right w:val="single" w:sz="4" w:space="0" w:color="000000"/>
            </w:tcBorders>
            <w:vAlign w:val="center"/>
          </w:tcPr>
          <w:p w14:paraId="0AF004F6"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71.7 (57.8)</w:t>
            </w:r>
          </w:p>
        </w:tc>
      </w:tr>
      <w:tr w:rsidR="0097291C" w:rsidRPr="0075534A" w14:paraId="77A1DA45"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1E659397"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2</w:t>
            </w:r>
          </w:p>
        </w:tc>
        <w:tc>
          <w:tcPr>
            <w:tcW w:w="2160" w:type="dxa"/>
            <w:tcBorders>
              <w:top w:val="single" w:sz="4" w:space="0" w:color="000000"/>
              <w:left w:val="single" w:sz="4" w:space="0" w:color="000000"/>
              <w:bottom w:val="single" w:sz="4" w:space="0" w:color="000000"/>
              <w:right w:val="single" w:sz="4" w:space="0" w:color="000000"/>
            </w:tcBorders>
            <w:vAlign w:val="center"/>
          </w:tcPr>
          <w:p w14:paraId="39DBC479"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TPP-2</w:t>
            </w:r>
          </w:p>
        </w:tc>
        <w:tc>
          <w:tcPr>
            <w:tcW w:w="4032" w:type="dxa"/>
            <w:tcBorders>
              <w:top w:val="single" w:sz="4" w:space="0" w:color="000000"/>
              <w:left w:val="single" w:sz="4" w:space="0" w:color="000000"/>
              <w:bottom w:val="single" w:sz="4" w:space="0" w:color="000000"/>
              <w:right w:val="single" w:sz="4" w:space="0" w:color="000000"/>
            </w:tcBorders>
            <w:vAlign w:val="center"/>
          </w:tcPr>
          <w:p w14:paraId="3F0D2DC6"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78.1(62.1)</w:t>
            </w:r>
          </w:p>
        </w:tc>
      </w:tr>
      <w:tr w:rsidR="0097291C" w:rsidRPr="0075534A" w14:paraId="6E16CA52"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173F8500"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3</w:t>
            </w:r>
          </w:p>
        </w:tc>
        <w:tc>
          <w:tcPr>
            <w:tcW w:w="2160" w:type="dxa"/>
            <w:tcBorders>
              <w:top w:val="single" w:sz="4" w:space="0" w:color="000000"/>
              <w:left w:val="single" w:sz="4" w:space="0" w:color="000000"/>
              <w:bottom w:val="single" w:sz="4" w:space="0" w:color="000000"/>
              <w:right w:val="single" w:sz="4" w:space="0" w:color="000000"/>
            </w:tcBorders>
            <w:vAlign w:val="center"/>
          </w:tcPr>
          <w:p w14:paraId="7ADE1542"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TPP-3</w:t>
            </w:r>
          </w:p>
        </w:tc>
        <w:tc>
          <w:tcPr>
            <w:tcW w:w="4032" w:type="dxa"/>
            <w:tcBorders>
              <w:top w:val="single" w:sz="4" w:space="0" w:color="000000"/>
              <w:left w:val="single" w:sz="4" w:space="0" w:color="000000"/>
              <w:bottom w:val="single" w:sz="4" w:space="0" w:color="000000"/>
              <w:right w:val="single" w:sz="4" w:space="0" w:color="000000"/>
            </w:tcBorders>
            <w:vAlign w:val="center"/>
          </w:tcPr>
          <w:p w14:paraId="34E27106"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75.4(60.2)</w:t>
            </w:r>
          </w:p>
        </w:tc>
      </w:tr>
      <w:tr w:rsidR="0097291C" w:rsidRPr="0075534A" w14:paraId="36801D26"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7B5C8F24"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4</w:t>
            </w:r>
          </w:p>
        </w:tc>
        <w:tc>
          <w:tcPr>
            <w:tcW w:w="2160" w:type="dxa"/>
            <w:tcBorders>
              <w:top w:val="single" w:sz="4" w:space="0" w:color="000000"/>
              <w:left w:val="single" w:sz="4" w:space="0" w:color="000000"/>
              <w:bottom w:val="single" w:sz="4" w:space="0" w:color="000000"/>
              <w:right w:val="single" w:sz="4" w:space="0" w:color="000000"/>
            </w:tcBorders>
            <w:vAlign w:val="center"/>
          </w:tcPr>
          <w:p w14:paraId="28EC52E3"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TPP-4</w:t>
            </w:r>
          </w:p>
        </w:tc>
        <w:tc>
          <w:tcPr>
            <w:tcW w:w="4032" w:type="dxa"/>
            <w:tcBorders>
              <w:top w:val="single" w:sz="4" w:space="0" w:color="000000"/>
              <w:left w:val="single" w:sz="4" w:space="0" w:color="000000"/>
              <w:bottom w:val="single" w:sz="4" w:space="0" w:color="000000"/>
              <w:right w:val="single" w:sz="4" w:space="0" w:color="000000"/>
            </w:tcBorders>
            <w:vAlign w:val="center"/>
          </w:tcPr>
          <w:p w14:paraId="0D349D38"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70.0 (56.8)</w:t>
            </w:r>
          </w:p>
        </w:tc>
      </w:tr>
      <w:tr w:rsidR="0097291C" w:rsidRPr="0075534A" w14:paraId="1A9A5F11"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6BEB104C"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5</w:t>
            </w:r>
          </w:p>
        </w:tc>
        <w:tc>
          <w:tcPr>
            <w:tcW w:w="2160" w:type="dxa"/>
            <w:tcBorders>
              <w:top w:val="single" w:sz="4" w:space="0" w:color="000000"/>
              <w:left w:val="single" w:sz="4" w:space="0" w:color="000000"/>
              <w:bottom w:val="single" w:sz="4" w:space="0" w:color="000000"/>
              <w:right w:val="single" w:sz="4" w:space="0" w:color="000000"/>
            </w:tcBorders>
            <w:vAlign w:val="center"/>
          </w:tcPr>
          <w:p w14:paraId="33DD171D"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TPP-5</w:t>
            </w:r>
          </w:p>
        </w:tc>
        <w:tc>
          <w:tcPr>
            <w:tcW w:w="4032" w:type="dxa"/>
            <w:tcBorders>
              <w:top w:val="single" w:sz="4" w:space="0" w:color="000000"/>
              <w:left w:val="single" w:sz="4" w:space="0" w:color="000000"/>
              <w:bottom w:val="single" w:sz="4" w:space="0" w:color="000000"/>
              <w:right w:val="single" w:sz="4" w:space="0" w:color="000000"/>
            </w:tcBorders>
            <w:vAlign w:val="center"/>
          </w:tcPr>
          <w:p w14:paraId="43CC95C4"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75.8 (60.6)</w:t>
            </w:r>
          </w:p>
        </w:tc>
      </w:tr>
      <w:tr w:rsidR="0097291C" w:rsidRPr="0075534A" w14:paraId="7D8A9C79"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2F3DC101"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6</w:t>
            </w:r>
          </w:p>
        </w:tc>
        <w:tc>
          <w:tcPr>
            <w:tcW w:w="2160" w:type="dxa"/>
            <w:tcBorders>
              <w:top w:val="single" w:sz="4" w:space="0" w:color="000000"/>
              <w:left w:val="single" w:sz="4" w:space="0" w:color="000000"/>
              <w:bottom w:val="single" w:sz="4" w:space="0" w:color="000000"/>
              <w:right w:val="single" w:sz="4" w:space="0" w:color="000000"/>
            </w:tcBorders>
            <w:vAlign w:val="center"/>
          </w:tcPr>
          <w:p w14:paraId="6F22152F"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TPP-6</w:t>
            </w:r>
          </w:p>
        </w:tc>
        <w:tc>
          <w:tcPr>
            <w:tcW w:w="4032" w:type="dxa"/>
            <w:tcBorders>
              <w:top w:val="single" w:sz="4" w:space="0" w:color="000000"/>
              <w:left w:val="single" w:sz="4" w:space="0" w:color="000000"/>
              <w:bottom w:val="single" w:sz="4" w:space="0" w:color="000000"/>
              <w:right w:val="single" w:sz="4" w:space="0" w:color="000000"/>
            </w:tcBorders>
            <w:vAlign w:val="center"/>
          </w:tcPr>
          <w:p w14:paraId="09939367"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64.9 (53.6)</w:t>
            </w:r>
          </w:p>
        </w:tc>
      </w:tr>
      <w:tr w:rsidR="0097291C" w:rsidRPr="0075534A" w14:paraId="4B677CF2"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49A1C7CA"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7</w:t>
            </w:r>
          </w:p>
        </w:tc>
        <w:tc>
          <w:tcPr>
            <w:tcW w:w="2160" w:type="dxa"/>
            <w:tcBorders>
              <w:top w:val="single" w:sz="4" w:space="0" w:color="000000"/>
              <w:left w:val="single" w:sz="4" w:space="0" w:color="000000"/>
              <w:bottom w:val="single" w:sz="4" w:space="0" w:color="000000"/>
              <w:right w:val="single" w:sz="4" w:space="0" w:color="000000"/>
            </w:tcBorders>
            <w:vAlign w:val="center"/>
          </w:tcPr>
          <w:p w14:paraId="5E7A77B5"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TPP-7</w:t>
            </w:r>
          </w:p>
        </w:tc>
        <w:tc>
          <w:tcPr>
            <w:tcW w:w="4032" w:type="dxa"/>
            <w:tcBorders>
              <w:top w:val="single" w:sz="4" w:space="0" w:color="000000"/>
              <w:left w:val="single" w:sz="4" w:space="0" w:color="000000"/>
              <w:bottom w:val="single" w:sz="4" w:space="0" w:color="000000"/>
              <w:right w:val="single" w:sz="4" w:space="0" w:color="000000"/>
            </w:tcBorders>
            <w:vAlign w:val="center"/>
          </w:tcPr>
          <w:p w14:paraId="1B4F471A"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73.8 (59.2)</w:t>
            </w:r>
          </w:p>
        </w:tc>
      </w:tr>
      <w:tr w:rsidR="0097291C" w:rsidRPr="0075534A" w14:paraId="0249D39E"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5C313B36"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8</w:t>
            </w:r>
          </w:p>
        </w:tc>
        <w:tc>
          <w:tcPr>
            <w:tcW w:w="2160" w:type="dxa"/>
            <w:tcBorders>
              <w:top w:val="single" w:sz="4" w:space="0" w:color="000000"/>
              <w:left w:val="single" w:sz="4" w:space="0" w:color="000000"/>
              <w:bottom w:val="single" w:sz="4" w:space="0" w:color="000000"/>
              <w:right w:val="single" w:sz="4" w:space="0" w:color="000000"/>
            </w:tcBorders>
            <w:vAlign w:val="center"/>
          </w:tcPr>
          <w:p w14:paraId="67B964A6"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TPP-8</w:t>
            </w:r>
          </w:p>
        </w:tc>
        <w:tc>
          <w:tcPr>
            <w:tcW w:w="4032" w:type="dxa"/>
            <w:tcBorders>
              <w:top w:val="single" w:sz="4" w:space="0" w:color="000000"/>
              <w:left w:val="single" w:sz="4" w:space="0" w:color="000000"/>
              <w:bottom w:val="single" w:sz="4" w:space="0" w:color="000000"/>
              <w:right w:val="single" w:sz="4" w:space="0" w:color="000000"/>
            </w:tcBorders>
            <w:vAlign w:val="center"/>
          </w:tcPr>
          <w:p w14:paraId="4E5732EF"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74.8 (59.9)</w:t>
            </w:r>
          </w:p>
        </w:tc>
      </w:tr>
      <w:tr w:rsidR="0097291C" w:rsidRPr="0075534A" w14:paraId="3412049E"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6548113D"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9</w:t>
            </w:r>
          </w:p>
        </w:tc>
        <w:tc>
          <w:tcPr>
            <w:tcW w:w="2160" w:type="dxa"/>
            <w:tcBorders>
              <w:top w:val="single" w:sz="4" w:space="0" w:color="000000"/>
              <w:left w:val="single" w:sz="4" w:space="0" w:color="000000"/>
              <w:bottom w:val="single" w:sz="4" w:space="0" w:color="000000"/>
              <w:right w:val="single" w:sz="4" w:space="0" w:color="000000"/>
            </w:tcBorders>
            <w:vAlign w:val="center"/>
          </w:tcPr>
          <w:p w14:paraId="18CA3DE3"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TPP-9</w:t>
            </w:r>
          </w:p>
        </w:tc>
        <w:tc>
          <w:tcPr>
            <w:tcW w:w="4032" w:type="dxa"/>
            <w:tcBorders>
              <w:top w:val="single" w:sz="4" w:space="0" w:color="000000"/>
              <w:left w:val="single" w:sz="4" w:space="0" w:color="000000"/>
              <w:bottom w:val="single" w:sz="4" w:space="0" w:color="000000"/>
              <w:right w:val="single" w:sz="4" w:space="0" w:color="000000"/>
            </w:tcBorders>
            <w:vAlign w:val="center"/>
          </w:tcPr>
          <w:p w14:paraId="21B4E716"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73.1 (58.8)</w:t>
            </w:r>
          </w:p>
        </w:tc>
      </w:tr>
      <w:tr w:rsidR="0097291C" w:rsidRPr="0075534A" w14:paraId="2C909E73"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32480222"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10</w:t>
            </w:r>
          </w:p>
        </w:tc>
        <w:tc>
          <w:tcPr>
            <w:tcW w:w="2160" w:type="dxa"/>
            <w:tcBorders>
              <w:top w:val="single" w:sz="4" w:space="0" w:color="000000"/>
              <w:left w:val="single" w:sz="4" w:space="0" w:color="000000"/>
              <w:bottom w:val="single" w:sz="4" w:space="0" w:color="000000"/>
              <w:right w:val="single" w:sz="4" w:space="0" w:color="000000"/>
            </w:tcBorders>
            <w:vAlign w:val="center"/>
          </w:tcPr>
          <w:p w14:paraId="0F8698F0"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TPP-10</w:t>
            </w:r>
          </w:p>
        </w:tc>
        <w:tc>
          <w:tcPr>
            <w:tcW w:w="4032" w:type="dxa"/>
            <w:tcBorders>
              <w:top w:val="single" w:sz="4" w:space="0" w:color="000000"/>
              <w:left w:val="single" w:sz="4" w:space="0" w:color="000000"/>
              <w:bottom w:val="single" w:sz="4" w:space="0" w:color="000000"/>
              <w:right w:val="single" w:sz="4" w:space="0" w:color="000000"/>
            </w:tcBorders>
            <w:vAlign w:val="center"/>
          </w:tcPr>
          <w:p w14:paraId="39A5E6B6"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79.6 (63.1)</w:t>
            </w:r>
          </w:p>
        </w:tc>
      </w:tr>
      <w:tr w:rsidR="0097291C" w:rsidRPr="0075534A" w14:paraId="0D81C157"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431B5C72"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11</w:t>
            </w:r>
          </w:p>
        </w:tc>
        <w:tc>
          <w:tcPr>
            <w:tcW w:w="2160" w:type="dxa"/>
            <w:tcBorders>
              <w:top w:val="single" w:sz="4" w:space="0" w:color="000000"/>
              <w:left w:val="single" w:sz="4" w:space="0" w:color="000000"/>
              <w:bottom w:val="single" w:sz="4" w:space="0" w:color="000000"/>
              <w:right w:val="single" w:sz="4" w:space="0" w:color="000000"/>
            </w:tcBorders>
            <w:vAlign w:val="center"/>
          </w:tcPr>
          <w:p w14:paraId="0BB663E0"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TPP-11</w:t>
            </w:r>
          </w:p>
        </w:tc>
        <w:tc>
          <w:tcPr>
            <w:tcW w:w="4032" w:type="dxa"/>
            <w:tcBorders>
              <w:top w:val="single" w:sz="4" w:space="0" w:color="000000"/>
              <w:left w:val="single" w:sz="4" w:space="0" w:color="000000"/>
              <w:bottom w:val="single" w:sz="4" w:space="0" w:color="000000"/>
              <w:right w:val="single" w:sz="4" w:space="0" w:color="000000"/>
            </w:tcBorders>
            <w:vAlign w:val="center"/>
          </w:tcPr>
          <w:p w14:paraId="6F222F69"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73.7 (59.1)</w:t>
            </w:r>
          </w:p>
        </w:tc>
      </w:tr>
      <w:tr w:rsidR="0097291C" w:rsidRPr="0075534A" w14:paraId="79DE135A"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45E2D330"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12</w:t>
            </w:r>
          </w:p>
        </w:tc>
        <w:tc>
          <w:tcPr>
            <w:tcW w:w="2160" w:type="dxa"/>
            <w:tcBorders>
              <w:top w:val="single" w:sz="4" w:space="0" w:color="000000"/>
              <w:left w:val="single" w:sz="4" w:space="0" w:color="000000"/>
              <w:bottom w:val="single" w:sz="4" w:space="0" w:color="000000"/>
              <w:right w:val="single" w:sz="4" w:space="0" w:color="000000"/>
            </w:tcBorders>
            <w:vAlign w:val="center"/>
          </w:tcPr>
          <w:p w14:paraId="29CCB533"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TPP-12</w:t>
            </w:r>
          </w:p>
        </w:tc>
        <w:tc>
          <w:tcPr>
            <w:tcW w:w="4032" w:type="dxa"/>
            <w:tcBorders>
              <w:top w:val="single" w:sz="4" w:space="0" w:color="000000"/>
              <w:left w:val="single" w:sz="4" w:space="0" w:color="000000"/>
              <w:bottom w:val="single" w:sz="4" w:space="0" w:color="000000"/>
              <w:right w:val="single" w:sz="4" w:space="0" w:color="000000"/>
            </w:tcBorders>
            <w:vAlign w:val="center"/>
          </w:tcPr>
          <w:p w14:paraId="2D503A6C"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75.7 (60.5)</w:t>
            </w:r>
          </w:p>
        </w:tc>
      </w:tr>
      <w:tr w:rsidR="0097291C" w:rsidRPr="0075534A" w14:paraId="72FCD117"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579966E5"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13</w:t>
            </w:r>
          </w:p>
        </w:tc>
        <w:tc>
          <w:tcPr>
            <w:tcW w:w="2160" w:type="dxa"/>
            <w:tcBorders>
              <w:top w:val="single" w:sz="4" w:space="0" w:color="000000"/>
              <w:left w:val="single" w:sz="4" w:space="0" w:color="000000"/>
              <w:bottom w:val="single" w:sz="4" w:space="0" w:color="000000"/>
              <w:right w:val="single" w:sz="4" w:space="0" w:color="000000"/>
            </w:tcBorders>
            <w:vAlign w:val="center"/>
          </w:tcPr>
          <w:p w14:paraId="330D3B21"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TPP-13</w:t>
            </w:r>
          </w:p>
        </w:tc>
        <w:tc>
          <w:tcPr>
            <w:tcW w:w="4032" w:type="dxa"/>
            <w:tcBorders>
              <w:top w:val="single" w:sz="4" w:space="0" w:color="000000"/>
              <w:left w:val="single" w:sz="4" w:space="0" w:color="000000"/>
              <w:bottom w:val="single" w:sz="4" w:space="0" w:color="000000"/>
              <w:right w:val="single" w:sz="4" w:space="0" w:color="000000"/>
            </w:tcBorders>
            <w:vAlign w:val="center"/>
          </w:tcPr>
          <w:p w14:paraId="1DA235F6"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67.0 (54.9)</w:t>
            </w:r>
          </w:p>
        </w:tc>
      </w:tr>
      <w:tr w:rsidR="0097291C" w:rsidRPr="0075534A" w14:paraId="5DE11E5A"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67EE5E6F"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lastRenderedPageBreak/>
              <w:t>14</w:t>
            </w:r>
          </w:p>
        </w:tc>
        <w:tc>
          <w:tcPr>
            <w:tcW w:w="2160" w:type="dxa"/>
            <w:tcBorders>
              <w:top w:val="single" w:sz="4" w:space="0" w:color="000000"/>
              <w:left w:val="single" w:sz="4" w:space="0" w:color="000000"/>
              <w:bottom w:val="single" w:sz="4" w:space="0" w:color="000000"/>
              <w:right w:val="single" w:sz="4" w:space="0" w:color="000000"/>
            </w:tcBorders>
            <w:vAlign w:val="center"/>
          </w:tcPr>
          <w:p w14:paraId="3EA9A490"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TPP-14</w:t>
            </w:r>
          </w:p>
        </w:tc>
        <w:tc>
          <w:tcPr>
            <w:tcW w:w="4032" w:type="dxa"/>
            <w:tcBorders>
              <w:top w:val="single" w:sz="4" w:space="0" w:color="000000"/>
              <w:left w:val="single" w:sz="4" w:space="0" w:color="000000"/>
              <w:bottom w:val="single" w:sz="4" w:space="0" w:color="000000"/>
              <w:right w:val="single" w:sz="4" w:space="0" w:color="000000"/>
            </w:tcBorders>
            <w:vAlign w:val="center"/>
          </w:tcPr>
          <w:p w14:paraId="0D1AF2CB"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70.3 (57.0)</w:t>
            </w:r>
          </w:p>
        </w:tc>
      </w:tr>
      <w:tr w:rsidR="0097291C" w:rsidRPr="0075534A" w14:paraId="3890034A"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20563CE9" w14:textId="77777777" w:rsidR="0097291C" w:rsidRPr="0075534A" w:rsidRDefault="0075534A" w:rsidP="0075534A">
            <w:pPr>
              <w:spacing w:after="0" w:line="240" w:lineRule="auto"/>
              <w:jc w:val="center"/>
              <w:rPr>
                <w:rFonts w:ascii="Times New Roman" w:hAnsi="Times New Roman" w:cs="Times New Roman"/>
                <w:b/>
                <w:bCs/>
                <w:color w:val="000000"/>
              </w:rPr>
            </w:pPr>
            <w:r w:rsidRPr="0075534A">
              <w:rPr>
                <w:rFonts w:ascii="Times New Roman" w:hAnsi="Times New Roman" w:cs="Times New Roman"/>
                <w:b/>
                <w:bCs/>
                <w:color w:val="000000"/>
              </w:rPr>
              <w:t>15</w:t>
            </w:r>
          </w:p>
        </w:tc>
        <w:tc>
          <w:tcPr>
            <w:tcW w:w="2160" w:type="dxa"/>
            <w:tcBorders>
              <w:top w:val="single" w:sz="4" w:space="0" w:color="000000"/>
              <w:left w:val="single" w:sz="4" w:space="0" w:color="000000"/>
              <w:bottom w:val="single" w:sz="4" w:space="0" w:color="000000"/>
              <w:right w:val="single" w:sz="4" w:space="0" w:color="000000"/>
            </w:tcBorders>
            <w:vAlign w:val="center"/>
          </w:tcPr>
          <w:p w14:paraId="276B84CC" w14:textId="77777777" w:rsidR="0097291C" w:rsidRPr="0075534A" w:rsidRDefault="0075534A" w:rsidP="0075534A">
            <w:pPr>
              <w:spacing w:after="0"/>
              <w:jc w:val="center"/>
              <w:rPr>
                <w:rFonts w:ascii="Times New Roman" w:hAnsi="Times New Roman" w:cs="Times New Roman"/>
                <w:b/>
                <w:bCs/>
              </w:rPr>
            </w:pPr>
            <w:r w:rsidRPr="0075534A">
              <w:rPr>
                <w:rFonts w:ascii="Times New Roman" w:hAnsi="Times New Roman" w:cs="Times New Roman"/>
                <w:b/>
                <w:bCs/>
                <w:color w:val="000000"/>
              </w:rPr>
              <w:t>TPP-15</w:t>
            </w:r>
          </w:p>
        </w:tc>
        <w:tc>
          <w:tcPr>
            <w:tcW w:w="4032" w:type="dxa"/>
            <w:tcBorders>
              <w:top w:val="single" w:sz="4" w:space="0" w:color="000000"/>
              <w:left w:val="single" w:sz="4" w:space="0" w:color="000000"/>
              <w:bottom w:val="single" w:sz="4" w:space="0" w:color="000000"/>
              <w:right w:val="single" w:sz="4" w:space="0" w:color="000000"/>
            </w:tcBorders>
            <w:vAlign w:val="center"/>
          </w:tcPr>
          <w:p w14:paraId="62D24AE4" w14:textId="77777777" w:rsidR="0097291C" w:rsidRPr="0075534A" w:rsidRDefault="0075534A" w:rsidP="0075534A">
            <w:pPr>
              <w:spacing w:after="0"/>
              <w:jc w:val="center"/>
              <w:rPr>
                <w:rFonts w:ascii="Times New Roman" w:hAnsi="Times New Roman" w:cs="Times New Roman"/>
                <w:b/>
                <w:bCs/>
                <w:color w:val="000000"/>
              </w:rPr>
            </w:pPr>
            <w:r w:rsidRPr="0075534A">
              <w:rPr>
                <w:rFonts w:ascii="Times New Roman" w:hAnsi="Times New Roman" w:cs="Times New Roman"/>
                <w:b/>
                <w:bCs/>
                <w:color w:val="000000"/>
              </w:rPr>
              <w:t>80.1 (63.5)</w:t>
            </w:r>
          </w:p>
        </w:tc>
      </w:tr>
      <w:tr w:rsidR="0097291C" w:rsidRPr="0075534A" w14:paraId="4A7FCC69"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07DB0E65"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16</w:t>
            </w:r>
          </w:p>
        </w:tc>
        <w:tc>
          <w:tcPr>
            <w:tcW w:w="2160" w:type="dxa"/>
            <w:tcBorders>
              <w:top w:val="single" w:sz="4" w:space="0" w:color="000000"/>
              <w:left w:val="single" w:sz="4" w:space="0" w:color="000000"/>
              <w:bottom w:val="single" w:sz="4" w:space="0" w:color="000000"/>
              <w:right w:val="single" w:sz="4" w:space="0" w:color="000000"/>
            </w:tcBorders>
            <w:vAlign w:val="center"/>
          </w:tcPr>
          <w:p w14:paraId="79C3EA5E"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TPP-16</w:t>
            </w:r>
          </w:p>
        </w:tc>
        <w:tc>
          <w:tcPr>
            <w:tcW w:w="4032" w:type="dxa"/>
            <w:tcBorders>
              <w:top w:val="single" w:sz="4" w:space="0" w:color="000000"/>
              <w:left w:val="single" w:sz="4" w:space="0" w:color="000000"/>
              <w:bottom w:val="single" w:sz="4" w:space="0" w:color="000000"/>
              <w:right w:val="single" w:sz="4" w:space="0" w:color="000000"/>
            </w:tcBorders>
            <w:vAlign w:val="center"/>
          </w:tcPr>
          <w:p w14:paraId="6C030265"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70.7 (57.3)</w:t>
            </w:r>
          </w:p>
        </w:tc>
      </w:tr>
      <w:tr w:rsidR="0097291C" w:rsidRPr="0075534A" w14:paraId="3CCB03AE"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23D1AB64"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17</w:t>
            </w:r>
          </w:p>
        </w:tc>
        <w:tc>
          <w:tcPr>
            <w:tcW w:w="2160" w:type="dxa"/>
            <w:tcBorders>
              <w:top w:val="single" w:sz="4" w:space="0" w:color="000000"/>
              <w:left w:val="single" w:sz="4" w:space="0" w:color="000000"/>
              <w:bottom w:val="single" w:sz="4" w:space="0" w:color="000000"/>
              <w:right w:val="single" w:sz="4" w:space="0" w:color="000000"/>
            </w:tcBorders>
            <w:vAlign w:val="center"/>
          </w:tcPr>
          <w:p w14:paraId="3DA8ED9A"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TPP-17</w:t>
            </w:r>
          </w:p>
        </w:tc>
        <w:tc>
          <w:tcPr>
            <w:tcW w:w="4032" w:type="dxa"/>
            <w:tcBorders>
              <w:top w:val="single" w:sz="4" w:space="0" w:color="000000"/>
              <w:left w:val="single" w:sz="4" w:space="0" w:color="000000"/>
              <w:bottom w:val="single" w:sz="4" w:space="0" w:color="000000"/>
              <w:right w:val="single" w:sz="4" w:space="0" w:color="000000"/>
            </w:tcBorders>
            <w:vAlign w:val="center"/>
          </w:tcPr>
          <w:p w14:paraId="14AFF15C"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72.1(58.2)</w:t>
            </w:r>
          </w:p>
        </w:tc>
      </w:tr>
      <w:tr w:rsidR="0097291C" w:rsidRPr="0075534A" w14:paraId="0CAD19D9"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5358F8F6"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18</w:t>
            </w:r>
          </w:p>
        </w:tc>
        <w:tc>
          <w:tcPr>
            <w:tcW w:w="2160" w:type="dxa"/>
            <w:tcBorders>
              <w:top w:val="single" w:sz="4" w:space="0" w:color="000000"/>
              <w:left w:val="single" w:sz="4" w:space="0" w:color="000000"/>
              <w:bottom w:val="single" w:sz="4" w:space="0" w:color="000000"/>
              <w:right w:val="single" w:sz="4" w:space="0" w:color="000000"/>
            </w:tcBorders>
            <w:vAlign w:val="center"/>
          </w:tcPr>
          <w:p w14:paraId="1753CB8A"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TPP-18</w:t>
            </w:r>
          </w:p>
        </w:tc>
        <w:tc>
          <w:tcPr>
            <w:tcW w:w="4032" w:type="dxa"/>
            <w:tcBorders>
              <w:top w:val="single" w:sz="4" w:space="0" w:color="000000"/>
              <w:left w:val="single" w:sz="4" w:space="0" w:color="000000"/>
              <w:bottom w:val="single" w:sz="4" w:space="0" w:color="000000"/>
              <w:right w:val="single" w:sz="4" w:space="0" w:color="000000"/>
            </w:tcBorders>
            <w:vAlign w:val="center"/>
          </w:tcPr>
          <w:p w14:paraId="04B41C44"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75.4 (60.2)</w:t>
            </w:r>
          </w:p>
        </w:tc>
      </w:tr>
      <w:tr w:rsidR="0097291C" w:rsidRPr="0075534A" w14:paraId="5EED8CDA"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67C555B3"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19</w:t>
            </w:r>
          </w:p>
        </w:tc>
        <w:tc>
          <w:tcPr>
            <w:tcW w:w="2160" w:type="dxa"/>
            <w:tcBorders>
              <w:top w:val="single" w:sz="4" w:space="0" w:color="000000"/>
              <w:left w:val="single" w:sz="4" w:space="0" w:color="000000"/>
              <w:bottom w:val="single" w:sz="4" w:space="0" w:color="000000"/>
              <w:right w:val="single" w:sz="4" w:space="0" w:color="000000"/>
            </w:tcBorders>
            <w:vAlign w:val="center"/>
          </w:tcPr>
          <w:p w14:paraId="187592E4"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TPP-19</w:t>
            </w:r>
          </w:p>
        </w:tc>
        <w:tc>
          <w:tcPr>
            <w:tcW w:w="4032" w:type="dxa"/>
            <w:tcBorders>
              <w:top w:val="single" w:sz="4" w:space="0" w:color="000000"/>
              <w:left w:val="single" w:sz="4" w:space="0" w:color="000000"/>
              <w:bottom w:val="single" w:sz="4" w:space="0" w:color="000000"/>
              <w:right w:val="single" w:sz="4" w:space="0" w:color="000000"/>
            </w:tcBorders>
            <w:vAlign w:val="center"/>
          </w:tcPr>
          <w:p w14:paraId="7190E6A7"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70.2(56.9)</w:t>
            </w:r>
          </w:p>
        </w:tc>
      </w:tr>
      <w:tr w:rsidR="0097291C" w:rsidRPr="0075534A" w14:paraId="65568D46"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5A416E85"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20</w:t>
            </w:r>
          </w:p>
        </w:tc>
        <w:tc>
          <w:tcPr>
            <w:tcW w:w="2160" w:type="dxa"/>
            <w:tcBorders>
              <w:top w:val="single" w:sz="4" w:space="0" w:color="000000"/>
              <w:left w:val="single" w:sz="4" w:space="0" w:color="000000"/>
              <w:bottom w:val="single" w:sz="4" w:space="0" w:color="000000"/>
              <w:right w:val="single" w:sz="4" w:space="0" w:color="000000"/>
            </w:tcBorders>
            <w:vAlign w:val="center"/>
          </w:tcPr>
          <w:p w14:paraId="1B39D0AA" w14:textId="77777777" w:rsidR="0097291C" w:rsidRPr="0075534A" w:rsidRDefault="0075534A" w:rsidP="0075534A">
            <w:pPr>
              <w:spacing w:after="0"/>
              <w:jc w:val="center"/>
              <w:rPr>
                <w:rFonts w:ascii="Times New Roman" w:hAnsi="Times New Roman" w:cs="Times New Roman"/>
              </w:rPr>
            </w:pPr>
            <w:r w:rsidRPr="0075534A">
              <w:rPr>
                <w:rFonts w:ascii="Times New Roman" w:hAnsi="Times New Roman" w:cs="Times New Roman"/>
                <w:color w:val="000000"/>
              </w:rPr>
              <w:t>TPP-20</w:t>
            </w:r>
          </w:p>
        </w:tc>
        <w:tc>
          <w:tcPr>
            <w:tcW w:w="4032" w:type="dxa"/>
            <w:tcBorders>
              <w:top w:val="single" w:sz="4" w:space="0" w:color="000000"/>
              <w:left w:val="single" w:sz="4" w:space="0" w:color="000000"/>
              <w:bottom w:val="single" w:sz="4" w:space="0" w:color="000000"/>
              <w:right w:val="single" w:sz="4" w:space="0" w:color="000000"/>
            </w:tcBorders>
            <w:vAlign w:val="center"/>
          </w:tcPr>
          <w:p w14:paraId="1406D643"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73.3 (58.9)</w:t>
            </w:r>
          </w:p>
        </w:tc>
      </w:tr>
      <w:tr w:rsidR="0097291C" w:rsidRPr="0075534A" w14:paraId="2AC4804E"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44769477" w14:textId="77777777" w:rsidR="0097291C" w:rsidRPr="0075534A" w:rsidRDefault="0097291C" w:rsidP="0075534A">
            <w:pPr>
              <w:snapToGrid w:val="0"/>
              <w:spacing w:after="0" w:line="240" w:lineRule="auto"/>
              <w:jc w:val="center"/>
              <w:rPr>
                <w:rFonts w:ascii="Times New Roman" w:hAnsi="Times New Roman" w:cs="Times New Roman"/>
                <w:color w:val="000000"/>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142A7180" w14:textId="77777777" w:rsidR="0097291C" w:rsidRPr="0075534A" w:rsidRDefault="0075534A" w:rsidP="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Control</w:t>
            </w:r>
          </w:p>
        </w:tc>
        <w:tc>
          <w:tcPr>
            <w:tcW w:w="4032" w:type="dxa"/>
            <w:tcBorders>
              <w:top w:val="single" w:sz="4" w:space="0" w:color="000000"/>
              <w:left w:val="single" w:sz="4" w:space="0" w:color="000000"/>
              <w:bottom w:val="single" w:sz="4" w:space="0" w:color="000000"/>
              <w:right w:val="single" w:sz="4" w:space="0" w:color="000000"/>
            </w:tcBorders>
            <w:vAlign w:val="center"/>
          </w:tcPr>
          <w:p w14:paraId="3B50EDED"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0.0</w:t>
            </w:r>
          </w:p>
        </w:tc>
      </w:tr>
      <w:tr w:rsidR="0097291C" w:rsidRPr="0075534A" w14:paraId="291D21C3"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4F7AF6B1" w14:textId="77777777" w:rsidR="0097291C" w:rsidRPr="0075534A" w:rsidRDefault="0097291C" w:rsidP="0075534A">
            <w:pPr>
              <w:snapToGrid w:val="0"/>
              <w:spacing w:after="0" w:line="240" w:lineRule="auto"/>
              <w:jc w:val="center"/>
              <w:rPr>
                <w:rFonts w:ascii="Times New Roman" w:hAnsi="Times New Roman" w:cs="Times New Roman"/>
                <w:color w:val="000000"/>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3B56D3A5"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C.D.</w:t>
            </w:r>
          </w:p>
        </w:tc>
        <w:tc>
          <w:tcPr>
            <w:tcW w:w="4032" w:type="dxa"/>
            <w:tcBorders>
              <w:top w:val="single" w:sz="4" w:space="0" w:color="000000"/>
              <w:left w:val="single" w:sz="4" w:space="0" w:color="000000"/>
              <w:bottom w:val="single" w:sz="4" w:space="0" w:color="000000"/>
              <w:right w:val="single" w:sz="4" w:space="0" w:color="000000"/>
            </w:tcBorders>
            <w:vAlign w:val="center"/>
          </w:tcPr>
          <w:p w14:paraId="0D0237A3"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3.8</w:t>
            </w:r>
          </w:p>
        </w:tc>
      </w:tr>
      <w:tr w:rsidR="0097291C" w:rsidRPr="0075534A" w14:paraId="66C04617"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5DA4FC7F" w14:textId="77777777" w:rsidR="0097291C" w:rsidRPr="0075534A" w:rsidRDefault="0097291C" w:rsidP="0075534A">
            <w:pPr>
              <w:snapToGrid w:val="0"/>
              <w:spacing w:after="0" w:line="240" w:lineRule="auto"/>
              <w:jc w:val="center"/>
              <w:rPr>
                <w:rFonts w:ascii="Times New Roman" w:hAnsi="Times New Roman" w:cs="Times New Roman"/>
                <w:color w:val="000000"/>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1D7778FE"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SE(m)</w:t>
            </w:r>
          </w:p>
        </w:tc>
        <w:tc>
          <w:tcPr>
            <w:tcW w:w="4032" w:type="dxa"/>
            <w:tcBorders>
              <w:top w:val="single" w:sz="4" w:space="0" w:color="000000"/>
              <w:left w:val="single" w:sz="4" w:space="0" w:color="000000"/>
              <w:bottom w:val="single" w:sz="4" w:space="0" w:color="000000"/>
              <w:right w:val="single" w:sz="4" w:space="0" w:color="000000"/>
            </w:tcBorders>
            <w:vAlign w:val="center"/>
          </w:tcPr>
          <w:p w14:paraId="0B696E7C"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1.3</w:t>
            </w:r>
          </w:p>
        </w:tc>
      </w:tr>
      <w:tr w:rsidR="0097291C" w:rsidRPr="0075534A" w14:paraId="1DA9FC1C" w14:textId="77777777" w:rsidTr="0075534A">
        <w:trPr>
          <w:trHeight w:val="23"/>
          <w:jc w:val="center"/>
        </w:trPr>
        <w:tc>
          <w:tcPr>
            <w:tcW w:w="1368" w:type="dxa"/>
            <w:tcBorders>
              <w:top w:val="single" w:sz="4" w:space="0" w:color="000000"/>
              <w:left w:val="single" w:sz="4" w:space="0" w:color="000000"/>
              <w:bottom w:val="single" w:sz="4" w:space="0" w:color="000000"/>
              <w:right w:val="single" w:sz="4" w:space="0" w:color="000000"/>
            </w:tcBorders>
            <w:vAlign w:val="center"/>
          </w:tcPr>
          <w:p w14:paraId="794DBF49" w14:textId="77777777" w:rsidR="0097291C" w:rsidRPr="0075534A" w:rsidRDefault="0097291C" w:rsidP="0075534A">
            <w:pPr>
              <w:snapToGrid w:val="0"/>
              <w:spacing w:after="0" w:line="240" w:lineRule="auto"/>
              <w:jc w:val="center"/>
              <w:rPr>
                <w:rFonts w:ascii="Times New Roman" w:hAnsi="Times New Roman" w:cs="Times New Roman"/>
                <w:color w:val="000000"/>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36B0590B"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C.V.</w:t>
            </w:r>
          </w:p>
        </w:tc>
        <w:tc>
          <w:tcPr>
            <w:tcW w:w="4032" w:type="dxa"/>
            <w:tcBorders>
              <w:top w:val="single" w:sz="4" w:space="0" w:color="000000"/>
              <w:left w:val="single" w:sz="4" w:space="0" w:color="000000"/>
              <w:bottom w:val="single" w:sz="4" w:space="0" w:color="000000"/>
              <w:right w:val="single" w:sz="4" w:space="0" w:color="000000"/>
            </w:tcBorders>
            <w:vAlign w:val="center"/>
          </w:tcPr>
          <w:p w14:paraId="2654C8D9" w14:textId="77777777" w:rsidR="0097291C" w:rsidRPr="0075534A" w:rsidRDefault="0075534A" w:rsidP="0075534A">
            <w:pPr>
              <w:spacing w:after="0"/>
              <w:jc w:val="center"/>
              <w:rPr>
                <w:rFonts w:ascii="Times New Roman" w:hAnsi="Times New Roman" w:cs="Times New Roman"/>
                <w:color w:val="000000"/>
              </w:rPr>
            </w:pPr>
            <w:r w:rsidRPr="0075534A">
              <w:rPr>
                <w:rFonts w:ascii="Times New Roman" w:hAnsi="Times New Roman" w:cs="Times New Roman"/>
                <w:color w:val="000000"/>
              </w:rPr>
              <w:t>3.2</w:t>
            </w:r>
          </w:p>
        </w:tc>
      </w:tr>
    </w:tbl>
    <w:p w14:paraId="1D397865" w14:textId="77777777" w:rsidR="0097291C" w:rsidRPr="0075534A" w:rsidRDefault="0097291C">
      <w:pPr>
        <w:jc w:val="both"/>
        <w:rPr>
          <w:rFonts w:ascii="Times New Roman" w:hAnsi="Times New Roman" w:cs="Times New Roman"/>
        </w:rPr>
      </w:pPr>
    </w:p>
    <w:p w14:paraId="40CC7356" w14:textId="77777777" w:rsidR="0097291C" w:rsidRPr="0075534A" w:rsidRDefault="0097291C">
      <w:pPr>
        <w:jc w:val="both"/>
        <w:rPr>
          <w:rFonts w:ascii="Times New Roman" w:hAnsi="Times New Roman" w:cs="Times New Roman"/>
        </w:rPr>
      </w:pPr>
    </w:p>
    <w:p w14:paraId="7E71905E" w14:textId="77777777" w:rsidR="0097291C" w:rsidRPr="0075534A" w:rsidRDefault="0097291C">
      <w:pPr>
        <w:jc w:val="both"/>
        <w:rPr>
          <w:rFonts w:ascii="Times New Roman" w:hAnsi="Times New Roman" w:cs="Times New Roman"/>
        </w:rPr>
      </w:pPr>
    </w:p>
    <w:p w14:paraId="65BC5617" w14:textId="77777777" w:rsidR="0097291C" w:rsidRPr="0075534A" w:rsidRDefault="0097291C">
      <w:pPr>
        <w:jc w:val="both"/>
        <w:rPr>
          <w:rFonts w:ascii="Times New Roman" w:hAnsi="Times New Roman" w:cs="Times New Roman"/>
        </w:rPr>
      </w:pPr>
    </w:p>
    <w:p w14:paraId="053F9896" w14:textId="77777777" w:rsidR="0097291C" w:rsidRPr="0075534A" w:rsidRDefault="0097291C">
      <w:pPr>
        <w:jc w:val="both"/>
        <w:rPr>
          <w:rFonts w:ascii="Times New Roman" w:hAnsi="Times New Roman" w:cs="Times New Roman"/>
        </w:rPr>
      </w:pPr>
    </w:p>
    <w:p w14:paraId="73CD5901" w14:textId="77777777" w:rsidR="0097291C" w:rsidRPr="0075534A" w:rsidRDefault="0097291C">
      <w:pPr>
        <w:jc w:val="both"/>
        <w:rPr>
          <w:rFonts w:ascii="Times New Roman" w:hAnsi="Times New Roman" w:cs="Times New Roman"/>
        </w:rPr>
      </w:pPr>
    </w:p>
    <w:p w14:paraId="27DC6324" w14:textId="77777777" w:rsidR="0097291C" w:rsidRPr="0075534A" w:rsidRDefault="0097291C">
      <w:pPr>
        <w:jc w:val="both"/>
        <w:rPr>
          <w:rFonts w:ascii="Times New Roman" w:hAnsi="Times New Roman" w:cs="Times New Roman"/>
        </w:rPr>
      </w:pPr>
    </w:p>
    <w:p w14:paraId="4CD42595" w14:textId="77777777" w:rsidR="0097291C" w:rsidRPr="0075534A" w:rsidRDefault="0097291C">
      <w:pPr>
        <w:jc w:val="both"/>
        <w:rPr>
          <w:rFonts w:ascii="Times New Roman" w:hAnsi="Times New Roman" w:cs="Times New Roman"/>
        </w:rPr>
      </w:pPr>
    </w:p>
    <w:p w14:paraId="01B2A63D" w14:textId="77777777" w:rsidR="0097291C" w:rsidRPr="0075534A" w:rsidRDefault="0097291C">
      <w:pPr>
        <w:jc w:val="both"/>
        <w:rPr>
          <w:rFonts w:ascii="Times New Roman" w:hAnsi="Times New Roman" w:cs="Times New Roman"/>
        </w:rPr>
      </w:pPr>
    </w:p>
    <w:p w14:paraId="3DA03539" w14:textId="77777777" w:rsidR="0097291C" w:rsidRPr="0075534A" w:rsidRDefault="0097291C">
      <w:pPr>
        <w:jc w:val="both"/>
        <w:rPr>
          <w:rFonts w:ascii="Times New Roman" w:hAnsi="Times New Roman" w:cs="Times New Roman"/>
        </w:rPr>
      </w:pPr>
    </w:p>
    <w:p w14:paraId="462694FD" w14:textId="77777777" w:rsidR="0097291C" w:rsidRPr="0075534A" w:rsidRDefault="0097291C">
      <w:pPr>
        <w:jc w:val="both"/>
        <w:rPr>
          <w:rFonts w:ascii="Times New Roman" w:hAnsi="Times New Roman" w:cs="Times New Roman"/>
        </w:rPr>
      </w:pPr>
    </w:p>
    <w:p w14:paraId="512E911D" w14:textId="77777777" w:rsidR="0097291C" w:rsidRPr="0075534A" w:rsidRDefault="0097291C">
      <w:pPr>
        <w:jc w:val="both"/>
        <w:rPr>
          <w:rFonts w:ascii="Times New Roman" w:hAnsi="Times New Roman" w:cs="Times New Roman"/>
        </w:rPr>
      </w:pPr>
    </w:p>
    <w:p w14:paraId="0281F243" w14:textId="77777777" w:rsidR="0097291C" w:rsidRPr="0075534A" w:rsidRDefault="0097291C">
      <w:pPr>
        <w:jc w:val="both"/>
        <w:rPr>
          <w:rFonts w:ascii="Times New Roman" w:hAnsi="Times New Roman" w:cs="Times New Roman"/>
        </w:rPr>
      </w:pPr>
    </w:p>
    <w:p w14:paraId="4E3796F5" w14:textId="77777777" w:rsidR="0097291C" w:rsidRPr="0075534A" w:rsidRDefault="0097291C">
      <w:pPr>
        <w:jc w:val="both"/>
        <w:rPr>
          <w:rFonts w:ascii="Times New Roman" w:hAnsi="Times New Roman" w:cs="Times New Roman"/>
        </w:rPr>
      </w:pPr>
    </w:p>
    <w:p w14:paraId="45A70BB3" w14:textId="77777777" w:rsidR="0097291C" w:rsidRPr="0075534A" w:rsidRDefault="0097291C">
      <w:pPr>
        <w:jc w:val="both"/>
        <w:rPr>
          <w:rFonts w:ascii="Times New Roman" w:hAnsi="Times New Roman" w:cs="Times New Roman"/>
        </w:rPr>
      </w:pPr>
    </w:p>
    <w:tbl>
      <w:tblPr>
        <w:tblpPr w:rightFromText="180" w:vertAnchor="page" w:horzAnchor="margin" w:tblpX="5" w:tblpY="5924"/>
        <w:tblW w:w="9648" w:type="dxa"/>
        <w:tblLayout w:type="fixed"/>
        <w:tblLook w:val="04A0" w:firstRow="1" w:lastRow="0" w:firstColumn="1" w:lastColumn="0" w:noHBand="0" w:noVBand="1"/>
      </w:tblPr>
      <w:tblGrid>
        <w:gridCol w:w="1368"/>
        <w:gridCol w:w="2160"/>
        <w:gridCol w:w="1530"/>
        <w:gridCol w:w="1530"/>
        <w:gridCol w:w="1530"/>
        <w:gridCol w:w="1530"/>
      </w:tblGrid>
      <w:tr w:rsidR="0097291C" w:rsidRPr="0075534A" w14:paraId="6B891DC5"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3478A294" w14:textId="77777777" w:rsidR="0097291C" w:rsidRPr="0075534A" w:rsidRDefault="0075534A">
            <w:pPr>
              <w:spacing w:after="0" w:line="240" w:lineRule="auto"/>
              <w:jc w:val="center"/>
              <w:rPr>
                <w:rFonts w:ascii="Times New Roman" w:hAnsi="Times New Roman" w:cs="Times New Roman"/>
                <w:b/>
                <w:iCs/>
              </w:rPr>
            </w:pPr>
            <w:r w:rsidRPr="0075534A">
              <w:rPr>
                <w:rFonts w:ascii="Times New Roman" w:hAnsi="Times New Roman" w:cs="Times New Roman"/>
                <w:b/>
                <w:iCs/>
              </w:rPr>
              <w:lastRenderedPageBreak/>
              <w:t>S. No.</w:t>
            </w:r>
          </w:p>
        </w:tc>
        <w:tc>
          <w:tcPr>
            <w:tcW w:w="2160" w:type="dxa"/>
            <w:tcBorders>
              <w:top w:val="single" w:sz="4" w:space="0" w:color="000000"/>
              <w:left w:val="single" w:sz="4" w:space="0" w:color="000000"/>
              <w:bottom w:val="single" w:sz="4" w:space="0" w:color="000000"/>
              <w:right w:val="single" w:sz="4" w:space="0" w:color="000000"/>
            </w:tcBorders>
            <w:vAlign w:val="center"/>
          </w:tcPr>
          <w:p w14:paraId="1301C55C" w14:textId="77777777" w:rsidR="0097291C" w:rsidRPr="0075534A" w:rsidRDefault="0075534A">
            <w:pPr>
              <w:spacing w:after="0" w:line="240" w:lineRule="auto"/>
              <w:jc w:val="center"/>
            </w:pPr>
            <w:r w:rsidRPr="0075534A">
              <w:rPr>
                <w:rFonts w:ascii="Times New Roman" w:hAnsi="Times New Roman" w:cs="Times New Roman"/>
                <w:b/>
                <w:i/>
              </w:rPr>
              <w:t>Trichoderma</w:t>
            </w:r>
            <w:r w:rsidRPr="0075534A">
              <w:rPr>
                <w:rFonts w:ascii="Times New Roman" w:hAnsi="Times New Roman" w:cs="Times New Roman"/>
                <w:b/>
              </w:rPr>
              <w:t xml:space="preserve"> spp.</w:t>
            </w:r>
          </w:p>
        </w:tc>
        <w:tc>
          <w:tcPr>
            <w:tcW w:w="1530" w:type="dxa"/>
            <w:tcBorders>
              <w:top w:val="single" w:sz="4" w:space="0" w:color="000000"/>
              <w:left w:val="single" w:sz="4" w:space="0" w:color="000000"/>
              <w:bottom w:val="single" w:sz="4" w:space="0" w:color="000000"/>
              <w:right w:val="single" w:sz="4" w:space="0" w:color="000000"/>
            </w:tcBorders>
            <w:vAlign w:val="center"/>
          </w:tcPr>
          <w:p w14:paraId="45FD19BC" w14:textId="77777777" w:rsidR="0097291C" w:rsidRPr="0075534A" w:rsidRDefault="0075534A">
            <w:pPr>
              <w:widowControl w:val="0"/>
              <w:spacing w:after="0" w:line="240" w:lineRule="auto"/>
              <w:ind w:right="-20"/>
              <w:jc w:val="center"/>
              <w:rPr>
                <w:rFonts w:ascii="Times New Roman" w:hAnsi="Times New Roman" w:cs="Times New Roman"/>
                <w:b/>
              </w:rPr>
            </w:pPr>
            <w:r w:rsidRPr="0075534A">
              <w:rPr>
                <w:rFonts w:ascii="Times New Roman" w:hAnsi="Times New Roman" w:cs="Times New Roman"/>
                <w:b/>
              </w:rPr>
              <w:t>Germination (%)</w:t>
            </w:r>
          </w:p>
        </w:tc>
        <w:tc>
          <w:tcPr>
            <w:tcW w:w="1530" w:type="dxa"/>
            <w:tcBorders>
              <w:top w:val="single" w:sz="4" w:space="0" w:color="000000"/>
              <w:left w:val="single" w:sz="4" w:space="0" w:color="000000"/>
              <w:bottom w:val="single" w:sz="4" w:space="0" w:color="000000"/>
              <w:right w:val="single" w:sz="4" w:space="0" w:color="000000"/>
            </w:tcBorders>
          </w:tcPr>
          <w:p w14:paraId="19D12DCC" w14:textId="77777777" w:rsidR="0097291C" w:rsidRPr="0075534A" w:rsidRDefault="0075534A">
            <w:pPr>
              <w:widowControl w:val="0"/>
              <w:spacing w:after="0" w:line="240" w:lineRule="auto"/>
              <w:ind w:right="-20"/>
              <w:jc w:val="center"/>
              <w:rPr>
                <w:rFonts w:ascii="Times New Roman" w:hAnsi="Times New Roman" w:cs="Times New Roman"/>
                <w:b/>
              </w:rPr>
            </w:pPr>
            <w:r w:rsidRPr="0075534A">
              <w:rPr>
                <w:rFonts w:ascii="Times New Roman" w:hAnsi="Times New Roman" w:cs="Times New Roman"/>
                <w:b/>
              </w:rPr>
              <w:t>Root length (cm)</w:t>
            </w:r>
          </w:p>
        </w:tc>
        <w:tc>
          <w:tcPr>
            <w:tcW w:w="1530" w:type="dxa"/>
            <w:tcBorders>
              <w:top w:val="single" w:sz="4" w:space="0" w:color="000000"/>
              <w:left w:val="single" w:sz="4" w:space="0" w:color="000000"/>
              <w:bottom w:val="single" w:sz="4" w:space="0" w:color="000000"/>
              <w:right w:val="single" w:sz="4" w:space="0" w:color="000000"/>
            </w:tcBorders>
          </w:tcPr>
          <w:p w14:paraId="08D69F30" w14:textId="77777777" w:rsidR="0097291C" w:rsidRPr="0075534A" w:rsidRDefault="0075534A">
            <w:pPr>
              <w:widowControl w:val="0"/>
              <w:spacing w:after="0" w:line="240" w:lineRule="auto"/>
              <w:ind w:right="-20"/>
              <w:jc w:val="center"/>
              <w:rPr>
                <w:rFonts w:ascii="Times New Roman" w:hAnsi="Times New Roman" w:cs="Times New Roman"/>
                <w:b/>
              </w:rPr>
            </w:pPr>
            <w:r w:rsidRPr="0075534A">
              <w:rPr>
                <w:rFonts w:ascii="Times New Roman" w:hAnsi="Times New Roman" w:cs="Times New Roman"/>
                <w:b/>
              </w:rPr>
              <w:t>Shoot length(cm)</w:t>
            </w:r>
          </w:p>
        </w:tc>
        <w:tc>
          <w:tcPr>
            <w:tcW w:w="1530" w:type="dxa"/>
            <w:tcBorders>
              <w:top w:val="single" w:sz="4" w:space="0" w:color="000000"/>
              <w:left w:val="single" w:sz="4" w:space="0" w:color="000000"/>
              <w:bottom w:val="single" w:sz="4" w:space="0" w:color="000000"/>
              <w:right w:val="single" w:sz="4" w:space="0" w:color="000000"/>
            </w:tcBorders>
          </w:tcPr>
          <w:p w14:paraId="2CA5B122" w14:textId="77777777" w:rsidR="0097291C" w:rsidRPr="0075534A" w:rsidRDefault="0075534A">
            <w:pPr>
              <w:widowControl w:val="0"/>
              <w:spacing w:after="0" w:line="240" w:lineRule="auto"/>
              <w:ind w:right="-20"/>
              <w:jc w:val="center"/>
              <w:rPr>
                <w:rFonts w:ascii="Times New Roman" w:hAnsi="Times New Roman" w:cs="Times New Roman"/>
                <w:b/>
              </w:rPr>
            </w:pPr>
            <w:r w:rsidRPr="0075534A">
              <w:rPr>
                <w:rFonts w:ascii="Times New Roman" w:hAnsi="Times New Roman" w:cs="Times New Roman"/>
                <w:b/>
              </w:rPr>
              <w:t>Vigour index</w:t>
            </w:r>
          </w:p>
        </w:tc>
      </w:tr>
      <w:tr w:rsidR="0097291C" w:rsidRPr="0075534A" w14:paraId="32E337CC"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06480628" w14:textId="77777777" w:rsidR="0097291C" w:rsidRPr="0075534A" w:rsidRDefault="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w:t>
            </w:r>
          </w:p>
        </w:tc>
        <w:tc>
          <w:tcPr>
            <w:tcW w:w="2160" w:type="dxa"/>
            <w:tcBorders>
              <w:top w:val="single" w:sz="4" w:space="0" w:color="000000"/>
              <w:left w:val="single" w:sz="4" w:space="0" w:color="000000"/>
              <w:bottom w:val="single" w:sz="4" w:space="0" w:color="000000"/>
              <w:right w:val="single" w:sz="4" w:space="0" w:color="000000"/>
            </w:tcBorders>
            <w:vAlign w:val="center"/>
          </w:tcPr>
          <w:p w14:paraId="1420DC1D" w14:textId="77777777" w:rsidR="0097291C" w:rsidRPr="0075534A" w:rsidRDefault="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TPP-1</w:t>
            </w:r>
          </w:p>
        </w:tc>
        <w:tc>
          <w:tcPr>
            <w:tcW w:w="1530" w:type="dxa"/>
            <w:tcBorders>
              <w:top w:val="single" w:sz="4" w:space="0" w:color="000000"/>
              <w:left w:val="single" w:sz="4" w:space="0" w:color="000000"/>
              <w:bottom w:val="single" w:sz="4" w:space="0" w:color="000000"/>
              <w:right w:val="single" w:sz="4" w:space="0" w:color="000000"/>
            </w:tcBorders>
            <w:vAlign w:val="center"/>
          </w:tcPr>
          <w:p w14:paraId="4BA9051F"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70.3</w:t>
            </w:r>
          </w:p>
        </w:tc>
        <w:tc>
          <w:tcPr>
            <w:tcW w:w="1530" w:type="dxa"/>
            <w:tcBorders>
              <w:top w:val="single" w:sz="4" w:space="0" w:color="000000"/>
              <w:left w:val="single" w:sz="4" w:space="0" w:color="000000"/>
              <w:bottom w:val="single" w:sz="4" w:space="0" w:color="000000"/>
              <w:right w:val="single" w:sz="4" w:space="0" w:color="000000"/>
            </w:tcBorders>
            <w:vAlign w:val="bottom"/>
          </w:tcPr>
          <w:p w14:paraId="2E366622"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9.3</w:t>
            </w:r>
          </w:p>
        </w:tc>
        <w:tc>
          <w:tcPr>
            <w:tcW w:w="1530" w:type="dxa"/>
            <w:tcBorders>
              <w:top w:val="single" w:sz="4" w:space="0" w:color="000000"/>
              <w:left w:val="single" w:sz="4" w:space="0" w:color="000000"/>
              <w:bottom w:val="single" w:sz="4" w:space="0" w:color="000000"/>
              <w:right w:val="single" w:sz="4" w:space="0" w:color="000000"/>
            </w:tcBorders>
            <w:vAlign w:val="bottom"/>
          </w:tcPr>
          <w:p w14:paraId="77F8E118"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17.8</w:t>
            </w:r>
          </w:p>
        </w:tc>
        <w:tc>
          <w:tcPr>
            <w:tcW w:w="1530" w:type="dxa"/>
            <w:tcBorders>
              <w:top w:val="single" w:sz="4" w:space="0" w:color="000000"/>
              <w:left w:val="single" w:sz="4" w:space="0" w:color="000000"/>
              <w:bottom w:val="single" w:sz="4" w:space="0" w:color="000000"/>
              <w:right w:val="single" w:sz="4" w:space="0" w:color="000000"/>
            </w:tcBorders>
            <w:vAlign w:val="bottom"/>
          </w:tcPr>
          <w:p w14:paraId="21E03F25"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1911.4</w:t>
            </w:r>
          </w:p>
        </w:tc>
      </w:tr>
      <w:tr w:rsidR="0097291C" w:rsidRPr="0075534A" w14:paraId="57DD3086"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51E06047" w14:textId="77777777" w:rsidR="0097291C" w:rsidRPr="0075534A" w:rsidRDefault="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2</w:t>
            </w:r>
          </w:p>
        </w:tc>
        <w:tc>
          <w:tcPr>
            <w:tcW w:w="2160" w:type="dxa"/>
            <w:tcBorders>
              <w:top w:val="single" w:sz="4" w:space="0" w:color="000000"/>
              <w:left w:val="single" w:sz="4" w:space="0" w:color="000000"/>
              <w:bottom w:val="single" w:sz="4" w:space="0" w:color="000000"/>
              <w:right w:val="single" w:sz="4" w:space="0" w:color="000000"/>
            </w:tcBorders>
            <w:vAlign w:val="center"/>
          </w:tcPr>
          <w:p w14:paraId="27DA7576" w14:textId="77777777" w:rsidR="0097291C" w:rsidRPr="0075534A" w:rsidRDefault="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TPP-2</w:t>
            </w:r>
          </w:p>
        </w:tc>
        <w:tc>
          <w:tcPr>
            <w:tcW w:w="1530" w:type="dxa"/>
            <w:tcBorders>
              <w:top w:val="single" w:sz="4" w:space="0" w:color="000000"/>
              <w:left w:val="single" w:sz="4" w:space="0" w:color="000000"/>
              <w:bottom w:val="single" w:sz="4" w:space="0" w:color="000000"/>
              <w:right w:val="single" w:sz="4" w:space="0" w:color="000000"/>
            </w:tcBorders>
            <w:vAlign w:val="center"/>
          </w:tcPr>
          <w:p w14:paraId="02D8F867"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73.6</w:t>
            </w:r>
          </w:p>
        </w:tc>
        <w:tc>
          <w:tcPr>
            <w:tcW w:w="1530" w:type="dxa"/>
            <w:tcBorders>
              <w:top w:val="single" w:sz="4" w:space="0" w:color="000000"/>
              <w:left w:val="single" w:sz="4" w:space="0" w:color="000000"/>
              <w:bottom w:val="single" w:sz="4" w:space="0" w:color="000000"/>
              <w:right w:val="single" w:sz="4" w:space="0" w:color="000000"/>
            </w:tcBorders>
            <w:vAlign w:val="bottom"/>
          </w:tcPr>
          <w:p w14:paraId="58BE344D"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9.6</w:t>
            </w:r>
          </w:p>
        </w:tc>
        <w:tc>
          <w:tcPr>
            <w:tcW w:w="1530" w:type="dxa"/>
            <w:tcBorders>
              <w:top w:val="single" w:sz="4" w:space="0" w:color="000000"/>
              <w:left w:val="single" w:sz="4" w:space="0" w:color="000000"/>
              <w:bottom w:val="single" w:sz="4" w:space="0" w:color="000000"/>
              <w:right w:val="single" w:sz="4" w:space="0" w:color="000000"/>
            </w:tcBorders>
            <w:vAlign w:val="bottom"/>
          </w:tcPr>
          <w:p w14:paraId="13E94040"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18.8</w:t>
            </w:r>
          </w:p>
        </w:tc>
        <w:tc>
          <w:tcPr>
            <w:tcW w:w="1530" w:type="dxa"/>
            <w:tcBorders>
              <w:top w:val="single" w:sz="4" w:space="0" w:color="000000"/>
              <w:left w:val="single" w:sz="4" w:space="0" w:color="000000"/>
              <w:bottom w:val="single" w:sz="4" w:space="0" w:color="000000"/>
              <w:right w:val="single" w:sz="4" w:space="0" w:color="000000"/>
            </w:tcBorders>
            <w:vAlign w:val="bottom"/>
          </w:tcPr>
          <w:p w14:paraId="76528C4C"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2094.9</w:t>
            </w:r>
          </w:p>
        </w:tc>
      </w:tr>
      <w:tr w:rsidR="0097291C" w:rsidRPr="0075534A" w14:paraId="3BAADD83"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5B9B7AB1" w14:textId="77777777" w:rsidR="0097291C" w:rsidRPr="0075534A" w:rsidRDefault="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3</w:t>
            </w:r>
          </w:p>
        </w:tc>
        <w:tc>
          <w:tcPr>
            <w:tcW w:w="2160" w:type="dxa"/>
            <w:tcBorders>
              <w:top w:val="single" w:sz="4" w:space="0" w:color="000000"/>
              <w:left w:val="single" w:sz="4" w:space="0" w:color="000000"/>
              <w:bottom w:val="single" w:sz="4" w:space="0" w:color="000000"/>
              <w:right w:val="single" w:sz="4" w:space="0" w:color="000000"/>
            </w:tcBorders>
            <w:vAlign w:val="center"/>
          </w:tcPr>
          <w:p w14:paraId="76BEB55C" w14:textId="77777777" w:rsidR="0097291C" w:rsidRPr="0075534A" w:rsidRDefault="0075534A">
            <w:pPr>
              <w:spacing w:after="0"/>
              <w:jc w:val="center"/>
              <w:rPr>
                <w:rFonts w:ascii="Times New Roman" w:hAnsi="Times New Roman" w:cs="Times New Roman"/>
              </w:rPr>
            </w:pPr>
            <w:r w:rsidRPr="0075534A">
              <w:rPr>
                <w:rFonts w:ascii="Times New Roman" w:hAnsi="Times New Roman" w:cs="Times New Roman"/>
                <w:color w:val="000000"/>
              </w:rPr>
              <w:t>TPP-3</w:t>
            </w:r>
          </w:p>
        </w:tc>
        <w:tc>
          <w:tcPr>
            <w:tcW w:w="1530" w:type="dxa"/>
            <w:tcBorders>
              <w:top w:val="single" w:sz="4" w:space="0" w:color="000000"/>
              <w:left w:val="single" w:sz="4" w:space="0" w:color="000000"/>
              <w:bottom w:val="single" w:sz="4" w:space="0" w:color="000000"/>
              <w:right w:val="single" w:sz="4" w:space="0" w:color="000000"/>
            </w:tcBorders>
            <w:vAlign w:val="center"/>
          </w:tcPr>
          <w:p w14:paraId="0D407B31"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79.7</w:t>
            </w:r>
          </w:p>
        </w:tc>
        <w:tc>
          <w:tcPr>
            <w:tcW w:w="1530" w:type="dxa"/>
            <w:tcBorders>
              <w:top w:val="single" w:sz="4" w:space="0" w:color="000000"/>
              <w:left w:val="single" w:sz="4" w:space="0" w:color="000000"/>
              <w:bottom w:val="single" w:sz="4" w:space="0" w:color="000000"/>
              <w:right w:val="single" w:sz="4" w:space="0" w:color="000000"/>
            </w:tcBorders>
            <w:vAlign w:val="bottom"/>
          </w:tcPr>
          <w:p w14:paraId="7DC2C882"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9.6</w:t>
            </w:r>
          </w:p>
        </w:tc>
        <w:tc>
          <w:tcPr>
            <w:tcW w:w="1530" w:type="dxa"/>
            <w:tcBorders>
              <w:top w:val="single" w:sz="4" w:space="0" w:color="000000"/>
              <w:left w:val="single" w:sz="4" w:space="0" w:color="000000"/>
              <w:bottom w:val="single" w:sz="4" w:space="0" w:color="000000"/>
              <w:right w:val="single" w:sz="4" w:space="0" w:color="000000"/>
            </w:tcBorders>
            <w:vAlign w:val="bottom"/>
          </w:tcPr>
          <w:p w14:paraId="34932EE5"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20.7</w:t>
            </w:r>
          </w:p>
        </w:tc>
        <w:tc>
          <w:tcPr>
            <w:tcW w:w="1530" w:type="dxa"/>
            <w:tcBorders>
              <w:top w:val="single" w:sz="4" w:space="0" w:color="000000"/>
              <w:left w:val="single" w:sz="4" w:space="0" w:color="000000"/>
              <w:bottom w:val="single" w:sz="4" w:space="0" w:color="000000"/>
              <w:right w:val="single" w:sz="4" w:space="0" w:color="000000"/>
            </w:tcBorders>
            <w:vAlign w:val="bottom"/>
          </w:tcPr>
          <w:p w14:paraId="0D7AD0D9"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2413.9</w:t>
            </w:r>
          </w:p>
        </w:tc>
      </w:tr>
      <w:tr w:rsidR="0097291C" w:rsidRPr="0075534A" w14:paraId="3B9A05FF"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2500CBC6" w14:textId="77777777" w:rsidR="0097291C" w:rsidRPr="0075534A" w:rsidRDefault="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4</w:t>
            </w:r>
          </w:p>
        </w:tc>
        <w:tc>
          <w:tcPr>
            <w:tcW w:w="2160" w:type="dxa"/>
            <w:tcBorders>
              <w:top w:val="single" w:sz="4" w:space="0" w:color="000000"/>
              <w:left w:val="single" w:sz="4" w:space="0" w:color="000000"/>
              <w:bottom w:val="single" w:sz="4" w:space="0" w:color="000000"/>
              <w:right w:val="single" w:sz="4" w:space="0" w:color="000000"/>
            </w:tcBorders>
            <w:vAlign w:val="center"/>
          </w:tcPr>
          <w:p w14:paraId="2A9634F6" w14:textId="77777777" w:rsidR="0097291C" w:rsidRPr="0075534A" w:rsidRDefault="0075534A">
            <w:pPr>
              <w:spacing w:after="0"/>
              <w:jc w:val="center"/>
              <w:rPr>
                <w:rFonts w:ascii="Times New Roman" w:hAnsi="Times New Roman" w:cs="Times New Roman"/>
              </w:rPr>
            </w:pPr>
            <w:r w:rsidRPr="0075534A">
              <w:rPr>
                <w:rFonts w:ascii="Times New Roman" w:hAnsi="Times New Roman" w:cs="Times New Roman"/>
                <w:color w:val="000000"/>
              </w:rPr>
              <w:t>TPP-4</w:t>
            </w:r>
          </w:p>
        </w:tc>
        <w:tc>
          <w:tcPr>
            <w:tcW w:w="1530" w:type="dxa"/>
            <w:tcBorders>
              <w:top w:val="single" w:sz="4" w:space="0" w:color="000000"/>
              <w:left w:val="single" w:sz="4" w:space="0" w:color="000000"/>
              <w:bottom w:val="single" w:sz="4" w:space="0" w:color="000000"/>
              <w:right w:val="single" w:sz="4" w:space="0" w:color="000000"/>
            </w:tcBorders>
            <w:vAlign w:val="center"/>
          </w:tcPr>
          <w:p w14:paraId="5F7A8686"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81.7</w:t>
            </w:r>
          </w:p>
        </w:tc>
        <w:tc>
          <w:tcPr>
            <w:tcW w:w="1530" w:type="dxa"/>
            <w:tcBorders>
              <w:top w:val="single" w:sz="4" w:space="0" w:color="000000"/>
              <w:left w:val="single" w:sz="4" w:space="0" w:color="000000"/>
              <w:bottom w:val="single" w:sz="4" w:space="0" w:color="000000"/>
              <w:right w:val="single" w:sz="4" w:space="0" w:color="000000"/>
            </w:tcBorders>
            <w:vAlign w:val="bottom"/>
          </w:tcPr>
          <w:p w14:paraId="7A87B59E"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9.7</w:t>
            </w:r>
          </w:p>
        </w:tc>
        <w:tc>
          <w:tcPr>
            <w:tcW w:w="1530" w:type="dxa"/>
            <w:tcBorders>
              <w:top w:val="single" w:sz="4" w:space="0" w:color="000000"/>
              <w:left w:val="single" w:sz="4" w:space="0" w:color="000000"/>
              <w:bottom w:val="single" w:sz="4" w:space="0" w:color="000000"/>
              <w:right w:val="single" w:sz="4" w:space="0" w:color="000000"/>
            </w:tcBorders>
            <w:vAlign w:val="bottom"/>
          </w:tcPr>
          <w:p w14:paraId="434F60AA"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22.1</w:t>
            </w:r>
          </w:p>
        </w:tc>
        <w:tc>
          <w:tcPr>
            <w:tcW w:w="1530" w:type="dxa"/>
            <w:tcBorders>
              <w:top w:val="single" w:sz="4" w:space="0" w:color="000000"/>
              <w:left w:val="single" w:sz="4" w:space="0" w:color="000000"/>
              <w:bottom w:val="single" w:sz="4" w:space="0" w:color="000000"/>
              <w:right w:val="single" w:sz="4" w:space="0" w:color="000000"/>
            </w:tcBorders>
            <w:vAlign w:val="bottom"/>
          </w:tcPr>
          <w:p w14:paraId="573C33BF"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2598.9</w:t>
            </w:r>
          </w:p>
        </w:tc>
      </w:tr>
      <w:tr w:rsidR="0097291C" w:rsidRPr="0075534A" w14:paraId="3E5B1B3E"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1EE4D8C9" w14:textId="77777777" w:rsidR="0097291C" w:rsidRPr="0075534A" w:rsidRDefault="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5</w:t>
            </w:r>
          </w:p>
        </w:tc>
        <w:tc>
          <w:tcPr>
            <w:tcW w:w="2160" w:type="dxa"/>
            <w:tcBorders>
              <w:top w:val="single" w:sz="4" w:space="0" w:color="000000"/>
              <w:left w:val="single" w:sz="4" w:space="0" w:color="000000"/>
              <w:bottom w:val="single" w:sz="4" w:space="0" w:color="000000"/>
              <w:right w:val="single" w:sz="4" w:space="0" w:color="000000"/>
            </w:tcBorders>
            <w:vAlign w:val="center"/>
          </w:tcPr>
          <w:p w14:paraId="4C5D65FE" w14:textId="77777777" w:rsidR="0097291C" w:rsidRPr="0075534A" w:rsidRDefault="0075534A">
            <w:pPr>
              <w:spacing w:after="0"/>
              <w:jc w:val="center"/>
              <w:rPr>
                <w:rFonts w:ascii="Times New Roman" w:hAnsi="Times New Roman" w:cs="Times New Roman"/>
              </w:rPr>
            </w:pPr>
            <w:r w:rsidRPr="0075534A">
              <w:rPr>
                <w:rFonts w:ascii="Times New Roman" w:hAnsi="Times New Roman" w:cs="Times New Roman"/>
                <w:color w:val="000000"/>
              </w:rPr>
              <w:t>TPP-5</w:t>
            </w:r>
          </w:p>
        </w:tc>
        <w:tc>
          <w:tcPr>
            <w:tcW w:w="1530" w:type="dxa"/>
            <w:tcBorders>
              <w:top w:val="single" w:sz="4" w:space="0" w:color="000000"/>
              <w:left w:val="single" w:sz="4" w:space="0" w:color="000000"/>
              <w:bottom w:val="single" w:sz="4" w:space="0" w:color="000000"/>
              <w:right w:val="single" w:sz="4" w:space="0" w:color="000000"/>
            </w:tcBorders>
            <w:vAlign w:val="center"/>
          </w:tcPr>
          <w:p w14:paraId="361EAC59"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90.3</w:t>
            </w:r>
          </w:p>
        </w:tc>
        <w:tc>
          <w:tcPr>
            <w:tcW w:w="1530" w:type="dxa"/>
            <w:tcBorders>
              <w:top w:val="single" w:sz="4" w:space="0" w:color="000000"/>
              <w:left w:val="single" w:sz="4" w:space="0" w:color="000000"/>
              <w:bottom w:val="single" w:sz="4" w:space="0" w:color="000000"/>
              <w:right w:val="single" w:sz="4" w:space="0" w:color="000000"/>
            </w:tcBorders>
            <w:vAlign w:val="bottom"/>
          </w:tcPr>
          <w:p w14:paraId="51C69B76"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10.1</w:t>
            </w:r>
          </w:p>
        </w:tc>
        <w:tc>
          <w:tcPr>
            <w:tcW w:w="1530" w:type="dxa"/>
            <w:tcBorders>
              <w:top w:val="single" w:sz="4" w:space="0" w:color="000000"/>
              <w:left w:val="single" w:sz="4" w:space="0" w:color="000000"/>
              <w:bottom w:val="single" w:sz="4" w:space="0" w:color="000000"/>
              <w:right w:val="single" w:sz="4" w:space="0" w:color="000000"/>
            </w:tcBorders>
            <w:vAlign w:val="bottom"/>
          </w:tcPr>
          <w:p w14:paraId="4B46E27F"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21.7</w:t>
            </w:r>
          </w:p>
        </w:tc>
        <w:tc>
          <w:tcPr>
            <w:tcW w:w="1530" w:type="dxa"/>
            <w:tcBorders>
              <w:top w:val="single" w:sz="4" w:space="0" w:color="000000"/>
              <w:left w:val="single" w:sz="4" w:space="0" w:color="000000"/>
              <w:bottom w:val="single" w:sz="4" w:space="0" w:color="000000"/>
              <w:right w:val="single" w:sz="4" w:space="0" w:color="000000"/>
            </w:tcBorders>
            <w:vAlign w:val="bottom"/>
          </w:tcPr>
          <w:p w14:paraId="796BF9CD"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2872.6</w:t>
            </w:r>
          </w:p>
        </w:tc>
      </w:tr>
      <w:tr w:rsidR="0097291C" w:rsidRPr="0075534A" w14:paraId="0007E4AC"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4830F769" w14:textId="77777777" w:rsidR="0097291C" w:rsidRPr="0075534A" w:rsidRDefault="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6</w:t>
            </w:r>
          </w:p>
        </w:tc>
        <w:tc>
          <w:tcPr>
            <w:tcW w:w="2160" w:type="dxa"/>
            <w:tcBorders>
              <w:top w:val="single" w:sz="4" w:space="0" w:color="000000"/>
              <w:left w:val="single" w:sz="4" w:space="0" w:color="000000"/>
              <w:bottom w:val="single" w:sz="4" w:space="0" w:color="000000"/>
              <w:right w:val="single" w:sz="4" w:space="0" w:color="000000"/>
            </w:tcBorders>
            <w:vAlign w:val="center"/>
          </w:tcPr>
          <w:p w14:paraId="1990417A" w14:textId="77777777" w:rsidR="0097291C" w:rsidRPr="0075534A" w:rsidRDefault="0075534A">
            <w:pPr>
              <w:spacing w:after="0"/>
              <w:jc w:val="center"/>
              <w:rPr>
                <w:rFonts w:ascii="Times New Roman" w:hAnsi="Times New Roman" w:cs="Times New Roman"/>
              </w:rPr>
            </w:pPr>
            <w:r w:rsidRPr="0075534A">
              <w:rPr>
                <w:rFonts w:ascii="Times New Roman" w:hAnsi="Times New Roman" w:cs="Times New Roman"/>
                <w:color w:val="000000"/>
              </w:rPr>
              <w:t>TPP-6</w:t>
            </w:r>
          </w:p>
        </w:tc>
        <w:tc>
          <w:tcPr>
            <w:tcW w:w="1530" w:type="dxa"/>
            <w:tcBorders>
              <w:top w:val="single" w:sz="4" w:space="0" w:color="000000"/>
              <w:left w:val="single" w:sz="4" w:space="0" w:color="000000"/>
              <w:bottom w:val="single" w:sz="4" w:space="0" w:color="000000"/>
              <w:right w:val="single" w:sz="4" w:space="0" w:color="000000"/>
            </w:tcBorders>
            <w:vAlign w:val="center"/>
          </w:tcPr>
          <w:p w14:paraId="4E2C9FFD"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91.4</w:t>
            </w:r>
          </w:p>
        </w:tc>
        <w:tc>
          <w:tcPr>
            <w:tcW w:w="1530" w:type="dxa"/>
            <w:tcBorders>
              <w:top w:val="single" w:sz="4" w:space="0" w:color="000000"/>
              <w:left w:val="single" w:sz="4" w:space="0" w:color="000000"/>
              <w:bottom w:val="single" w:sz="4" w:space="0" w:color="000000"/>
              <w:right w:val="single" w:sz="4" w:space="0" w:color="000000"/>
            </w:tcBorders>
            <w:vAlign w:val="bottom"/>
          </w:tcPr>
          <w:p w14:paraId="21028F5E"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10.2</w:t>
            </w:r>
          </w:p>
        </w:tc>
        <w:tc>
          <w:tcPr>
            <w:tcW w:w="1530" w:type="dxa"/>
            <w:tcBorders>
              <w:top w:val="single" w:sz="4" w:space="0" w:color="000000"/>
              <w:left w:val="single" w:sz="4" w:space="0" w:color="000000"/>
              <w:bottom w:val="single" w:sz="4" w:space="0" w:color="000000"/>
              <w:right w:val="single" w:sz="4" w:space="0" w:color="000000"/>
            </w:tcBorders>
            <w:vAlign w:val="bottom"/>
          </w:tcPr>
          <w:p w14:paraId="7A42D68C"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23.3</w:t>
            </w:r>
          </w:p>
        </w:tc>
        <w:tc>
          <w:tcPr>
            <w:tcW w:w="1530" w:type="dxa"/>
            <w:tcBorders>
              <w:top w:val="single" w:sz="4" w:space="0" w:color="000000"/>
              <w:left w:val="single" w:sz="4" w:space="0" w:color="000000"/>
              <w:bottom w:val="single" w:sz="4" w:space="0" w:color="000000"/>
              <w:right w:val="single" w:sz="4" w:space="0" w:color="000000"/>
            </w:tcBorders>
            <w:vAlign w:val="bottom"/>
          </w:tcPr>
          <w:p w14:paraId="712DAB0C"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3061.2</w:t>
            </w:r>
          </w:p>
        </w:tc>
      </w:tr>
      <w:tr w:rsidR="0097291C" w:rsidRPr="0075534A" w14:paraId="5C13A89A"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49DC50F5" w14:textId="77777777" w:rsidR="0097291C" w:rsidRPr="0075534A" w:rsidRDefault="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7</w:t>
            </w:r>
          </w:p>
        </w:tc>
        <w:tc>
          <w:tcPr>
            <w:tcW w:w="2160" w:type="dxa"/>
            <w:tcBorders>
              <w:top w:val="single" w:sz="4" w:space="0" w:color="000000"/>
              <w:left w:val="single" w:sz="4" w:space="0" w:color="000000"/>
              <w:bottom w:val="single" w:sz="4" w:space="0" w:color="000000"/>
              <w:right w:val="single" w:sz="4" w:space="0" w:color="000000"/>
            </w:tcBorders>
            <w:vAlign w:val="center"/>
          </w:tcPr>
          <w:p w14:paraId="241AA2DF" w14:textId="77777777" w:rsidR="0097291C" w:rsidRPr="0075534A" w:rsidRDefault="0075534A">
            <w:pPr>
              <w:spacing w:after="0"/>
              <w:jc w:val="center"/>
              <w:rPr>
                <w:rFonts w:ascii="Times New Roman" w:hAnsi="Times New Roman" w:cs="Times New Roman"/>
              </w:rPr>
            </w:pPr>
            <w:r w:rsidRPr="0075534A">
              <w:rPr>
                <w:rFonts w:ascii="Times New Roman" w:hAnsi="Times New Roman" w:cs="Times New Roman"/>
                <w:color w:val="000000"/>
              </w:rPr>
              <w:t>TPP-7</w:t>
            </w:r>
          </w:p>
        </w:tc>
        <w:tc>
          <w:tcPr>
            <w:tcW w:w="1530" w:type="dxa"/>
            <w:tcBorders>
              <w:top w:val="single" w:sz="4" w:space="0" w:color="000000"/>
              <w:left w:val="single" w:sz="4" w:space="0" w:color="000000"/>
              <w:bottom w:val="single" w:sz="4" w:space="0" w:color="000000"/>
              <w:right w:val="single" w:sz="4" w:space="0" w:color="000000"/>
            </w:tcBorders>
            <w:vAlign w:val="center"/>
          </w:tcPr>
          <w:p w14:paraId="2CE6FA4A"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82.1</w:t>
            </w:r>
          </w:p>
        </w:tc>
        <w:tc>
          <w:tcPr>
            <w:tcW w:w="1530" w:type="dxa"/>
            <w:tcBorders>
              <w:top w:val="single" w:sz="4" w:space="0" w:color="000000"/>
              <w:left w:val="single" w:sz="4" w:space="0" w:color="000000"/>
              <w:bottom w:val="single" w:sz="4" w:space="0" w:color="000000"/>
              <w:right w:val="single" w:sz="4" w:space="0" w:color="000000"/>
            </w:tcBorders>
            <w:vAlign w:val="bottom"/>
          </w:tcPr>
          <w:p w14:paraId="341CA1FB"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10.2</w:t>
            </w:r>
          </w:p>
        </w:tc>
        <w:tc>
          <w:tcPr>
            <w:tcW w:w="1530" w:type="dxa"/>
            <w:tcBorders>
              <w:top w:val="single" w:sz="4" w:space="0" w:color="000000"/>
              <w:left w:val="single" w:sz="4" w:space="0" w:color="000000"/>
              <w:bottom w:val="single" w:sz="4" w:space="0" w:color="000000"/>
              <w:right w:val="single" w:sz="4" w:space="0" w:color="000000"/>
            </w:tcBorders>
            <w:vAlign w:val="bottom"/>
          </w:tcPr>
          <w:p w14:paraId="497EDD65"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23.1</w:t>
            </w:r>
          </w:p>
        </w:tc>
        <w:tc>
          <w:tcPr>
            <w:tcW w:w="1530" w:type="dxa"/>
            <w:tcBorders>
              <w:top w:val="single" w:sz="4" w:space="0" w:color="000000"/>
              <w:left w:val="single" w:sz="4" w:space="0" w:color="000000"/>
              <w:bottom w:val="single" w:sz="4" w:space="0" w:color="000000"/>
              <w:right w:val="single" w:sz="4" w:space="0" w:color="000000"/>
            </w:tcBorders>
            <w:vAlign w:val="bottom"/>
          </w:tcPr>
          <w:p w14:paraId="230042E9"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2731.2</w:t>
            </w:r>
          </w:p>
        </w:tc>
      </w:tr>
      <w:tr w:rsidR="0097291C" w:rsidRPr="0075534A" w14:paraId="0562FB9B"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7938127B" w14:textId="77777777" w:rsidR="0097291C" w:rsidRPr="0075534A" w:rsidRDefault="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8</w:t>
            </w:r>
          </w:p>
        </w:tc>
        <w:tc>
          <w:tcPr>
            <w:tcW w:w="2160" w:type="dxa"/>
            <w:tcBorders>
              <w:top w:val="single" w:sz="4" w:space="0" w:color="000000"/>
              <w:left w:val="single" w:sz="4" w:space="0" w:color="000000"/>
              <w:bottom w:val="single" w:sz="4" w:space="0" w:color="000000"/>
              <w:right w:val="single" w:sz="4" w:space="0" w:color="000000"/>
            </w:tcBorders>
            <w:vAlign w:val="center"/>
          </w:tcPr>
          <w:p w14:paraId="7729E028" w14:textId="77777777" w:rsidR="0097291C" w:rsidRPr="0075534A" w:rsidRDefault="0075534A">
            <w:pPr>
              <w:spacing w:after="0"/>
              <w:jc w:val="center"/>
              <w:rPr>
                <w:rFonts w:ascii="Times New Roman" w:hAnsi="Times New Roman" w:cs="Times New Roman"/>
              </w:rPr>
            </w:pPr>
            <w:r w:rsidRPr="0075534A">
              <w:rPr>
                <w:rFonts w:ascii="Times New Roman" w:hAnsi="Times New Roman" w:cs="Times New Roman"/>
                <w:color w:val="000000"/>
              </w:rPr>
              <w:t>TPP-8</w:t>
            </w:r>
          </w:p>
        </w:tc>
        <w:tc>
          <w:tcPr>
            <w:tcW w:w="1530" w:type="dxa"/>
            <w:tcBorders>
              <w:top w:val="single" w:sz="4" w:space="0" w:color="000000"/>
              <w:left w:val="single" w:sz="4" w:space="0" w:color="000000"/>
              <w:bottom w:val="single" w:sz="4" w:space="0" w:color="000000"/>
              <w:right w:val="single" w:sz="4" w:space="0" w:color="000000"/>
            </w:tcBorders>
            <w:vAlign w:val="center"/>
          </w:tcPr>
          <w:p w14:paraId="1C8958E4"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81.1</w:t>
            </w:r>
          </w:p>
        </w:tc>
        <w:tc>
          <w:tcPr>
            <w:tcW w:w="1530" w:type="dxa"/>
            <w:tcBorders>
              <w:top w:val="single" w:sz="4" w:space="0" w:color="000000"/>
              <w:left w:val="single" w:sz="4" w:space="0" w:color="000000"/>
              <w:bottom w:val="single" w:sz="4" w:space="0" w:color="000000"/>
              <w:right w:val="single" w:sz="4" w:space="0" w:color="000000"/>
            </w:tcBorders>
            <w:vAlign w:val="bottom"/>
          </w:tcPr>
          <w:p w14:paraId="5C23EE21"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10.2</w:t>
            </w:r>
          </w:p>
        </w:tc>
        <w:tc>
          <w:tcPr>
            <w:tcW w:w="1530" w:type="dxa"/>
            <w:tcBorders>
              <w:top w:val="single" w:sz="4" w:space="0" w:color="000000"/>
              <w:left w:val="single" w:sz="4" w:space="0" w:color="000000"/>
              <w:bottom w:val="single" w:sz="4" w:space="0" w:color="000000"/>
              <w:right w:val="single" w:sz="4" w:space="0" w:color="000000"/>
            </w:tcBorders>
            <w:vAlign w:val="bottom"/>
          </w:tcPr>
          <w:p w14:paraId="697356E1"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23.1</w:t>
            </w:r>
          </w:p>
        </w:tc>
        <w:tc>
          <w:tcPr>
            <w:tcW w:w="1530" w:type="dxa"/>
            <w:tcBorders>
              <w:top w:val="single" w:sz="4" w:space="0" w:color="000000"/>
              <w:left w:val="single" w:sz="4" w:space="0" w:color="000000"/>
              <w:bottom w:val="single" w:sz="4" w:space="0" w:color="000000"/>
              <w:right w:val="single" w:sz="4" w:space="0" w:color="000000"/>
            </w:tcBorders>
            <w:vAlign w:val="bottom"/>
          </w:tcPr>
          <w:p w14:paraId="08D8EF5A"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2701.4</w:t>
            </w:r>
          </w:p>
        </w:tc>
      </w:tr>
      <w:tr w:rsidR="0097291C" w:rsidRPr="0075534A" w14:paraId="5DDACAC8"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415B2DB8" w14:textId="77777777" w:rsidR="0097291C" w:rsidRPr="0075534A" w:rsidRDefault="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9</w:t>
            </w:r>
          </w:p>
        </w:tc>
        <w:tc>
          <w:tcPr>
            <w:tcW w:w="2160" w:type="dxa"/>
            <w:tcBorders>
              <w:top w:val="single" w:sz="4" w:space="0" w:color="000000"/>
              <w:left w:val="single" w:sz="4" w:space="0" w:color="000000"/>
              <w:bottom w:val="single" w:sz="4" w:space="0" w:color="000000"/>
              <w:right w:val="single" w:sz="4" w:space="0" w:color="000000"/>
            </w:tcBorders>
            <w:vAlign w:val="center"/>
          </w:tcPr>
          <w:p w14:paraId="61F5BF76" w14:textId="77777777" w:rsidR="0097291C" w:rsidRPr="0075534A" w:rsidRDefault="0075534A">
            <w:pPr>
              <w:spacing w:after="0"/>
              <w:jc w:val="center"/>
              <w:rPr>
                <w:rFonts w:ascii="Times New Roman" w:hAnsi="Times New Roman" w:cs="Times New Roman"/>
              </w:rPr>
            </w:pPr>
            <w:r w:rsidRPr="0075534A">
              <w:rPr>
                <w:rFonts w:ascii="Times New Roman" w:hAnsi="Times New Roman" w:cs="Times New Roman"/>
                <w:color w:val="000000"/>
              </w:rPr>
              <w:t>TPP-9</w:t>
            </w:r>
          </w:p>
        </w:tc>
        <w:tc>
          <w:tcPr>
            <w:tcW w:w="1530" w:type="dxa"/>
            <w:tcBorders>
              <w:top w:val="single" w:sz="4" w:space="0" w:color="000000"/>
              <w:left w:val="single" w:sz="4" w:space="0" w:color="000000"/>
              <w:bottom w:val="single" w:sz="4" w:space="0" w:color="000000"/>
              <w:right w:val="single" w:sz="4" w:space="0" w:color="000000"/>
            </w:tcBorders>
            <w:vAlign w:val="center"/>
          </w:tcPr>
          <w:p w14:paraId="2BBF06FB"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80.4</w:t>
            </w:r>
          </w:p>
        </w:tc>
        <w:tc>
          <w:tcPr>
            <w:tcW w:w="1530" w:type="dxa"/>
            <w:tcBorders>
              <w:top w:val="single" w:sz="4" w:space="0" w:color="000000"/>
              <w:left w:val="single" w:sz="4" w:space="0" w:color="000000"/>
              <w:bottom w:val="single" w:sz="4" w:space="0" w:color="000000"/>
              <w:right w:val="single" w:sz="4" w:space="0" w:color="000000"/>
            </w:tcBorders>
            <w:vAlign w:val="bottom"/>
          </w:tcPr>
          <w:p w14:paraId="5A7BA15A"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10.3</w:t>
            </w:r>
          </w:p>
        </w:tc>
        <w:tc>
          <w:tcPr>
            <w:tcW w:w="1530" w:type="dxa"/>
            <w:tcBorders>
              <w:top w:val="single" w:sz="4" w:space="0" w:color="000000"/>
              <w:left w:val="single" w:sz="4" w:space="0" w:color="000000"/>
              <w:bottom w:val="single" w:sz="4" w:space="0" w:color="000000"/>
              <w:right w:val="single" w:sz="4" w:space="0" w:color="000000"/>
            </w:tcBorders>
            <w:vAlign w:val="bottom"/>
          </w:tcPr>
          <w:p w14:paraId="53E9CF30"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23.8</w:t>
            </w:r>
          </w:p>
        </w:tc>
        <w:tc>
          <w:tcPr>
            <w:tcW w:w="1530" w:type="dxa"/>
            <w:tcBorders>
              <w:top w:val="single" w:sz="4" w:space="0" w:color="000000"/>
              <w:left w:val="single" w:sz="4" w:space="0" w:color="000000"/>
              <w:bottom w:val="single" w:sz="4" w:space="0" w:color="000000"/>
              <w:right w:val="single" w:sz="4" w:space="0" w:color="000000"/>
            </w:tcBorders>
            <w:vAlign w:val="bottom"/>
          </w:tcPr>
          <w:p w14:paraId="4BBE47F1"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2744.6</w:t>
            </w:r>
          </w:p>
        </w:tc>
      </w:tr>
      <w:tr w:rsidR="0097291C" w:rsidRPr="0075534A" w14:paraId="0A010CE4"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2DA23984" w14:textId="77777777" w:rsidR="0097291C" w:rsidRPr="0075534A" w:rsidRDefault="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10</w:t>
            </w:r>
          </w:p>
        </w:tc>
        <w:tc>
          <w:tcPr>
            <w:tcW w:w="2160" w:type="dxa"/>
            <w:tcBorders>
              <w:top w:val="single" w:sz="4" w:space="0" w:color="000000"/>
              <w:left w:val="single" w:sz="4" w:space="0" w:color="000000"/>
              <w:bottom w:val="single" w:sz="4" w:space="0" w:color="000000"/>
              <w:right w:val="single" w:sz="4" w:space="0" w:color="000000"/>
            </w:tcBorders>
            <w:vAlign w:val="center"/>
          </w:tcPr>
          <w:p w14:paraId="43855525" w14:textId="77777777" w:rsidR="0097291C" w:rsidRPr="0075534A" w:rsidRDefault="0075534A">
            <w:pPr>
              <w:spacing w:after="0"/>
              <w:jc w:val="center"/>
              <w:rPr>
                <w:rFonts w:ascii="Times New Roman" w:hAnsi="Times New Roman" w:cs="Times New Roman"/>
              </w:rPr>
            </w:pPr>
            <w:r w:rsidRPr="0075534A">
              <w:rPr>
                <w:rFonts w:ascii="Times New Roman" w:hAnsi="Times New Roman" w:cs="Times New Roman"/>
                <w:color w:val="000000"/>
              </w:rPr>
              <w:t>TPP-10</w:t>
            </w:r>
          </w:p>
        </w:tc>
        <w:tc>
          <w:tcPr>
            <w:tcW w:w="1530" w:type="dxa"/>
            <w:tcBorders>
              <w:top w:val="single" w:sz="4" w:space="0" w:color="000000"/>
              <w:left w:val="single" w:sz="4" w:space="0" w:color="000000"/>
              <w:bottom w:val="single" w:sz="4" w:space="0" w:color="000000"/>
              <w:right w:val="single" w:sz="4" w:space="0" w:color="000000"/>
            </w:tcBorders>
            <w:vAlign w:val="center"/>
          </w:tcPr>
          <w:p w14:paraId="6D203E43"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92.4</w:t>
            </w:r>
          </w:p>
        </w:tc>
        <w:tc>
          <w:tcPr>
            <w:tcW w:w="1530" w:type="dxa"/>
            <w:tcBorders>
              <w:top w:val="single" w:sz="4" w:space="0" w:color="000000"/>
              <w:left w:val="single" w:sz="4" w:space="0" w:color="000000"/>
              <w:bottom w:val="single" w:sz="4" w:space="0" w:color="000000"/>
              <w:right w:val="single" w:sz="4" w:space="0" w:color="000000"/>
            </w:tcBorders>
            <w:vAlign w:val="bottom"/>
          </w:tcPr>
          <w:p w14:paraId="090177AB"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12.2</w:t>
            </w:r>
          </w:p>
        </w:tc>
        <w:tc>
          <w:tcPr>
            <w:tcW w:w="1530" w:type="dxa"/>
            <w:tcBorders>
              <w:top w:val="single" w:sz="4" w:space="0" w:color="000000"/>
              <w:left w:val="single" w:sz="4" w:space="0" w:color="000000"/>
              <w:bottom w:val="single" w:sz="4" w:space="0" w:color="000000"/>
              <w:right w:val="single" w:sz="4" w:space="0" w:color="000000"/>
            </w:tcBorders>
            <w:vAlign w:val="bottom"/>
          </w:tcPr>
          <w:p w14:paraId="1858A12F"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27.4</w:t>
            </w:r>
          </w:p>
        </w:tc>
        <w:tc>
          <w:tcPr>
            <w:tcW w:w="1530" w:type="dxa"/>
            <w:tcBorders>
              <w:top w:val="single" w:sz="4" w:space="0" w:color="000000"/>
              <w:left w:val="single" w:sz="4" w:space="0" w:color="000000"/>
              <w:bottom w:val="single" w:sz="4" w:space="0" w:color="000000"/>
              <w:right w:val="single" w:sz="4" w:space="0" w:color="000000"/>
            </w:tcBorders>
            <w:vAlign w:val="bottom"/>
          </w:tcPr>
          <w:p w14:paraId="1B2C352F"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3662.5</w:t>
            </w:r>
          </w:p>
        </w:tc>
      </w:tr>
      <w:tr w:rsidR="0097291C" w:rsidRPr="0075534A" w14:paraId="0747E34A"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65583EDF" w14:textId="77777777" w:rsidR="0097291C" w:rsidRPr="0075534A" w:rsidRDefault="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11</w:t>
            </w:r>
          </w:p>
        </w:tc>
        <w:tc>
          <w:tcPr>
            <w:tcW w:w="2160" w:type="dxa"/>
            <w:tcBorders>
              <w:top w:val="single" w:sz="4" w:space="0" w:color="000000"/>
              <w:left w:val="single" w:sz="4" w:space="0" w:color="000000"/>
              <w:bottom w:val="single" w:sz="4" w:space="0" w:color="000000"/>
              <w:right w:val="single" w:sz="4" w:space="0" w:color="000000"/>
            </w:tcBorders>
            <w:vAlign w:val="center"/>
          </w:tcPr>
          <w:p w14:paraId="0570EC1F" w14:textId="77777777" w:rsidR="0097291C" w:rsidRPr="0075534A" w:rsidRDefault="0075534A">
            <w:pPr>
              <w:spacing w:after="0"/>
              <w:jc w:val="center"/>
              <w:rPr>
                <w:rFonts w:ascii="Times New Roman" w:hAnsi="Times New Roman" w:cs="Times New Roman"/>
              </w:rPr>
            </w:pPr>
            <w:r w:rsidRPr="0075534A">
              <w:rPr>
                <w:rFonts w:ascii="Times New Roman" w:hAnsi="Times New Roman" w:cs="Times New Roman"/>
                <w:color w:val="000000"/>
              </w:rPr>
              <w:t>TPP-11</w:t>
            </w:r>
          </w:p>
        </w:tc>
        <w:tc>
          <w:tcPr>
            <w:tcW w:w="1530" w:type="dxa"/>
            <w:tcBorders>
              <w:top w:val="single" w:sz="4" w:space="0" w:color="000000"/>
              <w:left w:val="single" w:sz="4" w:space="0" w:color="000000"/>
              <w:bottom w:val="single" w:sz="4" w:space="0" w:color="000000"/>
              <w:right w:val="single" w:sz="4" w:space="0" w:color="000000"/>
            </w:tcBorders>
            <w:vAlign w:val="center"/>
          </w:tcPr>
          <w:p w14:paraId="581F2572"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84.2</w:t>
            </w:r>
          </w:p>
        </w:tc>
        <w:tc>
          <w:tcPr>
            <w:tcW w:w="1530" w:type="dxa"/>
            <w:tcBorders>
              <w:top w:val="single" w:sz="4" w:space="0" w:color="000000"/>
              <w:left w:val="single" w:sz="4" w:space="0" w:color="000000"/>
              <w:bottom w:val="single" w:sz="4" w:space="0" w:color="000000"/>
              <w:right w:val="single" w:sz="4" w:space="0" w:color="000000"/>
            </w:tcBorders>
            <w:vAlign w:val="bottom"/>
          </w:tcPr>
          <w:p w14:paraId="3DEC6B7E"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11.1</w:t>
            </w:r>
          </w:p>
        </w:tc>
        <w:tc>
          <w:tcPr>
            <w:tcW w:w="1530" w:type="dxa"/>
            <w:tcBorders>
              <w:top w:val="single" w:sz="4" w:space="0" w:color="000000"/>
              <w:left w:val="single" w:sz="4" w:space="0" w:color="000000"/>
              <w:bottom w:val="single" w:sz="4" w:space="0" w:color="000000"/>
              <w:right w:val="single" w:sz="4" w:space="0" w:color="000000"/>
            </w:tcBorders>
            <w:vAlign w:val="bottom"/>
          </w:tcPr>
          <w:p w14:paraId="31E49BE3"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25.1</w:t>
            </w:r>
          </w:p>
        </w:tc>
        <w:tc>
          <w:tcPr>
            <w:tcW w:w="1530" w:type="dxa"/>
            <w:tcBorders>
              <w:top w:val="single" w:sz="4" w:space="0" w:color="000000"/>
              <w:left w:val="single" w:sz="4" w:space="0" w:color="000000"/>
              <w:bottom w:val="single" w:sz="4" w:space="0" w:color="000000"/>
              <w:right w:val="single" w:sz="4" w:space="0" w:color="000000"/>
            </w:tcBorders>
            <w:vAlign w:val="bottom"/>
          </w:tcPr>
          <w:p w14:paraId="2A3D2883"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3050.1</w:t>
            </w:r>
          </w:p>
        </w:tc>
      </w:tr>
      <w:tr w:rsidR="0097291C" w:rsidRPr="0075534A" w14:paraId="37A29F6B"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6BE73C1C" w14:textId="77777777" w:rsidR="0097291C" w:rsidRPr="0075534A" w:rsidRDefault="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12</w:t>
            </w:r>
          </w:p>
        </w:tc>
        <w:tc>
          <w:tcPr>
            <w:tcW w:w="2160" w:type="dxa"/>
            <w:tcBorders>
              <w:top w:val="single" w:sz="4" w:space="0" w:color="000000"/>
              <w:left w:val="single" w:sz="4" w:space="0" w:color="000000"/>
              <w:bottom w:val="single" w:sz="4" w:space="0" w:color="000000"/>
              <w:right w:val="single" w:sz="4" w:space="0" w:color="000000"/>
            </w:tcBorders>
            <w:vAlign w:val="center"/>
          </w:tcPr>
          <w:p w14:paraId="20FA0126" w14:textId="77777777" w:rsidR="0097291C" w:rsidRPr="0075534A" w:rsidRDefault="0075534A">
            <w:pPr>
              <w:spacing w:after="0"/>
              <w:jc w:val="center"/>
              <w:rPr>
                <w:rFonts w:ascii="Times New Roman" w:hAnsi="Times New Roman" w:cs="Times New Roman"/>
              </w:rPr>
            </w:pPr>
            <w:r w:rsidRPr="0075534A">
              <w:rPr>
                <w:rFonts w:ascii="Times New Roman" w:hAnsi="Times New Roman" w:cs="Times New Roman"/>
                <w:color w:val="000000"/>
              </w:rPr>
              <w:t>TPP-12</w:t>
            </w:r>
          </w:p>
        </w:tc>
        <w:tc>
          <w:tcPr>
            <w:tcW w:w="1530" w:type="dxa"/>
            <w:tcBorders>
              <w:top w:val="single" w:sz="4" w:space="0" w:color="000000"/>
              <w:left w:val="single" w:sz="4" w:space="0" w:color="000000"/>
              <w:bottom w:val="single" w:sz="4" w:space="0" w:color="000000"/>
              <w:right w:val="single" w:sz="4" w:space="0" w:color="000000"/>
            </w:tcBorders>
            <w:vAlign w:val="center"/>
          </w:tcPr>
          <w:p w14:paraId="320AD5C3"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83.6</w:t>
            </w:r>
          </w:p>
        </w:tc>
        <w:tc>
          <w:tcPr>
            <w:tcW w:w="1530" w:type="dxa"/>
            <w:tcBorders>
              <w:top w:val="single" w:sz="4" w:space="0" w:color="000000"/>
              <w:left w:val="single" w:sz="4" w:space="0" w:color="000000"/>
              <w:bottom w:val="single" w:sz="4" w:space="0" w:color="000000"/>
              <w:right w:val="single" w:sz="4" w:space="0" w:color="000000"/>
            </w:tcBorders>
            <w:vAlign w:val="bottom"/>
          </w:tcPr>
          <w:p w14:paraId="64B77434"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11.3</w:t>
            </w:r>
          </w:p>
        </w:tc>
        <w:tc>
          <w:tcPr>
            <w:tcW w:w="1530" w:type="dxa"/>
            <w:tcBorders>
              <w:top w:val="single" w:sz="4" w:space="0" w:color="000000"/>
              <w:left w:val="single" w:sz="4" w:space="0" w:color="000000"/>
              <w:bottom w:val="single" w:sz="4" w:space="0" w:color="000000"/>
              <w:right w:val="single" w:sz="4" w:space="0" w:color="000000"/>
            </w:tcBorders>
            <w:vAlign w:val="bottom"/>
          </w:tcPr>
          <w:p w14:paraId="6CF1CAFA"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25.6</w:t>
            </w:r>
          </w:p>
        </w:tc>
        <w:tc>
          <w:tcPr>
            <w:tcW w:w="1530" w:type="dxa"/>
            <w:tcBorders>
              <w:top w:val="single" w:sz="4" w:space="0" w:color="000000"/>
              <w:left w:val="single" w:sz="4" w:space="0" w:color="000000"/>
              <w:bottom w:val="single" w:sz="4" w:space="0" w:color="000000"/>
              <w:right w:val="single" w:sz="4" w:space="0" w:color="000000"/>
            </w:tcBorders>
            <w:vAlign w:val="bottom"/>
          </w:tcPr>
          <w:p w14:paraId="1304BBBB"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3077.2</w:t>
            </w:r>
          </w:p>
        </w:tc>
      </w:tr>
      <w:tr w:rsidR="0097291C" w:rsidRPr="0075534A" w14:paraId="790B0D8F"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74CAA555" w14:textId="77777777" w:rsidR="0097291C" w:rsidRPr="0075534A" w:rsidRDefault="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13</w:t>
            </w:r>
          </w:p>
        </w:tc>
        <w:tc>
          <w:tcPr>
            <w:tcW w:w="2160" w:type="dxa"/>
            <w:tcBorders>
              <w:top w:val="single" w:sz="4" w:space="0" w:color="000000"/>
              <w:left w:val="single" w:sz="4" w:space="0" w:color="000000"/>
              <w:bottom w:val="single" w:sz="4" w:space="0" w:color="000000"/>
              <w:right w:val="single" w:sz="4" w:space="0" w:color="000000"/>
            </w:tcBorders>
            <w:vAlign w:val="center"/>
          </w:tcPr>
          <w:p w14:paraId="1D35A970" w14:textId="77777777" w:rsidR="0097291C" w:rsidRPr="0075534A" w:rsidRDefault="0075534A">
            <w:pPr>
              <w:spacing w:after="0"/>
              <w:jc w:val="center"/>
              <w:rPr>
                <w:rFonts w:ascii="Times New Roman" w:hAnsi="Times New Roman" w:cs="Times New Roman"/>
              </w:rPr>
            </w:pPr>
            <w:r w:rsidRPr="0075534A">
              <w:rPr>
                <w:rFonts w:ascii="Times New Roman" w:hAnsi="Times New Roman" w:cs="Times New Roman"/>
                <w:color w:val="000000"/>
              </w:rPr>
              <w:t>TPP-13</w:t>
            </w:r>
          </w:p>
        </w:tc>
        <w:tc>
          <w:tcPr>
            <w:tcW w:w="1530" w:type="dxa"/>
            <w:tcBorders>
              <w:top w:val="single" w:sz="4" w:space="0" w:color="000000"/>
              <w:left w:val="single" w:sz="4" w:space="0" w:color="000000"/>
              <w:bottom w:val="single" w:sz="4" w:space="0" w:color="000000"/>
              <w:right w:val="single" w:sz="4" w:space="0" w:color="000000"/>
            </w:tcBorders>
            <w:vAlign w:val="center"/>
          </w:tcPr>
          <w:p w14:paraId="2EB1F565"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84.6</w:t>
            </w:r>
          </w:p>
        </w:tc>
        <w:tc>
          <w:tcPr>
            <w:tcW w:w="1530" w:type="dxa"/>
            <w:tcBorders>
              <w:top w:val="single" w:sz="4" w:space="0" w:color="000000"/>
              <w:left w:val="single" w:sz="4" w:space="0" w:color="000000"/>
              <w:bottom w:val="single" w:sz="4" w:space="0" w:color="000000"/>
              <w:right w:val="single" w:sz="4" w:space="0" w:color="000000"/>
            </w:tcBorders>
            <w:vAlign w:val="bottom"/>
          </w:tcPr>
          <w:p w14:paraId="7C1FF702"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11.2</w:t>
            </w:r>
          </w:p>
        </w:tc>
        <w:tc>
          <w:tcPr>
            <w:tcW w:w="1530" w:type="dxa"/>
            <w:tcBorders>
              <w:top w:val="single" w:sz="4" w:space="0" w:color="000000"/>
              <w:left w:val="single" w:sz="4" w:space="0" w:color="000000"/>
              <w:bottom w:val="single" w:sz="4" w:space="0" w:color="000000"/>
              <w:right w:val="single" w:sz="4" w:space="0" w:color="000000"/>
            </w:tcBorders>
            <w:vAlign w:val="bottom"/>
          </w:tcPr>
          <w:p w14:paraId="71540754"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26.3</w:t>
            </w:r>
          </w:p>
        </w:tc>
        <w:tc>
          <w:tcPr>
            <w:tcW w:w="1530" w:type="dxa"/>
            <w:tcBorders>
              <w:top w:val="single" w:sz="4" w:space="0" w:color="000000"/>
              <w:left w:val="single" w:sz="4" w:space="0" w:color="000000"/>
              <w:bottom w:val="single" w:sz="4" w:space="0" w:color="000000"/>
              <w:right w:val="single" w:sz="4" w:space="0" w:color="000000"/>
            </w:tcBorders>
            <w:vAlign w:val="bottom"/>
          </w:tcPr>
          <w:p w14:paraId="3FAA083E"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3174.9</w:t>
            </w:r>
          </w:p>
        </w:tc>
      </w:tr>
      <w:tr w:rsidR="0097291C" w:rsidRPr="0075534A" w14:paraId="0C88D907"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38141B63" w14:textId="77777777" w:rsidR="0097291C" w:rsidRPr="0075534A" w:rsidRDefault="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14</w:t>
            </w:r>
          </w:p>
        </w:tc>
        <w:tc>
          <w:tcPr>
            <w:tcW w:w="2160" w:type="dxa"/>
            <w:tcBorders>
              <w:top w:val="single" w:sz="4" w:space="0" w:color="000000"/>
              <w:left w:val="single" w:sz="4" w:space="0" w:color="000000"/>
              <w:bottom w:val="single" w:sz="4" w:space="0" w:color="000000"/>
              <w:right w:val="single" w:sz="4" w:space="0" w:color="000000"/>
            </w:tcBorders>
            <w:vAlign w:val="center"/>
          </w:tcPr>
          <w:p w14:paraId="766B894A" w14:textId="77777777" w:rsidR="0097291C" w:rsidRPr="0075534A" w:rsidRDefault="0075534A">
            <w:pPr>
              <w:spacing w:after="0"/>
              <w:jc w:val="center"/>
              <w:rPr>
                <w:rFonts w:ascii="Times New Roman" w:hAnsi="Times New Roman" w:cs="Times New Roman"/>
              </w:rPr>
            </w:pPr>
            <w:r w:rsidRPr="0075534A">
              <w:rPr>
                <w:rFonts w:ascii="Times New Roman" w:hAnsi="Times New Roman" w:cs="Times New Roman"/>
                <w:color w:val="000000"/>
              </w:rPr>
              <w:t>TPP-14</w:t>
            </w:r>
          </w:p>
        </w:tc>
        <w:tc>
          <w:tcPr>
            <w:tcW w:w="1530" w:type="dxa"/>
            <w:tcBorders>
              <w:top w:val="single" w:sz="4" w:space="0" w:color="000000"/>
              <w:left w:val="single" w:sz="4" w:space="0" w:color="000000"/>
              <w:bottom w:val="single" w:sz="4" w:space="0" w:color="000000"/>
              <w:right w:val="single" w:sz="4" w:space="0" w:color="000000"/>
            </w:tcBorders>
            <w:vAlign w:val="center"/>
          </w:tcPr>
          <w:p w14:paraId="167EE468"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92.1</w:t>
            </w:r>
          </w:p>
        </w:tc>
        <w:tc>
          <w:tcPr>
            <w:tcW w:w="1530" w:type="dxa"/>
            <w:tcBorders>
              <w:top w:val="single" w:sz="4" w:space="0" w:color="000000"/>
              <w:left w:val="single" w:sz="4" w:space="0" w:color="000000"/>
              <w:bottom w:val="single" w:sz="4" w:space="0" w:color="000000"/>
              <w:right w:val="single" w:sz="4" w:space="0" w:color="000000"/>
            </w:tcBorders>
            <w:vAlign w:val="bottom"/>
          </w:tcPr>
          <w:p w14:paraId="1D0D1B76"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10.7</w:t>
            </w:r>
          </w:p>
        </w:tc>
        <w:tc>
          <w:tcPr>
            <w:tcW w:w="1530" w:type="dxa"/>
            <w:tcBorders>
              <w:top w:val="single" w:sz="4" w:space="0" w:color="000000"/>
              <w:left w:val="single" w:sz="4" w:space="0" w:color="000000"/>
              <w:bottom w:val="single" w:sz="4" w:space="0" w:color="000000"/>
              <w:right w:val="single" w:sz="4" w:space="0" w:color="000000"/>
            </w:tcBorders>
            <w:vAlign w:val="bottom"/>
          </w:tcPr>
          <w:p w14:paraId="1AE341C1"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26.7</w:t>
            </w:r>
          </w:p>
        </w:tc>
        <w:tc>
          <w:tcPr>
            <w:tcW w:w="1530" w:type="dxa"/>
            <w:tcBorders>
              <w:top w:val="single" w:sz="4" w:space="0" w:color="000000"/>
              <w:left w:val="single" w:sz="4" w:space="0" w:color="000000"/>
              <w:bottom w:val="single" w:sz="4" w:space="0" w:color="000000"/>
              <w:right w:val="single" w:sz="4" w:space="0" w:color="000000"/>
            </w:tcBorders>
            <w:vAlign w:val="bottom"/>
          </w:tcPr>
          <w:p w14:paraId="1B5E5252"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3445.5</w:t>
            </w:r>
          </w:p>
        </w:tc>
      </w:tr>
      <w:tr w:rsidR="0097291C" w:rsidRPr="0075534A" w14:paraId="03FAFB28"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78FA8EB9" w14:textId="77777777" w:rsidR="0097291C" w:rsidRPr="0075534A" w:rsidRDefault="0075534A">
            <w:pPr>
              <w:spacing w:after="0" w:line="240" w:lineRule="auto"/>
              <w:jc w:val="center"/>
              <w:rPr>
                <w:rFonts w:ascii="Times New Roman" w:hAnsi="Times New Roman" w:cs="Times New Roman"/>
                <w:b/>
                <w:bCs/>
                <w:color w:val="000000"/>
              </w:rPr>
            </w:pPr>
            <w:r w:rsidRPr="0075534A">
              <w:rPr>
                <w:rFonts w:ascii="Times New Roman" w:hAnsi="Times New Roman" w:cs="Times New Roman"/>
                <w:b/>
                <w:bCs/>
                <w:color w:val="000000"/>
              </w:rPr>
              <w:t>15</w:t>
            </w:r>
          </w:p>
        </w:tc>
        <w:tc>
          <w:tcPr>
            <w:tcW w:w="2160" w:type="dxa"/>
            <w:tcBorders>
              <w:top w:val="single" w:sz="4" w:space="0" w:color="000000"/>
              <w:left w:val="single" w:sz="4" w:space="0" w:color="000000"/>
              <w:bottom w:val="single" w:sz="4" w:space="0" w:color="000000"/>
              <w:right w:val="single" w:sz="4" w:space="0" w:color="000000"/>
            </w:tcBorders>
            <w:vAlign w:val="center"/>
          </w:tcPr>
          <w:p w14:paraId="3F423D5A" w14:textId="77777777" w:rsidR="0097291C" w:rsidRPr="0075534A" w:rsidRDefault="0075534A">
            <w:pPr>
              <w:spacing w:after="0"/>
              <w:jc w:val="center"/>
              <w:rPr>
                <w:rFonts w:ascii="Times New Roman" w:hAnsi="Times New Roman" w:cs="Times New Roman"/>
                <w:b/>
                <w:bCs/>
              </w:rPr>
            </w:pPr>
            <w:r w:rsidRPr="0075534A">
              <w:rPr>
                <w:rFonts w:ascii="Times New Roman" w:hAnsi="Times New Roman" w:cs="Times New Roman"/>
                <w:b/>
                <w:bCs/>
                <w:color w:val="000000"/>
              </w:rPr>
              <w:t>TPP-15</w:t>
            </w:r>
          </w:p>
        </w:tc>
        <w:tc>
          <w:tcPr>
            <w:tcW w:w="1530" w:type="dxa"/>
            <w:tcBorders>
              <w:top w:val="single" w:sz="4" w:space="0" w:color="000000"/>
              <w:left w:val="single" w:sz="4" w:space="0" w:color="000000"/>
              <w:bottom w:val="single" w:sz="4" w:space="0" w:color="000000"/>
              <w:right w:val="single" w:sz="4" w:space="0" w:color="000000"/>
            </w:tcBorders>
            <w:vAlign w:val="center"/>
          </w:tcPr>
          <w:p w14:paraId="6B388022"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93.6</w:t>
            </w:r>
          </w:p>
        </w:tc>
        <w:tc>
          <w:tcPr>
            <w:tcW w:w="1530" w:type="dxa"/>
            <w:tcBorders>
              <w:top w:val="single" w:sz="4" w:space="0" w:color="000000"/>
              <w:left w:val="single" w:sz="4" w:space="0" w:color="000000"/>
              <w:bottom w:val="single" w:sz="4" w:space="0" w:color="000000"/>
              <w:right w:val="single" w:sz="4" w:space="0" w:color="000000"/>
            </w:tcBorders>
            <w:vAlign w:val="bottom"/>
          </w:tcPr>
          <w:p w14:paraId="71987B67"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13.5</w:t>
            </w:r>
          </w:p>
        </w:tc>
        <w:tc>
          <w:tcPr>
            <w:tcW w:w="1530" w:type="dxa"/>
            <w:tcBorders>
              <w:top w:val="single" w:sz="4" w:space="0" w:color="000000"/>
              <w:left w:val="single" w:sz="4" w:space="0" w:color="000000"/>
              <w:bottom w:val="single" w:sz="4" w:space="0" w:color="000000"/>
              <w:right w:val="single" w:sz="4" w:space="0" w:color="000000"/>
            </w:tcBorders>
            <w:vAlign w:val="bottom"/>
          </w:tcPr>
          <w:p w14:paraId="01C323B8"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28.9</w:t>
            </w:r>
          </w:p>
        </w:tc>
        <w:tc>
          <w:tcPr>
            <w:tcW w:w="1530" w:type="dxa"/>
            <w:tcBorders>
              <w:top w:val="single" w:sz="4" w:space="0" w:color="000000"/>
              <w:left w:val="single" w:sz="4" w:space="0" w:color="000000"/>
              <w:bottom w:val="single" w:sz="4" w:space="0" w:color="000000"/>
              <w:right w:val="single" w:sz="4" w:space="0" w:color="000000"/>
            </w:tcBorders>
            <w:vAlign w:val="bottom"/>
          </w:tcPr>
          <w:p w14:paraId="363E02B7"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3969.6</w:t>
            </w:r>
          </w:p>
        </w:tc>
      </w:tr>
      <w:tr w:rsidR="0097291C" w:rsidRPr="0075534A" w14:paraId="3A929F9E"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4E81DB63" w14:textId="77777777" w:rsidR="0097291C" w:rsidRPr="0075534A" w:rsidRDefault="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16</w:t>
            </w:r>
          </w:p>
        </w:tc>
        <w:tc>
          <w:tcPr>
            <w:tcW w:w="2160" w:type="dxa"/>
            <w:tcBorders>
              <w:top w:val="single" w:sz="4" w:space="0" w:color="000000"/>
              <w:left w:val="single" w:sz="4" w:space="0" w:color="000000"/>
              <w:bottom w:val="single" w:sz="4" w:space="0" w:color="000000"/>
              <w:right w:val="single" w:sz="4" w:space="0" w:color="000000"/>
            </w:tcBorders>
            <w:vAlign w:val="center"/>
          </w:tcPr>
          <w:p w14:paraId="66CA4519" w14:textId="77777777" w:rsidR="0097291C" w:rsidRPr="0075534A" w:rsidRDefault="0075534A">
            <w:pPr>
              <w:spacing w:after="0"/>
              <w:jc w:val="center"/>
              <w:rPr>
                <w:rFonts w:ascii="Times New Roman" w:hAnsi="Times New Roman" w:cs="Times New Roman"/>
              </w:rPr>
            </w:pPr>
            <w:r w:rsidRPr="0075534A">
              <w:rPr>
                <w:rFonts w:ascii="Times New Roman" w:hAnsi="Times New Roman" w:cs="Times New Roman"/>
                <w:color w:val="000000"/>
              </w:rPr>
              <w:t>TPP-16</w:t>
            </w:r>
          </w:p>
        </w:tc>
        <w:tc>
          <w:tcPr>
            <w:tcW w:w="1530" w:type="dxa"/>
            <w:tcBorders>
              <w:top w:val="single" w:sz="4" w:space="0" w:color="000000"/>
              <w:left w:val="single" w:sz="4" w:space="0" w:color="000000"/>
              <w:bottom w:val="single" w:sz="4" w:space="0" w:color="000000"/>
              <w:right w:val="single" w:sz="4" w:space="0" w:color="000000"/>
            </w:tcBorders>
            <w:vAlign w:val="center"/>
          </w:tcPr>
          <w:p w14:paraId="78C9ABA4"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84.6</w:t>
            </w:r>
          </w:p>
        </w:tc>
        <w:tc>
          <w:tcPr>
            <w:tcW w:w="1530" w:type="dxa"/>
            <w:tcBorders>
              <w:top w:val="single" w:sz="4" w:space="0" w:color="000000"/>
              <w:left w:val="single" w:sz="4" w:space="0" w:color="000000"/>
              <w:bottom w:val="single" w:sz="4" w:space="0" w:color="000000"/>
              <w:right w:val="single" w:sz="4" w:space="0" w:color="000000"/>
            </w:tcBorders>
            <w:vAlign w:val="bottom"/>
          </w:tcPr>
          <w:p w14:paraId="6BCAB16E"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10.1</w:t>
            </w:r>
          </w:p>
        </w:tc>
        <w:tc>
          <w:tcPr>
            <w:tcW w:w="1530" w:type="dxa"/>
            <w:tcBorders>
              <w:top w:val="single" w:sz="4" w:space="0" w:color="000000"/>
              <w:left w:val="single" w:sz="4" w:space="0" w:color="000000"/>
              <w:bottom w:val="single" w:sz="4" w:space="0" w:color="000000"/>
              <w:right w:val="single" w:sz="4" w:space="0" w:color="000000"/>
            </w:tcBorders>
            <w:vAlign w:val="bottom"/>
          </w:tcPr>
          <w:p w14:paraId="5A05B6BB"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23.5</w:t>
            </w:r>
          </w:p>
        </w:tc>
        <w:tc>
          <w:tcPr>
            <w:tcW w:w="1530" w:type="dxa"/>
            <w:tcBorders>
              <w:top w:val="single" w:sz="4" w:space="0" w:color="000000"/>
              <w:left w:val="single" w:sz="4" w:space="0" w:color="000000"/>
              <w:bottom w:val="single" w:sz="4" w:space="0" w:color="000000"/>
              <w:right w:val="single" w:sz="4" w:space="0" w:color="000000"/>
            </w:tcBorders>
            <w:vAlign w:val="bottom"/>
          </w:tcPr>
          <w:p w14:paraId="284001D2"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2840.6</w:t>
            </w:r>
          </w:p>
        </w:tc>
      </w:tr>
      <w:tr w:rsidR="0097291C" w:rsidRPr="0075534A" w14:paraId="13D6E709"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2602516F" w14:textId="77777777" w:rsidR="0097291C" w:rsidRPr="0075534A" w:rsidRDefault="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17</w:t>
            </w:r>
          </w:p>
        </w:tc>
        <w:tc>
          <w:tcPr>
            <w:tcW w:w="2160" w:type="dxa"/>
            <w:tcBorders>
              <w:top w:val="single" w:sz="4" w:space="0" w:color="000000"/>
              <w:left w:val="single" w:sz="4" w:space="0" w:color="000000"/>
              <w:bottom w:val="single" w:sz="4" w:space="0" w:color="000000"/>
              <w:right w:val="single" w:sz="4" w:space="0" w:color="000000"/>
            </w:tcBorders>
            <w:vAlign w:val="center"/>
          </w:tcPr>
          <w:p w14:paraId="41FACB6B" w14:textId="77777777" w:rsidR="0097291C" w:rsidRPr="0075534A" w:rsidRDefault="0075534A">
            <w:pPr>
              <w:spacing w:after="0"/>
              <w:jc w:val="center"/>
              <w:rPr>
                <w:rFonts w:ascii="Times New Roman" w:hAnsi="Times New Roman" w:cs="Times New Roman"/>
              </w:rPr>
            </w:pPr>
            <w:r w:rsidRPr="0075534A">
              <w:rPr>
                <w:rFonts w:ascii="Times New Roman" w:hAnsi="Times New Roman" w:cs="Times New Roman"/>
                <w:color w:val="000000"/>
              </w:rPr>
              <w:t>TPP-17</w:t>
            </w:r>
          </w:p>
        </w:tc>
        <w:tc>
          <w:tcPr>
            <w:tcW w:w="1530" w:type="dxa"/>
            <w:tcBorders>
              <w:top w:val="single" w:sz="4" w:space="0" w:color="000000"/>
              <w:left w:val="single" w:sz="4" w:space="0" w:color="000000"/>
              <w:bottom w:val="single" w:sz="4" w:space="0" w:color="000000"/>
              <w:right w:val="single" w:sz="4" w:space="0" w:color="000000"/>
            </w:tcBorders>
            <w:vAlign w:val="center"/>
          </w:tcPr>
          <w:p w14:paraId="4D5A9546"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90.6</w:t>
            </w:r>
          </w:p>
        </w:tc>
        <w:tc>
          <w:tcPr>
            <w:tcW w:w="1530" w:type="dxa"/>
            <w:tcBorders>
              <w:top w:val="single" w:sz="4" w:space="0" w:color="000000"/>
              <w:left w:val="single" w:sz="4" w:space="0" w:color="000000"/>
              <w:bottom w:val="single" w:sz="4" w:space="0" w:color="000000"/>
              <w:right w:val="single" w:sz="4" w:space="0" w:color="000000"/>
            </w:tcBorders>
            <w:vAlign w:val="bottom"/>
          </w:tcPr>
          <w:p w14:paraId="271D6A42"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12.0</w:t>
            </w:r>
          </w:p>
        </w:tc>
        <w:tc>
          <w:tcPr>
            <w:tcW w:w="1530" w:type="dxa"/>
            <w:tcBorders>
              <w:top w:val="single" w:sz="4" w:space="0" w:color="000000"/>
              <w:left w:val="single" w:sz="4" w:space="0" w:color="000000"/>
              <w:bottom w:val="single" w:sz="4" w:space="0" w:color="000000"/>
              <w:right w:val="single" w:sz="4" w:space="0" w:color="000000"/>
            </w:tcBorders>
            <w:vAlign w:val="bottom"/>
          </w:tcPr>
          <w:p w14:paraId="2E8238EC"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27.8</w:t>
            </w:r>
          </w:p>
        </w:tc>
        <w:tc>
          <w:tcPr>
            <w:tcW w:w="1530" w:type="dxa"/>
            <w:tcBorders>
              <w:top w:val="single" w:sz="4" w:space="0" w:color="000000"/>
              <w:left w:val="single" w:sz="4" w:space="0" w:color="000000"/>
              <w:bottom w:val="single" w:sz="4" w:space="0" w:color="000000"/>
              <w:right w:val="single" w:sz="4" w:space="0" w:color="000000"/>
            </w:tcBorders>
            <w:vAlign w:val="bottom"/>
          </w:tcPr>
          <w:p w14:paraId="54CE927F"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3608.5</w:t>
            </w:r>
          </w:p>
        </w:tc>
      </w:tr>
      <w:tr w:rsidR="0097291C" w:rsidRPr="0075534A" w14:paraId="689F9AE1"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3669F007" w14:textId="77777777" w:rsidR="0097291C" w:rsidRPr="0075534A" w:rsidRDefault="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18</w:t>
            </w:r>
          </w:p>
        </w:tc>
        <w:tc>
          <w:tcPr>
            <w:tcW w:w="2160" w:type="dxa"/>
            <w:tcBorders>
              <w:top w:val="single" w:sz="4" w:space="0" w:color="000000"/>
              <w:left w:val="single" w:sz="4" w:space="0" w:color="000000"/>
              <w:bottom w:val="single" w:sz="4" w:space="0" w:color="000000"/>
              <w:right w:val="single" w:sz="4" w:space="0" w:color="000000"/>
            </w:tcBorders>
            <w:vAlign w:val="center"/>
          </w:tcPr>
          <w:p w14:paraId="192A1962" w14:textId="77777777" w:rsidR="0097291C" w:rsidRPr="0075534A" w:rsidRDefault="0075534A">
            <w:pPr>
              <w:spacing w:after="0"/>
              <w:jc w:val="center"/>
              <w:rPr>
                <w:rFonts w:ascii="Times New Roman" w:hAnsi="Times New Roman" w:cs="Times New Roman"/>
              </w:rPr>
            </w:pPr>
            <w:r w:rsidRPr="0075534A">
              <w:rPr>
                <w:rFonts w:ascii="Times New Roman" w:hAnsi="Times New Roman" w:cs="Times New Roman"/>
                <w:color w:val="000000"/>
              </w:rPr>
              <w:t>TPP-18</w:t>
            </w:r>
          </w:p>
        </w:tc>
        <w:tc>
          <w:tcPr>
            <w:tcW w:w="1530" w:type="dxa"/>
            <w:tcBorders>
              <w:top w:val="single" w:sz="4" w:space="0" w:color="000000"/>
              <w:left w:val="single" w:sz="4" w:space="0" w:color="000000"/>
              <w:bottom w:val="single" w:sz="4" w:space="0" w:color="000000"/>
              <w:right w:val="single" w:sz="4" w:space="0" w:color="000000"/>
            </w:tcBorders>
            <w:vAlign w:val="center"/>
          </w:tcPr>
          <w:p w14:paraId="7F1C7A19"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89.0</w:t>
            </w:r>
          </w:p>
        </w:tc>
        <w:tc>
          <w:tcPr>
            <w:tcW w:w="1530" w:type="dxa"/>
            <w:tcBorders>
              <w:top w:val="single" w:sz="4" w:space="0" w:color="000000"/>
              <w:left w:val="single" w:sz="4" w:space="0" w:color="000000"/>
              <w:bottom w:val="single" w:sz="4" w:space="0" w:color="000000"/>
              <w:right w:val="single" w:sz="4" w:space="0" w:color="000000"/>
            </w:tcBorders>
            <w:vAlign w:val="bottom"/>
          </w:tcPr>
          <w:p w14:paraId="02850573"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11.3</w:t>
            </w:r>
          </w:p>
        </w:tc>
        <w:tc>
          <w:tcPr>
            <w:tcW w:w="1530" w:type="dxa"/>
            <w:tcBorders>
              <w:top w:val="single" w:sz="4" w:space="0" w:color="000000"/>
              <w:left w:val="single" w:sz="4" w:space="0" w:color="000000"/>
              <w:bottom w:val="single" w:sz="4" w:space="0" w:color="000000"/>
              <w:right w:val="single" w:sz="4" w:space="0" w:color="000000"/>
            </w:tcBorders>
            <w:vAlign w:val="bottom"/>
          </w:tcPr>
          <w:p w14:paraId="442EC3B3"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28.6</w:t>
            </w:r>
          </w:p>
        </w:tc>
        <w:tc>
          <w:tcPr>
            <w:tcW w:w="1530" w:type="dxa"/>
            <w:tcBorders>
              <w:top w:val="single" w:sz="4" w:space="0" w:color="000000"/>
              <w:left w:val="single" w:sz="4" w:space="0" w:color="000000"/>
              <w:bottom w:val="single" w:sz="4" w:space="0" w:color="000000"/>
              <w:right w:val="single" w:sz="4" w:space="0" w:color="000000"/>
            </w:tcBorders>
            <w:vAlign w:val="bottom"/>
          </w:tcPr>
          <w:p w14:paraId="51168956"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3553.2</w:t>
            </w:r>
          </w:p>
        </w:tc>
      </w:tr>
      <w:tr w:rsidR="0097291C" w:rsidRPr="0075534A" w14:paraId="797BBD74"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4E05A67E" w14:textId="77777777" w:rsidR="0097291C" w:rsidRPr="0075534A" w:rsidRDefault="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19</w:t>
            </w:r>
          </w:p>
        </w:tc>
        <w:tc>
          <w:tcPr>
            <w:tcW w:w="2160" w:type="dxa"/>
            <w:tcBorders>
              <w:top w:val="single" w:sz="4" w:space="0" w:color="000000"/>
              <w:left w:val="single" w:sz="4" w:space="0" w:color="000000"/>
              <w:bottom w:val="single" w:sz="4" w:space="0" w:color="000000"/>
              <w:right w:val="single" w:sz="4" w:space="0" w:color="000000"/>
            </w:tcBorders>
            <w:vAlign w:val="center"/>
          </w:tcPr>
          <w:p w14:paraId="49D11A2C" w14:textId="77777777" w:rsidR="0097291C" w:rsidRPr="0075534A" w:rsidRDefault="0075534A">
            <w:pPr>
              <w:spacing w:after="0"/>
              <w:jc w:val="center"/>
              <w:rPr>
                <w:rFonts w:ascii="Times New Roman" w:hAnsi="Times New Roman" w:cs="Times New Roman"/>
              </w:rPr>
            </w:pPr>
            <w:r w:rsidRPr="0075534A">
              <w:rPr>
                <w:rFonts w:ascii="Times New Roman" w:hAnsi="Times New Roman" w:cs="Times New Roman"/>
                <w:color w:val="000000"/>
              </w:rPr>
              <w:t>TPP-19</w:t>
            </w:r>
          </w:p>
        </w:tc>
        <w:tc>
          <w:tcPr>
            <w:tcW w:w="1530" w:type="dxa"/>
            <w:tcBorders>
              <w:top w:val="single" w:sz="4" w:space="0" w:color="000000"/>
              <w:left w:val="single" w:sz="4" w:space="0" w:color="000000"/>
              <w:bottom w:val="single" w:sz="4" w:space="0" w:color="000000"/>
              <w:right w:val="single" w:sz="4" w:space="0" w:color="000000"/>
            </w:tcBorders>
            <w:vAlign w:val="center"/>
          </w:tcPr>
          <w:p w14:paraId="75E5E11F"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88.3</w:t>
            </w:r>
          </w:p>
        </w:tc>
        <w:tc>
          <w:tcPr>
            <w:tcW w:w="1530" w:type="dxa"/>
            <w:tcBorders>
              <w:top w:val="single" w:sz="4" w:space="0" w:color="000000"/>
              <w:left w:val="single" w:sz="4" w:space="0" w:color="000000"/>
              <w:bottom w:val="single" w:sz="4" w:space="0" w:color="000000"/>
              <w:right w:val="single" w:sz="4" w:space="0" w:color="000000"/>
            </w:tcBorders>
            <w:vAlign w:val="bottom"/>
          </w:tcPr>
          <w:p w14:paraId="0EFA6BFC"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12.1</w:t>
            </w:r>
          </w:p>
        </w:tc>
        <w:tc>
          <w:tcPr>
            <w:tcW w:w="1530" w:type="dxa"/>
            <w:tcBorders>
              <w:top w:val="single" w:sz="4" w:space="0" w:color="000000"/>
              <w:left w:val="single" w:sz="4" w:space="0" w:color="000000"/>
              <w:bottom w:val="single" w:sz="4" w:space="0" w:color="000000"/>
              <w:right w:val="single" w:sz="4" w:space="0" w:color="000000"/>
            </w:tcBorders>
            <w:vAlign w:val="bottom"/>
          </w:tcPr>
          <w:p w14:paraId="380D50A1"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27.3</w:t>
            </w:r>
          </w:p>
        </w:tc>
        <w:tc>
          <w:tcPr>
            <w:tcW w:w="1530" w:type="dxa"/>
            <w:tcBorders>
              <w:top w:val="single" w:sz="4" w:space="0" w:color="000000"/>
              <w:left w:val="single" w:sz="4" w:space="0" w:color="000000"/>
              <w:bottom w:val="single" w:sz="4" w:space="0" w:color="000000"/>
              <w:right w:val="single" w:sz="4" w:space="0" w:color="000000"/>
            </w:tcBorders>
            <w:vAlign w:val="bottom"/>
          </w:tcPr>
          <w:p w14:paraId="71DAFF29"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3481.5</w:t>
            </w:r>
          </w:p>
        </w:tc>
      </w:tr>
      <w:tr w:rsidR="0097291C" w:rsidRPr="0075534A" w14:paraId="32206683"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1B200B32" w14:textId="77777777" w:rsidR="0097291C" w:rsidRPr="0075534A" w:rsidRDefault="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20</w:t>
            </w:r>
          </w:p>
        </w:tc>
        <w:tc>
          <w:tcPr>
            <w:tcW w:w="2160" w:type="dxa"/>
            <w:tcBorders>
              <w:top w:val="single" w:sz="4" w:space="0" w:color="000000"/>
              <w:left w:val="single" w:sz="4" w:space="0" w:color="000000"/>
              <w:bottom w:val="single" w:sz="4" w:space="0" w:color="000000"/>
              <w:right w:val="single" w:sz="4" w:space="0" w:color="000000"/>
            </w:tcBorders>
            <w:vAlign w:val="center"/>
          </w:tcPr>
          <w:p w14:paraId="375A40FA" w14:textId="77777777" w:rsidR="0097291C" w:rsidRPr="0075534A" w:rsidRDefault="0075534A">
            <w:pPr>
              <w:spacing w:after="0"/>
              <w:jc w:val="center"/>
              <w:rPr>
                <w:rFonts w:ascii="Times New Roman" w:hAnsi="Times New Roman" w:cs="Times New Roman"/>
              </w:rPr>
            </w:pPr>
            <w:r w:rsidRPr="0075534A">
              <w:rPr>
                <w:rFonts w:ascii="Times New Roman" w:hAnsi="Times New Roman" w:cs="Times New Roman"/>
                <w:color w:val="000000"/>
              </w:rPr>
              <w:t>TPP-20</w:t>
            </w:r>
          </w:p>
        </w:tc>
        <w:tc>
          <w:tcPr>
            <w:tcW w:w="1530" w:type="dxa"/>
            <w:tcBorders>
              <w:top w:val="single" w:sz="4" w:space="0" w:color="000000"/>
              <w:left w:val="single" w:sz="4" w:space="0" w:color="000000"/>
              <w:bottom w:val="single" w:sz="4" w:space="0" w:color="000000"/>
              <w:right w:val="single" w:sz="4" w:space="0" w:color="000000"/>
            </w:tcBorders>
            <w:vAlign w:val="center"/>
          </w:tcPr>
          <w:p w14:paraId="1C7B790F"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89.0</w:t>
            </w:r>
          </w:p>
        </w:tc>
        <w:tc>
          <w:tcPr>
            <w:tcW w:w="1530" w:type="dxa"/>
            <w:tcBorders>
              <w:top w:val="single" w:sz="4" w:space="0" w:color="000000"/>
              <w:left w:val="single" w:sz="4" w:space="0" w:color="000000"/>
              <w:bottom w:val="single" w:sz="4" w:space="0" w:color="000000"/>
              <w:right w:val="single" w:sz="4" w:space="0" w:color="000000"/>
            </w:tcBorders>
            <w:vAlign w:val="bottom"/>
          </w:tcPr>
          <w:p w14:paraId="47DFFDCE"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12.2</w:t>
            </w:r>
          </w:p>
        </w:tc>
        <w:tc>
          <w:tcPr>
            <w:tcW w:w="1530" w:type="dxa"/>
            <w:tcBorders>
              <w:top w:val="single" w:sz="4" w:space="0" w:color="000000"/>
              <w:left w:val="single" w:sz="4" w:space="0" w:color="000000"/>
              <w:bottom w:val="single" w:sz="4" w:space="0" w:color="000000"/>
              <w:right w:val="single" w:sz="4" w:space="0" w:color="000000"/>
            </w:tcBorders>
            <w:vAlign w:val="bottom"/>
          </w:tcPr>
          <w:p w14:paraId="77189B01"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24.5</w:t>
            </w:r>
          </w:p>
        </w:tc>
        <w:tc>
          <w:tcPr>
            <w:tcW w:w="1530" w:type="dxa"/>
            <w:tcBorders>
              <w:top w:val="single" w:sz="4" w:space="0" w:color="000000"/>
              <w:left w:val="single" w:sz="4" w:space="0" w:color="000000"/>
              <w:bottom w:val="single" w:sz="4" w:space="0" w:color="000000"/>
              <w:right w:val="single" w:sz="4" w:space="0" w:color="000000"/>
            </w:tcBorders>
            <w:vAlign w:val="bottom"/>
          </w:tcPr>
          <w:p w14:paraId="05FF6709"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3269.3</w:t>
            </w:r>
          </w:p>
        </w:tc>
      </w:tr>
      <w:tr w:rsidR="0097291C" w:rsidRPr="0075534A" w14:paraId="01F894D7"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200989CE" w14:textId="77777777" w:rsidR="0097291C" w:rsidRPr="0075534A" w:rsidRDefault="0097291C">
            <w:pPr>
              <w:snapToGrid w:val="0"/>
              <w:spacing w:after="0" w:line="240" w:lineRule="auto"/>
              <w:jc w:val="center"/>
              <w:rPr>
                <w:rFonts w:ascii="Times New Roman" w:eastAsia="Times New Roman" w:hAnsi="Times New Roman" w:cs="Times New Roman"/>
                <w:color w:val="000000"/>
                <w:kern w:val="0"/>
                <w:sz w:val="20"/>
                <w:szCs w:val="20"/>
                <w:lang w:val="en-US" w:bidi="te-IN"/>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28F871FD" w14:textId="77777777" w:rsidR="0097291C" w:rsidRPr="0075534A" w:rsidRDefault="0075534A">
            <w:pPr>
              <w:spacing w:after="0" w:line="240" w:lineRule="auto"/>
              <w:jc w:val="center"/>
              <w:rPr>
                <w:rFonts w:ascii="Times New Roman" w:hAnsi="Times New Roman" w:cs="Times New Roman"/>
                <w:color w:val="000000"/>
              </w:rPr>
            </w:pPr>
            <w:r w:rsidRPr="0075534A">
              <w:rPr>
                <w:rFonts w:ascii="Times New Roman" w:hAnsi="Times New Roman" w:cs="Times New Roman"/>
                <w:color w:val="000000"/>
              </w:rPr>
              <w:t>Control</w:t>
            </w:r>
          </w:p>
        </w:tc>
        <w:tc>
          <w:tcPr>
            <w:tcW w:w="1530" w:type="dxa"/>
            <w:tcBorders>
              <w:top w:val="single" w:sz="4" w:space="0" w:color="000000"/>
              <w:left w:val="single" w:sz="4" w:space="0" w:color="000000"/>
              <w:bottom w:val="single" w:sz="4" w:space="0" w:color="000000"/>
              <w:right w:val="single" w:sz="4" w:space="0" w:color="000000"/>
            </w:tcBorders>
            <w:vAlign w:val="center"/>
          </w:tcPr>
          <w:p w14:paraId="5E39BBB1"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61.7</w:t>
            </w:r>
          </w:p>
        </w:tc>
        <w:tc>
          <w:tcPr>
            <w:tcW w:w="1530" w:type="dxa"/>
            <w:tcBorders>
              <w:top w:val="single" w:sz="4" w:space="0" w:color="000000"/>
              <w:left w:val="single" w:sz="4" w:space="0" w:color="000000"/>
              <w:bottom w:val="single" w:sz="4" w:space="0" w:color="000000"/>
              <w:right w:val="single" w:sz="4" w:space="0" w:color="000000"/>
            </w:tcBorders>
            <w:vAlign w:val="bottom"/>
          </w:tcPr>
          <w:p w14:paraId="67E26BC3"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8.1</w:t>
            </w:r>
          </w:p>
        </w:tc>
        <w:tc>
          <w:tcPr>
            <w:tcW w:w="1530" w:type="dxa"/>
            <w:tcBorders>
              <w:top w:val="single" w:sz="4" w:space="0" w:color="000000"/>
              <w:left w:val="single" w:sz="4" w:space="0" w:color="000000"/>
              <w:bottom w:val="single" w:sz="4" w:space="0" w:color="000000"/>
              <w:right w:val="single" w:sz="4" w:space="0" w:color="000000"/>
            </w:tcBorders>
            <w:vAlign w:val="bottom"/>
          </w:tcPr>
          <w:p w14:paraId="744CF858" w14:textId="77777777" w:rsidR="0097291C" w:rsidRPr="0075534A" w:rsidRDefault="0075534A">
            <w:pPr>
              <w:spacing w:after="0" w:line="240" w:lineRule="auto"/>
              <w:jc w:val="right"/>
              <w:rPr>
                <w:rFonts w:eastAsia="Times New Roman" w:cs="Calibri"/>
                <w:color w:val="000000"/>
                <w:kern w:val="0"/>
                <w:sz w:val="22"/>
                <w:szCs w:val="22"/>
                <w:lang w:val="en-US" w:bidi="te-IN"/>
              </w:rPr>
            </w:pPr>
            <w:r w:rsidRPr="0075534A">
              <w:rPr>
                <w:rFonts w:eastAsia="Times New Roman" w:cs="Calibri"/>
                <w:color w:val="000000"/>
                <w:kern w:val="0"/>
                <w:sz w:val="22"/>
                <w:szCs w:val="22"/>
                <w:lang w:val="en-US" w:bidi="te-IN"/>
              </w:rPr>
              <w:t>16.3</w:t>
            </w:r>
          </w:p>
        </w:tc>
        <w:tc>
          <w:tcPr>
            <w:tcW w:w="1530" w:type="dxa"/>
            <w:tcBorders>
              <w:top w:val="single" w:sz="4" w:space="0" w:color="000000"/>
              <w:left w:val="single" w:sz="4" w:space="0" w:color="000000"/>
              <w:bottom w:val="single" w:sz="4" w:space="0" w:color="000000"/>
              <w:right w:val="single" w:sz="4" w:space="0" w:color="000000"/>
            </w:tcBorders>
            <w:vAlign w:val="bottom"/>
          </w:tcPr>
          <w:p w14:paraId="47E0465F"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1500.6</w:t>
            </w:r>
          </w:p>
        </w:tc>
      </w:tr>
      <w:tr w:rsidR="0097291C" w:rsidRPr="0075534A" w14:paraId="3F85B027"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3872A5EB" w14:textId="77777777" w:rsidR="0097291C" w:rsidRPr="0075534A" w:rsidRDefault="0097291C">
            <w:pPr>
              <w:snapToGrid w:val="0"/>
              <w:spacing w:after="0" w:line="240" w:lineRule="auto"/>
              <w:jc w:val="center"/>
              <w:rPr>
                <w:rFonts w:ascii="Times New Roman" w:eastAsia="Times New Roman" w:hAnsi="Times New Roman" w:cs="Times New Roman"/>
                <w:color w:val="000000"/>
                <w:kern w:val="0"/>
                <w:sz w:val="20"/>
                <w:szCs w:val="20"/>
                <w:lang w:val="en-US" w:bidi="te-IN"/>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2153E97D" w14:textId="77777777" w:rsidR="0097291C" w:rsidRPr="0075534A" w:rsidRDefault="0075534A">
            <w:pPr>
              <w:spacing w:after="0"/>
              <w:jc w:val="center"/>
              <w:rPr>
                <w:rFonts w:ascii="Times New Roman" w:hAnsi="Times New Roman" w:cs="Times New Roman"/>
                <w:color w:val="000000"/>
              </w:rPr>
            </w:pPr>
            <w:r w:rsidRPr="0075534A">
              <w:rPr>
                <w:rFonts w:ascii="Times New Roman" w:hAnsi="Times New Roman" w:cs="Times New Roman"/>
                <w:color w:val="000000"/>
              </w:rPr>
              <w:t>C.D.</w:t>
            </w:r>
          </w:p>
        </w:tc>
        <w:tc>
          <w:tcPr>
            <w:tcW w:w="1530" w:type="dxa"/>
            <w:tcBorders>
              <w:top w:val="single" w:sz="4" w:space="0" w:color="000000"/>
              <w:left w:val="single" w:sz="4" w:space="0" w:color="000000"/>
              <w:bottom w:val="single" w:sz="4" w:space="0" w:color="000000"/>
              <w:right w:val="single" w:sz="4" w:space="0" w:color="000000"/>
            </w:tcBorders>
            <w:vAlign w:val="center"/>
          </w:tcPr>
          <w:p w14:paraId="2B3124F9"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2.5</w:t>
            </w:r>
          </w:p>
        </w:tc>
        <w:tc>
          <w:tcPr>
            <w:tcW w:w="1530" w:type="dxa"/>
            <w:tcBorders>
              <w:top w:val="single" w:sz="4" w:space="0" w:color="000000"/>
              <w:left w:val="single" w:sz="4" w:space="0" w:color="000000"/>
              <w:bottom w:val="single" w:sz="4" w:space="0" w:color="000000"/>
              <w:right w:val="single" w:sz="4" w:space="0" w:color="000000"/>
            </w:tcBorders>
            <w:vAlign w:val="bottom"/>
          </w:tcPr>
          <w:p w14:paraId="17641FA7"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1.1</w:t>
            </w:r>
          </w:p>
        </w:tc>
        <w:tc>
          <w:tcPr>
            <w:tcW w:w="1530" w:type="dxa"/>
            <w:tcBorders>
              <w:top w:val="single" w:sz="4" w:space="0" w:color="000000"/>
              <w:left w:val="single" w:sz="4" w:space="0" w:color="000000"/>
              <w:bottom w:val="single" w:sz="4" w:space="0" w:color="000000"/>
              <w:right w:val="single" w:sz="4" w:space="0" w:color="000000"/>
            </w:tcBorders>
          </w:tcPr>
          <w:p w14:paraId="771F102C" w14:textId="77777777" w:rsidR="0097291C" w:rsidRPr="0075534A" w:rsidRDefault="0097291C">
            <w:pPr>
              <w:snapToGrid w:val="0"/>
              <w:spacing w:after="0" w:line="240" w:lineRule="auto"/>
              <w:jc w:val="center"/>
              <w:rPr>
                <w:rFonts w:ascii="Segoe UI" w:eastAsia="Times New Roman" w:hAnsi="Segoe UI" w:cs="Segoe UI"/>
                <w:color w:val="000000"/>
                <w:kern w:val="0"/>
                <w:sz w:val="20"/>
                <w:szCs w:val="20"/>
                <w:lang w:val="en-US" w:bidi="te-IN"/>
              </w:rPr>
            </w:pPr>
          </w:p>
        </w:tc>
        <w:tc>
          <w:tcPr>
            <w:tcW w:w="1530" w:type="dxa"/>
            <w:tcBorders>
              <w:top w:val="single" w:sz="4" w:space="0" w:color="000000"/>
              <w:left w:val="single" w:sz="4" w:space="0" w:color="000000"/>
              <w:bottom w:val="single" w:sz="4" w:space="0" w:color="000000"/>
              <w:right w:val="single" w:sz="4" w:space="0" w:color="000000"/>
            </w:tcBorders>
          </w:tcPr>
          <w:p w14:paraId="7DBC6543" w14:textId="77777777" w:rsidR="0097291C" w:rsidRPr="0075534A" w:rsidRDefault="0097291C">
            <w:pPr>
              <w:snapToGrid w:val="0"/>
              <w:spacing w:after="0" w:line="240" w:lineRule="auto"/>
              <w:jc w:val="center"/>
              <w:rPr>
                <w:rFonts w:ascii="Segoe UI" w:eastAsia="Times New Roman" w:hAnsi="Segoe UI" w:cs="Segoe UI"/>
                <w:color w:val="000000"/>
                <w:kern w:val="0"/>
                <w:sz w:val="20"/>
                <w:szCs w:val="20"/>
                <w:lang w:val="en-US" w:bidi="te-IN"/>
              </w:rPr>
            </w:pPr>
          </w:p>
        </w:tc>
      </w:tr>
      <w:tr w:rsidR="0097291C" w:rsidRPr="0075534A" w14:paraId="470E88A7"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06C3A8E7" w14:textId="77777777" w:rsidR="0097291C" w:rsidRPr="0075534A" w:rsidRDefault="0097291C">
            <w:pPr>
              <w:snapToGrid w:val="0"/>
              <w:spacing w:after="0" w:line="240" w:lineRule="auto"/>
              <w:jc w:val="center"/>
              <w:rPr>
                <w:rFonts w:ascii="Times New Roman" w:eastAsia="Times New Roman" w:hAnsi="Times New Roman" w:cs="Times New Roman"/>
                <w:color w:val="000000"/>
                <w:kern w:val="0"/>
                <w:sz w:val="20"/>
                <w:szCs w:val="20"/>
                <w:lang w:val="en-US" w:bidi="te-IN"/>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1B336C81" w14:textId="77777777" w:rsidR="0097291C" w:rsidRPr="0075534A" w:rsidRDefault="0075534A">
            <w:pPr>
              <w:spacing w:after="0"/>
              <w:jc w:val="center"/>
              <w:rPr>
                <w:rFonts w:ascii="Times New Roman" w:hAnsi="Times New Roman" w:cs="Times New Roman"/>
                <w:color w:val="000000"/>
              </w:rPr>
            </w:pPr>
            <w:r w:rsidRPr="0075534A">
              <w:rPr>
                <w:rFonts w:ascii="Times New Roman" w:hAnsi="Times New Roman" w:cs="Times New Roman"/>
                <w:color w:val="000000"/>
              </w:rPr>
              <w:t>SE(m)</w:t>
            </w:r>
          </w:p>
        </w:tc>
        <w:tc>
          <w:tcPr>
            <w:tcW w:w="1530" w:type="dxa"/>
            <w:tcBorders>
              <w:top w:val="single" w:sz="4" w:space="0" w:color="000000"/>
              <w:left w:val="single" w:sz="4" w:space="0" w:color="000000"/>
              <w:bottom w:val="single" w:sz="4" w:space="0" w:color="000000"/>
              <w:right w:val="single" w:sz="4" w:space="0" w:color="000000"/>
            </w:tcBorders>
            <w:vAlign w:val="center"/>
          </w:tcPr>
          <w:p w14:paraId="1ED64863"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0.9</w:t>
            </w:r>
          </w:p>
        </w:tc>
        <w:tc>
          <w:tcPr>
            <w:tcW w:w="1530" w:type="dxa"/>
            <w:tcBorders>
              <w:top w:val="single" w:sz="4" w:space="0" w:color="000000"/>
              <w:left w:val="single" w:sz="4" w:space="0" w:color="000000"/>
              <w:bottom w:val="single" w:sz="4" w:space="0" w:color="000000"/>
              <w:right w:val="single" w:sz="4" w:space="0" w:color="000000"/>
            </w:tcBorders>
            <w:vAlign w:val="bottom"/>
          </w:tcPr>
          <w:p w14:paraId="1DA3C84C"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0.4</w:t>
            </w:r>
          </w:p>
        </w:tc>
        <w:tc>
          <w:tcPr>
            <w:tcW w:w="1530" w:type="dxa"/>
            <w:tcBorders>
              <w:top w:val="single" w:sz="4" w:space="0" w:color="000000"/>
              <w:left w:val="single" w:sz="4" w:space="0" w:color="000000"/>
              <w:bottom w:val="single" w:sz="4" w:space="0" w:color="000000"/>
              <w:right w:val="single" w:sz="4" w:space="0" w:color="000000"/>
            </w:tcBorders>
          </w:tcPr>
          <w:p w14:paraId="2F47C648" w14:textId="77777777" w:rsidR="0097291C" w:rsidRPr="0075534A" w:rsidRDefault="0097291C">
            <w:pPr>
              <w:snapToGrid w:val="0"/>
              <w:spacing w:after="0" w:line="240" w:lineRule="auto"/>
              <w:jc w:val="center"/>
              <w:rPr>
                <w:rFonts w:ascii="Segoe UI" w:eastAsia="Times New Roman" w:hAnsi="Segoe UI" w:cs="Segoe UI"/>
                <w:color w:val="000000"/>
                <w:kern w:val="0"/>
                <w:sz w:val="20"/>
                <w:szCs w:val="20"/>
                <w:lang w:val="en-US" w:bidi="te-IN"/>
              </w:rPr>
            </w:pPr>
          </w:p>
        </w:tc>
        <w:tc>
          <w:tcPr>
            <w:tcW w:w="1530" w:type="dxa"/>
            <w:tcBorders>
              <w:top w:val="single" w:sz="4" w:space="0" w:color="000000"/>
              <w:left w:val="single" w:sz="4" w:space="0" w:color="000000"/>
              <w:bottom w:val="single" w:sz="4" w:space="0" w:color="000000"/>
              <w:right w:val="single" w:sz="4" w:space="0" w:color="000000"/>
            </w:tcBorders>
          </w:tcPr>
          <w:p w14:paraId="6F8E743F" w14:textId="77777777" w:rsidR="0097291C" w:rsidRPr="0075534A" w:rsidRDefault="0097291C">
            <w:pPr>
              <w:snapToGrid w:val="0"/>
              <w:spacing w:after="0" w:line="240" w:lineRule="auto"/>
              <w:jc w:val="center"/>
              <w:rPr>
                <w:rFonts w:ascii="Segoe UI" w:eastAsia="Times New Roman" w:hAnsi="Segoe UI" w:cs="Segoe UI"/>
                <w:color w:val="000000"/>
                <w:kern w:val="0"/>
                <w:sz w:val="20"/>
                <w:szCs w:val="20"/>
                <w:lang w:val="en-US" w:bidi="te-IN"/>
              </w:rPr>
            </w:pPr>
          </w:p>
        </w:tc>
      </w:tr>
      <w:tr w:rsidR="0097291C" w:rsidRPr="0075534A" w14:paraId="378F2036"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139D3A93" w14:textId="77777777" w:rsidR="0097291C" w:rsidRPr="0075534A" w:rsidRDefault="0097291C">
            <w:pPr>
              <w:snapToGrid w:val="0"/>
              <w:spacing w:after="0" w:line="240" w:lineRule="auto"/>
              <w:jc w:val="center"/>
              <w:rPr>
                <w:rFonts w:ascii="Times New Roman" w:eastAsia="Times New Roman" w:hAnsi="Times New Roman" w:cs="Times New Roman"/>
                <w:color w:val="000000"/>
                <w:kern w:val="0"/>
                <w:sz w:val="20"/>
                <w:szCs w:val="20"/>
                <w:lang w:val="en-US" w:bidi="te-IN"/>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11DCCCF5" w14:textId="77777777" w:rsidR="0097291C" w:rsidRPr="0075534A" w:rsidRDefault="0075534A">
            <w:pPr>
              <w:spacing w:after="0"/>
              <w:jc w:val="center"/>
              <w:rPr>
                <w:rFonts w:ascii="Times New Roman" w:hAnsi="Times New Roman" w:cs="Times New Roman"/>
                <w:color w:val="000000"/>
              </w:rPr>
            </w:pPr>
            <w:r w:rsidRPr="0075534A">
              <w:rPr>
                <w:rFonts w:ascii="Times New Roman" w:hAnsi="Times New Roman" w:cs="Times New Roman"/>
                <w:color w:val="000000"/>
              </w:rPr>
              <w:t>C.V.</w:t>
            </w:r>
          </w:p>
        </w:tc>
        <w:tc>
          <w:tcPr>
            <w:tcW w:w="1530" w:type="dxa"/>
            <w:tcBorders>
              <w:top w:val="single" w:sz="4" w:space="0" w:color="000000"/>
              <w:left w:val="single" w:sz="4" w:space="0" w:color="000000"/>
              <w:bottom w:val="single" w:sz="4" w:space="0" w:color="000000"/>
              <w:right w:val="single" w:sz="4" w:space="0" w:color="000000"/>
            </w:tcBorders>
            <w:vAlign w:val="center"/>
          </w:tcPr>
          <w:p w14:paraId="5EAF8547"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1.3</w:t>
            </w:r>
          </w:p>
        </w:tc>
        <w:tc>
          <w:tcPr>
            <w:tcW w:w="1530" w:type="dxa"/>
            <w:tcBorders>
              <w:top w:val="single" w:sz="4" w:space="0" w:color="000000"/>
              <w:left w:val="single" w:sz="4" w:space="0" w:color="000000"/>
              <w:bottom w:val="single" w:sz="4" w:space="0" w:color="000000"/>
              <w:right w:val="single" w:sz="4" w:space="0" w:color="000000"/>
            </w:tcBorders>
            <w:vAlign w:val="bottom"/>
          </w:tcPr>
          <w:p w14:paraId="0E98F06E"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0.5</w:t>
            </w:r>
          </w:p>
        </w:tc>
        <w:tc>
          <w:tcPr>
            <w:tcW w:w="1530" w:type="dxa"/>
            <w:tcBorders>
              <w:top w:val="single" w:sz="4" w:space="0" w:color="000000"/>
              <w:left w:val="single" w:sz="4" w:space="0" w:color="000000"/>
              <w:bottom w:val="single" w:sz="4" w:space="0" w:color="000000"/>
              <w:right w:val="single" w:sz="4" w:space="0" w:color="000000"/>
            </w:tcBorders>
          </w:tcPr>
          <w:p w14:paraId="1C4C5433" w14:textId="77777777" w:rsidR="0097291C" w:rsidRPr="0075534A" w:rsidRDefault="0097291C">
            <w:pPr>
              <w:snapToGrid w:val="0"/>
              <w:spacing w:after="0" w:line="240" w:lineRule="auto"/>
              <w:jc w:val="center"/>
              <w:rPr>
                <w:rFonts w:ascii="Segoe UI" w:eastAsia="Times New Roman" w:hAnsi="Segoe UI" w:cs="Segoe UI"/>
                <w:color w:val="000000"/>
                <w:kern w:val="0"/>
                <w:sz w:val="20"/>
                <w:szCs w:val="20"/>
                <w:lang w:val="en-US" w:bidi="te-IN"/>
              </w:rPr>
            </w:pPr>
          </w:p>
        </w:tc>
        <w:tc>
          <w:tcPr>
            <w:tcW w:w="1530" w:type="dxa"/>
            <w:tcBorders>
              <w:top w:val="single" w:sz="4" w:space="0" w:color="000000"/>
              <w:left w:val="single" w:sz="4" w:space="0" w:color="000000"/>
              <w:bottom w:val="single" w:sz="4" w:space="0" w:color="000000"/>
              <w:right w:val="single" w:sz="4" w:space="0" w:color="000000"/>
            </w:tcBorders>
          </w:tcPr>
          <w:p w14:paraId="3746F0C2" w14:textId="77777777" w:rsidR="0097291C" w:rsidRPr="0075534A" w:rsidRDefault="0097291C">
            <w:pPr>
              <w:snapToGrid w:val="0"/>
              <w:spacing w:after="0" w:line="240" w:lineRule="auto"/>
              <w:jc w:val="center"/>
              <w:rPr>
                <w:rFonts w:ascii="Segoe UI" w:eastAsia="Times New Roman" w:hAnsi="Segoe UI" w:cs="Segoe UI"/>
                <w:color w:val="000000"/>
                <w:kern w:val="0"/>
                <w:sz w:val="20"/>
                <w:szCs w:val="20"/>
                <w:lang w:val="en-US" w:bidi="te-IN"/>
              </w:rPr>
            </w:pPr>
          </w:p>
        </w:tc>
      </w:tr>
      <w:tr w:rsidR="0097291C" w:rsidRPr="0075534A" w14:paraId="73199F0D"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08D39A60" w14:textId="77777777" w:rsidR="0097291C" w:rsidRPr="0075534A" w:rsidRDefault="0097291C">
            <w:pPr>
              <w:snapToGrid w:val="0"/>
              <w:spacing w:after="0" w:line="240" w:lineRule="auto"/>
              <w:jc w:val="center"/>
              <w:rPr>
                <w:rFonts w:ascii="Times New Roman" w:eastAsia="Times New Roman" w:hAnsi="Times New Roman" w:cs="Times New Roman"/>
                <w:color w:val="000000"/>
                <w:kern w:val="0"/>
                <w:sz w:val="20"/>
                <w:szCs w:val="20"/>
                <w:lang w:val="en-US" w:bidi="te-IN"/>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38D617C9" w14:textId="77777777" w:rsidR="0097291C" w:rsidRPr="0075534A" w:rsidRDefault="0097291C">
            <w:pPr>
              <w:snapToGrid w:val="0"/>
              <w:spacing w:after="0"/>
              <w:jc w:val="center"/>
              <w:rPr>
                <w:rFonts w:ascii="Times New Roman" w:hAnsi="Times New Roman" w:cs="Times New Roman"/>
                <w:color w:val="000000"/>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085B5BBB" w14:textId="77777777" w:rsidR="0097291C" w:rsidRPr="0075534A" w:rsidRDefault="0075534A">
            <w:pPr>
              <w:spacing w:after="0" w:line="240" w:lineRule="auto"/>
              <w:jc w:val="center"/>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1.8</w:t>
            </w:r>
          </w:p>
        </w:tc>
        <w:tc>
          <w:tcPr>
            <w:tcW w:w="1530" w:type="dxa"/>
            <w:tcBorders>
              <w:top w:val="single" w:sz="4" w:space="0" w:color="000000"/>
              <w:left w:val="single" w:sz="4" w:space="0" w:color="000000"/>
              <w:bottom w:val="single" w:sz="4" w:space="0" w:color="000000"/>
              <w:right w:val="single" w:sz="4" w:space="0" w:color="000000"/>
            </w:tcBorders>
            <w:vAlign w:val="bottom"/>
          </w:tcPr>
          <w:p w14:paraId="33DAC304" w14:textId="77777777" w:rsidR="0097291C" w:rsidRPr="0075534A" w:rsidRDefault="0075534A">
            <w:pPr>
              <w:spacing w:after="0" w:line="240" w:lineRule="auto"/>
              <w:jc w:val="right"/>
              <w:rPr>
                <w:rFonts w:ascii="Segoe UI" w:eastAsia="Times New Roman" w:hAnsi="Segoe UI" w:cs="Segoe UI"/>
                <w:color w:val="000000"/>
                <w:kern w:val="0"/>
                <w:sz w:val="20"/>
                <w:szCs w:val="20"/>
                <w:lang w:val="en-US" w:bidi="te-IN"/>
              </w:rPr>
            </w:pPr>
            <w:r w:rsidRPr="0075534A">
              <w:rPr>
                <w:rFonts w:ascii="Segoe UI" w:eastAsia="Times New Roman" w:hAnsi="Segoe UI" w:cs="Segoe UI"/>
                <w:color w:val="000000"/>
                <w:kern w:val="0"/>
                <w:sz w:val="20"/>
                <w:szCs w:val="20"/>
                <w:lang w:val="en-US" w:bidi="te-IN"/>
              </w:rPr>
              <w:t>6.2</w:t>
            </w:r>
          </w:p>
        </w:tc>
        <w:tc>
          <w:tcPr>
            <w:tcW w:w="1530" w:type="dxa"/>
            <w:tcBorders>
              <w:top w:val="single" w:sz="4" w:space="0" w:color="000000"/>
              <w:left w:val="single" w:sz="4" w:space="0" w:color="000000"/>
              <w:bottom w:val="single" w:sz="4" w:space="0" w:color="000000"/>
              <w:right w:val="single" w:sz="4" w:space="0" w:color="000000"/>
            </w:tcBorders>
          </w:tcPr>
          <w:p w14:paraId="6A783F20" w14:textId="77777777" w:rsidR="0097291C" w:rsidRPr="0075534A" w:rsidRDefault="0097291C">
            <w:pPr>
              <w:snapToGrid w:val="0"/>
              <w:spacing w:after="0" w:line="240" w:lineRule="auto"/>
              <w:jc w:val="center"/>
              <w:rPr>
                <w:rFonts w:ascii="Segoe UI" w:eastAsia="Times New Roman" w:hAnsi="Segoe UI" w:cs="Segoe UI"/>
                <w:color w:val="000000"/>
                <w:kern w:val="0"/>
                <w:sz w:val="20"/>
                <w:szCs w:val="20"/>
                <w:lang w:val="en-US" w:bidi="te-IN"/>
              </w:rPr>
            </w:pPr>
          </w:p>
        </w:tc>
        <w:tc>
          <w:tcPr>
            <w:tcW w:w="1530" w:type="dxa"/>
            <w:tcBorders>
              <w:top w:val="single" w:sz="4" w:space="0" w:color="000000"/>
              <w:left w:val="single" w:sz="4" w:space="0" w:color="000000"/>
              <w:bottom w:val="single" w:sz="4" w:space="0" w:color="000000"/>
              <w:right w:val="single" w:sz="4" w:space="0" w:color="000000"/>
            </w:tcBorders>
          </w:tcPr>
          <w:p w14:paraId="221AA431" w14:textId="77777777" w:rsidR="0097291C" w:rsidRPr="0075534A" w:rsidRDefault="0097291C">
            <w:pPr>
              <w:snapToGrid w:val="0"/>
              <w:spacing w:after="0" w:line="240" w:lineRule="auto"/>
              <w:jc w:val="center"/>
              <w:rPr>
                <w:rFonts w:ascii="Segoe UI" w:eastAsia="Times New Roman" w:hAnsi="Segoe UI" w:cs="Segoe UI"/>
                <w:color w:val="000000"/>
                <w:kern w:val="0"/>
                <w:sz w:val="20"/>
                <w:szCs w:val="20"/>
                <w:lang w:val="en-US" w:bidi="te-IN"/>
              </w:rPr>
            </w:pPr>
          </w:p>
        </w:tc>
      </w:tr>
      <w:tr w:rsidR="0097291C" w:rsidRPr="0075534A" w14:paraId="1CE8635F" w14:textId="77777777">
        <w:trPr>
          <w:trHeight w:val="23"/>
        </w:trPr>
        <w:tc>
          <w:tcPr>
            <w:tcW w:w="1368" w:type="dxa"/>
            <w:tcBorders>
              <w:top w:val="single" w:sz="4" w:space="0" w:color="000000"/>
              <w:left w:val="single" w:sz="4" w:space="0" w:color="000000"/>
              <w:bottom w:val="single" w:sz="4" w:space="0" w:color="000000"/>
              <w:right w:val="single" w:sz="4" w:space="0" w:color="000000"/>
            </w:tcBorders>
            <w:vAlign w:val="center"/>
          </w:tcPr>
          <w:p w14:paraId="38F798DB" w14:textId="77777777" w:rsidR="0097291C" w:rsidRPr="0075534A" w:rsidRDefault="0097291C">
            <w:pPr>
              <w:snapToGrid w:val="0"/>
              <w:spacing w:after="0" w:line="240" w:lineRule="auto"/>
              <w:jc w:val="center"/>
              <w:rPr>
                <w:rFonts w:ascii="Times New Roman" w:eastAsia="Times New Roman" w:hAnsi="Times New Roman" w:cs="Times New Roman"/>
                <w:color w:val="000000"/>
                <w:kern w:val="0"/>
                <w:sz w:val="20"/>
                <w:szCs w:val="20"/>
                <w:lang w:val="en-US" w:bidi="te-IN"/>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0DAFC907" w14:textId="77777777" w:rsidR="0097291C" w:rsidRPr="0075534A" w:rsidRDefault="0097291C">
            <w:pPr>
              <w:snapToGrid w:val="0"/>
              <w:spacing w:after="0"/>
              <w:jc w:val="center"/>
              <w:rPr>
                <w:rFonts w:ascii="Times New Roman" w:hAnsi="Times New Roman" w:cs="Times New Roman"/>
                <w:color w:val="000000"/>
              </w:rPr>
            </w:pPr>
          </w:p>
        </w:tc>
        <w:tc>
          <w:tcPr>
            <w:tcW w:w="1530" w:type="dxa"/>
            <w:tcBorders>
              <w:top w:val="single" w:sz="4" w:space="0" w:color="000000"/>
              <w:left w:val="single" w:sz="4" w:space="0" w:color="000000"/>
              <w:bottom w:val="single" w:sz="4" w:space="0" w:color="000000"/>
              <w:right w:val="single" w:sz="4" w:space="0" w:color="000000"/>
            </w:tcBorders>
            <w:vAlign w:val="center"/>
          </w:tcPr>
          <w:p w14:paraId="2BBFBF40" w14:textId="77777777" w:rsidR="0097291C" w:rsidRPr="0075534A" w:rsidRDefault="0097291C">
            <w:pPr>
              <w:snapToGrid w:val="0"/>
              <w:spacing w:after="0" w:line="240" w:lineRule="auto"/>
              <w:jc w:val="center"/>
              <w:rPr>
                <w:rFonts w:ascii="Segoe UI" w:eastAsia="Times New Roman" w:hAnsi="Segoe UI" w:cs="Segoe UI"/>
                <w:color w:val="000000"/>
                <w:kern w:val="0"/>
                <w:sz w:val="20"/>
                <w:szCs w:val="20"/>
                <w:lang w:val="en-US" w:bidi="te-IN"/>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7618CC72" w14:textId="77777777" w:rsidR="0097291C" w:rsidRPr="0075534A" w:rsidRDefault="0097291C">
            <w:pPr>
              <w:snapToGrid w:val="0"/>
              <w:spacing w:after="0" w:line="240" w:lineRule="auto"/>
              <w:jc w:val="right"/>
              <w:rPr>
                <w:rFonts w:ascii="Segoe UI" w:eastAsia="Times New Roman" w:hAnsi="Segoe UI" w:cs="Calibri"/>
                <w:color w:val="000000"/>
                <w:kern w:val="0"/>
                <w:sz w:val="22"/>
                <w:szCs w:val="22"/>
                <w:lang w:val="en-US" w:bidi="te-IN"/>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30681538" w14:textId="77777777" w:rsidR="0097291C" w:rsidRPr="0075534A" w:rsidRDefault="0097291C">
            <w:pPr>
              <w:snapToGrid w:val="0"/>
              <w:spacing w:after="0" w:line="240" w:lineRule="auto"/>
              <w:jc w:val="right"/>
              <w:rPr>
                <w:rFonts w:eastAsia="Times New Roman" w:cs="Calibri"/>
                <w:color w:val="000000"/>
                <w:kern w:val="0"/>
                <w:sz w:val="22"/>
                <w:szCs w:val="22"/>
                <w:lang w:val="en-US" w:bidi="te-IN"/>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2402DD16" w14:textId="77777777" w:rsidR="0097291C" w:rsidRPr="0075534A" w:rsidRDefault="0097291C">
            <w:pPr>
              <w:snapToGrid w:val="0"/>
              <w:spacing w:after="0" w:line="240" w:lineRule="auto"/>
              <w:jc w:val="right"/>
              <w:rPr>
                <w:rFonts w:ascii="Segoe UI" w:eastAsia="Times New Roman" w:hAnsi="Segoe UI" w:cs="Segoe UI"/>
                <w:color w:val="000000"/>
                <w:kern w:val="0"/>
                <w:sz w:val="20"/>
                <w:szCs w:val="20"/>
                <w:lang w:val="en-US" w:bidi="te-IN"/>
              </w:rPr>
            </w:pPr>
          </w:p>
        </w:tc>
      </w:tr>
    </w:tbl>
    <w:p w14:paraId="1A38E6D7" w14:textId="77777777" w:rsidR="0097291C" w:rsidRPr="0075534A" w:rsidRDefault="0075534A">
      <w:pPr>
        <w:spacing w:after="0"/>
        <w:jc w:val="both"/>
        <w:rPr>
          <w:rFonts w:ascii="Times New Roman" w:hAnsi="Times New Roman" w:cs="Times New Roman"/>
        </w:rPr>
      </w:pPr>
      <w:r w:rsidRPr="0075534A">
        <w:rPr>
          <w:rFonts w:ascii="Times New Roman" w:hAnsi="Times New Roman" w:cs="Times New Roman"/>
          <w:b/>
          <w:bCs/>
        </w:rPr>
        <w:t>Table 2:</w:t>
      </w:r>
      <w:r w:rsidRPr="0075534A">
        <w:rPr>
          <w:rFonts w:ascii="Times New Roman" w:hAnsi="Times New Roman" w:cs="Times New Roman"/>
        </w:rPr>
        <w:t xml:space="preserve"> Effect of seed biopriming with selected bioagents on germination and vigour of</w:t>
      </w:r>
    </w:p>
    <w:p w14:paraId="13FC89D8" w14:textId="77777777" w:rsidR="0097291C" w:rsidRDefault="0075534A">
      <w:pPr>
        <w:spacing w:after="0"/>
        <w:jc w:val="both"/>
        <w:rPr>
          <w:rFonts w:ascii="Times New Roman" w:hAnsi="Times New Roman" w:cs="Times New Roman"/>
        </w:rPr>
      </w:pPr>
      <w:r w:rsidRPr="0075534A">
        <w:rPr>
          <w:rFonts w:ascii="Times New Roman" w:eastAsia="Times New Roman" w:hAnsi="Times New Roman" w:cs="Times New Roman"/>
        </w:rPr>
        <w:t xml:space="preserve">   </w:t>
      </w:r>
      <w:r w:rsidRPr="0075534A">
        <w:rPr>
          <w:rFonts w:ascii="Times New Roman" w:hAnsi="Times New Roman" w:cs="Times New Roman"/>
        </w:rPr>
        <w:t>blackgram</w:t>
      </w:r>
    </w:p>
    <w:sectPr w:rsidR="0097291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C7065" w14:textId="77777777" w:rsidR="00CD227C" w:rsidRDefault="00CD227C" w:rsidP="00974417">
      <w:pPr>
        <w:spacing w:after="0" w:line="240" w:lineRule="auto"/>
      </w:pPr>
      <w:r>
        <w:separator/>
      </w:r>
    </w:p>
  </w:endnote>
  <w:endnote w:type="continuationSeparator" w:id="0">
    <w:p w14:paraId="35B383D5" w14:textId="77777777" w:rsidR="00CD227C" w:rsidRDefault="00CD227C" w:rsidP="00974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C4935" w14:textId="77777777" w:rsidR="00974417" w:rsidRDefault="009744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3394A" w14:textId="77777777" w:rsidR="00974417" w:rsidRDefault="009744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94B70" w14:textId="77777777" w:rsidR="00974417" w:rsidRDefault="009744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49DF9" w14:textId="77777777" w:rsidR="00CD227C" w:rsidRDefault="00CD227C" w:rsidP="00974417">
      <w:pPr>
        <w:spacing w:after="0" w:line="240" w:lineRule="auto"/>
      </w:pPr>
      <w:r>
        <w:separator/>
      </w:r>
    </w:p>
  </w:footnote>
  <w:footnote w:type="continuationSeparator" w:id="0">
    <w:p w14:paraId="7F7F03C7" w14:textId="77777777" w:rsidR="00CD227C" w:rsidRDefault="00CD227C" w:rsidP="009744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D0BA4" w14:textId="1245FF87" w:rsidR="00974417" w:rsidRDefault="00974417">
    <w:pPr>
      <w:pStyle w:val="Header"/>
    </w:pPr>
    <w:r>
      <w:rPr>
        <w:noProof/>
      </w:rPr>
      <w:pict w14:anchorId="05C930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55563" o:spid="_x0000_s1026" type="#_x0000_t136" style="position:absolute;margin-left:0;margin-top:0;width:535.8pt;height:100.45pt;rotation:315;z-index:-2;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D878B" w14:textId="02A488AA" w:rsidR="00974417" w:rsidRDefault="00974417">
    <w:pPr>
      <w:pStyle w:val="Header"/>
    </w:pPr>
    <w:r>
      <w:rPr>
        <w:noProof/>
      </w:rPr>
      <w:pict w14:anchorId="14D320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55564" o:spid="_x0000_s1027" type="#_x0000_t136" style="position:absolute;margin-left:0;margin-top:0;width:535.8pt;height:100.45pt;rotation:315;z-index:-1;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2DC27" w14:textId="2A5C2817" w:rsidR="00974417" w:rsidRDefault="00974417">
    <w:pPr>
      <w:pStyle w:val="Header"/>
    </w:pPr>
    <w:r>
      <w:rPr>
        <w:noProof/>
      </w:rPr>
      <w:pict w14:anchorId="038542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55562" o:spid="_x0000_s1025" type="#_x0000_t136" style="position:absolute;margin-left:0;margin-top:0;width:535.8pt;height:100.45pt;rotation:315;z-index:-3;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02130"/>
    <w:multiLevelType w:val="multilevel"/>
    <w:tmpl w:val="A8BE162A"/>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num w:numId="1" w16cid:durableId="1125271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TrackMoves/>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7291C"/>
    <w:rsid w:val="00491099"/>
    <w:rsid w:val="005B3088"/>
    <w:rsid w:val="006525F0"/>
    <w:rsid w:val="0075534A"/>
    <w:rsid w:val="00900C8B"/>
    <w:rsid w:val="0097291C"/>
    <w:rsid w:val="00974417"/>
    <w:rsid w:val="00CD2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5136B"/>
  <w15:docId w15:val="{996F3C61-6C25-40C5-9770-492DD6D33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76" w:lineRule="auto"/>
    </w:pPr>
    <w:rPr>
      <w:rFonts w:ascii="Calibri" w:eastAsia="Calibri" w:hAnsi="Calibri" w:cs="Gautami"/>
      <w:kern w:val="2"/>
      <w:sz w:val="24"/>
      <w:szCs w:val="24"/>
      <w:lang w:eastAsia="zh-CN"/>
    </w:rPr>
  </w:style>
  <w:style w:type="paragraph" w:styleId="Heading1">
    <w:name w:val="heading 1"/>
    <w:basedOn w:val="Normal"/>
    <w:next w:val="Normal"/>
    <w:uiPriority w:val="9"/>
    <w:qFormat/>
    <w:pPr>
      <w:keepNext/>
      <w:keepLines/>
      <w:numPr>
        <w:numId w:val="1"/>
      </w:numPr>
      <w:spacing w:before="360" w:after="80"/>
      <w:outlineLvl w:val="0"/>
    </w:pPr>
    <w:rPr>
      <w:rFonts w:ascii="Calibri Light" w:eastAsia="Times New Roman" w:hAnsi="Calibri Light" w:cs="Calibri Light"/>
      <w:color w:val="2F5496"/>
      <w:kern w:val="0"/>
      <w:sz w:val="40"/>
      <w:szCs w:val="40"/>
      <w:lang w:val="en-US" w:bidi="te-IN"/>
    </w:rPr>
  </w:style>
  <w:style w:type="paragraph" w:styleId="Heading2">
    <w:name w:val="heading 2"/>
    <w:basedOn w:val="Normal"/>
    <w:next w:val="Normal"/>
    <w:uiPriority w:val="9"/>
    <w:semiHidden/>
    <w:unhideWhenUsed/>
    <w:qFormat/>
    <w:pPr>
      <w:keepNext/>
      <w:keepLines/>
      <w:numPr>
        <w:ilvl w:val="1"/>
        <w:numId w:val="1"/>
      </w:numPr>
      <w:spacing w:before="160" w:after="80"/>
      <w:outlineLvl w:val="1"/>
    </w:pPr>
    <w:rPr>
      <w:rFonts w:ascii="Calibri Light" w:eastAsia="Times New Roman" w:hAnsi="Calibri Light" w:cs="Calibri Light"/>
      <w:color w:val="2F5496"/>
      <w:kern w:val="0"/>
      <w:sz w:val="32"/>
      <w:szCs w:val="32"/>
      <w:lang w:val="en-US" w:bidi="te-IN"/>
    </w:rPr>
  </w:style>
  <w:style w:type="paragraph" w:styleId="Heading3">
    <w:name w:val="heading 3"/>
    <w:basedOn w:val="Normal"/>
    <w:next w:val="Normal"/>
    <w:uiPriority w:val="9"/>
    <w:semiHidden/>
    <w:unhideWhenUsed/>
    <w:qFormat/>
    <w:pPr>
      <w:keepNext/>
      <w:keepLines/>
      <w:numPr>
        <w:ilvl w:val="2"/>
        <w:numId w:val="1"/>
      </w:numPr>
      <w:spacing w:before="160" w:after="80"/>
      <w:outlineLvl w:val="2"/>
    </w:pPr>
    <w:rPr>
      <w:rFonts w:eastAsia="Times New Roman"/>
      <w:color w:val="2F5496"/>
      <w:kern w:val="0"/>
      <w:sz w:val="28"/>
      <w:szCs w:val="28"/>
      <w:lang w:val="en-US" w:bidi="te-IN"/>
    </w:rPr>
  </w:style>
  <w:style w:type="paragraph" w:styleId="Heading4">
    <w:name w:val="heading 4"/>
    <w:basedOn w:val="Normal"/>
    <w:next w:val="Normal"/>
    <w:uiPriority w:val="9"/>
    <w:semiHidden/>
    <w:unhideWhenUsed/>
    <w:qFormat/>
    <w:pPr>
      <w:keepNext/>
      <w:keepLines/>
      <w:numPr>
        <w:ilvl w:val="3"/>
        <w:numId w:val="1"/>
      </w:numPr>
      <w:spacing w:before="80" w:after="40"/>
      <w:outlineLvl w:val="3"/>
    </w:pPr>
    <w:rPr>
      <w:rFonts w:eastAsia="Times New Roman"/>
      <w:i/>
      <w:iCs/>
      <w:color w:val="2F5496"/>
      <w:kern w:val="0"/>
      <w:sz w:val="20"/>
      <w:szCs w:val="20"/>
      <w:lang w:val="en-US" w:bidi="te-IN"/>
    </w:rPr>
  </w:style>
  <w:style w:type="paragraph" w:styleId="Heading5">
    <w:name w:val="heading 5"/>
    <w:basedOn w:val="Normal"/>
    <w:next w:val="Normal"/>
    <w:uiPriority w:val="9"/>
    <w:semiHidden/>
    <w:unhideWhenUsed/>
    <w:qFormat/>
    <w:pPr>
      <w:keepNext/>
      <w:keepLines/>
      <w:numPr>
        <w:ilvl w:val="4"/>
        <w:numId w:val="1"/>
      </w:numPr>
      <w:spacing w:before="80" w:after="40"/>
      <w:outlineLvl w:val="4"/>
    </w:pPr>
    <w:rPr>
      <w:rFonts w:eastAsia="Times New Roman"/>
      <w:color w:val="2F5496"/>
      <w:kern w:val="0"/>
      <w:sz w:val="20"/>
      <w:szCs w:val="20"/>
      <w:lang w:val="en-US" w:bidi="te-IN"/>
    </w:rPr>
  </w:style>
  <w:style w:type="paragraph" w:styleId="Heading6">
    <w:name w:val="heading 6"/>
    <w:basedOn w:val="Normal"/>
    <w:next w:val="Normal"/>
    <w:uiPriority w:val="9"/>
    <w:semiHidden/>
    <w:unhideWhenUsed/>
    <w:qFormat/>
    <w:pPr>
      <w:keepNext/>
      <w:keepLines/>
      <w:numPr>
        <w:ilvl w:val="5"/>
        <w:numId w:val="1"/>
      </w:numPr>
      <w:spacing w:before="40" w:after="0"/>
      <w:outlineLvl w:val="5"/>
    </w:pPr>
    <w:rPr>
      <w:rFonts w:eastAsia="Times New Roman"/>
      <w:i/>
      <w:iCs/>
      <w:color w:val="595959"/>
      <w:kern w:val="0"/>
      <w:sz w:val="20"/>
      <w:szCs w:val="20"/>
      <w:lang w:val="en-US" w:bidi="te-IN"/>
    </w:rPr>
  </w:style>
  <w:style w:type="paragraph" w:styleId="Heading7">
    <w:name w:val="heading 7"/>
    <w:basedOn w:val="Normal"/>
    <w:next w:val="Normal"/>
    <w:qFormat/>
    <w:pPr>
      <w:keepNext/>
      <w:keepLines/>
      <w:numPr>
        <w:ilvl w:val="6"/>
        <w:numId w:val="1"/>
      </w:numPr>
      <w:spacing w:before="40" w:after="0"/>
      <w:outlineLvl w:val="6"/>
    </w:pPr>
    <w:rPr>
      <w:rFonts w:eastAsia="Times New Roman"/>
      <w:color w:val="595959"/>
      <w:kern w:val="0"/>
      <w:sz w:val="20"/>
      <w:szCs w:val="20"/>
      <w:lang w:val="en-US" w:bidi="te-IN"/>
    </w:rPr>
  </w:style>
  <w:style w:type="paragraph" w:styleId="Heading8">
    <w:name w:val="heading 8"/>
    <w:basedOn w:val="Normal"/>
    <w:next w:val="Normal"/>
    <w:qFormat/>
    <w:pPr>
      <w:keepNext/>
      <w:keepLines/>
      <w:numPr>
        <w:ilvl w:val="7"/>
        <w:numId w:val="1"/>
      </w:numPr>
      <w:spacing w:after="0"/>
      <w:outlineLvl w:val="7"/>
    </w:pPr>
    <w:rPr>
      <w:rFonts w:eastAsia="Times New Roman"/>
      <w:i/>
      <w:iCs/>
      <w:color w:val="272727"/>
      <w:kern w:val="0"/>
      <w:sz w:val="20"/>
      <w:szCs w:val="20"/>
      <w:lang w:val="en-US" w:bidi="te-IN"/>
    </w:rPr>
  </w:style>
  <w:style w:type="paragraph" w:styleId="Heading9">
    <w:name w:val="heading 9"/>
    <w:basedOn w:val="Normal"/>
    <w:next w:val="Normal"/>
    <w:qFormat/>
    <w:pPr>
      <w:keepNext/>
      <w:keepLines/>
      <w:numPr>
        <w:ilvl w:val="8"/>
        <w:numId w:val="1"/>
      </w:numPr>
      <w:spacing w:after="0"/>
      <w:outlineLvl w:val="8"/>
    </w:pPr>
    <w:rPr>
      <w:rFonts w:eastAsia="Times New Roman"/>
      <w:color w:val="272727"/>
      <w:kern w:val="0"/>
      <w:sz w:val="20"/>
      <w:szCs w:val="20"/>
      <w:lang w:val="en-US" w:bidi="te-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qFormat/>
    <w:rPr>
      <w:rFonts w:ascii="Calibri Light" w:eastAsia="Times New Roman" w:hAnsi="Calibri Light" w:cs="Gautami"/>
      <w:color w:val="2F5496"/>
      <w:sz w:val="40"/>
      <w:szCs w:val="40"/>
    </w:rPr>
  </w:style>
  <w:style w:type="character" w:customStyle="1" w:styleId="Heading2Char">
    <w:name w:val="Heading 2 Char"/>
    <w:qFormat/>
    <w:rPr>
      <w:rFonts w:ascii="Calibri Light" w:eastAsia="Times New Roman" w:hAnsi="Calibri Light" w:cs="Gautami"/>
      <w:color w:val="2F5496"/>
      <w:sz w:val="32"/>
      <w:szCs w:val="32"/>
    </w:rPr>
  </w:style>
  <w:style w:type="character" w:customStyle="1" w:styleId="Heading3Char">
    <w:name w:val="Heading 3 Char"/>
    <w:qFormat/>
    <w:rPr>
      <w:rFonts w:eastAsia="Times New Roman" w:cs="Gautami"/>
      <w:color w:val="2F5496"/>
      <w:sz w:val="28"/>
      <w:szCs w:val="28"/>
    </w:rPr>
  </w:style>
  <w:style w:type="character" w:customStyle="1" w:styleId="Heading4Char">
    <w:name w:val="Heading 4 Char"/>
    <w:qFormat/>
    <w:rPr>
      <w:rFonts w:eastAsia="Times New Roman" w:cs="Gautami"/>
      <w:i/>
      <w:iCs/>
      <w:color w:val="2F5496"/>
    </w:rPr>
  </w:style>
  <w:style w:type="character" w:customStyle="1" w:styleId="Heading5Char">
    <w:name w:val="Heading 5 Char"/>
    <w:qFormat/>
    <w:rPr>
      <w:rFonts w:eastAsia="Times New Roman" w:cs="Gautami"/>
      <w:color w:val="2F5496"/>
    </w:rPr>
  </w:style>
  <w:style w:type="character" w:customStyle="1" w:styleId="Heading6Char">
    <w:name w:val="Heading 6 Char"/>
    <w:qFormat/>
    <w:rPr>
      <w:rFonts w:eastAsia="Times New Roman" w:cs="Gautami"/>
      <w:i/>
      <w:iCs/>
      <w:color w:val="595959"/>
    </w:rPr>
  </w:style>
  <w:style w:type="character" w:customStyle="1" w:styleId="Heading7Char">
    <w:name w:val="Heading 7 Char"/>
    <w:qFormat/>
    <w:rPr>
      <w:rFonts w:eastAsia="Times New Roman" w:cs="Gautami"/>
      <w:color w:val="595959"/>
    </w:rPr>
  </w:style>
  <w:style w:type="character" w:customStyle="1" w:styleId="Heading8Char">
    <w:name w:val="Heading 8 Char"/>
    <w:qFormat/>
    <w:rPr>
      <w:rFonts w:eastAsia="Times New Roman" w:cs="Gautami"/>
      <w:i/>
      <w:iCs/>
      <w:color w:val="272727"/>
    </w:rPr>
  </w:style>
  <w:style w:type="character" w:customStyle="1" w:styleId="Heading9Char">
    <w:name w:val="Heading 9 Char"/>
    <w:qFormat/>
    <w:rPr>
      <w:rFonts w:eastAsia="Times New Roman" w:cs="Gautami"/>
      <w:color w:val="272727"/>
    </w:rPr>
  </w:style>
  <w:style w:type="character" w:customStyle="1" w:styleId="TitleChar">
    <w:name w:val="Title Char"/>
    <w:qFormat/>
    <w:rPr>
      <w:rFonts w:ascii="Calibri Light" w:eastAsia="Times New Roman" w:hAnsi="Calibri Light" w:cs="Gautami"/>
      <w:spacing w:val="-10"/>
      <w:kern w:val="2"/>
      <w:sz w:val="56"/>
      <w:szCs w:val="56"/>
    </w:rPr>
  </w:style>
  <w:style w:type="character" w:customStyle="1" w:styleId="SubtitleChar">
    <w:name w:val="Subtitle Char"/>
    <w:qFormat/>
    <w:rPr>
      <w:rFonts w:eastAsia="Times New Roman" w:cs="Gautami"/>
      <w:color w:val="595959"/>
      <w:spacing w:val="15"/>
      <w:sz w:val="28"/>
      <w:szCs w:val="28"/>
    </w:rPr>
  </w:style>
  <w:style w:type="character" w:customStyle="1" w:styleId="QuoteChar">
    <w:name w:val="Quote Char"/>
    <w:qFormat/>
    <w:rPr>
      <w:i/>
      <w:iCs/>
      <w:color w:val="404040"/>
    </w:rPr>
  </w:style>
  <w:style w:type="character" w:styleId="IntenseEmphasis">
    <w:name w:val="Intense Emphasis"/>
    <w:qFormat/>
    <w:rPr>
      <w:i/>
      <w:iCs/>
      <w:color w:val="2F5496"/>
    </w:rPr>
  </w:style>
  <w:style w:type="character" w:customStyle="1" w:styleId="IntenseQuoteChar">
    <w:name w:val="Intense Quote Char"/>
    <w:qFormat/>
    <w:rPr>
      <w:i/>
      <w:iCs/>
      <w:color w:val="2F5496"/>
    </w:rPr>
  </w:style>
  <w:style w:type="character" w:styleId="IntenseReference">
    <w:name w:val="Intense Reference"/>
    <w:qFormat/>
    <w:rPr>
      <w:b/>
      <w:bCs/>
      <w:smallCaps/>
      <w:color w:val="2F5496"/>
      <w:spacing w:val="5"/>
    </w:rPr>
  </w:style>
  <w:style w:type="character" w:styleId="Hyperlink">
    <w:name w:val="Hyperlink"/>
    <w:rPr>
      <w:color w:val="0000FF"/>
      <w:u w:val="single"/>
    </w:rPr>
  </w:style>
  <w:style w:type="paragraph" w:customStyle="1" w:styleId="Heading">
    <w:name w:val="Heading"/>
    <w:basedOn w:val="Normal"/>
    <w:next w:val="Normal"/>
    <w:qFormat/>
    <w:pPr>
      <w:spacing w:after="80" w:line="240" w:lineRule="auto"/>
      <w:contextualSpacing/>
    </w:pPr>
    <w:rPr>
      <w:rFonts w:ascii="Calibri Light" w:eastAsia="Times New Roman" w:hAnsi="Calibri Light" w:cs="Calibri Light"/>
      <w:spacing w:val="-10"/>
      <w:sz w:val="56"/>
      <w:szCs w:val="56"/>
      <w:lang w:val="en-US" w:bidi="te-IN"/>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Subtitle">
    <w:name w:val="Subtitle"/>
    <w:basedOn w:val="Normal"/>
    <w:next w:val="Normal"/>
    <w:uiPriority w:val="11"/>
    <w:qFormat/>
    <w:rPr>
      <w:rFonts w:eastAsia="Times New Roman"/>
      <w:color w:val="595959"/>
      <w:spacing w:val="15"/>
      <w:kern w:val="0"/>
      <w:sz w:val="28"/>
      <w:szCs w:val="28"/>
      <w:lang w:val="en-US" w:bidi="te-IN"/>
    </w:rPr>
  </w:style>
  <w:style w:type="paragraph" w:styleId="Quote">
    <w:name w:val="Quote"/>
    <w:basedOn w:val="Normal"/>
    <w:next w:val="Normal"/>
    <w:qFormat/>
    <w:pPr>
      <w:spacing w:before="160"/>
      <w:jc w:val="center"/>
    </w:pPr>
    <w:rPr>
      <w:i/>
      <w:iCs/>
      <w:color w:val="404040"/>
      <w:kern w:val="0"/>
      <w:sz w:val="20"/>
      <w:szCs w:val="20"/>
      <w:lang w:val="en-US" w:bidi="te-IN"/>
    </w:rPr>
  </w:style>
  <w:style w:type="paragraph" w:styleId="ListParagraph">
    <w:name w:val="List Paragraph"/>
    <w:basedOn w:val="Normal"/>
    <w:qFormat/>
    <w:pPr>
      <w:ind w:left="720"/>
      <w:contextualSpacing/>
    </w:pPr>
  </w:style>
  <w:style w:type="paragraph" w:styleId="IntenseQuote">
    <w:name w:val="Intense Quote"/>
    <w:basedOn w:val="Normal"/>
    <w:next w:val="Normal"/>
    <w:qFormat/>
    <w:pPr>
      <w:pBdr>
        <w:top w:val="single" w:sz="4" w:space="10" w:color="2F5496"/>
        <w:bottom w:val="single" w:sz="4" w:space="10" w:color="2F5496"/>
      </w:pBdr>
      <w:spacing w:before="360" w:after="360"/>
      <w:ind w:left="864" w:right="864"/>
      <w:jc w:val="center"/>
    </w:pPr>
    <w:rPr>
      <w:i/>
      <w:iCs/>
      <w:color w:val="2F5496"/>
      <w:kern w:val="0"/>
      <w:sz w:val="20"/>
      <w:szCs w:val="20"/>
      <w:lang w:val="en-US" w:bidi="te-IN"/>
    </w:rPr>
  </w:style>
  <w:style w:type="paragraph" w:customStyle="1" w:styleId="para">
    <w:name w:val="para"/>
    <w:basedOn w:val="Normal"/>
    <w:qFormat/>
    <w:pPr>
      <w:autoSpaceDE w:val="0"/>
      <w:spacing w:before="240" w:after="240" w:line="360" w:lineRule="auto"/>
      <w:ind w:firstLine="720"/>
      <w:jc w:val="both"/>
    </w:pPr>
    <w:rPr>
      <w:rFonts w:ascii="Times New Roman" w:hAnsi="Times New Roman" w:cs="Times New Roman"/>
      <w:color w:val="000000"/>
      <w:kern w:val="0"/>
      <w:lang w:val="en-US"/>
    </w:rPr>
  </w:style>
  <w:style w:type="paragraph" w:customStyle="1" w:styleId="h2">
    <w:name w:val="h2"/>
    <w:basedOn w:val="Heading2"/>
    <w:qFormat/>
    <w:pPr>
      <w:keepLines w:val="0"/>
      <w:numPr>
        <w:ilvl w:val="0"/>
        <w:numId w:val="0"/>
      </w:numPr>
      <w:autoSpaceDE w:val="0"/>
      <w:spacing w:before="360" w:after="120" w:line="360" w:lineRule="auto"/>
      <w:jc w:val="both"/>
      <w:outlineLvl w:val="9"/>
    </w:pPr>
    <w:rPr>
      <w:rFonts w:ascii="Times New Roman" w:hAnsi="Times New Roman" w:cs="Times New Roman"/>
      <w:b/>
      <w:bCs/>
      <w:iCs/>
      <w:color w:val="000000"/>
      <w:sz w:val="26"/>
      <w:szCs w:val="28"/>
    </w:r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styleId="Header">
    <w:name w:val="header"/>
    <w:basedOn w:val="Normal"/>
    <w:link w:val="HeaderChar"/>
    <w:uiPriority w:val="99"/>
    <w:unhideWhenUsed/>
    <w:rsid w:val="00974417"/>
    <w:pPr>
      <w:tabs>
        <w:tab w:val="center" w:pos="4513"/>
        <w:tab w:val="right" w:pos="9026"/>
      </w:tabs>
    </w:pPr>
  </w:style>
  <w:style w:type="character" w:customStyle="1" w:styleId="HeaderChar">
    <w:name w:val="Header Char"/>
    <w:link w:val="Header"/>
    <w:uiPriority w:val="99"/>
    <w:rsid w:val="00974417"/>
    <w:rPr>
      <w:rFonts w:ascii="Calibri" w:eastAsia="Calibri" w:hAnsi="Calibri" w:cs="Gautami"/>
      <w:kern w:val="2"/>
      <w:sz w:val="24"/>
      <w:szCs w:val="24"/>
      <w:lang w:val="en-IN" w:eastAsia="zh-CN"/>
    </w:rPr>
  </w:style>
  <w:style w:type="paragraph" w:styleId="Footer">
    <w:name w:val="footer"/>
    <w:basedOn w:val="Normal"/>
    <w:link w:val="FooterChar"/>
    <w:uiPriority w:val="99"/>
    <w:unhideWhenUsed/>
    <w:rsid w:val="00974417"/>
    <w:pPr>
      <w:tabs>
        <w:tab w:val="center" w:pos="4513"/>
        <w:tab w:val="right" w:pos="9026"/>
      </w:tabs>
    </w:pPr>
  </w:style>
  <w:style w:type="character" w:customStyle="1" w:styleId="FooterChar">
    <w:name w:val="Footer Char"/>
    <w:link w:val="Footer"/>
    <w:uiPriority w:val="99"/>
    <w:rsid w:val="00974417"/>
    <w:rPr>
      <w:rFonts w:ascii="Calibri" w:eastAsia="Calibri" w:hAnsi="Calibri" w:cs="Gautami"/>
      <w:kern w:val="2"/>
      <w:sz w:val="24"/>
      <w:szCs w:val="24"/>
      <w:lang w:val="en-I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A7925-09D1-4789-B5FC-9B58C2887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3183</Words>
  <Characters>18148</Characters>
  <Application>Microsoft Office Word</Application>
  <DocSecurity>0</DocSecurity>
  <Lines>151</Lines>
  <Paragraphs>42</Paragraphs>
  <ScaleCrop>false</ScaleCrop>
  <Company/>
  <LinksUpToDate>false</LinksUpToDate>
  <CharactersWithSpaces>21289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Akash Naik</dc:creator>
  <cp:keywords/>
  <dc:description/>
  <cp:lastModifiedBy>SDI 1159</cp:lastModifiedBy>
  <cp:revision>8</cp:revision>
  <dcterms:created xsi:type="dcterms:W3CDTF">2026-07-13T09:19:00Z</dcterms:created>
  <dcterms:modified xsi:type="dcterms:W3CDTF">2026-07-16T07:58:00Z</dcterms:modified>
  <dc:language>en-US</dc:language>
</cp:coreProperties>
</file>