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31C8" w14:textId="77777777" w:rsidR="00911852" w:rsidRPr="00911852" w:rsidRDefault="00911852" w:rsidP="00911852">
      <w:pPr>
        <w:spacing w:before="120" w:after="60" w:line="300" w:lineRule="auto"/>
        <w:jc w:val="center"/>
        <w:rPr>
          <w:rFonts w:ascii="Times New Roman" w:hAnsi="Times New Roman" w:cs="Times New Roman"/>
          <w:b/>
          <w:bCs/>
          <w:i/>
          <w:iCs/>
          <w:color w:val="auto"/>
          <w:sz w:val="36"/>
          <w:szCs w:val="36"/>
          <w:u w:val="single"/>
        </w:rPr>
      </w:pPr>
      <w:r w:rsidRPr="00911852">
        <w:rPr>
          <w:rFonts w:ascii="Times New Roman" w:hAnsi="Times New Roman" w:cs="Times New Roman"/>
          <w:b/>
          <w:bCs/>
          <w:i/>
          <w:iCs/>
          <w:color w:val="auto"/>
          <w:sz w:val="36"/>
          <w:szCs w:val="36"/>
          <w:u w:val="single"/>
        </w:rPr>
        <w:t>Review Article</w:t>
      </w:r>
    </w:p>
    <w:p w14:paraId="559DCF45" w14:textId="77777777" w:rsidR="00AC363E" w:rsidRDefault="007578DC" w:rsidP="00371EA8">
      <w:pPr>
        <w:spacing w:before="120" w:after="60" w:line="300" w:lineRule="auto"/>
        <w:jc w:val="center"/>
        <w:rPr>
          <w:rFonts w:ascii="Times New Roman" w:hAnsi="Times New Roman" w:cs="Times New Roman"/>
          <w:b/>
          <w:bCs/>
          <w:color w:val="auto"/>
          <w:sz w:val="36"/>
          <w:szCs w:val="36"/>
        </w:rPr>
      </w:pPr>
      <w:r w:rsidRPr="00371EA8">
        <w:rPr>
          <w:rFonts w:ascii="Times New Roman" w:hAnsi="Times New Roman" w:cs="Times New Roman"/>
          <w:b/>
          <w:bCs/>
          <w:color w:val="auto"/>
          <w:sz w:val="36"/>
          <w:szCs w:val="36"/>
        </w:rPr>
        <w:t>Medical Nomenclature and Patient Understanding: Lessons from the Polycystic Ovary Syndrome to Polyendocrine Metabolic Ovarian Syndrome Transition</w:t>
      </w:r>
    </w:p>
    <w:p w14:paraId="22258088" w14:textId="77777777" w:rsidR="001351E5" w:rsidRPr="00546C77" w:rsidRDefault="001351E5" w:rsidP="001351E5">
      <w:pPr>
        <w:spacing w:after="240" w:line="240" w:lineRule="auto"/>
        <w:rPr>
          <w:rFonts w:ascii="Times New Roman" w:eastAsia="Times New Roman" w:hAnsi="Times New Roman" w:cs="Times New Roman"/>
          <w:sz w:val="24"/>
          <w:szCs w:val="24"/>
        </w:rPr>
      </w:pPr>
    </w:p>
    <w:p w14:paraId="501664B9" w14:textId="77777777" w:rsidR="00AC363E" w:rsidRPr="00371EA8" w:rsidRDefault="007578DC">
      <w:pPr>
        <w:pStyle w:val="Heading1"/>
        <w:rPr>
          <w:rFonts w:ascii="Times New Roman" w:hAnsi="Times New Roman" w:cs="Times New Roman"/>
          <w:color w:val="auto"/>
        </w:rPr>
      </w:pPr>
      <w:r w:rsidRPr="00371EA8">
        <w:rPr>
          <w:rFonts w:ascii="Times New Roman" w:hAnsi="Times New Roman" w:cs="Times New Roman"/>
          <w:color w:val="auto"/>
        </w:rPr>
        <w:t>Abstract</w:t>
      </w:r>
    </w:p>
    <w:p w14:paraId="0622FF7A"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b/>
          <w:bCs/>
          <w:color w:val="auto"/>
        </w:rPr>
        <w:t xml:space="preserve">Background. </w:t>
      </w:r>
      <w:r w:rsidRPr="00371EA8">
        <w:rPr>
          <w:rFonts w:ascii="Times New Roman" w:hAnsi="Times New Roman" w:cs="Times New Roman"/>
          <w:color w:val="auto"/>
        </w:rPr>
        <w:t>Medical disease nomenclature exerts a striking influence on patients, clinicians, diagnostic accuracy, and health outcomes. On 12 May 2026, after a multi-year global consensus process, the international medical community formally renamed polycystic ovary syndrome (PCOS) as polyendocrine metabolic ovarian syndrome (PMOS). The change was driven by a recognition that the older term was scientifically inaccurate and was itself contributing to delayed diagnosis, fragmented care, stigma, and limited patient understanding.</w:t>
      </w:r>
    </w:p>
    <w:p w14:paraId="07AF9EE0"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b/>
          <w:bCs/>
          <w:color w:val="auto"/>
        </w:rPr>
        <w:t xml:space="preserve">Objectives. </w:t>
      </w:r>
      <w:r w:rsidRPr="00371EA8">
        <w:rPr>
          <w:rFonts w:ascii="Times New Roman" w:hAnsi="Times New Roman" w:cs="Times New Roman"/>
          <w:color w:val="auto"/>
        </w:rPr>
        <w:t>Taking the PCOS-to-PMOS transition as a case study, this narrative review examines how an imprecise name can ripple outward into diagnostic delay, stigma, clinician confusion, and poorer outcomes. It connects evidence across five linked questions: how disease names shape patient understanding and health literacy; how they contribute to diagnostic delay and misdiagnosis; how they bear on stigma and psychosocial burden; how they influence clinician decision-making and care coordination; and what all of this implies for healthcare quality and patient safety.</w:t>
      </w:r>
    </w:p>
    <w:p w14:paraId="776EA9A6"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b/>
          <w:bCs/>
          <w:color w:val="auto"/>
        </w:rPr>
        <w:t xml:space="preserve">Methods. </w:t>
      </w:r>
      <w:r w:rsidRPr="00371EA8">
        <w:rPr>
          <w:rFonts w:ascii="Times New Roman" w:hAnsi="Times New Roman" w:cs="Times New Roman"/>
          <w:color w:val="auto"/>
        </w:rPr>
        <w:t>We conducted a narrative review of peer-reviewed literature, professional-society publications, and grey literature, drawing on PubMed, Scopus, Web of Science, Google Scholar, and professional-society websites. Search terms combined the phenomenon of interest (disease nomenclature, disease naming, medical terminology) with its proposed effects (patient understanding, health literacy, diagnostic delay, stigma, medical cognition) and with condition-specific terms (PCOS, polycystic ovary syndrome, PMOS). Priority was given to work addressing the effect of disease names on diagnosis, clinical outcomes, and health literacy.</w:t>
      </w:r>
    </w:p>
    <w:p w14:paraId="6B6F40EF"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b/>
          <w:bCs/>
          <w:color w:val="auto"/>
        </w:rPr>
        <w:t xml:space="preserve">Findings. </w:t>
      </w:r>
      <w:r w:rsidRPr="00371EA8">
        <w:rPr>
          <w:rFonts w:ascii="Times New Roman" w:hAnsi="Times New Roman" w:cs="Times New Roman"/>
          <w:color w:val="auto"/>
        </w:rPr>
        <w:t xml:space="preserve">The evidence indicates that an imprecise name can degrade diagnostic accuracy through identifiable cognitive pathways. Cognitive load theory, conceptual anchoring, and semantic priming together explain how a name shapes the understanding of patients and clinicians alike, and historical reforms, from “hysteria” to specific diagnoses and from “Mongolism” to Down syndrome, show that </w:t>
      </w:r>
      <w:r w:rsidRPr="00371EA8">
        <w:rPr>
          <w:rFonts w:ascii="Times New Roman" w:hAnsi="Times New Roman" w:cs="Times New Roman"/>
          <w:color w:val="auto"/>
        </w:rPr>
        <w:lastRenderedPageBreak/>
        <w:t>more accurate naming has accompanied improved recognition and care. PCOS affects approximately one in eight women, more than 170 million worldwide, yet up to 70% may remain undiagnosed or face diagnostic delays of several years. The PMOS revision illustrates how an evidence-based change in terminology can be aligned with current scientific understanding.</w:t>
      </w:r>
    </w:p>
    <w:p w14:paraId="261B05F0"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b/>
          <w:bCs/>
          <w:color w:val="auto"/>
        </w:rPr>
        <w:t xml:space="preserve">Conclusions. </w:t>
      </w:r>
      <w:r w:rsidRPr="00371EA8">
        <w:rPr>
          <w:rFonts w:ascii="Times New Roman" w:hAnsi="Times New Roman" w:cs="Times New Roman"/>
          <w:color w:val="auto"/>
        </w:rPr>
        <w:t>Medical terminology is not merely semantic; it shapes clinical reasoning, patient comprehension, diagnostic and therapeutic pathways, and potentially outcomes. The PCOS-to-PMOS transition shows that systematic, evidence-based nomenclature change is feasible and that disease names should reflect scientific understanding and support optimal care. Healthcare systems should treat nomenclature accuracy as a component of quality improvement and patient safety.</w:t>
      </w:r>
    </w:p>
    <w:p w14:paraId="75BF9E6D" w14:textId="77777777" w:rsidR="00AC363E" w:rsidRPr="00371EA8" w:rsidRDefault="007578DC">
      <w:pPr>
        <w:spacing w:before="60" w:after="200"/>
        <w:rPr>
          <w:rFonts w:ascii="Times New Roman" w:hAnsi="Times New Roman" w:cs="Times New Roman"/>
          <w:color w:val="auto"/>
        </w:rPr>
      </w:pPr>
      <w:r w:rsidRPr="00371EA8">
        <w:rPr>
          <w:rFonts w:ascii="Times New Roman" w:hAnsi="Times New Roman" w:cs="Times New Roman"/>
          <w:b/>
          <w:bCs/>
          <w:color w:val="auto"/>
        </w:rPr>
        <w:t xml:space="preserve">Keywords: </w:t>
      </w:r>
      <w:r w:rsidRPr="00371EA8">
        <w:rPr>
          <w:rFonts w:ascii="Times New Roman" w:hAnsi="Times New Roman" w:cs="Times New Roman"/>
          <w:i/>
          <w:iCs/>
          <w:color w:val="auto"/>
        </w:rPr>
        <w:t>Medical nomenclature, disease naming, patient understanding, health literacy, diagnostic delay, stigma, cognitive load, conceptual anchoring, PMOS, nomenclature change, terminology accuracy</w:t>
      </w:r>
    </w:p>
    <w:p w14:paraId="532DBE6C" w14:textId="77777777" w:rsidR="00AC363E" w:rsidRPr="00371EA8" w:rsidRDefault="007578DC">
      <w:pPr>
        <w:pStyle w:val="Heading1"/>
        <w:rPr>
          <w:rFonts w:ascii="Times New Roman" w:hAnsi="Times New Roman" w:cs="Times New Roman"/>
          <w:color w:val="auto"/>
        </w:rPr>
      </w:pPr>
      <w:r w:rsidRPr="00371EA8">
        <w:rPr>
          <w:rFonts w:ascii="Times New Roman" w:hAnsi="Times New Roman" w:cs="Times New Roman"/>
          <w:color w:val="auto"/>
        </w:rPr>
        <w:t>1. Introduction</w:t>
      </w:r>
    </w:p>
    <w:p w14:paraId="1CEF14C5"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1.1 The Power of Medical Nomenclature</w:t>
      </w:r>
    </w:p>
    <w:p w14:paraId="1AFC93BF"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When patients are diagnosed, they first encounter the name of their condition before they understand its biology. The name shapes their interpretation of the illness, their perception of its anatomical location, and its severity (Missel et al., 2025). At the same time, it provides clinicians with a parallel frame that guides diagnostic focus, clinical suspicion, and specialist involvement. Names also shape clinicians’ conceptualization of conditions and influence diagnostic reasoning (Yazdani et al., 2017). They direct attention toward particular organ systems, pathological mechanisms, and clinical possibilities. For patients, they frame the meaning of everything that follows, including symptoms, treatment, prognosis, and the seriousness of the condition (Funkhouser, 2018).</w:t>
      </w:r>
    </w:p>
    <w:p w14:paraId="66BCD97B"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When a name is accurate, it supports diagnostic precision, clinical assessment, and integrated care. When it is misleading, the same process works in reverse, encouraging miscommunication, missed diagnoses, and fragmented management (Alharbi et al., 2025). Studies of medical cognition show that diagnostic labels can shape clinicians’ reasoning. In contrast, research on patient education shows that these same labels influence whether patients view their illness as a problem of a single organ system or as a broader multisystem condition (Sims et al., 2025). Misconceptions introduced by a misleading name can be difficult to disregard, often persisting even after direct correction. They </w:t>
      </w:r>
      <w:r w:rsidRPr="00371EA8">
        <w:rPr>
          <w:rFonts w:ascii="Times New Roman" w:hAnsi="Times New Roman" w:cs="Times New Roman"/>
          <w:color w:val="auto"/>
        </w:rPr>
        <w:lastRenderedPageBreak/>
        <w:t>also create an additional cognitive burden for patients, who must reconcile the name’s suggestion with their lived experience.</w:t>
      </w:r>
    </w:p>
    <w:p w14:paraId="75F02E61"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This gap between implication and reality makes medical nomenclature a matter of clinical consequence rather than mere semantics.</w:t>
      </w:r>
    </w:p>
    <w:p w14:paraId="1A303241"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1.2 Case Study: Polycystic Ovary Syndrome</w:t>
      </w:r>
    </w:p>
    <w:p w14:paraId="4604BA8F"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Few conditions illustrate this gap as clearly as polycystic ovary syndrome (PCOS). It is the most common endocrine disorder among women of reproductive age, affecting roughly one in eight women and more than 170 million people worldwide (Louwers &amp; Laven, 2020). However, for decades, it carried a name that did not accurately reflect the condition. The effects followed the pattern described above, including long delays in diagnosis, fragmented care across poorly connected specialties, and a significant burden of psychosocial stigma.</w:t>
      </w:r>
    </w:p>
    <w:p w14:paraId="3E75DCB6"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The international medical community eventually concluded that the term “polycystic ovary syndrome” was not only inaccurate but also contributed to these harms. Following a multi-year consensus process involving 56 leading academic, clinical, and patient organizations, as well as more than 14,300 stakeholders, the condition was formally renamed polyendocrine metabolic ovarian syndrome (PMOS). This was a deliberate change, not a cosmetic one. Each part of the new name was chosen to reflect the current evidence on the condition’s pathophysiology and to address the specific clinical harms associated with the old name (Shukla et al., 2025).</w:t>
      </w:r>
    </w:p>
    <w:p w14:paraId="4AA10703"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The rest of this review uses the transition from PCOS to PMOS to examine how medical naming shapes understanding, diagnosis, stigma, and care. It also considers the milestones this change may realistically achieve, as well as the limits of what renaming alone can do.</w:t>
      </w:r>
    </w:p>
    <w:p w14:paraId="1E96D037" w14:textId="77777777" w:rsidR="00AC363E" w:rsidRPr="00371EA8" w:rsidRDefault="007578DC">
      <w:pPr>
        <w:pStyle w:val="Heading1"/>
        <w:rPr>
          <w:rFonts w:ascii="Times New Roman" w:hAnsi="Times New Roman" w:cs="Times New Roman"/>
          <w:color w:val="auto"/>
        </w:rPr>
      </w:pPr>
      <w:r w:rsidRPr="00371EA8">
        <w:rPr>
          <w:rFonts w:ascii="Times New Roman" w:hAnsi="Times New Roman" w:cs="Times New Roman"/>
          <w:color w:val="auto"/>
        </w:rPr>
        <w:t>2. Methods</w:t>
      </w:r>
    </w:p>
    <w:p w14:paraId="1ABE8475"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To examine how nomenclature shapes patient understanding, diagnostic accuracy, and health outcomes, we conducted a narrative review of peer-reviewed literature, professional-society publications, and grey literature. Searches were conducted across PubMed, Scopus, Web of Science, Google Scholar, and professional society websites. Search terms combined concepts related to naming, including “disease nomenclature,” “disease naming,” “medical terminology,” and “nomenclature,” with terms linked to its proposed effects, such as “patient understanding,” “health literacy,” “diagnostic delay,” “stigma,” and “medical cognition.” Condition-specific terms were also </w:t>
      </w:r>
      <w:r w:rsidRPr="00371EA8">
        <w:rPr>
          <w:rFonts w:ascii="Times New Roman" w:hAnsi="Times New Roman" w:cs="Times New Roman"/>
          <w:color w:val="auto"/>
        </w:rPr>
        <w:lastRenderedPageBreak/>
        <w:t>included, namely “PCOS,” “polycystic ovary syndrome,” and “PMOS.” Additional searches focused on diagnostic delay, stigma in chronic illness, and the influence of terminology on diagnosis.</w:t>
      </w:r>
    </w:p>
    <w:p w14:paraId="19EC3201"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Selection prioritized peer-reviewed studies, professional-society consensus statements, and foundational literature on medical cognition and health literacy. The review drew together three main strands of evidence: the accuracy of disease naming and its relationship to clinical course; the relationship between naming, patient understanding, and health literacy; and the effect of names on diagnostic accuracy and delay. These were supplemented with literature on naming, stigma, psychosocial burden, and patient experience, as well as research specific to PCOS and PMOS.</w:t>
      </w:r>
    </w:p>
    <w:p w14:paraId="15471E5E"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Because the mechanisms involved are both cognitive and clinical, the review also incorporated theoretical work on cognitive load, conceptual anchoring, and semantic priming. To place the renaming of PCOS within a broader historical context, examples of nomenclature reform were included regardless of publication date, since the dynamics of naming and renaming extend across periods and medical fields.</w:t>
      </w:r>
    </w:p>
    <w:p w14:paraId="6464B2FE" w14:textId="77777777" w:rsidR="00AC363E" w:rsidRPr="00371EA8" w:rsidRDefault="007578DC">
      <w:pPr>
        <w:pStyle w:val="Heading1"/>
        <w:rPr>
          <w:rFonts w:ascii="Times New Roman" w:hAnsi="Times New Roman" w:cs="Times New Roman"/>
          <w:color w:val="auto"/>
        </w:rPr>
      </w:pPr>
      <w:r w:rsidRPr="00371EA8">
        <w:rPr>
          <w:rFonts w:ascii="Times New Roman" w:hAnsi="Times New Roman" w:cs="Times New Roman"/>
          <w:color w:val="auto"/>
        </w:rPr>
        <w:t>3. Theoretical and Conceptual Foundations</w:t>
      </w:r>
    </w:p>
    <w:p w14:paraId="0633B8FB"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3.1 Disease Names and Health Cognition</w:t>
      </w:r>
    </w:p>
    <w:p w14:paraId="094C2E95"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Why should something as small as a name carry such clinical weight? The answer lies in the way human cognition processes new and complex information. Three overlapping mechanisms help explain this effect. They are cognitive load, conceptual anchoring, and semantic priming.</w:t>
      </w:r>
    </w:p>
    <w:p w14:paraId="4AA3C2D9"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The first is cognitive load. When patients learn that they have a condition, they must connect the name they have been given with the symptoms they experience. The more complex or misleading the name is, the more mental effort it takes to make this connection. A name that clearly signals the nature of a condition can reduce this burden and leave patients with more capacity to absorb new health information. A name that points in the wrong direction has the opposite effect (Baxter et al., 2025). Patients must first work against the implication of the name before they can develop an accurate understanding of their illness. In such cases, health education may struggle to take hold because it is being layered over a misleading label.</w:t>
      </w:r>
    </w:p>
    <w:p w14:paraId="0776EBEE"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The second mechanism is conceptual anchoring. This explains why misconceptions created by a name can be so persistent. The first meaning patients attach to a diagnosis often serves as a reference point that shapes how they interpret subsequent information (Biring et al., 2025). When patients are </w:t>
      </w:r>
      <w:r w:rsidRPr="00371EA8">
        <w:rPr>
          <w:rFonts w:ascii="Times New Roman" w:hAnsi="Times New Roman" w:cs="Times New Roman"/>
          <w:color w:val="auto"/>
        </w:rPr>
        <w:lastRenderedPageBreak/>
        <w:t>told they have “polycystic ovary syndrome,” they may immediately imagine cysts and ovaries. That initial image can then filter how they receive information about metabolic dysfunction, cardiovascular risk, and systemic endocrine disturbance. Because the anchor is established early, it may remain in place even when clinicians directly correct it. This is why education is necessary but often insufficient on its own.</w:t>
      </w:r>
    </w:p>
    <w:p w14:paraId="7845CEEB" w14:textId="77777777" w:rsidR="00AC363E" w:rsidRPr="00D36FDA" w:rsidRDefault="007578DC">
      <w:pPr>
        <w:jc w:val="both"/>
        <w:rPr>
          <w:rFonts w:ascii="Times New Roman" w:hAnsi="Times New Roman" w:cs="Times New Roman"/>
          <w:color w:val="auto"/>
          <w:sz w:val="24"/>
          <w:szCs w:val="24"/>
        </w:rPr>
      </w:pPr>
      <w:r w:rsidRPr="00D36FDA">
        <w:rPr>
          <w:rFonts w:ascii="Times New Roman" w:hAnsi="Times New Roman" w:cs="Times New Roman"/>
          <w:color w:val="auto"/>
          <w:sz w:val="24"/>
          <w:szCs w:val="24"/>
        </w:rPr>
        <w:t>The third mechanism is semantic priming. This explains how the words within a name carry emotional and conceptual associations. Individual words activate meanings almost automatically. “Cysts” may suggest disease, abnormality, and risk, even when no pathological cyst is present. “Ovary” situates the condition within a gynecological and reproductive framework, which can obscure its systemic and metabolic dimensions. By contrast, a name built around “endocrine” and “metabolic,” as in polyendocrine metabolic ovarian syndrome, activates a different set of associations. It points to systemic hormonal and metabolic dysregulation and may support a fuller, more accurate understanding of the condition (McNamara, 2005). Collectively, these mechanisms show that medical names are not neutral labels. They shape how patients understand illness, how clinicians frame diagnosis, and how both groups make sense of the care that follows.</w:t>
      </w:r>
      <w:r w:rsidR="00D36FDA" w:rsidRPr="00D36FDA">
        <w:rPr>
          <w:rFonts w:ascii="Times New Roman" w:hAnsi="Times New Roman" w:cs="Times New Roman"/>
          <w:color w:val="auto"/>
          <w:sz w:val="24"/>
          <w:szCs w:val="24"/>
        </w:rPr>
        <w:t xml:space="preserve"> </w:t>
      </w:r>
      <w:r w:rsidR="00D36FDA" w:rsidRPr="00D36FDA">
        <w:rPr>
          <w:rFonts w:ascii="Times New Roman" w:hAnsi="Times New Roman" w:cs="Times New Roman"/>
          <w:sz w:val="24"/>
          <w:szCs w:val="24"/>
        </w:rPr>
        <w:t>As shown in Figure 1, a disease name first influences cognition through cognitive load, conceptual anchoring, and semantic priming.</w:t>
      </w:r>
    </w:p>
    <w:p w14:paraId="291FF5D3" w14:textId="77777777" w:rsidR="00D36FDA" w:rsidRPr="00D36FDA" w:rsidRDefault="00D36FDA" w:rsidP="00D36FDA">
      <w:pPr>
        <w:pStyle w:val="NormalWeb"/>
        <w:rPr>
          <w:b/>
          <w:bCs/>
        </w:rPr>
      </w:pPr>
      <w:r w:rsidRPr="00D36FDA">
        <w:rPr>
          <w:b/>
          <w:bCs/>
        </w:rPr>
        <w:t>Figure 1. Conceptual Pathway Linking Disease Names to Patient and Clinical Outcomes</w:t>
      </w:r>
    </w:p>
    <w:p w14:paraId="4A265B38" w14:textId="77777777" w:rsidR="00D36FDA" w:rsidRDefault="00D36FDA">
      <w:pPr>
        <w:jc w:val="both"/>
        <w:rPr>
          <w:rFonts w:ascii="Times New Roman" w:hAnsi="Times New Roman" w:cs="Times New Roman"/>
          <w:color w:val="auto"/>
        </w:rPr>
      </w:pPr>
    </w:p>
    <w:p w14:paraId="3C865CB2" w14:textId="77777777" w:rsidR="0004469F" w:rsidRDefault="0004469F">
      <w:pPr>
        <w:jc w:val="both"/>
        <w:rPr>
          <w:rFonts w:ascii="Times New Roman" w:hAnsi="Times New Roman" w:cs="Times New Roman"/>
          <w:color w:val="auto"/>
        </w:rPr>
      </w:pPr>
      <w:r>
        <w:rPr>
          <w:rFonts w:ascii="Times New Roman" w:hAnsi="Times New Roman" w:cs="Times New Roman"/>
          <w:noProof/>
          <w:color w:val="auto"/>
          <w:lang w:val="en-GB" w:eastAsia="en-GB"/>
        </w:rPr>
        <w:drawing>
          <wp:inline distT="0" distB="0" distL="0" distR="0" wp14:anchorId="7AB4635A" wp14:editId="75546B34">
            <wp:extent cx="4991100" cy="248790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65841" cy="2525159"/>
                    </a:xfrm>
                    <a:prstGeom prst="rect">
                      <a:avLst/>
                    </a:prstGeom>
                    <a:noFill/>
                  </pic:spPr>
                </pic:pic>
              </a:graphicData>
            </a:graphic>
          </wp:inline>
        </w:drawing>
      </w:r>
    </w:p>
    <w:p w14:paraId="099EDAFB" w14:textId="77777777" w:rsidR="0004469F" w:rsidRDefault="0004469F">
      <w:pPr>
        <w:jc w:val="both"/>
        <w:rPr>
          <w:rFonts w:ascii="Times New Roman" w:hAnsi="Times New Roman" w:cs="Times New Roman"/>
          <w:color w:val="auto"/>
        </w:rPr>
      </w:pPr>
    </w:p>
    <w:p w14:paraId="2E437925" w14:textId="77777777" w:rsidR="0004469F" w:rsidRPr="00D36FDA" w:rsidRDefault="0004469F" w:rsidP="0004469F">
      <w:pPr>
        <w:pStyle w:val="NormalWeb"/>
        <w:rPr>
          <w:i/>
          <w:iCs/>
          <w:sz w:val="20"/>
          <w:szCs w:val="20"/>
        </w:rPr>
      </w:pPr>
      <w:r w:rsidRPr="00D36FDA">
        <w:rPr>
          <w:i/>
          <w:iCs/>
          <w:sz w:val="20"/>
          <w:szCs w:val="20"/>
        </w:rPr>
        <w:lastRenderedPageBreak/>
        <w:t>Figure 1. Conceptual pathway showing how disease names may influence patient understanding, clinician reasoning, diagnostic delay, stigma, fragmented care, and health outcomes.</w:t>
      </w:r>
    </w:p>
    <w:p w14:paraId="6D8B4F7D" w14:textId="77777777" w:rsidR="0004469F" w:rsidRPr="00371EA8" w:rsidRDefault="0004469F">
      <w:pPr>
        <w:jc w:val="both"/>
        <w:rPr>
          <w:rFonts w:ascii="Times New Roman" w:hAnsi="Times New Roman" w:cs="Times New Roman"/>
          <w:color w:val="auto"/>
        </w:rPr>
      </w:pPr>
    </w:p>
    <w:p w14:paraId="14756074"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3.2 Patient Health Literacy and Disease Concepts</w:t>
      </w:r>
    </w:p>
    <w:p w14:paraId="7602074C"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These mechanisms do not remain confined to theory. They appear directly in what patients come to believe about their own bodies. A clear and accurate name can help patients understand the nature and seriousness of their condition. An inaccurate or partial name, by contrast, can introduce basic misconceptions that persist even after diagnosis and education.</w:t>
      </w:r>
    </w:p>
    <w:p w14:paraId="46DEE18D"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For PCOS, this problem was especially clear. The term “polycystic ovary syndrome” seemed to tell patients, in plain language, that the condition was mainly about cysts on the ovaries. As a result, many patients did not understand it as a systemic disorder with metabolic, endocrine, cardiovascular, and psychological dimensions. Instead, they often interpreted it as a localized gynecological problem (Dong &amp; Rees, 2023). When educational materials tried to broaden that understanding, they often had to work against the name itself. The difficulty was not simply that patients lacked information, but that their initial understanding had been anchored in a label that continually drew attention to the ovary. In such cases, information alone could not easily undo the frame the name had created.</w:t>
      </w:r>
    </w:p>
    <w:p w14:paraId="6F7FAA46"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That frame had practical consequences. A woman who understands her condition as an “ovarian disorder” may have little reason to expect referral to an endocrinologist. She may also struggle to see why glucose tolerance testing, lipid panels, or cardiovascular risk assessment belong in her care. The gynecological framing implied a problem confined to the reproductive system, and this implication became a barrier whenever clinicians tried to explain the condition’s broader multisystem nature (Dennett &amp; Simon, 2015). In this sense, the gap between the name and the disease was not abstract. It repeatedly interfered with the very care patients needed.</w:t>
      </w:r>
    </w:p>
    <w:p w14:paraId="0FB42749"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3.3 Comparative Analysis: Other Conditions with Imprecise Nomenclature</w:t>
      </w:r>
    </w:p>
    <w:p w14:paraId="0D53C5B5"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PCOS is not the only condition affected by this problem. Many medical conditions carry names that describe a visible or surface feature while obscuring the underlying pathology. When this happens, confusion, misunderstanding, and diagnostic difficulty often follow.</w:t>
      </w:r>
    </w:p>
    <w:p w14:paraId="61D46E58"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Irritable bowel syndrome (IBS) offers one example. Patients may confuse it with inflammatory bowel disease, such as Crohn’s disease or ulcerative colitis, partly because the word “irritable” can be interpreted as suggesting inflammation, even though IBS is not an inflammatory condition </w:t>
      </w:r>
      <w:r w:rsidRPr="00371EA8">
        <w:rPr>
          <w:rFonts w:ascii="Times New Roman" w:hAnsi="Times New Roman" w:cs="Times New Roman"/>
          <w:color w:val="auto"/>
        </w:rPr>
        <w:lastRenderedPageBreak/>
        <w:t>(</w:t>
      </w:r>
      <w:proofErr w:type="spellStart"/>
      <w:r w:rsidRPr="00371EA8">
        <w:rPr>
          <w:rFonts w:ascii="Times New Roman" w:hAnsi="Times New Roman" w:cs="Times New Roman"/>
          <w:color w:val="auto"/>
        </w:rPr>
        <w:t>Witchel</w:t>
      </w:r>
      <w:proofErr w:type="spellEnd"/>
      <w:r w:rsidRPr="00371EA8">
        <w:rPr>
          <w:rFonts w:ascii="Times New Roman" w:hAnsi="Times New Roman" w:cs="Times New Roman"/>
          <w:color w:val="auto"/>
        </w:rPr>
        <w:t xml:space="preserve"> et al., 2019). The name also does little to convey the disorder’s functional brain-gut nature. As a result, patients may struggle to understand why tests show no inflammatory markers or why anti-inflammatory treatments do not relieve their symptoms. As with PCOS, education must then work against a misconception that the name continues to sustain.</w:t>
      </w:r>
    </w:p>
    <w:p w14:paraId="2D9A0BA6" w14:textId="77777777" w:rsidR="00AC363E" w:rsidRPr="00371EA8" w:rsidRDefault="007578DC">
      <w:pPr>
        <w:jc w:val="both"/>
        <w:rPr>
          <w:rFonts w:ascii="Times New Roman" w:hAnsi="Times New Roman" w:cs="Times New Roman"/>
          <w:color w:val="auto"/>
        </w:rPr>
      </w:pPr>
      <w:proofErr w:type="spellStart"/>
      <w:r w:rsidRPr="00371EA8">
        <w:rPr>
          <w:rFonts w:ascii="Times New Roman" w:hAnsi="Times New Roman" w:cs="Times New Roman"/>
          <w:color w:val="auto"/>
        </w:rPr>
        <w:t>Myalgic</w:t>
      </w:r>
      <w:proofErr w:type="spellEnd"/>
      <w:r w:rsidRPr="00371EA8">
        <w:rPr>
          <w:rFonts w:ascii="Times New Roman" w:hAnsi="Times New Roman" w:cs="Times New Roman"/>
          <w:color w:val="auto"/>
        </w:rPr>
        <w:t xml:space="preserve"> encephalomyelitis/chronic fatigue syndrome (ME/CFS) shows the same pattern, but with even greater consequences. The term “chronic fatigue syndrome” suggests little more than persistent tiredness, although the condition involves immune dysfunction, autonomic abnormalities, and post-exertional malaise. This mismatch can foster perceptions of laziness among patients and triviality among the wider public. It also explains why advocates have long called for a name such as systemic exertion intolerance disease (SEID), which better reflects the condition’s neurological and systemic nature (Arron et al., 2024). As with PCOS, an imprecise label has been associated with delayed diagnosis, limited clinical recognition, and inadequate research attention.</w:t>
      </w:r>
    </w:p>
    <w:p w14:paraId="09BDA571"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Attention-deficit/hyperactivity disorder (ADHD) illustrates a subtler version of the same issue. Its name foregrounds observable behaviors, particularly inattention and hyperactivity, while saying little about the broader dysregulation of executive function, impulse control, and emotional regulation that often characterizes the disorder (Ford-Jones, 2015). A </w:t>
      </w:r>
      <w:proofErr w:type="spellStart"/>
      <w:r w:rsidRPr="00371EA8">
        <w:rPr>
          <w:rFonts w:ascii="Times New Roman" w:hAnsi="Times New Roman" w:cs="Times New Roman"/>
          <w:color w:val="auto"/>
        </w:rPr>
        <w:t>behaviourally</w:t>
      </w:r>
      <w:proofErr w:type="spellEnd"/>
      <w:r w:rsidRPr="00371EA8">
        <w:rPr>
          <w:rFonts w:ascii="Times New Roman" w:hAnsi="Times New Roman" w:cs="Times New Roman"/>
          <w:color w:val="auto"/>
        </w:rPr>
        <w:t xml:space="preserve"> framed label can therefore narrow the scope of understanding for patients, families, educators, and clinicians.</w:t>
      </w:r>
    </w:p>
    <w:p w14:paraId="4B809420"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Across these examples, the underlying pattern is the same. A name that describes appearances can limit a patient’s understanding of what their condition actually is.</w:t>
      </w:r>
    </w:p>
    <w:p w14:paraId="1EBF72AF"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3.4 PMOS as a Health Communication Tool</w:t>
      </w:r>
    </w:p>
    <w:p w14:paraId="319F5BFF"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This is the context in which the case for renaming PCOS becomes clearer. The old term placed the condition firmly within the ovary. By contrast, “polyendocrine metabolic ovarian syndrome” is intended to signal from the outset that the disorder involves multiple endocrine systems and has a primary metabolic basis, with the ovary as one site of involvement rather than the whole condition. The new name is meant to show that this is not simply a matter of “ovarian cysts,” but a complex condition that extends across reproductive health, metabolic regulation, and other body systems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 Whether this intention will lead to a clearer understanding among patients and clinicians remains an empirical question, and one that only further study can answer.</w:t>
      </w:r>
    </w:p>
    <w:p w14:paraId="499916DC"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The reasoning behind the change was explicitly communicative. Patient advocates and other stakeholders involved in the consensus process argued that the terminology should help patients </w:t>
      </w:r>
      <w:r w:rsidRPr="00371EA8">
        <w:rPr>
          <w:rFonts w:ascii="Times New Roman" w:hAnsi="Times New Roman" w:cs="Times New Roman"/>
          <w:color w:val="auto"/>
        </w:rPr>
        <w:lastRenderedPageBreak/>
        <w:t>understand the condition and engage with genuinely multidisciplinary care (Endocrine Society, 2026). The hope is that patients who recognize PMOS as a metabolic and endocrine disorder may be more willing to pursue lifestyle changes to improve insulin sensitivity, accept referrals to endocrinology and metabolic specialists, and commit to long-term metabolic monitoring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 In this sense, the new name serves as a health communication tool and a scientific correction. It attempts to close the gap between the label and reality that this review has traced.</w:t>
      </w:r>
    </w:p>
    <w:p w14:paraId="110ECBDE" w14:textId="77777777" w:rsidR="00AC363E" w:rsidRPr="00371EA8" w:rsidRDefault="007578DC">
      <w:pPr>
        <w:pStyle w:val="Heading1"/>
        <w:rPr>
          <w:rFonts w:ascii="Times New Roman" w:hAnsi="Times New Roman" w:cs="Times New Roman"/>
          <w:color w:val="auto"/>
        </w:rPr>
      </w:pPr>
      <w:r w:rsidRPr="00371EA8">
        <w:rPr>
          <w:rFonts w:ascii="Times New Roman" w:hAnsi="Times New Roman" w:cs="Times New Roman"/>
          <w:color w:val="auto"/>
        </w:rPr>
        <w:t>4. Disease Nomenclature and Diagnostic Delays</w:t>
      </w:r>
    </w:p>
    <w:p w14:paraId="7FAFC43C"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4.1 Diagnostic Delays in PCOS/PMOS</w:t>
      </w:r>
    </w:p>
    <w:p w14:paraId="150821AB"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When a misleading name distorts understanding, one of its most measurable consequences is diagnostic delay. This has been one of the most consistently documented harms associated with PCOS (Gibson-Helm et al., 2017). Studies suggest that as many as 70% of affected women may remain undiagnosed or unsuspected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 Among those who do receive a diagnosis, many wait years, often reaching that point only after a fertility work-up, the development of more serious metabolic problems, or repeated consultations with different clinicians offering different explanations (Li et al., 2025).</w:t>
      </w:r>
    </w:p>
    <w:p w14:paraId="740057F0"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The name is not the only reason for this delay, and it would overstate the case to suggest otherwise. Diagnostic delay in PCOS is genuinely multifactorial. It reflects the condition’s varied presentation, competing diagnostic criteria, the lack of a single definitive biomarker, uneven awareness in primary care, and unequal access to specialist assessment. Still, the name remains one important factor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 By presenting the condition as primarily gynecological, “polycystic ovary syndrome” may have narrowed diagnostic thinking outside reproductive or gynecological settings. A woman presenting with insulin resistance, dyslipidemia, hypertension, acne, or hirsutism might not be assessed for an endocrine or metabolic disorder if the condition is mentally filed under reproductive medicine.</w:t>
      </w:r>
    </w:p>
    <w:p w14:paraId="4C3A8294"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This matters because the consequences of delay are not evenly distributed across the condition’s features. The metabolic complications of PCOS, including insulin resistance, type 2 diabetes, and cardiovascular disease, are among the areas most responsive to early intervention (Ahmad et al., 2025). Years lost to a gynecological framing may therefore also mean years of postponed lifestyle change, monitoring, and prevention that could have reduced long-term metabolic morbidity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 A name that foregrounds the metabolic dimension could, in principle, support earlier </w:t>
      </w:r>
      <w:r w:rsidRPr="00371EA8">
        <w:rPr>
          <w:rFonts w:ascii="Times New Roman" w:hAnsi="Times New Roman" w:cs="Times New Roman"/>
          <w:color w:val="auto"/>
        </w:rPr>
        <w:lastRenderedPageBreak/>
        <w:t>recognition, especially among women who present with metabolic rather than reproductive concerns and may be more easily missed under the old frame (Ali, 2026).</w:t>
      </w:r>
    </w:p>
    <w:p w14:paraId="7BB05349" w14:textId="77777777" w:rsidR="00AC363E" w:rsidRPr="00371EA8" w:rsidRDefault="007578DC">
      <w:pPr>
        <w:pStyle w:val="Heading1"/>
        <w:rPr>
          <w:rFonts w:ascii="Times New Roman" w:hAnsi="Times New Roman" w:cs="Times New Roman"/>
          <w:color w:val="auto"/>
        </w:rPr>
      </w:pPr>
      <w:r w:rsidRPr="00371EA8">
        <w:rPr>
          <w:rFonts w:ascii="Times New Roman" w:hAnsi="Times New Roman" w:cs="Times New Roman"/>
          <w:color w:val="auto"/>
        </w:rPr>
        <w:t>5. Disease Nomenclature and Stigma</w:t>
      </w:r>
    </w:p>
    <w:p w14:paraId="36780A76"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5.1 Stigma Associated with “Polycystic Ovary Syndrome”</w:t>
      </w:r>
    </w:p>
    <w:p w14:paraId="36361CEC"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Beyond the clinic, a name also carries social weight, and the old terminology created its own harms. The words “polycystic ovary” and “cysts” carried associations of pathology and abnormality that many patients found distressing. This was especially true because “cysts” can easily be, although wrongly, associated with cancer or other serious diseases. As a result, the name became a source of fear and embarrassment rather than simply a source of information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w:t>
      </w:r>
    </w:p>
    <w:p w14:paraId="55004B39"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That embarrassment was not only private. Some women described feeling ashamed of the term or struggling to explain to family and friends what “cysts” did and did not mean. The stigma attached to the name, together with the common misunderstanding of the condition as mainly a fertility problem, has been linked to social withdrawal and reluctance to seek help. The reproductive framing was especially harmful in settings where menstrual or fertility difficulties are strongly stigmatized or closely tied to a woman’s social standing (Endocrine Society, 2026). In such contexts, naming the condition in reproductive terms can deepen an existing social penalty rather than reduce it.</w:t>
      </w:r>
    </w:p>
    <w:p w14:paraId="07529A1C"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If the name shaped how patients and society understood the condition, it also shaped how the medical system organized care around it. This was where its effects became visible as fragmentation.</w:t>
      </w:r>
    </w:p>
    <w:p w14:paraId="06EED3D5" w14:textId="77777777" w:rsidR="00AC363E" w:rsidRPr="00371EA8" w:rsidRDefault="007578DC">
      <w:pPr>
        <w:pStyle w:val="Heading1"/>
        <w:rPr>
          <w:rFonts w:ascii="Times New Roman" w:hAnsi="Times New Roman" w:cs="Times New Roman"/>
          <w:color w:val="auto"/>
        </w:rPr>
      </w:pPr>
      <w:r w:rsidRPr="00371EA8">
        <w:rPr>
          <w:rFonts w:ascii="Times New Roman" w:hAnsi="Times New Roman" w:cs="Times New Roman"/>
          <w:color w:val="auto"/>
        </w:rPr>
        <w:t>6. Disease Nomenclature and Care Fragmentation</w:t>
      </w:r>
    </w:p>
    <w:p w14:paraId="13413393"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The same gynecological framing that narrowed diagnosis and deepened stigma also fragmented care. By presenting the condition as an “ovarian syndrome,” the old name encouraged a siloed model in which different specialists treated separate aspects of the disorder without a shared framework or regular coordination (Society of General Internal Medicine, 2014). A gynecologist might manage ovulatory dysfunction, an endocrinologist the metabolic disturbance, and a cardiologist the cardiovascular risk, without any of them necessarily recognizing these problems as connected features of one underlying condition (</w:t>
      </w:r>
      <w:proofErr w:type="spellStart"/>
      <w:r w:rsidRPr="00371EA8">
        <w:rPr>
          <w:rFonts w:ascii="Times New Roman" w:hAnsi="Times New Roman" w:cs="Times New Roman"/>
          <w:color w:val="auto"/>
        </w:rPr>
        <w:t>Baldani</w:t>
      </w:r>
      <w:proofErr w:type="spellEnd"/>
      <w:r w:rsidRPr="00371EA8">
        <w:rPr>
          <w:rFonts w:ascii="Times New Roman" w:hAnsi="Times New Roman" w:cs="Times New Roman"/>
          <w:color w:val="auto"/>
        </w:rPr>
        <w:t xml:space="preserve"> et al., 2015).</w:t>
      </w:r>
    </w:p>
    <w:p w14:paraId="476453C9"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The name reinforced this division of labor. Because it framed the condition as gynecological, endocrinologists and internists could easily regard it as belonging primarily to another specialty. In </w:t>
      </w:r>
      <w:r w:rsidRPr="00371EA8">
        <w:rPr>
          <w:rFonts w:ascii="Times New Roman" w:hAnsi="Times New Roman" w:cs="Times New Roman"/>
          <w:color w:val="auto"/>
        </w:rPr>
        <w:lastRenderedPageBreak/>
        <w:t>practice, this meant that no single specialty consistently took responsibility for the whole patient. “Polyendocrine metabolic ovarian syndrome” is intended to disrupt that logic by naming the involvement of several systems and specialties at once. It signals that a complete evaluation requires more than one disciplinary perspective.</w:t>
      </w:r>
    </w:p>
    <w:p w14:paraId="6EEF2780"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Whether this leads to better coordination remains to be seen. Still, the mechanism is plausible. A name that makes the multisystem nature of a condition explicit provides clinicians with a clearer reason to cross specialties when planning care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 In this respect, the new term is meant to function less as a diagnosis filed under one department and more as a prompt for collaborative, whole-patient management.</w:t>
      </w:r>
    </w:p>
    <w:p w14:paraId="67CB3F66"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This problem is not unique to PCOS. Medicine has faced similar cases before, in which names distorted diagnosis, deepened stigma, or fragmented care. In several of these cases, renaming became part of the repair process.</w:t>
      </w:r>
    </w:p>
    <w:p w14:paraId="7B4C2D74" w14:textId="77777777" w:rsidR="00AC363E" w:rsidRPr="00371EA8" w:rsidRDefault="007578DC">
      <w:pPr>
        <w:pStyle w:val="Heading1"/>
        <w:rPr>
          <w:rFonts w:ascii="Times New Roman" w:hAnsi="Times New Roman" w:cs="Times New Roman"/>
          <w:color w:val="auto"/>
        </w:rPr>
      </w:pPr>
      <w:r w:rsidRPr="00371EA8">
        <w:rPr>
          <w:rFonts w:ascii="Times New Roman" w:hAnsi="Times New Roman" w:cs="Times New Roman"/>
          <w:color w:val="auto"/>
        </w:rPr>
        <w:t>7. Historical Precedents: Nomenclature Change in Medicine</w:t>
      </w:r>
    </w:p>
    <w:p w14:paraId="3478AF95"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This history is instructive because the transition from PCOS to PMOS fits into a broader pattern. Medical names have often been revised when evidence showed they were inaccurate, insufficiently descriptive, or actively harmful. Several well-documented examples show how terminology has been changed to improve accuracy, reduce stigma, and support better care. Each offers a useful lens through which to understand the present change.</w:t>
      </w:r>
    </w:p>
    <w:p w14:paraId="14F4A519"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7.1 Hysteria: From Stigmatizing Misnomer to Specific Diagnoses</w:t>
      </w:r>
    </w:p>
    <w:p w14:paraId="086E6BE1"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One of the clearest parallels for stigma is “hysteria.” For centuries, the term was used to describe a poorly defined condition thought to affect women, marked by emotional disturbance and physical symptoms (Trimble &amp; Reynolds, 2016). Its etymology encoded its central error. Derived from the Greek word for uterus, </w:t>
      </w:r>
      <w:proofErr w:type="spellStart"/>
      <w:r w:rsidRPr="00371EA8">
        <w:rPr>
          <w:rFonts w:ascii="Times New Roman" w:hAnsi="Times New Roman" w:cs="Times New Roman"/>
          <w:color w:val="auto"/>
        </w:rPr>
        <w:t>hystera</w:t>
      </w:r>
      <w:proofErr w:type="spellEnd"/>
      <w:r w:rsidRPr="00371EA8">
        <w:rPr>
          <w:rFonts w:ascii="Times New Roman" w:hAnsi="Times New Roman" w:cs="Times New Roman"/>
          <w:color w:val="auto"/>
        </w:rPr>
        <w:t>, the term rested on the belief that such illnesses arose from disease of the female reproductive organs. The name was therefore both inaccurate and stigmatizing. It framed patients as unstable, unreliable, or as inventing their symptoms.</w:t>
      </w:r>
    </w:p>
    <w:p w14:paraId="0F2D4845"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The twentieth century gradually dismantled this label. As psychiatric and neurological understanding advanced, “hysteria” was broken down into more specific and mechanistically grounded diagnoses, including conversion disorder, anxiety and panic disorders, dissociative disorders, and somatoform disorders. None of these depended on assumptions about female reproduction. This shift mattered </w:t>
      </w:r>
      <w:r w:rsidRPr="00371EA8">
        <w:rPr>
          <w:rFonts w:ascii="Times New Roman" w:hAnsi="Times New Roman" w:cs="Times New Roman"/>
          <w:color w:val="auto"/>
        </w:rPr>
        <w:lastRenderedPageBreak/>
        <w:t>clinically and socially. Patients were less likely to be dismissed as “hysterical,” treatment could be better matched to the actual disorder, and a deeply gendered set of assumptions began to lose its hold on clinical practice. The lesson is that a name’s longevity does not prove its adequacy. When a name becomes scientifically inaccurate or clinically harmful, evidence-based reform can open the way for clearer diagnosis, better treatment, and more respectful care. The transition from PCOS to PMOS follows the same logic, although on a much shorter timescale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w:t>
      </w:r>
    </w:p>
    <w:p w14:paraId="573A3504"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7.2 Mongolism to Down Syndrome: Renaming to Reduce Stigma and Improve Understanding</w:t>
      </w:r>
    </w:p>
    <w:p w14:paraId="6F10ABE6"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If hysteria shows how a name can stigmatize through false theory, the renaming of “Mongolism” shows how a name can stigmatize through prejudice. The condition now known as Down syndrome was first described by John Langdon Down in 1866. Because he believed that the facial features of affected people resembled those of Mongolian populations, he used the term “Mongolism.” The label was scientifically baseless and racially demeaning, and it contributed directly to the marginalization of the people it described (</w:t>
      </w:r>
      <w:proofErr w:type="spellStart"/>
      <w:r w:rsidRPr="00371EA8">
        <w:rPr>
          <w:rFonts w:ascii="Times New Roman" w:hAnsi="Times New Roman" w:cs="Times New Roman"/>
          <w:color w:val="auto"/>
        </w:rPr>
        <w:t>Stollznow</w:t>
      </w:r>
      <w:proofErr w:type="spellEnd"/>
      <w:r w:rsidRPr="00371EA8">
        <w:rPr>
          <w:rFonts w:ascii="Times New Roman" w:hAnsi="Times New Roman" w:cs="Times New Roman"/>
          <w:color w:val="auto"/>
        </w:rPr>
        <w:t>, 2020).</w:t>
      </w:r>
    </w:p>
    <w:p w14:paraId="6D9F8166"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The correction came slowly but decisively. Down himself did not coin “Down syndrome.” The eponym honoring him was adopted later, as the field increasingly recognized that “Mongolism” was inaccurate and offensive. The World Health Organization withdrew the older term in 1965, and “Down syndrome” became established through the early 1970s. The change did more than replace one label with another. It ended the routine description of affected people in racially demeaning terms, moved the name away from a false racial framework, and helped shift public understanding toward a recognized genetic condition with specific clinical supports. The replacement of such an entrenched term speaks directly to the feasibility of the PCOS-to-PMOS change once the evidence against the older name becomes clear.</w:t>
      </w:r>
    </w:p>
    <w:p w14:paraId="1B342729"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7.3 Dropsy to Specific Diagnoses: Identifying Underlying Pathophysiology</w:t>
      </w:r>
    </w:p>
    <w:p w14:paraId="3ACF022C"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The closest structural parallel to PCOS may be “dropsy.” The term once described the visible accumulation of fluid in the body’s tissues, bringing together many different conditions under a single symptom-based label. Heart failure, renal failure, liver cirrhosis, malnutrition, and lymphatic obstruction could all be described as dropsy, even though their causes and treatments differed substantially (</w:t>
      </w:r>
      <w:proofErr w:type="spellStart"/>
      <w:r w:rsidRPr="00371EA8">
        <w:rPr>
          <w:rFonts w:ascii="Times New Roman" w:hAnsi="Times New Roman" w:cs="Times New Roman"/>
          <w:color w:val="auto"/>
        </w:rPr>
        <w:t>Witchel</w:t>
      </w:r>
      <w:proofErr w:type="spellEnd"/>
      <w:r w:rsidRPr="00371EA8">
        <w:rPr>
          <w:rFonts w:ascii="Times New Roman" w:hAnsi="Times New Roman" w:cs="Times New Roman"/>
          <w:color w:val="auto"/>
        </w:rPr>
        <w:t xml:space="preserve"> et al., 2019).</w:t>
      </w:r>
    </w:p>
    <w:p w14:paraId="32932741"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lastRenderedPageBreak/>
        <w:t>As physiology advanced and diagnostic tools improved, “dropsy” gave way to more specific diagnoses. Treatment could then be matched to mechanism rather than appearance: cardiac therapy for heart failure, renal-protective treatment for nephrotic syndrome, and liver-directed care for cirrhosis. The move from a symptom-based label to mechanism-based diagnoses both reflected and enabled better clinical care. The parallel with PCOS is clear. Like “dropsy,” “polycystic ovary syndrome” names a visible feature, in this case ovarian morphology, rather than the endocrine-metabolic mechanism that drives the disorder. Both examples show that names are clinically stronger when they track the underlying mechanism rather than the surface appearance.</w:t>
      </w:r>
    </w:p>
    <w:p w14:paraId="5255B736"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7.4 Contemporary Conditions: Ongoing Calls for Nomenclature Change</w:t>
      </w:r>
    </w:p>
    <w:p w14:paraId="3D628136"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 xml:space="preserve">The impulse behind these historical reforms remains active. Patient advocates have long argued that “chronic fatigue syndrome” understates the seriousness of </w:t>
      </w:r>
      <w:proofErr w:type="spellStart"/>
      <w:r w:rsidRPr="00371EA8">
        <w:rPr>
          <w:rFonts w:ascii="Times New Roman" w:hAnsi="Times New Roman" w:cs="Times New Roman"/>
          <w:color w:val="auto"/>
        </w:rPr>
        <w:t>myalgic</w:t>
      </w:r>
      <w:proofErr w:type="spellEnd"/>
      <w:r w:rsidRPr="00371EA8">
        <w:rPr>
          <w:rFonts w:ascii="Times New Roman" w:hAnsi="Times New Roman" w:cs="Times New Roman"/>
          <w:color w:val="auto"/>
        </w:rPr>
        <w:t xml:space="preserve"> encephalomyelitis/chronic fatigue syndrome (ME/CFS) for both clinicians and the public. The proposed term, systemic exertion intolerance disease (SEID), was intended better to reflect the condition’s neurological and systemic manifestations. However, despite sustained advocacy, the change has been slow. This illustrates the institutional inertia that often surrounds nomenclature reform and provides a useful contrast to the unusual speed and coordination of the PCOS-to-PMOS transition (</w:t>
      </w:r>
      <w:proofErr w:type="spellStart"/>
      <w:r w:rsidRPr="00371EA8">
        <w:rPr>
          <w:rFonts w:ascii="Times New Roman" w:hAnsi="Times New Roman" w:cs="Times New Roman"/>
          <w:color w:val="auto"/>
        </w:rPr>
        <w:t>Teede</w:t>
      </w:r>
      <w:proofErr w:type="spellEnd"/>
      <w:r w:rsidRPr="00371EA8">
        <w:rPr>
          <w:rFonts w:ascii="Times New Roman" w:hAnsi="Times New Roman" w:cs="Times New Roman"/>
          <w:color w:val="auto"/>
        </w:rPr>
        <w:t xml:space="preserve"> et al., 2026).</w:t>
      </w:r>
    </w:p>
    <w:p w14:paraId="0703D25B" w14:textId="77777777" w:rsidR="00AC363E" w:rsidRPr="00371EA8" w:rsidRDefault="007578DC">
      <w:pPr>
        <w:jc w:val="both"/>
        <w:rPr>
          <w:rFonts w:ascii="Times New Roman" w:hAnsi="Times New Roman" w:cs="Times New Roman"/>
          <w:color w:val="auto"/>
        </w:rPr>
      </w:pPr>
      <w:r w:rsidRPr="00371EA8">
        <w:rPr>
          <w:rFonts w:ascii="Times New Roman" w:hAnsi="Times New Roman" w:cs="Times New Roman"/>
          <w:color w:val="auto"/>
        </w:rPr>
        <w:t>Endometriosis presents a related problem. A name that refers mainly to the presence of endometrial-like tissue does not capture the pain, systemic inflammation, reduced quality of life, or chronic-pain consequences that often define the condition. This anatomical framing can lead patients, families, and clinicians to underestimate its severity. As with PCOS, calls for a more accurate and recognizable name continue. As a whole, these contemporary examples suggest a growing recognition across medicine that accurate and comprehensive naming matters for diagnosis, management, research framing, and patient outcomes, even where reform remains incomplete.</w:t>
      </w:r>
    </w:p>
    <w:p w14:paraId="38A9A974" w14:textId="77777777" w:rsidR="00AC363E" w:rsidRPr="00371EA8" w:rsidRDefault="007578DC">
      <w:pPr>
        <w:pStyle w:val="Heading2"/>
        <w:rPr>
          <w:rFonts w:ascii="Times New Roman" w:hAnsi="Times New Roman" w:cs="Times New Roman"/>
          <w:color w:val="auto"/>
        </w:rPr>
      </w:pPr>
      <w:r w:rsidRPr="00371EA8">
        <w:rPr>
          <w:rFonts w:ascii="Times New Roman" w:hAnsi="Times New Roman" w:cs="Times New Roman"/>
          <w:color w:val="auto"/>
        </w:rPr>
        <w:t>7.5 Lessons from Historical Nomenclature Change</w:t>
      </w:r>
    </w:p>
    <w:p w14:paraId="5FD68A0D" w14:textId="77777777" w:rsidR="000378C7" w:rsidRPr="000378C7" w:rsidRDefault="000378C7" w:rsidP="000378C7">
      <w:pPr>
        <w:jc w:val="both"/>
        <w:rPr>
          <w:rFonts w:ascii="Times New Roman" w:hAnsi="Times New Roman" w:cs="Times New Roman"/>
          <w:color w:val="auto"/>
        </w:rPr>
      </w:pPr>
      <w:r w:rsidRPr="000378C7">
        <w:rPr>
          <w:rFonts w:ascii="Times New Roman" w:hAnsi="Times New Roman" w:cs="Times New Roman"/>
          <w:color w:val="auto"/>
        </w:rPr>
        <w:t xml:space="preserve">Learning from this history, several lessons emerge, each applicable to the future of PMOS. First, it makes it easier to accelerate reform when a name is found to be inaccurate or harmful. This was the trajectory of the PCOS-to-PMOS transition over several years, involving evidence collection and consensus-building. Second, there is a need for coordination among researchers, clinicians, professional bodies, and patient advocates to ensure durable change. Over 56 organizations with more than 14,300 stakeholders are involved, as is usual for such a well-organized effort by historical </w:t>
      </w:r>
      <w:r w:rsidRPr="000378C7">
        <w:rPr>
          <w:rFonts w:ascii="Times New Roman" w:hAnsi="Times New Roman" w:cs="Times New Roman"/>
          <w:color w:val="auto"/>
        </w:rPr>
        <w:lastRenderedPageBreak/>
        <w:t>standards. Thirdly, even justifiable changes face opposition. Reframing "hysteria" took decades, replacing "Mongolism" was gradual, and ME/CFS remains unresolved despite long advocacy. PMOS will likely face similar challenges as clinicians, health systems, and a large body of existing literature continue to use the older term. The final lesson, however, is encouraging: when names are brought into closer alignment with physiology, diagnosis, treatment, research, and patient understanding can improve together. The move to PMOS is the newest chapter in that longer history.</w:t>
      </w:r>
    </w:p>
    <w:p w14:paraId="447AF66E" w14:textId="77777777" w:rsidR="000378C7" w:rsidRPr="000378C7" w:rsidRDefault="000378C7" w:rsidP="000378C7">
      <w:pPr>
        <w:jc w:val="both"/>
        <w:rPr>
          <w:rFonts w:ascii="Times New Roman" w:hAnsi="Times New Roman" w:cs="Times New Roman"/>
          <w:color w:val="auto"/>
        </w:rPr>
      </w:pPr>
      <w:r w:rsidRPr="000378C7">
        <w:rPr>
          <w:rFonts w:ascii="Times New Roman" w:hAnsi="Times New Roman" w:cs="Times New Roman"/>
          <w:color w:val="auto"/>
        </w:rPr>
        <w:t>As this review has suggested, medical terminology is not just "labeling". The name of the disease determines the concept and reasoning of the disease condition. It focuses the patient's attention on some mechanisms, while others are ignored; it tells patients what the disease is and how seriously it should be taken. If a name is consistent with contemporary science, it can deepen clinical understanding, aid decision-making, enhance a health care team's ability to provide integrated care, and increase a patient's understanding; if it is not, it can have the opposite effect.</w:t>
      </w:r>
    </w:p>
    <w:p w14:paraId="3C4CAE68" w14:textId="77777777" w:rsidR="000378C7" w:rsidRPr="000378C7" w:rsidRDefault="000378C7" w:rsidP="000378C7">
      <w:pPr>
        <w:jc w:val="both"/>
        <w:rPr>
          <w:rFonts w:ascii="Times New Roman" w:hAnsi="Times New Roman" w:cs="Times New Roman"/>
          <w:color w:val="auto"/>
        </w:rPr>
      </w:pPr>
      <w:r w:rsidRPr="000378C7">
        <w:rPr>
          <w:rFonts w:ascii="Times New Roman" w:hAnsi="Times New Roman" w:cs="Times New Roman"/>
          <w:color w:val="auto"/>
        </w:rPr>
        <w:t>It is a reversal that's demonstrated by the history of polycystic ovary syndrome. The old name did not reflect the condition's scientific underpinning or its multiple-system impact. It has been correlated with delays in diagnosis in up to 70% of women with the disease, poor coordination of care between specialties, and an excessive focus on reproductive dysfunction to the detriment of metabolic evaluation. Patients were confused about the nature of their condition when the same language was used to describe what was happening to them, and it may have fostered stigma that hampered disclosure and help-seeking. In fact, this harm can be avoided, as medicine's history demonstrates. The histories of hysteria, Mongolism, and dropsy illustrate how the "readmissions" of these names can perpetuate stigma and divert attention from more accurate, clinical, and dignified ways of understanding them. The formal change from polycystic ovary syndrome to polyendocrine metabolic ovarian syndrome, adopted internationally on 12 May 2026, is the latest example of such reform. Its benefits cannot yet be observed directly, since the change is too recent for its effects on diagnosis, stigma, coordination, or outcomes to have been measured. The case for the change, therefore, rests on two firmer foundations: its alignment with current scientific understanding and the well-established cognitive mechanisms that predict clearer naming should support clearer understanding. These mechanisms include cognitive load, conceptual anchoring, and semantic priming. Testing whether these predicted benefits actually materialize is now an important task for future research. What the transition already demonstrates, however, is that a disease name should be judged not only by its semantic accuracy but also by its downstream effects on understanding, diagnosis, clinician reasoning, coordination, and outcomes.</w:t>
      </w:r>
    </w:p>
    <w:p w14:paraId="64CB9A74" w14:textId="77777777" w:rsidR="000378C7" w:rsidRPr="000378C7" w:rsidRDefault="000378C7" w:rsidP="000378C7">
      <w:pPr>
        <w:jc w:val="both"/>
        <w:rPr>
          <w:rFonts w:ascii="Times New Roman" w:hAnsi="Times New Roman" w:cs="Times New Roman"/>
          <w:color w:val="auto"/>
        </w:rPr>
      </w:pPr>
      <w:r w:rsidRPr="000378C7">
        <w:rPr>
          <w:rFonts w:ascii="Times New Roman" w:hAnsi="Times New Roman" w:cs="Times New Roman"/>
          <w:color w:val="auto"/>
        </w:rPr>
        <w:lastRenderedPageBreak/>
        <w:t>The wider implication is that nomenclature belongs within healthcare quality and patient safety, not outside it. When names are coined or revised, their likely effects on understanding, diagnostic recognition, stigma, and outcomes should be considered deliberately rather than left to chance. At its best, a disease name reflects current science while supporting accurate diagnosis, integrated care, clear communication, and reduced stigma. Getting it right, as the PCOS-to-PMOS transition suggests, is a change that may improve the experience and care of millions.</w:t>
      </w:r>
    </w:p>
    <w:p w14:paraId="71F149B3" w14:textId="77777777" w:rsidR="00AC363E" w:rsidRPr="00371EA8" w:rsidRDefault="00AC363E">
      <w:pPr>
        <w:jc w:val="both"/>
        <w:rPr>
          <w:rFonts w:ascii="Times New Roman" w:hAnsi="Times New Roman" w:cs="Times New Roman"/>
          <w:color w:val="auto"/>
        </w:rPr>
      </w:pPr>
    </w:p>
    <w:p w14:paraId="5DF12520" w14:textId="77777777" w:rsidR="005901B9" w:rsidRPr="005901B9" w:rsidRDefault="007578DC" w:rsidP="005901B9">
      <w:pPr>
        <w:spacing w:before="100" w:beforeAutospacing="1" w:after="100" w:afterAutospacing="1" w:line="240" w:lineRule="auto"/>
        <w:outlineLvl w:val="1"/>
        <w:rPr>
          <w:rFonts w:ascii="Times New Roman" w:eastAsia="Times New Roman" w:hAnsi="Times New Roman" w:cs="Times New Roman"/>
          <w:b/>
          <w:bCs/>
          <w:color w:val="auto"/>
          <w:sz w:val="36"/>
          <w:szCs w:val="36"/>
        </w:rPr>
      </w:pPr>
      <w:r w:rsidRPr="00371EA8">
        <w:rPr>
          <w:rFonts w:ascii="Times New Roman" w:hAnsi="Times New Roman" w:cs="Times New Roman"/>
          <w:color w:val="auto"/>
        </w:rPr>
        <w:t xml:space="preserve">8. </w:t>
      </w:r>
      <w:r w:rsidR="005901B9" w:rsidRPr="005901B9">
        <w:rPr>
          <w:rFonts w:ascii="Times New Roman" w:eastAsia="Times New Roman" w:hAnsi="Times New Roman" w:cs="Times New Roman"/>
          <w:b/>
          <w:bCs/>
          <w:color w:val="auto"/>
          <w:sz w:val="36"/>
          <w:szCs w:val="36"/>
        </w:rPr>
        <w:t>Conclusions</w:t>
      </w:r>
    </w:p>
    <w:p w14:paraId="072A120C" w14:textId="77777777" w:rsidR="005901B9" w:rsidRPr="005901B9" w:rsidRDefault="005901B9" w:rsidP="005901B9">
      <w:pPr>
        <w:spacing w:before="100" w:beforeAutospacing="1" w:after="100" w:afterAutospacing="1" w:line="240" w:lineRule="auto"/>
        <w:rPr>
          <w:rFonts w:ascii="Times New Roman" w:eastAsia="Times New Roman" w:hAnsi="Times New Roman" w:cs="Times New Roman"/>
          <w:color w:val="auto"/>
          <w:sz w:val="24"/>
          <w:szCs w:val="24"/>
        </w:rPr>
      </w:pPr>
      <w:r w:rsidRPr="005901B9">
        <w:rPr>
          <w:rFonts w:ascii="Times New Roman" w:eastAsia="Times New Roman" w:hAnsi="Times New Roman" w:cs="Times New Roman"/>
          <w:color w:val="auto"/>
          <w:sz w:val="24"/>
          <w:szCs w:val="24"/>
        </w:rPr>
        <w:t>Medical nomenclature plays an important role in clinical communication, patient understanding, and diagnostic reasoning. The transition from polycystic ovary syndrome to polyendocrine metabolic ovarian syndrome provides a useful example of how disease names may be revised when they no longer reflect current scientific understanding. The older term emphasized ovarian cysts and reproductive anatomy, whereas the newer term gives greater attention to endocrine and metabolic features. This shift may support clearer patient education and broader multidisciplinary awareness, but measurable benefits in diagnosis, stigma reduction, care coordination, and clinical outcomes have not yet been established. Historical examples of nomenclature change show that revised terminology can reduce stigma and improve conceptual accuracy when supported by evidence, professional consensus, and patient engagement. Future research should evaluate whether the PMOS terminology improves health literacy, reduces diagnostic delay, supports more integrated care, and improves patient experience. Disease names should therefore be considered part of healthcare quality, not merely technical labels.</w:t>
      </w:r>
    </w:p>
    <w:p w14:paraId="74030C88" w14:textId="77777777" w:rsidR="005901B9" w:rsidRPr="005901B9" w:rsidRDefault="005901B9" w:rsidP="005901B9">
      <w:pPr>
        <w:spacing w:before="100" w:beforeAutospacing="1" w:after="100" w:afterAutospacing="1" w:line="240" w:lineRule="auto"/>
        <w:outlineLvl w:val="1"/>
        <w:rPr>
          <w:rFonts w:ascii="Times New Roman" w:eastAsia="Times New Roman" w:hAnsi="Times New Roman" w:cs="Times New Roman"/>
          <w:b/>
          <w:bCs/>
          <w:color w:val="auto"/>
          <w:sz w:val="36"/>
          <w:szCs w:val="36"/>
        </w:rPr>
      </w:pPr>
      <w:r w:rsidRPr="005901B9">
        <w:rPr>
          <w:rFonts w:ascii="Times New Roman" w:eastAsia="Times New Roman" w:hAnsi="Times New Roman" w:cs="Times New Roman"/>
          <w:b/>
          <w:bCs/>
          <w:color w:val="auto"/>
          <w:sz w:val="36"/>
          <w:szCs w:val="36"/>
        </w:rPr>
        <w:t>Limitations</w:t>
      </w:r>
    </w:p>
    <w:p w14:paraId="3404A3C2" w14:textId="77777777" w:rsidR="005901B9" w:rsidRPr="005901B9" w:rsidRDefault="005901B9" w:rsidP="005901B9">
      <w:pPr>
        <w:spacing w:before="100" w:beforeAutospacing="1" w:after="100" w:afterAutospacing="1" w:line="240" w:lineRule="auto"/>
        <w:rPr>
          <w:rFonts w:ascii="Times New Roman" w:eastAsia="Times New Roman" w:hAnsi="Times New Roman" w:cs="Times New Roman"/>
          <w:color w:val="auto"/>
          <w:sz w:val="24"/>
          <w:szCs w:val="24"/>
        </w:rPr>
      </w:pPr>
      <w:r w:rsidRPr="005901B9">
        <w:rPr>
          <w:rFonts w:ascii="Times New Roman" w:eastAsia="Times New Roman" w:hAnsi="Times New Roman" w:cs="Times New Roman"/>
          <w:color w:val="auto"/>
          <w:sz w:val="24"/>
          <w:szCs w:val="24"/>
        </w:rPr>
        <w:t>This review is limited by its narrative design and does not use a systematic search, formal screening process, or quality assessment of included literature. The PCOS-to-PMOS transition is recent, so direct evidence on its effects on patient understanding, diagnosis, stigma, care coordination, and outcomes is not yet available. Some conclusions are therefore based on cognitive theory, historical analogy, and indirect evidence from related conditions. The review also includes some professional-society and grey-literature sources, which may vary in evidentiary strength. Future empirical studies should assess patient and clinician responses to the new terminology across diverse healthcare systems, cultures, and languages.</w:t>
      </w:r>
    </w:p>
    <w:p w14:paraId="310B281D" w14:textId="77777777" w:rsidR="005901B9" w:rsidRPr="005901B9" w:rsidRDefault="005901B9" w:rsidP="005901B9">
      <w:pPr>
        <w:spacing w:after="200" w:line="276" w:lineRule="auto"/>
        <w:rPr>
          <w:rFonts w:ascii="Calibri" w:eastAsia="Calibri" w:hAnsi="Calibri" w:cs="Times New Roman"/>
          <w:color w:val="auto"/>
          <w:sz w:val="22"/>
          <w:szCs w:val="22"/>
          <w:lang w:val="en-GB"/>
        </w:rPr>
      </w:pPr>
    </w:p>
    <w:p w14:paraId="67D5746A" w14:textId="77777777" w:rsidR="009A16ED" w:rsidRPr="009A16ED" w:rsidRDefault="009A16ED" w:rsidP="009A16ED">
      <w:pPr>
        <w:spacing w:after="0" w:line="240" w:lineRule="auto"/>
        <w:rPr>
          <w:rFonts w:ascii="Times New Roman" w:eastAsiaTheme="minorHAnsi" w:hAnsi="Times New Roman" w:cs="Times New Roman"/>
          <w:b/>
          <w:color w:val="auto"/>
          <w:sz w:val="22"/>
          <w:szCs w:val="22"/>
        </w:rPr>
      </w:pPr>
      <w:r w:rsidRPr="009A16ED">
        <w:rPr>
          <w:rFonts w:ascii="Times New Roman" w:eastAsiaTheme="minorHAnsi" w:hAnsi="Times New Roman" w:cs="Times New Roman"/>
          <w:b/>
          <w:color w:val="auto"/>
          <w:sz w:val="22"/>
          <w:szCs w:val="22"/>
        </w:rPr>
        <w:t>Declaration of AI Use</w:t>
      </w:r>
    </w:p>
    <w:p w14:paraId="02DFE539" w14:textId="77777777" w:rsidR="009A16ED" w:rsidRPr="009A16ED" w:rsidRDefault="009A16ED" w:rsidP="009A16ED">
      <w:pPr>
        <w:spacing w:after="0" w:line="240" w:lineRule="auto"/>
        <w:rPr>
          <w:rFonts w:ascii="Times New Roman" w:eastAsiaTheme="minorHAnsi" w:hAnsi="Times New Roman" w:cs="Times New Roman"/>
          <w:color w:val="auto"/>
          <w:sz w:val="22"/>
          <w:szCs w:val="22"/>
        </w:rPr>
      </w:pPr>
    </w:p>
    <w:p w14:paraId="62695F99" w14:textId="77777777" w:rsidR="009A16ED" w:rsidRPr="009A16ED" w:rsidRDefault="009A16ED" w:rsidP="009A16ED">
      <w:pPr>
        <w:spacing w:after="0" w:line="240" w:lineRule="auto"/>
        <w:jc w:val="both"/>
        <w:rPr>
          <w:rFonts w:ascii="Times New Roman" w:eastAsiaTheme="minorHAnsi" w:hAnsi="Times New Roman" w:cs="Times New Roman"/>
          <w:color w:val="auto"/>
          <w:sz w:val="22"/>
          <w:szCs w:val="22"/>
        </w:rPr>
      </w:pPr>
      <w:r w:rsidRPr="009A16ED">
        <w:rPr>
          <w:rFonts w:ascii="Times New Roman" w:eastAsiaTheme="minorHAnsi" w:hAnsi="Times New Roman" w:cs="Times New Roman"/>
          <w:color w:val="auto"/>
          <w:sz w:val="22"/>
          <w:szCs w:val="22"/>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w:t>
      </w:r>
      <w:r w:rsidRPr="009A16ED">
        <w:rPr>
          <w:rFonts w:ascii="Times New Roman" w:eastAsiaTheme="minorHAnsi" w:hAnsi="Times New Roman" w:cs="Times New Roman"/>
          <w:color w:val="auto"/>
          <w:sz w:val="22"/>
          <w:szCs w:val="22"/>
        </w:rPr>
        <w:lastRenderedPageBreak/>
        <w:t>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6D44D81" w14:textId="140EA3D3" w:rsidR="00AC363E" w:rsidRPr="00371EA8" w:rsidRDefault="007578DC" w:rsidP="005901B9">
      <w:pPr>
        <w:pStyle w:val="Heading1"/>
        <w:rPr>
          <w:rFonts w:ascii="Times New Roman" w:hAnsi="Times New Roman" w:cs="Times New Roman"/>
          <w:color w:val="auto"/>
        </w:rPr>
      </w:pPr>
      <w:r w:rsidRPr="00371EA8">
        <w:rPr>
          <w:rFonts w:ascii="Times New Roman" w:hAnsi="Times New Roman" w:cs="Times New Roman"/>
          <w:color w:val="auto"/>
        </w:rPr>
        <w:t>References</w:t>
      </w:r>
    </w:p>
    <w:p w14:paraId="69AE02AF" w14:textId="77777777" w:rsidR="00857DFC" w:rsidRDefault="00857DFC" w:rsidP="00857DFC">
      <w:pPr>
        <w:pStyle w:val="pdq2pgselectionanchorcontainer"/>
      </w:pPr>
      <w:r>
        <w:t xml:space="preserve">Missel, M., Andersen, L. K., Corvinius, C., Mathiasen, M. C., Donsel, P. O., Schønau, M. N., </w:t>
      </w:r>
      <w:proofErr w:type="spellStart"/>
      <w:r>
        <w:t>Pappot</w:t>
      </w:r>
      <w:proofErr w:type="spellEnd"/>
      <w:r>
        <w:t xml:space="preserve">, H., Witting, N., Culligan, M., Locatelli, G., Jarden, M., &amp; Piil, K. (2025). Understanding symptoms in the lives of adult patients with acute or chronic illness: A phenomenological study of patient experiences. </w:t>
      </w:r>
      <w:r>
        <w:rPr>
          <w:rStyle w:val="Emphasis"/>
        </w:rPr>
        <w:t>International Journal of Qualitative Studies on Health and Well-being, 20</w:t>
      </w:r>
      <w:r>
        <w:t xml:space="preserve">(1), 2534871. </w:t>
      </w:r>
      <w:r w:rsidRPr="00857DFC">
        <w:t>https://doi.org/10.1080/17482631.2025.2534871</w:t>
      </w:r>
    </w:p>
    <w:p w14:paraId="53A9F5F3" w14:textId="77777777" w:rsidR="00857DFC" w:rsidRDefault="00857DFC" w:rsidP="00857DFC">
      <w:pPr>
        <w:pStyle w:val="NormalWeb"/>
      </w:pPr>
      <w:r>
        <w:t xml:space="preserve">Yazdani, S., Hosseinzadeh, M., &amp; Hosseini, F. (2017). Models of clinical reasoning with a focus on general practice: A critical review. </w:t>
      </w:r>
      <w:r>
        <w:rPr>
          <w:rStyle w:val="Emphasis"/>
        </w:rPr>
        <w:t>Journal of Advances in Medical Education &amp; Professionalism, 5</w:t>
      </w:r>
      <w:r>
        <w:t>(4), 177–184. https://europepmc.org/article/PMC/PMC5611427</w:t>
      </w:r>
    </w:p>
    <w:p w14:paraId="3A4D4737" w14:textId="77777777" w:rsidR="00857DFC" w:rsidRDefault="00857DFC" w:rsidP="00857DFC">
      <w:pPr>
        <w:pStyle w:val="NormalWeb"/>
      </w:pPr>
      <w:r>
        <w:t xml:space="preserve">Funkhouser, W. K., Jr. (2018). Pathology: The clinical description of human disease. In W. B. Coleman &amp; G. J. </w:t>
      </w:r>
      <w:proofErr w:type="spellStart"/>
      <w:r>
        <w:t>Tsongalis</w:t>
      </w:r>
      <w:proofErr w:type="spellEnd"/>
      <w:r>
        <w:t xml:space="preserve"> (Eds.), </w:t>
      </w:r>
      <w:r>
        <w:rPr>
          <w:rStyle w:val="Emphasis"/>
        </w:rPr>
        <w:t>Molecular pathology: The molecular basis of human disease</w:t>
      </w:r>
      <w:r>
        <w:t xml:space="preserve"> (2nd ed., pp. 217–229). Academic Press. </w:t>
      </w:r>
      <w:r w:rsidRPr="00857DFC">
        <w:t>https://doi.org/10.1016/B978-0-12-802761-5.00011-0</w:t>
      </w:r>
    </w:p>
    <w:p w14:paraId="41B1DDF3" w14:textId="77777777" w:rsidR="00857DFC" w:rsidRDefault="00857DFC" w:rsidP="00857DFC">
      <w:pPr>
        <w:pStyle w:val="NormalWeb"/>
      </w:pPr>
      <w:r>
        <w:t xml:space="preserve">Alharbi, T. A. F., Rababa, M., </w:t>
      </w:r>
      <w:proofErr w:type="spellStart"/>
      <w:r>
        <w:t>Alsuwayl</w:t>
      </w:r>
      <w:proofErr w:type="spellEnd"/>
      <w:r>
        <w:t xml:space="preserve">, H., </w:t>
      </w:r>
      <w:proofErr w:type="spellStart"/>
      <w:r>
        <w:t>Alsubail</w:t>
      </w:r>
      <w:proofErr w:type="spellEnd"/>
      <w:r>
        <w:t xml:space="preserve">, A., &amp; </w:t>
      </w:r>
      <w:proofErr w:type="spellStart"/>
      <w:r>
        <w:t>Alenizi</w:t>
      </w:r>
      <w:proofErr w:type="spellEnd"/>
      <w:r>
        <w:t xml:space="preserve">, W. S. (2025). Diagnostic challenges and patient safety: The critical role of accuracy—A systematic review. </w:t>
      </w:r>
      <w:r>
        <w:rPr>
          <w:rStyle w:val="Emphasis"/>
        </w:rPr>
        <w:t>Journal of Multidisciplinary Healthcare, 18</w:t>
      </w:r>
      <w:r>
        <w:t xml:space="preserve">, 3051–3064. </w:t>
      </w:r>
      <w:r w:rsidRPr="00857DFC">
        <w:t>https://doi.org/10.2147/JMDH.S512254</w:t>
      </w:r>
    </w:p>
    <w:p w14:paraId="5F9C8C5E" w14:textId="77777777" w:rsidR="00857DFC" w:rsidRDefault="00857DFC" w:rsidP="00857DFC">
      <w:pPr>
        <w:pStyle w:val="NormalWeb"/>
      </w:pPr>
      <w:r>
        <w:t xml:space="preserve">Sims, R., Michaleff, Z. A., </w:t>
      </w:r>
      <w:proofErr w:type="spellStart"/>
      <w:r>
        <w:t>Glasziou</w:t>
      </w:r>
      <w:proofErr w:type="spellEnd"/>
      <w:r>
        <w:t xml:space="preserve">, P., &amp; Thomas, R. (2025). Discussing the potential consequences of a diagnostic label before routine non-cancer screening: Qualitative study with general practitioners and consumers. </w:t>
      </w:r>
      <w:proofErr w:type="spellStart"/>
      <w:r>
        <w:rPr>
          <w:rStyle w:val="Emphasis"/>
        </w:rPr>
        <w:t>BJPsych</w:t>
      </w:r>
      <w:proofErr w:type="spellEnd"/>
      <w:r>
        <w:rPr>
          <w:rStyle w:val="Emphasis"/>
        </w:rPr>
        <w:t xml:space="preserve"> Open, 11</w:t>
      </w:r>
      <w:r>
        <w:t xml:space="preserve">(4), e106. </w:t>
      </w:r>
      <w:r w:rsidRPr="00857DFC">
        <w:t>https://doi.org/10.1192/bjo.2025.5</w:t>
      </w:r>
    </w:p>
    <w:p w14:paraId="13C1CADE" w14:textId="77777777" w:rsidR="00857DFC" w:rsidRDefault="00857DFC" w:rsidP="00857DFC">
      <w:pPr>
        <w:pStyle w:val="NormalWeb"/>
      </w:pPr>
      <w:r>
        <w:t xml:space="preserve">Louwers, Y. V., &amp; Laven, J. S. E. (2020). Characteristics of polycystic ovary syndrome throughout life. </w:t>
      </w:r>
      <w:r>
        <w:rPr>
          <w:rStyle w:val="Emphasis"/>
        </w:rPr>
        <w:t>Therapeutic Advances in Reproductive Health, 14</w:t>
      </w:r>
      <w:r>
        <w:t xml:space="preserve">, 2633494120911038. </w:t>
      </w:r>
      <w:r w:rsidRPr="00857DFC">
        <w:t>https://doi.org/10.1177/2633494120911038</w:t>
      </w:r>
    </w:p>
    <w:p w14:paraId="0C905C86" w14:textId="77777777" w:rsidR="00857DFC" w:rsidRDefault="00857DFC" w:rsidP="00857DFC">
      <w:pPr>
        <w:pStyle w:val="NormalWeb"/>
      </w:pPr>
      <w:r>
        <w:t xml:space="preserve">Shukla, A., Rasquin, L. I., &amp; Anastasopoulou, C. (2025). Polyendocrine metabolic ovarian syndrome. In </w:t>
      </w:r>
      <w:proofErr w:type="spellStart"/>
      <w:r>
        <w:rPr>
          <w:rStyle w:val="Emphasis"/>
        </w:rPr>
        <w:t>StatPearls</w:t>
      </w:r>
      <w:proofErr w:type="spellEnd"/>
      <w:r>
        <w:t xml:space="preserve">. </w:t>
      </w:r>
      <w:proofErr w:type="spellStart"/>
      <w:r>
        <w:t>StatPearls</w:t>
      </w:r>
      <w:proofErr w:type="spellEnd"/>
      <w:r>
        <w:t xml:space="preserve"> Publishing. </w:t>
      </w:r>
      <w:r w:rsidRPr="00857DFC">
        <w:t>https://www.ncbi.nlm.nih.gov/books/NBK459251/</w:t>
      </w:r>
    </w:p>
    <w:p w14:paraId="193A4B29" w14:textId="77777777" w:rsidR="00857DFC" w:rsidRDefault="00857DFC" w:rsidP="00857DFC">
      <w:pPr>
        <w:pStyle w:val="NormalWeb"/>
      </w:pPr>
      <w:r>
        <w:t xml:space="preserve">Baxter, K. A., Sachdeva, N., &amp; Baker, S. (2025). The application of cognitive load theory to the design of health and behavior change programs: Principles and recommendations. </w:t>
      </w:r>
      <w:r>
        <w:rPr>
          <w:rStyle w:val="Emphasis"/>
        </w:rPr>
        <w:t>Health Education &amp; Behavior, 52</w:t>
      </w:r>
      <w:r>
        <w:t xml:space="preserve">(4), 469–477. </w:t>
      </w:r>
      <w:r w:rsidRPr="00857DFC">
        <w:t>https://doi.org/10.1177/10901981251327185</w:t>
      </w:r>
    </w:p>
    <w:p w14:paraId="6C622C7F" w14:textId="77777777" w:rsidR="00857DFC" w:rsidRDefault="00857DFC" w:rsidP="00857DFC">
      <w:pPr>
        <w:pStyle w:val="NormalWeb"/>
      </w:pPr>
      <w:r>
        <w:t xml:space="preserve">Biring, S., Burton, A. E., Dunwoody, L., &amp; Kevern, P. (2025). Women’s experiences of living with chronic pain: A qualitative meta-synthesis. </w:t>
      </w:r>
      <w:r>
        <w:rPr>
          <w:rStyle w:val="Emphasis"/>
        </w:rPr>
        <w:t>British Journal of Health Psychology, 30</w:t>
      </w:r>
      <w:r>
        <w:t xml:space="preserve">(4), e70023. </w:t>
      </w:r>
      <w:r w:rsidRPr="00857DFC">
        <w:t>https://doi.org/10.1111/bjhp.70023</w:t>
      </w:r>
    </w:p>
    <w:p w14:paraId="0D5204B8" w14:textId="77777777" w:rsidR="00857DFC" w:rsidRDefault="00857DFC" w:rsidP="00857DFC">
      <w:pPr>
        <w:pStyle w:val="NormalWeb"/>
      </w:pPr>
      <w:r>
        <w:lastRenderedPageBreak/>
        <w:t xml:space="preserve">McNamara, T. P. (2005). </w:t>
      </w:r>
      <w:r>
        <w:rPr>
          <w:rStyle w:val="Emphasis"/>
        </w:rPr>
        <w:t>Semantic priming: Perspectives from memory and word recognition</w:t>
      </w:r>
      <w:r>
        <w:t xml:space="preserve">. Psychology Press. </w:t>
      </w:r>
      <w:r w:rsidRPr="00857DFC">
        <w:t>https://doi.org/10.4324/9780203338001</w:t>
      </w:r>
    </w:p>
    <w:p w14:paraId="1E8BAEA2" w14:textId="77777777" w:rsidR="00857DFC" w:rsidRDefault="00857DFC" w:rsidP="00857DFC">
      <w:pPr>
        <w:pStyle w:val="NormalWeb"/>
      </w:pPr>
      <w:proofErr w:type="spellStart"/>
      <w:r>
        <w:t>Rakislova</w:t>
      </w:r>
      <w:proofErr w:type="spellEnd"/>
      <w:r>
        <w:t xml:space="preserve">, N., Rodrigo-Calvo, M. T., Marimon, L., Ribera-Cortada, I., Ismail, M. R., Carrilho, C., Fernandes, F., Ferrando, M., </w:t>
      </w:r>
      <w:proofErr w:type="spellStart"/>
      <w:r>
        <w:t>Sanfeliu</w:t>
      </w:r>
      <w:proofErr w:type="spellEnd"/>
      <w:r>
        <w:t xml:space="preserve">, E., Castillo, P., Guerrero, J., Ramírez-Ruz, J., Saez de </w:t>
      </w:r>
      <w:proofErr w:type="spellStart"/>
      <w:r>
        <w:t>Gordoa</w:t>
      </w:r>
      <w:proofErr w:type="spellEnd"/>
      <w:r>
        <w:t>, K., López del Campo, R., Bishop, R., Ortiz, E., Muñoz-</w:t>
      </w:r>
      <w:proofErr w:type="spellStart"/>
      <w:r>
        <w:t>Beatove</w:t>
      </w:r>
      <w:proofErr w:type="spellEnd"/>
      <w:r>
        <w:t xml:space="preserve">, A., Vila, J., Hurtado, J. C., Navarro, M., </w:t>
      </w:r>
      <w:proofErr w:type="spellStart"/>
      <w:r>
        <w:t>Maixenchs</w:t>
      </w:r>
      <w:proofErr w:type="spellEnd"/>
      <w:r>
        <w:t xml:space="preserve">, M., Delgado, V., Aldecoa, I., Martinez-Pozo, A., Castro, P., Menéndez, C., Bassat, Q., Martinez, M. J., &amp; Ordi, J. (2021). Minimally invasive tissue sampling findings in 12 patients with coronavirus disease 2019. </w:t>
      </w:r>
      <w:r>
        <w:rPr>
          <w:rStyle w:val="Emphasis"/>
        </w:rPr>
        <w:t>Clinical Infectious Diseases, 73</w:t>
      </w:r>
      <w:r>
        <w:t xml:space="preserve">(Supplement_5), S454–S464. </w:t>
      </w:r>
      <w:r w:rsidRPr="00857DFC">
        <w:t>https://doi.org/10.1093/cid/ciab812</w:t>
      </w:r>
    </w:p>
    <w:p w14:paraId="6FB741A2" w14:textId="77777777" w:rsidR="00857DFC" w:rsidRDefault="00857DFC" w:rsidP="00857DFC">
      <w:pPr>
        <w:pStyle w:val="NormalWeb"/>
      </w:pPr>
      <w:r>
        <w:t xml:space="preserve">Dong, J., &amp; Rees, D. A. (2023). Polycystic ovary syndrome: Pathophysiology and therapeutic opportunities. </w:t>
      </w:r>
      <w:r>
        <w:rPr>
          <w:rStyle w:val="Emphasis"/>
        </w:rPr>
        <w:t>BMJ Medicine, 2</w:t>
      </w:r>
      <w:r>
        <w:t xml:space="preserve">(1), e000548. </w:t>
      </w:r>
      <w:r w:rsidRPr="00857DFC">
        <w:t>https://doi.org/10.1136/bmjmed-2023-000548</w:t>
      </w:r>
    </w:p>
    <w:p w14:paraId="645DDA50" w14:textId="77777777" w:rsidR="00857DFC" w:rsidRDefault="00857DFC" w:rsidP="00857DFC">
      <w:pPr>
        <w:pStyle w:val="NormalWeb"/>
      </w:pPr>
      <w:r>
        <w:t xml:space="preserve">Dennett, C. C., &amp; Simon, J. (2015). The role of polycystic ovary syndrome in reproductive and metabolic health: Overview and approaches for treatment. </w:t>
      </w:r>
      <w:r>
        <w:rPr>
          <w:rStyle w:val="Emphasis"/>
        </w:rPr>
        <w:t>Diabetes Spectrum, 28</w:t>
      </w:r>
      <w:r>
        <w:t xml:space="preserve">(2), 116–120. </w:t>
      </w:r>
      <w:r w:rsidRPr="00857DFC">
        <w:t>https://doi.org/10.2337/diaspect.28.2.116</w:t>
      </w:r>
    </w:p>
    <w:p w14:paraId="7F8D0FA4" w14:textId="77777777" w:rsidR="00857DFC" w:rsidRDefault="00857DFC" w:rsidP="00857DFC">
      <w:pPr>
        <w:pStyle w:val="NormalWeb"/>
      </w:pPr>
      <w:proofErr w:type="spellStart"/>
      <w:r>
        <w:t>Witchel</w:t>
      </w:r>
      <w:proofErr w:type="spellEnd"/>
      <w:r>
        <w:t xml:space="preserve">, S. F., </w:t>
      </w:r>
      <w:proofErr w:type="spellStart"/>
      <w:r>
        <w:t>Oberfield</w:t>
      </w:r>
      <w:proofErr w:type="spellEnd"/>
      <w:r>
        <w:t xml:space="preserve">, S. E., &amp; Peña, A. S. (2019). Polycystic ovary syndrome: Pathophysiology, presentation, and treatment with emphasis on adolescent girls. </w:t>
      </w:r>
      <w:r>
        <w:rPr>
          <w:rStyle w:val="Emphasis"/>
        </w:rPr>
        <w:t>Journal of the Endocrine Society, 3</w:t>
      </w:r>
      <w:r>
        <w:t xml:space="preserve">(8), 1545–1573. </w:t>
      </w:r>
      <w:r w:rsidRPr="00857DFC">
        <w:t>https://doi.org/10.1210/js.2019-00078</w:t>
      </w:r>
    </w:p>
    <w:p w14:paraId="619E0BF3" w14:textId="77777777" w:rsidR="00857DFC" w:rsidRDefault="00857DFC" w:rsidP="00857DFC">
      <w:pPr>
        <w:pStyle w:val="NormalWeb"/>
      </w:pPr>
      <w:r>
        <w:t xml:space="preserve">Arron, H. E., Marsh, B. D., Kell, D. B., Khan, M. A., Jaeger, B. R., &amp; Pretorius, E. (2024). </w:t>
      </w:r>
      <w:proofErr w:type="spellStart"/>
      <w:r>
        <w:t>Myalgic</w:t>
      </w:r>
      <w:proofErr w:type="spellEnd"/>
      <w:r>
        <w:t xml:space="preserve"> encephalomyelitis/chronic fatigue syndrome: The biology of a neglected disease. </w:t>
      </w:r>
      <w:r>
        <w:rPr>
          <w:rStyle w:val="Emphasis"/>
        </w:rPr>
        <w:t>Frontiers in Immunology, 15</w:t>
      </w:r>
      <w:r>
        <w:t xml:space="preserve">, 1386607. </w:t>
      </w:r>
      <w:r w:rsidRPr="00857DFC">
        <w:t>https://doi.org/10.3389/fimmu.2024.1386607</w:t>
      </w:r>
    </w:p>
    <w:p w14:paraId="073D4F69" w14:textId="77777777" w:rsidR="00857DFC" w:rsidRDefault="00857DFC" w:rsidP="00857DFC">
      <w:pPr>
        <w:pStyle w:val="NormalWeb"/>
      </w:pPr>
      <w:r>
        <w:t xml:space="preserve">Ford-Jones, P. C. (2015). Misdiagnosis of attention deficit hyperactivity disorder: “Normal </w:t>
      </w:r>
      <w:proofErr w:type="spellStart"/>
      <w:r>
        <w:t>behaviour</w:t>
      </w:r>
      <w:proofErr w:type="spellEnd"/>
      <w:r>
        <w:t xml:space="preserve">” and relative maturity. </w:t>
      </w:r>
      <w:proofErr w:type="spellStart"/>
      <w:r>
        <w:rPr>
          <w:rStyle w:val="Emphasis"/>
        </w:rPr>
        <w:t>Paediatrics</w:t>
      </w:r>
      <w:proofErr w:type="spellEnd"/>
      <w:r>
        <w:rPr>
          <w:rStyle w:val="Emphasis"/>
        </w:rPr>
        <w:t xml:space="preserve"> &amp; Child Health, 20</w:t>
      </w:r>
      <w:r>
        <w:t xml:space="preserve">(4), 200–202. </w:t>
      </w:r>
      <w:r w:rsidRPr="00857DFC">
        <w:t>https://doi.org/10.1093/pch/20.4.200</w:t>
      </w:r>
    </w:p>
    <w:p w14:paraId="561C125C" w14:textId="77777777" w:rsidR="00857DFC" w:rsidRDefault="00857DFC" w:rsidP="00857DFC">
      <w:pPr>
        <w:pStyle w:val="NormalWeb"/>
      </w:pPr>
      <w:r>
        <w:t xml:space="preserve">Gibson-Helm, M., </w:t>
      </w:r>
      <w:proofErr w:type="spellStart"/>
      <w:r>
        <w:t>Teede</w:t>
      </w:r>
      <w:proofErr w:type="spellEnd"/>
      <w:r>
        <w:t xml:space="preserve">, H., </w:t>
      </w:r>
      <w:proofErr w:type="spellStart"/>
      <w:r>
        <w:t>Dunaif</w:t>
      </w:r>
      <w:proofErr w:type="spellEnd"/>
      <w:r>
        <w:t xml:space="preserve">, A., &amp; </w:t>
      </w:r>
      <w:proofErr w:type="spellStart"/>
      <w:r>
        <w:t>Dokras</w:t>
      </w:r>
      <w:proofErr w:type="spellEnd"/>
      <w:r>
        <w:t xml:space="preserve">, A. (2017). Delayed diagnosis and a lack of information associated with dissatisfaction in women with polycystic ovary syndrome. </w:t>
      </w:r>
      <w:r>
        <w:rPr>
          <w:rStyle w:val="Emphasis"/>
        </w:rPr>
        <w:t>The Journal of Clinical Endocrinology &amp; Metabolism, 102</w:t>
      </w:r>
      <w:r>
        <w:t xml:space="preserve">(2), 604–612. </w:t>
      </w:r>
      <w:r w:rsidRPr="00857DFC">
        <w:t>https://doi.org/10.1210/jc.2016-2963</w:t>
      </w:r>
    </w:p>
    <w:p w14:paraId="0DF93B80" w14:textId="77777777" w:rsidR="00857DFC" w:rsidRDefault="00857DFC" w:rsidP="00857DFC">
      <w:pPr>
        <w:pStyle w:val="NormalWeb"/>
      </w:pPr>
      <w:r>
        <w:t xml:space="preserve">Li, W., Feng, H., &amp; Ye, Q. (2025). Factors contributing to the delayed diagnosis of endometriosis: A systematic review and meta-analysis. </w:t>
      </w:r>
      <w:r>
        <w:rPr>
          <w:rStyle w:val="Emphasis"/>
        </w:rPr>
        <w:t>Frontiers in Medicine, 12</w:t>
      </w:r>
      <w:r>
        <w:t xml:space="preserve">, 1576490. </w:t>
      </w:r>
      <w:r w:rsidRPr="00857DFC">
        <w:t>https://doi.org/10.3389/fmed.2025.1576490</w:t>
      </w:r>
    </w:p>
    <w:p w14:paraId="2D6C5C71" w14:textId="77777777" w:rsidR="00857DFC" w:rsidRDefault="00857DFC" w:rsidP="00857DFC">
      <w:pPr>
        <w:pStyle w:val="NormalWeb"/>
      </w:pPr>
      <w:proofErr w:type="spellStart"/>
      <w:r>
        <w:t>Teede</w:t>
      </w:r>
      <w:proofErr w:type="spellEnd"/>
      <w:r>
        <w:t xml:space="preserve">, H. J., Bahri </w:t>
      </w:r>
      <w:proofErr w:type="spellStart"/>
      <w:r>
        <w:t>Khomami</w:t>
      </w:r>
      <w:proofErr w:type="spellEnd"/>
      <w:r>
        <w:t xml:space="preserve">, M., Morman, R., Laven, J. S. E., </w:t>
      </w:r>
      <w:proofErr w:type="spellStart"/>
      <w:r>
        <w:t>Joham</w:t>
      </w:r>
      <w:proofErr w:type="spellEnd"/>
      <w:r>
        <w:t xml:space="preserve">, A. E., Costello, M. F., Patil, M., Rees, D. A., Berry, L., Cree, M. G., Zhao, H., Norman, R. J., </w:t>
      </w:r>
      <w:proofErr w:type="spellStart"/>
      <w:r>
        <w:t>Dokras</w:t>
      </w:r>
      <w:proofErr w:type="spellEnd"/>
      <w:r>
        <w:t xml:space="preserve">, A., &amp; </w:t>
      </w:r>
      <w:proofErr w:type="spellStart"/>
      <w:r>
        <w:t>Piltonen</w:t>
      </w:r>
      <w:proofErr w:type="spellEnd"/>
      <w:r>
        <w:t xml:space="preserve">, T., on behalf of the Global Name Change Consortium. (2026). Polyendocrine metabolic ovarian syndrome, the new name for polycystic ovary syndrome: A multistep global consensus process. </w:t>
      </w:r>
      <w:r>
        <w:rPr>
          <w:rStyle w:val="Emphasis"/>
        </w:rPr>
        <w:t>The Lancet, 407</w:t>
      </w:r>
      <w:r>
        <w:t xml:space="preserve">(10545), 2329–2339. </w:t>
      </w:r>
      <w:r w:rsidRPr="00857DFC">
        <w:t>https://doi.org/10.1016/S0140-6736(26)00717-8</w:t>
      </w:r>
    </w:p>
    <w:p w14:paraId="312324B5" w14:textId="77777777" w:rsidR="00857DFC" w:rsidRDefault="00857DFC" w:rsidP="00857DFC">
      <w:pPr>
        <w:pStyle w:val="NormalWeb"/>
      </w:pPr>
      <w:r>
        <w:lastRenderedPageBreak/>
        <w:t xml:space="preserve">Ahmad, R., Frishman, W. H., &amp; Aronow, W. S. (2025). Polycystic ovary syndrome and cardiovascular disease: Pathophysiology, clinical evidence, and preventive strategies. </w:t>
      </w:r>
      <w:r>
        <w:rPr>
          <w:rStyle w:val="Emphasis"/>
        </w:rPr>
        <w:t>Cardiology in Review</w:t>
      </w:r>
      <w:r>
        <w:t xml:space="preserve">. Advance online publication. </w:t>
      </w:r>
      <w:r w:rsidRPr="00857DFC">
        <w:t>https://doi.org/10.1097/CRD.0000000000001054</w:t>
      </w:r>
    </w:p>
    <w:p w14:paraId="2C43FC70" w14:textId="77777777" w:rsidR="00857DFC" w:rsidRDefault="00857DFC" w:rsidP="00857DFC">
      <w:pPr>
        <w:pStyle w:val="NormalWeb"/>
      </w:pPr>
      <w:r>
        <w:t xml:space="preserve">Ali, Z. (2026, May 15). PCOS has been renamed PMOS—here’s what that means for you. </w:t>
      </w:r>
      <w:proofErr w:type="spellStart"/>
      <w:r>
        <w:rPr>
          <w:rStyle w:val="Emphasis"/>
        </w:rPr>
        <w:t>Hertility</w:t>
      </w:r>
      <w:proofErr w:type="spellEnd"/>
      <w:r>
        <w:rPr>
          <w:rStyle w:val="Emphasis"/>
        </w:rPr>
        <w:t xml:space="preserve"> Health</w:t>
      </w:r>
      <w:r>
        <w:t xml:space="preserve">. </w:t>
      </w:r>
      <w:r w:rsidRPr="00857DFC">
        <w:t>https://hertilityhealth.com/blog/blog-pcos-renamed-pmos</w:t>
      </w:r>
    </w:p>
    <w:p w14:paraId="47380F82" w14:textId="77777777" w:rsidR="00857DFC" w:rsidRDefault="00857DFC" w:rsidP="00857DFC">
      <w:pPr>
        <w:pStyle w:val="NormalWeb"/>
      </w:pPr>
      <w:r>
        <w:t xml:space="preserve">Endocrine Society. (2026, May 12). </w:t>
      </w:r>
      <w:r>
        <w:rPr>
          <w:rStyle w:val="Emphasis"/>
        </w:rPr>
        <w:t>Polyendocrine metabolic ovarian syndrome: New name to improve diagnosis and care of condition affecting 170 million women worldwide</w:t>
      </w:r>
      <w:r>
        <w:t xml:space="preserve">. </w:t>
      </w:r>
      <w:r w:rsidRPr="00857DFC">
        <w:t>https://www.endocrine.org/news-and-advocacy/news-room/2026/pcos-name-change</w:t>
      </w:r>
    </w:p>
    <w:p w14:paraId="4CB7B841" w14:textId="77777777" w:rsidR="00857DFC" w:rsidRDefault="00857DFC" w:rsidP="00857DFC">
      <w:pPr>
        <w:pStyle w:val="NormalWeb"/>
      </w:pPr>
      <w:r>
        <w:t xml:space="preserve">Society of General Internal Medicine. (2014). Abstracts from the 37th Annual Meeting of the Society of General Internal Medicine. </w:t>
      </w:r>
      <w:r>
        <w:rPr>
          <w:rStyle w:val="Emphasis"/>
        </w:rPr>
        <w:t>Journal of General Internal Medicine, 29</w:t>
      </w:r>
      <w:r>
        <w:t xml:space="preserve">(Suppl. 1), 1–545. </w:t>
      </w:r>
      <w:r w:rsidRPr="00857DFC">
        <w:t>https://doi.org/10.1007/s11606-014-2834-9</w:t>
      </w:r>
    </w:p>
    <w:p w14:paraId="3F248123" w14:textId="77777777" w:rsidR="00857DFC" w:rsidRDefault="00857DFC" w:rsidP="00857DFC">
      <w:pPr>
        <w:pStyle w:val="NormalWeb"/>
      </w:pPr>
      <w:proofErr w:type="spellStart"/>
      <w:r>
        <w:t>Baldani</w:t>
      </w:r>
      <w:proofErr w:type="spellEnd"/>
      <w:r>
        <w:t xml:space="preserve">, D. P., </w:t>
      </w:r>
      <w:proofErr w:type="spellStart"/>
      <w:r>
        <w:t>Skrgatic</w:t>
      </w:r>
      <w:proofErr w:type="spellEnd"/>
      <w:r>
        <w:t xml:space="preserve">, L., &amp; </w:t>
      </w:r>
      <w:proofErr w:type="spellStart"/>
      <w:r>
        <w:t>Ougouag</w:t>
      </w:r>
      <w:proofErr w:type="spellEnd"/>
      <w:r>
        <w:t xml:space="preserve">, R. (2015). Polycystic ovary syndrome: Important </w:t>
      </w:r>
      <w:proofErr w:type="spellStart"/>
      <w:r>
        <w:t>underrecognised</w:t>
      </w:r>
      <w:proofErr w:type="spellEnd"/>
      <w:r>
        <w:t xml:space="preserve"> cardiometabolic risk factor in reproductive-age women. </w:t>
      </w:r>
      <w:r>
        <w:rPr>
          <w:rStyle w:val="Emphasis"/>
        </w:rPr>
        <w:t>International Journal of Endocrinology, 2015</w:t>
      </w:r>
      <w:r>
        <w:t xml:space="preserve">, 786362. </w:t>
      </w:r>
      <w:r w:rsidRPr="00857DFC">
        <w:t>https://doi.org/10.1155/2015/786362</w:t>
      </w:r>
    </w:p>
    <w:p w14:paraId="767AE84A" w14:textId="77777777" w:rsidR="00857DFC" w:rsidRDefault="00857DFC" w:rsidP="00857DFC">
      <w:pPr>
        <w:pStyle w:val="NormalWeb"/>
      </w:pPr>
      <w:r>
        <w:t xml:space="preserve">Trimble, M., &amp; Reynolds, E. H. (2016). A brief history of hysteria: From the ancient to the modern. </w:t>
      </w:r>
      <w:r>
        <w:rPr>
          <w:rStyle w:val="Emphasis"/>
        </w:rPr>
        <w:t>Handbook of Clinical Neurology, 139</w:t>
      </w:r>
      <w:r>
        <w:t xml:space="preserve">, 3–10. </w:t>
      </w:r>
      <w:r w:rsidRPr="00857DFC">
        <w:t>https://doi.org/10.1016/B978-0-12-801772-2.00001-1</w:t>
      </w:r>
    </w:p>
    <w:p w14:paraId="642E5126" w14:textId="77777777" w:rsidR="00857DFC" w:rsidRDefault="00857DFC" w:rsidP="00857DFC">
      <w:pPr>
        <w:pStyle w:val="NormalWeb"/>
      </w:pPr>
      <w:proofErr w:type="spellStart"/>
      <w:r>
        <w:t>Stollznow</w:t>
      </w:r>
      <w:proofErr w:type="spellEnd"/>
      <w:r>
        <w:t xml:space="preserve">, K. (2020, November 23). How did Down syndrome get its name? </w:t>
      </w:r>
      <w:r>
        <w:rPr>
          <w:rStyle w:val="Emphasis"/>
        </w:rPr>
        <w:t>Cambridge Core Blog</w:t>
      </w:r>
      <w:r>
        <w:t xml:space="preserve">. </w:t>
      </w:r>
      <w:r w:rsidRPr="00857DFC">
        <w:t>https://www.cambridge.org/core/blog/2020/11/23/how-did-down-syndrome-get-its-name/</w:t>
      </w:r>
    </w:p>
    <w:p w14:paraId="5FEBF8CB" w14:textId="77777777" w:rsidR="00AC363E" w:rsidRPr="00371EA8" w:rsidRDefault="00AC363E" w:rsidP="00857DFC">
      <w:pPr>
        <w:pStyle w:val="ReferenceItem"/>
        <w:spacing w:before="100" w:beforeAutospacing="1" w:after="100" w:afterAutospacing="1"/>
        <w:rPr>
          <w:rFonts w:ascii="Times New Roman" w:hAnsi="Times New Roman" w:cs="Times New Roman"/>
          <w:color w:val="auto"/>
        </w:rPr>
      </w:pPr>
    </w:p>
    <w:sectPr w:rsidR="00AC363E" w:rsidRPr="00371EA8" w:rsidSect="00D94A6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7B721" w14:textId="77777777" w:rsidR="00CA34A7" w:rsidRDefault="00CA34A7">
      <w:pPr>
        <w:spacing w:after="0" w:line="240" w:lineRule="auto"/>
      </w:pPr>
      <w:r>
        <w:separator/>
      </w:r>
    </w:p>
  </w:endnote>
  <w:endnote w:type="continuationSeparator" w:id="0">
    <w:p w14:paraId="1B7F8B79" w14:textId="77777777" w:rsidR="00CA34A7" w:rsidRDefault="00CA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D8B8" w14:textId="77777777" w:rsidR="000E1653" w:rsidRDefault="000E1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83BB" w14:textId="77777777" w:rsidR="00AC363E" w:rsidRDefault="00D94A69">
    <w:pPr>
      <w:jc w:val="center"/>
    </w:pPr>
    <w:r>
      <w:rPr>
        <w:color w:val="666666"/>
        <w:sz w:val="18"/>
        <w:szCs w:val="18"/>
      </w:rPr>
      <w:fldChar w:fldCharType="begin"/>
    </w:r>
    <w:r w:rsidR="007578DC">
      <w:rPr>
        <w:color w:val="666666"/>
        <w:sz w:val="18"/>
        <w:szCs w:val="18"/>
      </w:rPr>
      <w:instrText>PAGE</w:instrText>
    </w:r>
    <w:r>
      <w:rPr>
        <w:color w:val="666666"/>
        <w:sz w:val="18"/>
        <w:szCs w:val="18"/>
      </w:rPr>
      <w:fldChar w:fldCharType="separate"/>
    </w:r>
    <w:r w:rsidR="00857DFC">
      <w:rPr>
        <w:noProof/>
        <w:color w:val="666666"/>
        <w:sz w:val="18"/>
        <w:szCs w:val="18"/>
      </w:rPr>
      <w:t>2</w:t>
    </w:r>
    <w:r>
      <w:rPr>
        <w:color w:val="66666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4C24" w14:textId="77777777" w:rsidR="00AC363E" w:rsidRDefault="00D94A69">
    <w:pPr>
      <w:jc w:val="center"/>
    </w:pPr>
    <w:r>
      <w:rPr>
        <w:color w:val="666666"/>
        <w:sz w:val="18"/>
        <w:szCs w:val="18"/>
      </w:rPr>
      <w:fldChar w:fldCharType="begin"/>
    </w:r>
    <w:r w:rsidR="007578DC">
      <w:rPr>
        <w:color w:val="666666"/>
        <w:sz w:val="18"/>
        <w:szCs w:val="18"/>
      </w:rPr>
      <w:instrText>PAGE</w:instrText>
    </w:r>
    <w:r>
      <w:rPr>
        <w:color w:val="666666"/>
        <w:sz w:val="18"/>
        <w:szCs w:val="18"/>
      </w:rPr>
      <w:fldChar w:fldCharType="separate"/>
    </w:r>
    <w:r w:rsidR="00857DFC">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4151" w14:textId="77777777" w:rsidR="00CA34A7" w:rsidRDefault="00CA34A7">
      <w:pPr>
        <w:spacing w:after="0" w:line="240" w:lineRule="auto"/>
      </w:pPr>
      <w:r>
        <w:separator/>
      </w:r>
    </w:p>
  </w:footnote>
  <w:footnote w:type="continuationSeparator" w:id="0">
    <w:p w14:paraId="0C384C60" w14:textId="77777777" w:rsidR="00CA34A7" w:rsidRDefault="00CA3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5BAF" w14:textId="44081011" w:rsidR="000E1653" w:rsidRDefault="000E1653">
    <w:pPr>
      <w:pStyle w:val="Header"/>
    </w:pPr>
    <w:r>
      <w:rPr>
        <w:noProof/>
      </w:rPr>
      <w:pict w14:anchorId="6B660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865672"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895A" w14:textId="14C8D79D" w:rsidR="000E1653" w:rsidRDefault="000E1653">
    <w:pPr>
      <w:pStyle w:val="Header"/>
    </w:pPr>
    <w:r>
      <w:rPr>
        <w:noProof/>
      </w:rPr>
      <w:pict w14:anchorId="1508FC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865673"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840" w14:textId="7417788B" w:rsidR="000E1653" w:rsidRDefault="000E1653">
    <w:pPr>
      <w:pStyle w:val="Header"/>
    </w:pPr>
    <w:r>
      <w:rPr>
        <w:noProof/>
      </w:rPr>
      <w:pict w14:anchorId="1F5752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865671"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1479C"/>
    <w:multiLevelType w:val="hybridMultilevel"/>
    <w:tmpl w:val="F6A26802"/>
    <w:lvl w:ilvl="0" w:tplc="B55E4676">
      <w:start w:val="1"/>
      <w:numFmt w:val="decimal"/>
      <w:lvlText w:val="%1."/>
      <w:lvlJc w:val="left"/>
      <w:pPr>
        <w:ind w:left="540" w:hanging="540"/>
      </w:pPr>
    </w:lvl>
    <w:lvl w:ilvl="1" w:tplc="73C81EE0">
      <w:numFmt w:val="decimal"/>
      <w:lvlText w:val=""/>
      <w:lvlJc w:val="left"/>
    </w:lvl>
    <w:lvl w:ilvl="2" w:tplc="E796FCCE">
      <w:numFmt w:val="decimal"/>
      <w:lvlText w:val=""/>
      <w:lvlJc w:val="left"/>
    </w:lvl>
    <w:lvl w:ilvl="3" w:tplc="11EE1810">
      <w:numFmt w:val="decimal"/>
      <w:lvlText w:val=""/>
      <w:lvlJc w:val="left"/>
    </w:lvl>
    <w:lvl w:ilvl="4" w:tplc="91CA9A44">
      <w:numFmt w:val="decimal"/>
      <w:lvlText w:val=""/>
      <w:lvlJc w:val="left"/>
    </w:lvl>
    <w:lvl w:ilvl="5" w:tplc="95D2FCFC">
      <w:numFmt w:val="decimal"/>
      <w:lvlText w:val=""/>
      <w:lvlJc w:val="left"/>
    </w:lvl>
    <w:lvl w:ilvl="6" w:tplc="1A604CD6">
      <w:numFmt w:val="decimal"/>
      <w:lvlText w:val=""/>
      <w:lvlJc w:val="left"/>
    </w:lvl>
    <w:lvl w:ilvl="7" w:tplc="08FAC5C8">
      <w:numFmt w:val="decimal"/>
      <w:lvlText w:val=""/>
      <w:lvlJc w:val="left"/>
    </w:lvl>
    <w:lvl w:ilvl="8" w:tplc="318638B0">
      <w:numFmt w:val="decimal"/>
      <w:lvlText w:val=""/>
      <w:lvlJc w:val="left"/>
    </w:lvl>
  </w:abstractNum>
  <w:abstractNum w:abstractNumId="1" w15:restartNumberingAfterBreak="0">
    <w:nsid w:val="784A79B4"/>
    <w:multiLevelType w:val="hybridMultilevel"/>
    <w:tmpl w:val="A84E35C4"/>
    <w:lvl w:ilvl="0" w:tplc="0608CCDA">
      <w:start w:val="1"/>
      <w:numFmt w:val="bullet"/>
      <w:lvlText w:val="●"/>
      <w:lvlJc w:val="left"/>
      <w:pPr>
        <w:ind w:left="720" w:hanging="360"/>
      </w:pPr>
    </w:lvl>
    <w:lvl w:ilvl="1" w:tplc="6A524324">
      <w:start w:val="1"/>
      <w:numFmt w:val="bullet"/>
      <w:lvlText w:val="○"/>
      <w:lvlJc w:val="left"/>
      <w:pPr>
        <w:ind w:left="1440" w:hanging="360"/>
      </w:pPr>
    </w:lvl>
    <w:lvl w:ilvl="2" w:tplc="3306B7B4">
      <w:start w:val="1"/>
      <w:numFmt w:val="bullet"/>
      <w:lvlText w:val="■"/>
      <w:lvlJc w:val="left"/>
      <w:pPr>
        <w:ind w:left="2160" w:hanging="360"/>
      </w:pPr>
    </w:lvl>
    <w:lvl w:ilvl="3" w:tplc="0220D008">
      <w:start w:val="1"/>
      <w:numFmt w:val="bullet"/>
      <w:lvlText w:val="●"/>
      <w:lvlJc w:val="left"/>
      <w:pPr>
        <w:ind w:left="2880" w:hanging="360"/>
      </w:pPr>
    </w:lvl>
    <w:lvl w:ilvl="4" w:tplc="528070CA">
      <w:start w:val="1"/>
      <w:numFmt w:val="bullet"/>
      <w:lvlText w:val="○"/>
      <w:lvlJc w:val="left"/>
      <w:pPr>
        <w:ind w:left="3600" w:hanging="360"/>
      </w:pPr>
    </w:lvl>
    <w:lvl w:ilvl="5" w:tplc="831E863C">
      <w:start w:val="1"/>
      <w:numFmt w:val="bullet"/>
      <w:lvlText w:val="■"/>
      <w:lvlJc w:val="left"/>
      <w:pPr>
        <w:ind w:left="4320" w:hanging="360"/>
      </w:pPr>
    </w:lvl>
    <w:lvl w:ilvl="6" w:tplc="3D10EABA">
      <w:start w:val="1"/>
      <w:numFmt w:val="bullet"/>
      <w:lvlText w:val="●"/>
      <w:lvlJc w:val="left"/>
      <w:pPr>
        <w:ind w:left="5040" w:hanging="360"/>
      </w:pPr>
    </w:lvl>
    <w:lvl w:ilvl="7" w:tplc="7766FE96">
      <w:start w:val="1"/>
      <w:numFmt w:val="bullet"/>
      <w:lvlText w:val="●"/>
      <w:lvlJc w:val="left"/>
      <w:pPr>
        <w:ind w:left="5760" w:hanging="360"/>
      </w:pPr>
    </w:lvl>
    <w:lvl w:ilvl="8" w:tplc="5C746A28">
      <w:start w:val="1"/>
      <w:numFmt w:val="bullet"/>
      <w:lvlText w:val="●"/>
      <w:lvlJc w:val="left"/>
      <w:pPr>
        <w:ind w:left="6480" w:hanging="360"/>
      </w:pPr>
    </w:lvl>
  </w:abstractNum>
  <w:num w:numId="1" w16cid:durableId="1470979416">
    <w:abstractNumId w:val="1"/>
    <w:lvlOverride w:ilvl="0">
      <w:startOverride w:val="1"/>
    </w:lvlOverride>
  </w:num>
  <w:num w:numId="2" w16cid:durableId="12172780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363E"/>
    <w:rsid w:val="000378C7"/>
    <w:rsid w:val="0004469F"/>
    <w:rsid w:val="000C2571"/>
    <w:rsid w:val="000E1653"/>
    <w:rsid w:val="001351E5"/>
    <w:rsid w:val="00371EA8"/>
    <w:rsid w:val="003767DA"/>
    <w:rsid w:val="00447943"/>
    <w:rsid w:val="004A18BF"/>
    <w:rsid w:val="005901B9"/>
    <w:rsid w:val="006804B1"/>
    <w:rsid w:val="00736E24"/>
    <w:rsid w:val="007578DC"/>
    <w:rsid w:val="00857DFC"/>
    <w:rsid w:val="00861E7F"/>
    <w:rsid w:val="00873C5E"/>
    <w:rsid w:val="00881C94"/>
    <w:rsid w:val="00911852"/>
    <w:rsid w:val="009A16ED"/>
    <w:rsid w:val="00AC363E"/>
    <w:rsid w:val="00C94522"/>
    <w:rsid w:val="00CA34A7"/>
    <w:rsid w:val="00D36FDA"/>
    <w:rsid w:val="00D863BE"/>
    <w:rsid w:val="00D94A69"/>
    <w:rsid w:val="00E12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13CF9"/>
  <w15:docId w15:val="{AC723F3D-B90C-418F-9C3A-D62A7412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1A1A1A"/>
        <w:sz w:val="23"/>
        <w:szCs w:val="23"/>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A69"/>
  </w:style>
  <w:style w:type="paragraph" w:styleId="Heading1">
    <w:name w:val="heading 1"/>
    <w:uiPriority w:val="9"/>
    <w:qFormat/>
    <w:rsid w:val="00D94A69"/>
    <w:pPr>
      <w:keepNext/>
      <w:spacing w:before="300" w:after="130"/>
      <w:outlineLvl w:val="0"/>
    </w:pPr>
    <w:rPr>
      <w:b/>
      <w:bCs/>
      <w:color w:val="163C5C"/>
      <w:sz w:val="30"/>
      <w:szCs w:val="30"/>
    </w:rPr>
  </w:style>
  <w:style w:type="paragraph" w:styleId="Heading2">
    <w:name w:val="heading 2"/>
    <w:uiPriority w:val="9"/>
    <w:unhideWhenUsed/>
    <w:qFormat/>
    <w:rsid w:val="00D94A69"/>
    <w:pPr>
      <w:keepNext/>
      <w:spacing w:before="220" w:after="90"/>
      <w:outlineLvl w:val="1"/>
    </w:pPr>
    <w:rPr>
      <w:b/>
      <w:bCs/>
      <w:color w:val="163C5C"/>
      <w:sz w:val="25"/>
      <w:szCs w:val="25"/>
    </w:rPr>
  </w:style>
  <w:style w:type="paragraph" w:styleId="Heading3">
    <w:name w:val="heading 3"/>
    <w:uiPriority w:val="9"/>
    <w:semiHidden/>
    <w:unhideWhenUsed/>
    <w:qFormat/>
    <w:rsid w:val="00D94A69"/>
    <w:pPr>
      <w:outlineLvl w:val="2"/>
    </w:pPr>
    <w:rPr>
      <w:color w:val="1F4D78"/>
      <w:sz w:val="24"/>
      <w:szCs w:val="24"/>
    </w:rPr>
  </w:style>
  <w:style w:type="paragraph" w:styleId="Heading4">
    <w:name w:val="heading 4"/>
    <w:uiPriority w:val="9"/>
    <w:semiHidden/>
    <w:unhideWhenUsed/>
    <w:qFormat/>
    <w:rsid w:val="00D94A69"/>
    <w:pPr>
      <w:outlineLvl w:val="3"/>
    </w:pPr>
    <w:rPr>
      <w:i/>
      <w:iCs/>
      <w:color w:val="2E74B5"/>
    </w:rPr>
  </w:style>
  <w:style w:type="paragraph" w:styleId="Heading5">
    <w:name w:val="heading 5"/>
    <w:uiPriority w:val="9"/>
    <w:semiHidden/>
    <w:unhideWhenUsed/>
    <w:qFormat/>
    <w:rsid w:val="00D94A69"/>
    <w:pPr>
      <w:outlineLvl w:val="4"/>
    </w:pPr>
    <w:rPr>
      <w:color w:val="2E74B5"/>
    </w:rPr>
  </w:style>
  <w:style w:type="paragraph" w:styleId="Heading6">
    <w:name w:val="heading 6"/>
    <w:uiPriority w:val="9"/>
    <w:semiHidden/>
    <w:unhideWhenUsed/>
    <w:qFormat/>
    <w:rsid w:val="00D94A6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D94A69"/>
    <w:rPr>
      <w:sz w:val="56"/>
      <w:szCs w:val="56"/>
    </w:rPr>
  </w:style>
  <w:style w:type="paragraph" w:customStyle="1" w:styleId="Strong1">
    <w:name w:val="Strong1"/>
    <w:qFormat/>
    <w:rsid w:val="00D94A69"/>
    <w:rPr>
      <w:b/>
      <w:bCs/>
    </w:rPr>
  </w:style>
  <w:style w:type="paragraph" w:styleId="ListParagraph">
    <w:name w:val="List Paragraph"/>
    <w:qFormat/>
    <w:rsid w:val="00D94A69"/>
  </w:style>
  <w:style w:type="character" w:styleId="Hyperlink">
    <w:name w:val="Hyperlink"/>
    <w:uiPriority w:val="99"/>
    <w:unhideWhenUsed/>
    <w:rsid w:val="00D94A69"/>
    <w:rPr>
      <w:color w:val="0563C1"/>
      <w:u w:val="single"/>
    </w:rPr>
  </w:style>
  <w:style w:type="character" w:styleId="FootnoteReference">
    <w:name w:val="footnote reference"/>
    <w:uiPriority w:val="99"/>
    <w:semiHidden/>
    <w:unhideWhenUsed/>
    <w:rsid w:val="00D94A69"/>
    <w:rPr>
      <w:vertAlign w:val="superscript"/>
    </w:rPr>
  </w:style>
  <w:style w:type="paragraph" w:styleId="FootnoteText">
    <w:name w:val="footnote text"/>
    <w:link w:val="FootnoteTextChar"/>
    <w:uiPriority w:val="99"/>
    <w:semiHidden/>
    <w:unhideWhenUsed/>
    <w:rsid w:val="00D94A69"/>
    <w:pPr>
      <w:spacing w:after="0" w:line="240" w:lineRule="auto"/>
    </w:pPr>
    <w:rPr>
      <w:sz w:val="20"/>
      <w:szCs w:val="20"/>
    </w:rPr>
  </w:style>
  <w:style w:type="character" w:customStyle="1" w:styleId="FootnoteTextChar">
    <w:name w:val="Footnote Text Char"/>
    <w:link w:val="FootnoteText"/>
    <w:uiPriority w:val="99"/>
    <w:semiHidden/>
    <w:unhideWhenUsed/>
    <w:rsid w:val="00D94A69"/>
    <w:rPr>
      <w:sz w:val="20"/>
      <w:szCs w:val="20"/>
    </w:rPr>
  </w:style>
  <w:style w:type="character" w:styleId="EndnoteReference">
    <w:name w:val="endnote reference"/>
    <w:uiPriority w:val="99"/>
    <w:semiHidden/>
    <w:unhideWhenUsed/>
    <w:rsid w:val="00D94A69"/>
    <w:rPr>
      <w:vertAlign w:val="superscript"/>
    </w:rPr>
  </w:style>
  <w:style w:type="paragraph" w:styleId="EndnoteText">
    <w:name w:val="endnote text"/>
    <w:link w:val="EndnoteTextChar"/>
    <w:uiPriority w:val="99"/>
    <w:semiHidden/>
    <w:unhideWhenUsed/>
    <w:rsid w:val="00D94A69"/>
    <w:pPr>
      <w:spacing w:after="0" w:line="240" w:lineRule="auto"/>
    </w:pPr>
    <w:rPr>
      <w:sz w:val="20"/>
      <w:szCs w:val="20"/>
    </w:rPr>
  </w:style>
  <w:style w:type="character" w:customStyle="1" w:styleId="EndnoteTextChar">
    <w:name w:val="Endnote Text Char"/>
    <w:link w:val="EndnoteText"/>
    <w:uiPriority w:val="99"/>
    <w:semiHidden/>
    <w:unhideWhenUsed/>
    <w:rsid w:val="00D94A69"/>
    <w:rPr>
      <w:sz w:val="20"/>
      <w:szCs w:val="20"/>
    </w:rPr>
  </w:style>
  <w:style w:type="paragraph" w:customStyle="1" w:styleId="ReferenceItem">
    <w:name w:val="Reference Item"/>
    <w:rsid w:val="00D94A69"/>
    <w:pPr>
      <w:spacing w:after="80" w:line="240" w:lineRule="auto"/>
    </w:pPr>
    <w:rPr>
      <w:sz w:val="21"/>
      <w:szCs w:val="21"/>
    </w:rPr>
  </w:style>
  <w:style w:type="paragraph" w:styleId="NormalWeb">
    <w:name w:val="Normal (Web)"/>
    <w:basedOn w:val="Normal"/>
    <w:uiPriority w:val="99"/>
    <w:semiHidden/>
    <w:unhideWhenUsed/>
    <w:rsid w:val="0004469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nresolvedMention1">
    <w:name w:val="Unresolved Mention1"/>
    <w:basedOn w:val="DefaultParagraphFont"/>
    <w:uiPriority w:val="99"/>
    <w:semiHidden/>
    <w:unhideWhenUsed/>
    <w:rsid w:val="00873C5E"/>
    <w:rPr>
      <w:color w:val="605E5C"/>
      <w:shd w:val="clear" w:color="auto" w:fill="E1DFDD"/>
    </w:rPr>
  </w:style>
  <w:style w:type="paragraph" w:styleId="BalloonText">
    <w:name w:val="Balloon Text"/>
    <w:basedOn w:val="Normal"/>
    <w:link w:val="BalloonTextChar"/>
    <w:uiPriority w:val="99"/>
    <w:semiHidden/>
    <w:unhideWhenUsed/>
    <w:rsid w:val="00857D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DFC"/>
    <w:rPr>
      <w:rFonts w:ascii="Tahoma" w:hAnsi="Tahoma" w:cs="Tahoma"/>
      <w:sz w:val="16"/>
      <w:szCs w:val="16"/>
    </w:rPr>
  </w:style>
  <w:style w:type="paragraph" w:customStyle="1" w:styleId="pdq2pgselectionanchorcontainer">
    <w:name w:val="pdq2pg_selectionanchorcontainer"/>
    <w:basedOn w:val="Normal"/>
    <w:rsid w:val="00857DF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Emphasis">
    <w:name w:val="Emphasis"/>
    <w:basedOn w:val="DefaultParagraphFont"/>
    <w:uiPriority w:val="20"/>
    <w:qFormat/>
    <w:rsid w:val="00857DFC"/>
    <w:rPr>
      <w:i/>
      <w:iCs/>
    </w:rPr>
  </w:style>
  <w:style w:type="paragraph" w:styleId="Header">
    <w:name w:val="header"/>
    <w:basedOn w:val="Normal"/>
    <w:link w:val="HeaderChar"/>
    <w:uiPriority w:val="99"/>
    <w:unhideWhenUsed/>
    <w:rsid w:val="00857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DFC"/>
  </w:style>
  <w:style w:type="paragraph" w:styleId="Footer">
    <w:name w:val="footer"/>
    <w:basedOn w:val="Normal"/>
    <w:link w:val="FooterChar"/>
    <w:uiPriority w:val="99"/>
    <w:unhideWhenUsed/>
    <w:rsid w:val="00857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DFC"/>
  </w:style>
  <w:style w:type="character" w:styleId="UnresolvedMention">
    <w:name w:val="Unresolved Mention"/>
    <w:basedOn w:val="DefaultParagraphFont"/>
    <w:uiPriority w:val="99"/>
    <w:semiHidden/>
    <w:unhideWhenUsed/>
    <w:rsid w:val="00680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66199">
      <w:bodyDiv w:val="1"/>
      <w:marLeft w:val="0"/>
      <w:marRight w:val="0"/>
      <w:marTop w:val="0"/>
      <w:marBottom w:val="0"/>
      <w:divBdr>
        <w:top w:val="none" w:sz="0" w:space="0" w:color="auto"/>
        <w:left w:val="none" w:sz="0" w:space="0" w:color="auto"/>
        <w:bottom w:val="none" w:sz="0" w:space="0" w:color="auto"/>
        <w:right w:val="none" w:sz="0" w:space="0" w:color="auto"/>
      </w:divBdr>
    </w:div>
    <w:div w:id="1582177106">
      <w:bodyDiv w:val="1"/>
      <w:marLeft w:val="0"/>
      <w:marRight w:val="0"/>
      <w:marTop w:val="0"/>
      <w:marBottom w:val="0"/>
      <w:divBdr>
        <w:top w:val="none" w:sz="0" w:space="0" w:color="auto"/>
        <w:left w:val="none" w:sz="0" w:space="0" w:color="auto"/>
        <w:bottom w:val="none" w:sz="0" w:space="0" w:color="auto"/>
        <w:right w:val="none" w:sz="0" w:space="0" w:color="auto"/>
      </w:divBdr>
    </w:div>
    <w:div w:id="1994135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17</Pages>
  <Words>6400</Words>
  <Characters>36483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Medical Nomenclature and Patient Understanding: Lessons from the Polycystic Ovary Syndrome to Polyendocrine Metabolic Ovarian Syndrome Transition</vt:lpstr>
    </vt:vector>
  </TitlesOfParts>
  <Company/>
  <LinksUpToDate>false</LinksUpToDate>
  <CharactersWithSpaces>42798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Nomenclature and Patient Understanding: Lessons from the Polycystic Ovary Syndrome to Polyendocrine Metabolic Ovarian Syndrome Transition</dc:title>
  <dc:creator>Manuscript</dc:creator>
  <cp:lastModifiedBy>SDI 1166</cp:lastModifiedBy>
  <cp:revision>13</cp:revision>
  <dcterms:created xsi:type="dcterms:W3CDTF">2026-06-27T21:02:00Z</dcterms:created>
  <dcterms:modified xsi:type="dcterms:W3CDTF">2026-06-30T11:51:00Z</dcterms:modified>
</cp:coreProperties>
</file>