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8C2CB" w14:textId="77777777" w:rsidR="002B7A3C" w:rsidRPr="00C15045" w:rsidRDefault="002B7A3C" w:rsidP="00C15045">
      <w:pPr>
        <w:spacing w:line="360" w:lineRule="auto"/>
        <w:rPr>
          <w:szCs w:val="24"/>
        </w:rPr>
      </w:pPr>
    </w:p>
    <w:p w14:paraId="12C59D59" w14:textId="77777777" w:rsidR="002B7A3C" w:rsidRPr="00C15045" w:rsidRDefault="002B7A3C" w:rsidP="00C15045">
      <w:pPr>
        <w:spacing w:after="240" w:line="360" w:lineRule="auto"/>
        <w:jc w:val="center"/>
        <w:rPr>
          <w:szCs w:val="24"/>
        </w:rPr>
      </w:pPr>
      <w:r w:rsidRPr="00C15045">
        <w:rPr>
          <w:b/>
          <w:szCs w:val="24"/>
        </w:rPr>
        <w:t>Data Governance Challenges in Artificial Intelligence-Enabled Healthcare in Low- and Middle-Income Countries</w:t>
      </w:r>
    </w:p>
    <w:p w14:paraId="20CECE84" w14:textId="77777777" w:rsidR="00872110" w:rsidRDefault="00872110" w:rsidP="00C15045">
      <w:pPr>
        <w:spacing w:before="120" w:after="120" w:line="360" w:lineRule="auto"/>
        <w:rPr>
          <w:rFonts w:cs="Times New Roman"/>
          <w:color w:val="000000"/>
          <w:szCs w:val="24"/>
        </w:rPr>
      </w:pPr>
    </w:p>
    <w:p w14:paraId="6F0887EF" w14:textId="77777777" w:rsidR="00872110" w:rsidRDefault="00872110" w:rsidP="00C15045">
      <w:pPr>
        <w:spacing w:before="120" w:after="120" w:line="360" w:lineRule="auto"/>
        <w:rPr>
          <w:rFonts w:cs="Times New Roman"/>
          <w:color w:val="000000"/>
          <w:szCs w:val="24"/>
        </w:rPr>
      </w:pPr>
    </w:p>
    <w:p w14:paraId="6C7A924E" w14:textId="77777777" w:rsidR="00872110" w:rsidRDefault="00872110" w:rsidP="00C15045">
      <w:pPr>
        <w:spacing w:before="120" w:after="120" w:line="360" w:lineRule="auto"/>
        <w:rPr>
          <w:rFonts w:cs="Times New Roman"/>
          <w:color w:val="000000"/>
          <w:szCs w:val="24"/>
        </w:rPr>
      </w:pPr>
    </w:p>
    <w:p w14:paraId="14C0AF9E" w14:textId="3553D762" w:rsidR="002B7A3C" w:rsidRPr="00C15045" w:rsidRDefault="002B7A3C" w:rsidP="00C15045">
      <w:pPr>
        <w:spacing w:before="120" w:after="120" w:line="360" w:lineRule="auto"/>
        <w:rPr>
          <w:szCs w:val="24"/>
        </w:rPr>
      </w:pPr>
      <w:r w:rsidRPr="00C15045">
        <w:rPr>
          <w:b/>
          <w:szCs w:val="24"/>
        </w:rPr>
        <w:t>ABSTRACT</w:t>
      </w:r>
    </w:p>
    <w:p w14:paraId="3F1DFCDE" w14:textId="77777777" w:rsidR="002B7A3C" w:rsidRPr="00C15045" w:rsidRDefault="002B7A3C" w:rsidP="00C15045">
      <w:pPr>
        <w:spacing w:line="360" w:lineRule="auto"/>
        <w:rPr>
          <w:szCs w:val="24"/>
        </w:rPr>
      </w:pPr>
    </w:p>
    <w:p w14:paraId="7C7A9A86" w14:textId="77777777" w:rsidR="002B7A3C" w:rsidRPr="00C15045" w:rsidRDefault="002B7A3C" w:rsidP="00C15045">
      <w:pPr>
        <w:spacing w:after="120" w:line="360" w:lineRule="auto"/>
        <w:rPr>
          <w:szCs w:val="24"/>
        </w:rPr>
      </w:pPr>
      <w:r w:rsidRPr="00C15045">
        <w:rPr>
          <w:szCs w:val="24"/>
        </w:rPr>
        <w:t>Background:  Artificial intelligence (AI) has the potential to transform health care delivery in low- and middle-income countries (LMICs), where disease burden from preventable causes is high and health care resources are severely limited. Though there have been major technological breakthroughs, systemic, regulatory and infrastructural hurdles still hinder the implementation of AI-powered health solutions at these locations.</w:t>
      </w:r>
    </w:p>
    <w:p w14:paraId="06870AA2" w14:textId="77777777" w:rsidR="002B7A3C" w:rsidRPr="00C15045" w:rsidRDefault="002B7A3C" w:rsidP="00C15045">
      <w:pPr>
        <w:spacing w:after="120" w:line="360" w:lineRule="auto"/>
        <w:rPr>
          <w:szCs w:val="24"/>
        </w:rPr>
      </w:pPr>
      <w:r w:rsidRPr="00C15045">
        <w:rPr>
          <w:szCs w:val="24"/>
        </w:rPr>
        <w:t>Objectives: This review aims to examine and synthesise important data governance (DG) challenges and concerns in the context of health systems in LMICs, create an analytical framework to analyse readiness for addressing data governance issues in AI-enabled health systems, and identify key areas for data governance policy interventions and future research.</w:t>
      </w:r>
    </w:p>
    <w:p w14:paraId="05AF9763" w14:textId="77777777" w:rsidR="002B7A3C" w:rsidRPr="00C15045" w:rsidRDefault="002B7A3C" w:rsidP="00C15045">
      <w:pPr>
        <w:spacing w:after="120" w:line="360" w:lineRule="auto"/>
        <w:rPr>
          <w:szCs w:val="24"/>
        </w:rPr>
      </w:pPr>
      <w:r w:rsidRPr="00C15045">
        <w:rPr>
          <w:szCs w:val="24"/>
        </w:rPr>
        <w:t>Methods: A structured narrative review of peer-reviewed literature from PubMed, Scopus, and Web of Science, alongside relevant grey literature sources from 2015 to 2024, was conducted. AI governance, digital health infrastructure, digital health data regulation, and algorithmic accountability in LMICs were considered. Findings were analysed thematically to synthesise governance concerns across key governance dimensions.</w:t>
      </w:r>
    </w:p>
    <w:p w14:paraId="4BA5020B" w14:textId="77777777" w:rsidR="002B7A3C" w:rsidRPr="00C15045" w:rsidRDefault="002B7A3C" w:rsidP="00C15045">
      <w:pPr>
        <w:spacing w:after="120" w:line="360" w:lineRule="auto"/>
        <w:rPr>
          <w:szCs w:val="24"/>
        </w:rPr>
      </w:pPr>
      <w:r w:rsidRPr="00C15045">
        <w:rPr>
          <w:szCs w:val="24"/>
        </w:rPr>
        <w:t>Findings: Seven major governance challenge domains were identified: (1) weak and fragmented regulatory frameworks; (2) poor quality of data and limited interoperability; (3) poor patient data protection mechanisms; (4) algorithmic bias due to undersampling of local population; (5) inadequate infrastructure for digital health; (6) limited digital literacy among health care professionals; and (7) ethical tensions related to consent, privacy and community trust. There were also cross-cutting themes of power asymmetry in the development of global AI and donor dependency in digital health financing.</w:t>
      </w:r>
    </w:p>
    <w:p w14:paraId="144C3BDC" w14:textId="77777777" w:rsidR="002B7A3C" w:rsidRPr="00C15045" w:rsidRDefault="002B7A3C" w:rsidP="00C15045">
      <w:pPr>
        <w:spacing w:after="120" w:line="360" w:lineRule="auto"/>
        <w:rPr>
          <w:szCs w:val="24"/>
        </w:rPr>
      </w:pPr>
      <w:r w:rsidRPr="00C15045">
        <w:rPr>
          <w:szCs w:val="24"/>
        </w:rPr>
        <w:lastRenderedPageBreak/>
        <w:t>Conclusions: AI's promise for LMIC health systems needs to be supported by robust, place-sensitive governance structures that go beyond technology alone. Before pursuing equitable AI adoption, investments in regulatory capacity, data systems, algorithmic accountability mechanisms, and stakeholder engagement are critical preconditions. A Governance Readiness Framework is proposed to support policymakers, health ministries, and development partners.</w:t>
      </w:r>
    </w:p>
    <w:p w14:paraId="4BA134EC" w14:textId="77777777" w:rsidR="002B7A3C" w:rsidRPr="00C15045" w:rsidRDefault="002B7A3C" w:rsidP="00C15045">
      <w:pPr>
        <w:spacing w:after="120" w:line="360" w:lineRule="auto"/>
        <w:rPr>
          <w:szCs w:val="24"/>
        </w:rPr>
      </w:pPr>
      <w:r w:rsidRPr="00C15045">
        <w:rPr>
          <w:szCs w:val="24"/>
        </w:rPr>
        <w:t>Keywords: Artificial intelligence, data governance, healthcare systems, low- and middle-income countries, digital health policy, algorithmic bias</w:t>
      </w:r>
    </w:p>
    <w:p w14:paraId="02781EF3" w14:textId="77777777" w:rsidR="002B7A3C" w:rsidRPr="00C15045" w:rsidRDefault="002B7A3C" w:rsidP="00C15045">
      <w:pPr>
        <w:spacing w:before="120" w:after="120" w:line="360" w:lineRule="auto"/>
        <w:rPr>
          <w:szCs w:val="24"/>
        </w:rPr>
      </w:pPr>
      <w:r w:rsidRPr="00C15045">
        <w:rPr>
          <w:b/>
          <w:szCs w:val="24"/>
        </w:rPr>
        <w:t>1. INTRODUCTION</w:t>
      </w:r>
    </w:p>
    <w:p w14:paraId="55480241" w14:textId="77777777" w:rsidR="002B7A3C" w:rsidRPr="00C15045" w:rsidRDefault="002B7A3C" w:rsidP="00C15045">
      <w:pPr>
        <w:spacing w:after="120" w:line="360" w:lineRule="auto"/>
        <w:rPr>
          <w:szCs w:val="24"/>
        </w:rPr>
      </w:pPr>
      <w:r w:rsidRPr="00C15045">
        <w:rPr>
          <w:szCs w:val="24"/>
        </w:rPr>
        <w:t xml:space="preserve"> The advent of AI in healthcare is one of the most impactful technological developments of the 21st century. Across several healthcare domains, including clinical decision-making, radiological image analysis, genomic medicine, medication adherence monitoring, and epidemic forecasting, AI tools have demonstrated considerable value. These tools include machine learning algorithms, natural language processing systems, clinical decision support platforms, and predictive analytics models, which support improved healthcare delivery and decision-making (Topol, 2019; Obermeyer &amp; Emanuel, 2016). In high-income countries, these technologies are increasingly embedded in clinical workflows, and existing regulatory frameworks, data quality standards, and substantial investments in digital health systems support their successful implementation. However, most of the global disease burden does not occur in health systems with adequate resources, but rather in low- and middle-income countries (LMICs) where more than half the world's population live and where health services are limited by chronic underfunding, insufficient staffing levels, geographical inaccessibility and fragile systems of institutions (World Health Organization, 2021b). In these contexts, AI has the potential to make a significant impact. AI-driven triage systems could help ease the workload of overburdened primary care providers; algorithms for diagnostics could bring specialist expertise to remote and peri-urban locations; and predictive surveillance models could help detect outbreaks more quickly when epidemiological reporting is incomplete.</w:t>
      </w:r>
    </w:p>
    <w:p w14:paraId="468B5760" w14:textId="77777777" w:rsidR="002B7A3C" w:rsidRPr="00C15045" w:rsidRDefault="002B7A3C" w:rsidP="00C15045">
      <w:pPr>
        <w:spacing w:after="120" w:line="360" w:lineRule="auto"/>
        <w:rPr>
          <w:szCs w:val="24"/>
        </w:rPr>
      </w:pPr>
      <w:r w:rsidRPr="00C15045">
        <w:rPr>
          <w:szCs w:val="24"/>
        </w:rPr>
        <w:t>However, the realisation of this promise depends on the absence of a governance substrate in most LMICs. Data governance (in its broadest sense, the frameworks, policies, standards, and institutional arrangements used to collect, manage, share, and protect health data) is a critical precondition for the safe, effective and equitable use of AI. It is essential because, if omitted, it can lead to erroneous, biased, or potentially harmful outputs from AI systems, compromise patient trust, worsen health disparities, and increase the risk of privacy breaches for more susceptible populations.</w:t>
      </w:r>
    </w:p>
    <w:p w14:paraId="6AA3CD99" w14:textId="77777777" w:rsidR="002B7A3C" w:rsidRPr="00C15045" w:rsidRDefault="002B7A3C" w:rsidP="00C15045">
      <w:pPr>
        <w:spacing w:after="120" w:line="360" w:lineRule="auto"/>
        <w:rPr>
          <w:szCs w:val="24"/>
        </w:rPr>
      </w:pPr>
      <w:r w:rsidRPr="00C15045">
        <w:rPr>
          <w:szCs w:val="24"/>
        </w:rPr>
        <w:lastRenderedPageBreak/>
        <w:t>Although there has been an increase in publications on AI governance in LMICs, these publications are scattered across various fields, including health informatics, public health policy, bioethics, law, and development economics. A comprehensive map of governance challenges and an integrated framework for governance-readiness assessment across various LMIC settings have not yet been developed. This paper is intended to fill that void.</w:t>
      </w:r>
    </w:p>
    <w:p w14:paraId="29134A9D" w14:textId="77777777" w:rsidR="002B7A3C" w:rsidRPr="00C15045" w:rsidRDefault="002B7A3C" w:rsidP="00C15045">
      <w:pPr>
        <w:spacing w:before="120" w:after="120" w:line="360" w:lineRule="auto"/>
        <w:rPr>
          <w:szCs w:val="24"/>
        </w:rPr>
      </w:pPr>
      <w:r w:rsidRPr="00C15045">
        <w:rPr>
          <w:b/>
          <w:szCs w:val="24"/>
        </w:rPr>
        <w:t>1.1 Objectives</w:t>
      </w:r>
    </w:p>
    <w:p w14:paraId="64222F51" w14:textId="77777777" w:rsidR="002B7A3C" w:rsidRPr="00C15045" w:rsidRDefault="002B7A3C" w:rsidP="00C15045">
      <w:pPr>
        <w:spacing w:after="120" w:line="360" w:lineRule="auto"/>
        <w:rPr>
          <w:szCs w:val="24"/>
        </w:rPr>
      </w:pPr>
      <w:r w:rsidRPr="00C15045">
        <w:rPr>
          <w:szCs w:val="24"/>
        </w:rPr>
        <w:t>This review aims to examine data governance challenges facing AI-enabled healthcare in LMICs, analyse their structural, institutional, and sociotechnical dimensions, propose a Governance Readiness Framework for evidence-informed policy development, and identify priority areas for future research, capacity-building, and international cooperation.</w:t>
      </w:r>
    </w:p>
    <w:p w14:paraId="0E7E1ECE" w14:textId="77777777" w:rsidR="002B7A3C" w:rsidRPr="00C15045" w:rsidRDefault="002B7A3C" w:rsidP="00C15045">
      <w:pPr>
        <w:spacing w:before="120" w:after="120" w:line="360" w:lineRule="auto"/>
        <w:rPr>
          <w:szCs w:val="24"/>
        </w:rPr>
      </w:pPr>
      <w:r w:rsidRPr="00C15045">
        <w:rPr>
          <w:b/>
          <w:szCs w:val="24"/>
        </w:rPr>
        <w:t>1.2 Scope and Definitions</w:t>
      </w:r>
    </w:p>
    <w:p w14:paraId="1770794A" w14:textId="77777777" w:rsidR="002B7A3C" w:rsidRPr="00C15045" w:rsidRDefault="002B7A3C" w:rsidP="00C15045">
      <w:pPr>
        <w:spacing w:after="120" w:line="360" w:lineRule="auto"/>
        <w:rPr>
          <w:szCs w:val="24"/>
        </w:rPr>
      </w:pPr>
      <w:r w:rsidRPr="00C15045">
        <w:rPr>
          <w:szCs w:val="24"/>
        </w:rPr>
        <w:t>For this review, "low- and middle-income countries" are defined according to the World Bank income classification (World Bank, 2023), encompassing low-income countries (LICs) and lower- and upper-middle-income countries (LMICs). "Data governance" is understood in its broadest sense to include technical standards, legal and regulatory frameworks, institutional policies, and ethical norms governing health data. "Artificial intelligence in healthcare" encompasses any computational system employing machine learning, deep learning, natural language processing, computer vision, or related techniques for clinical, administrative, or public health purposes.</w:t>
      </w:r>
    </w:p>
    <w:p w14:paraId="50E9C50D" w14:textId="77777777" w:rsidR="002B7A3C" w:rsidRPr="00C15045" w:rsidRDefault="002B7A3C" w:rsidP="00C15045">
      <w:pPr>
        <w:spacing w:before="120" w:after="120" w:line="360" w:lineRule="auto"/>
        <w:rPr>
          <w:szCs w:val="24"/>
        </w:rPr>
      </w:pPr>
      <w:r w:rsidRPr="00C15045">
        <w:rPr>
          <w:b/>
          <w:szCs w:val="24"/>
        </w:rPr>
        <w:t>2. METHODS</w:t>
      </w:r>
    </w:p>
    <w:p w14:paraId="33397444" w14:textId="77777777" w:rsidR="002B7A3C" w:rsidRPr="00C15045" w:rsidRDefault="002B7A3C" w:rsidP="00C15045">
      <w:pPr>
        <w:spacing w:before="120" w:after="120" w:line="360" w:lineRule="auto"/>
        <w:rPr>
          <w:szCs w:val="24"/>
        </w:rPr>
      </w:pPr>
      <w:r w:rsidRPr="00C15045">
        <w:rPr>
          <w:b/>
          <w:szCs w:val="24"/>
        </w:rPr>
        <w:t>2.1 Review Design</w:t>
      </w:r>
    </w:p>
    <w:p w14:paraId="3E2E27CD" w14:textId="77777777" w:rsidR="002B7A3C" w:rsidRPr="00C15045" w:rsidRDefault="002B7A3C" w:rsidP="00C15045">
      <w:pPr>
        <w:spacing w:after="120" w:line="360" w:lineRule="auto"/>
        <w:rPr>
          <w:szCs w:val="24"/>
        </w:rPr>
      </w:pPr>
      <w:r w:rsidRPr="00C15045">
        <w:rPr>
          <w:szCs w:val="24"/>
        </w:rPr>
        <w:t>This paper adopts a structured narrative review design. The review was used to synthesise literature across health informatics, public health policy, bioethics, law, and development studies. This design was considered appropriate because the topic cuts across several disciplines and requires interpretive synthesis rather than quantitative pooling of study findings.</w:t>
      </w:r>
    </w:p>
    <w:p w14:paraId="0BB9A7D0" w14:textId="77777777" w:rsidR="002B7A3C" w:rsidRPr="00C15045" w:rsidRDefault="002B7A3C" w:rsidP="00C15045">
      <w:pPr>
        <w:spacing w:before="120" w:after="120" w:line="360" w:lineRule="auto"/>
        <w:rPr>
          <w:szCs w:val="24"/>
        </w:rPr>
      </w:pPr>
      <w:r w:rsidRPr="00C15045">
        <w:rPr>
          <w:b/>
          <w:szCs w:val="24"/>
        </w:rPr>
        <w:t>2.2 Search Strategy</w:t>
      </w:r>
    </w:p>
    <w:p w14:paraId="6C677CD9" w14:textId="77777777" w:rsidR="002B7A3C" w:rsidRPr="00C15045" w:rsidRDefault="002B7A3C" w:rsidP="00C15045">
      <w:pPr>
        <w:spacing w:after="120" w:line="360" w:lineRule="auto"/>
        <w:rPr>
          <w:szCs w:val="24"/>
        </w:rPr>
      </w:pPr>
      <w:r w:rsidRPr="00C15045">
        <w:rPr>
          <w:szCs w:val="24"/>
        </w:rPr>
        <w:t xml:space="preserve">Electronic databases consulted included PubMed/MEDLINE, Scopus, Web of Science, and the Cochrane Library. Grey literature was identified through digital health repositories of the World Health Organization (WHO), the World Bank Open Knowledge Repository, the OECD digital health publications, and reports from large development organisations such as the Bill </w:t>
      </w:r>
      <w:r w:rsidRPr="00C15045">
        <w:rPr>
          <w:szCs w:val="24"/>
        </w:rPr>
        <w:lastRenderedPageBreak/>
        <w:t>&amp; Melinda Gates Foundation, PATH, and the Partnership for AI. The literature search focused on publications from January 2015 to December 2023 and was carried out from January to March 2024.</w:t>
      </w:r>
    </w:p>
    <w:p w14:paraId="592D8A11" w14:textId="77777777" w:rsidR="002B7A3C" w:rsidRPr="00C15045" w:rsidRDefault="002B7A3C" w:rsidP="00C15045">
      <w:pPr>
        <w:spacing w:after="120" w:line="360" w:lineRule="auto"/>
        <w:rPr>
          <w:szCs w:val="24"/>
        </w:rPr>
      </w:pPr>
      <w:r w:rsidRPr="00C15045">
        <w:rPr>
          <w:szCs w:val="24"/>
        </w:rPr>
        <w:t>The search terms were built around three concepts: (1) AI/machine learning in healthcare; (2) data governance, health informatics, and digital health; and (3) LMICs, developing countries, Sub-Saharan Africa, South Asia, Southeast Asia, and Latin America. Boolean operators (AND, OR) were used to combine terms between pillars. Searches were adapted to the controlled vocabularies of the selected databases where applicable, including MeSH terms for PubMed.</w:t>
      </w:r>
    </w:p>
    <w:p w14:paraId="4316841E" w14:textId="77777777" w:rsidR="002B7A3C" w:rsidRPr="00C15045" w:rsidRDefault="002B7A3C" w:rsidP="00C15045">
      <w:pPr>
        <w:spacing w:before="120" w:after="120" w:line="360" w:lineRule="auto"/>
        <w:rPr>
          <w:szCs w:val="24"/>
        </w:rPr>
      </w:pPr>
      <w:r w:rsidRPr="00C15045">
        <w:rPr>
          <w:b/>
          <w:szCs w:val="24"/>
        </w:rPr>
        <w:t>2.3 Literature Selection Criteria</w:t>
      </w:r>
    </w:p>
    <w:p w14:paraId="51D759D9" w14:textId="77777777" w:rsidR="002B7A3C" w:rsidRPr="00C15045" w:rsidRDefault="002B7A3C" w:rsidP="00C15045">
      <w:pPr>
        <w:spacing w:after="120" w:line="360" w:lineRule="auto"/>
        <w:rPr>
          <w:szCs w:val="24"/>
        </w:rPr>
      </w:pPr>
      <w:r w:rsidRPr="00C15045">
        <w:rPr>
          <w:szCs w:val="24"/>
        </w:rPr>
        <w:t>Publications were considered relevant if they: (a) focused on AI or machine learning applications in healthcare contexts; (b) discussed governance, regulatory, ethical, or infrastructural dimensions; (c) included one or more LMIC contexts; and (d) were published in English, French, Portuguese, or Spanish. Technical papers with no governance implications, single-disease clinical trials with no governance discussion, and conference abstracts were not included.</w:t>
      </w:r>
    </w:p>
    <w:p w14:paraId="4D9EC9B3" w14:textId="77777777" w:rsidR="002B7A3C" w:rsidRPr="00C15045" w:rsidRDefault="002B7A3C" w:rsidP="00C15045">
      <w:pPr>
        <w:spacing w:before="120" w:after="120" w:line="360" w:lineRule="auto"/>
        <w:rPr>
          <w:szCs w:val="24"/>
        </w:rPr>
      </w:pPr>
      <w:r w:rsidRPr="00C15045">
        <w:rPr>
          <w:b/>
          <w:szCs w:val="24"/>
        </w:rPr>
        <w:t>2.4 Literature Synthesis</w:t>
      </w:r>
    </w:p>
    <w:p w14:paraId="5FACB922" w14:textId="77777777" w:rsidR="002B7A3C" w:rsidRPr="00C15045" w:rsidRDefault="002B7A3C" w:rsidP="00C15045">
      <w:pPr>
        <w:spacing w:after="120" w:line="360" w:lineRule="auto"/>
        <w:rPr>
          <w:szCs w:val="24"/>
        </w:rPr>
      </w:pPr>
      <w:r w:rsidRPr="00C15045">
        <w:rPr>
          <w:szCs w:val="24"/>
        </w:rPr>
        <w:t>Relevant publications were reviewed and organised in a structured matrix that captured study design, geographic focus, AI application domain, category of governance challenge, proposed solutions, and key recommendations. Thematic analysis, as described by Braun and Clarke (2006), was used to identify and group patterns across the literature. This process generated an inductive taxonomy of seven governance challenge domains, which was then compared with existing digital health governance frameworks, including the WHO Classification of Digital Health Interventions and the Principles for Digital Development.</w:t>
      </w:r>
    </w:p>
    <w:p w14:paraId="004736C8" w14:textId="77777777" w:rsidR="002B7A3C" w:rsidRPr="00C15045" w:rsidRDefault="002B7A3C" w:rsidP="00C15045">
      <w:pPr>
        <w:spacing w:before="120" w:after="120" w:line="360" w:lineRule="auto"/>
        <w:rPr>
          <w:szCs w:val="24"/>
        </w:rPr>
      </w:pPr>
      <w:r w:rsidRPr="00C15045">
        <w:rPr>
          <w:b/>
          <w:szCs w:val="24"/>
        </w:rPr>
        <w:t>3. BACKGROUND: AI IN LMIC HEALTHCARE CONTEXTS</w:t>
      </w:r>
    </w:p>
    <w:p w14:paraId="470D3993" w14:textId="77777777" w:rsidR="002B7A3C" w:rsidRPr="00C15045" w:rsidRDefault="002B7A3C" w:rsidP="00C15045">
      <w:pPr>
        <w:spacing w:before="120" w:after="120" w:line="360" w:lineRule="auto"/>
        <w:rPr>
          <w:szCs w:val="24"/>
        </w:rPr>
      </w:pPr>
      <w:r w:rsidRPr="00C15045">
        <w:rPr>
          <w:b/>
          <w:szCs w:val="24"/>
        </w:rPr>
        <w:t>3.1 The Burden of Disease and Healthcare System Constraints</w:t>
      </w:r>
    </w:p>
    <w:p w14:paraId="6166889B" w14:textId="77777777" w:rsidR="002B7A3C" w:rsidRPr="00C15045" w:rsidRDefault="002B7A3C" w:rsidP="00C15045">
      <w:pPr>
        <w:spacing w:after="120" w:line="360" w:lineRule="auto"/>
        <w:rPr>
          <w:szCs w:val="24"/>
        </w:rPr>
      </w:pPr>
      <w:r w:rsidRPr="00C15045">
        <w:rPr>
          <w:szCs w:val="24"/>
        </w:rPr>
        <w:t xml:space="preserve">Low- and middle-income countries (LMICs) collectively account for about 90% of the global burden of preventable and treatable disease but only 15% of global health expenditure (GBD 2019 Diseases and Injuries Collaborators, 2020). The synergistic impact of communicable diseases (including HIV/AIDS, TB, malaria and, more recently, neglected tropical diseases) and a rapidly increasing burden of non-communicable diseases (NCDs) (cardiovascular </w:t>
      </w:r>
      <w:r w:rsidRPr="00C15045">
        <w:rPr>
          <w:szCs w:val="24"/>
        </w:rPr>
        <w:lastRenderedPageBreak/>
        <w:t>disease, diabetes, and cancer) puts the healthcare systems under stress, which already face the strain of working at the edge of institutional capacity. There is a serious shortage of healthcare workers, with the WHO predicting that the world will need 10 million more by 2030, particularly in Sub-Saharan Africa and South Asia (WHO, 2021b). In most LMICs, the number of physicians is less than 1 per 1,000 people, whereas in high-income countries, there are more than 4 per 1,000. There are also challenges to care delivery due to supply chain disruptions, lack of diagnostic systems and services, and the uneven distribution of services.</w:t>
      </w:r>
    </w:p>
    <w:p w14:paraId="3593801F" w14:textId="77777777" w:rsidR="002B7A3C" w:rsidRPr="00C15045" w:rsidRDefault="002B7A3C" w:rsidP="00C15045">
      <w:pPr>
        <w:spacing w:before="120" w:after="120" w:line="360" w:lineRule="auto"/>
        <w:rPr>
          <w:szCs w:val="24"/>
        </w:rPr>
      </w:pPr>
      <w:r w:rsidRPr="00C15045">
        <w:rPr>
          <w:b/>
          <w:szCs w:val="24"/>
        </w:rPr>
        <w:t>3.2 The Promise of AI in This Context</w:t>
      </w:r>
    </w:p>
    <w:p w14:paraId="76A6E89F" w14:textId="77777777" w:rsidR="002B7A3C" w:rsidRPr="00C15045" w:rsidRDefault="002B7A3C" w:rsidP="00C15045">
      <w:pPr>
        <w:spacing w:after="120" w:line="360" w:lineRule="auto"/>
        <w:rPr>
          <w:szCs w:val="24"/>
        </w:rPr>
      </w:pPr>
      <w:r w:rsidRPr="00C15045">
        <w:rPr>
          <w:szCs w:val="24"/>
        </w:rPr>
        <w:t>AI applications are especially significant in areas where human expertise is limited and scale and cost are paramount. Deep learning models are as accurate as clinician experts in diagnosing TB and pneumonia from chest X-rays (Rajpurkar et al., 2018); diabetic retinopathy from fundus photographs (Gulshan et al., 2016); and cervical precancer from visual inspection images (Xue et al., 2020). Predictive models have been successful in predicting maternal mortality, forecasting malnutrition in children, and forecasting malaria outbreaks. Conversational AI and chatbot platforms have been trialled to reach more people for mental health, maternal and child health counselling and adherence reminders on mobile platforms, even on feature phones prevalent in low-resource areas. Clinical documentation in multilingual environments can also be supported by natural language processing tools. Geospatial AI models combine satellite imagery, climate data, and mobility data, enabling surveillance of disease in regions with limited epidemiological reporting capabilities.</w:t>
      </w:r>
    </w:p>
    <w:p w14:paraId="7C3700E9" w14:textId="77777777" w:rsidR="002B7A3C" w:rsidRPr="00C15045" w:rsidRDefault="002B7A3C" w:rsidP="00C15045">
      <w:pPr>
        <w:spacing w:before="120" w:after="120" w:line="360" w:lineRule="auto"/>
        <w:rPr>
          <w:szCs w:val="24"/>
        </w:rPr>
      </w:pPr>
      <w:r w:rsidRPr="00C15045">
        <w:rPr>
          <w:b/>
          <w:szCs w:val="24"/>
        </w:rPr>
        <w:t>3.3 The Reality: Implementation Gaps</w:t>
      </w:r>
    </w:p>
    <w:p w14:paraId="652AF33D" w14:textId="77777777" w:rsidR="002B7A3C" w:rsidRDefault="002B7A3C" w:rsidP="00C15045">
      <w:pPr>
        <w:spacing w:after="120" w:line="360" w:lineRule="auto"/>
        <w:rPr>
          <w:szCs w:val="24"/>
        </w:rPr>
      </w:pPr>
      <w:r w:rsidRPr="00C15045">
        <w:rPr>
          <w:szCs w:val="24"/>
        </w:rPr>
        <w:t>While these encouraging proof-of-concept and pilot demonstrations highlight the potential of AI in healthcare, its use in medical or public health applications is still at an early stage in LMICs, with few applications having been scaled up to national health systems. As of 2022, only 7.4% of LMICs had adopted formal national AI strategies, with adoption particularly low in Africa, where just 4 of 54 countries had such a strategy in place, while only 15.2% of countries globally had AI-specific legislation (Shahid et al., 2026). Governance issues are a larger constraint on scale than technical issues. Data governance is the bedrock of the safe, fair, and sustainable use of even the most advanced AI tools.</w:t>
      </w:r>
    </w:p>
    <w:p w14:paraId="233FCFA8" w14:textId="77777777" w:rsidR="006775F7" w:rsidRDefault="006775F7" w:rsidP="00C15045">
      <w:pPr>
        <w:spacing w:after="120" w:line="360" w:lineRule="auto"/>
        <w:rPr>
          <w:szCs w:val="24"/>
        </w:rPr>
      </w:pPr>
    </w:p>
    <w:p w14:paraId="524885CD" w14:textId="77777777" w:rsidR="006775F7" w:rsidRDefault="006775F7" w:rsidP="00C15045">
      <w:pPr>
        <w:spacing w:after="120" w:line="360" w:lineRule="auto"/>
        <w:rPr>
          <w:szCs w:val="24"/>
        </w:rPr>
      </w:pPr>
    </w:p>
    <w:p w14:paraId="5355533D" w14:textId="77777777" w:rsidR="006775F7" w:rsidRPr="00C15045" w:rsidRDefault="006775F7" w:rsidP="00C15045">
      <w:pPr>
        <w:spacing w:after="120" w:line="360" w:lineRule="auto"/>
        <w:rPr>
          <w:szCs w:val="24"/>
        </w:rPr>
      </w:pPr>
    </w:p>
    <w:p w14:paraId="3BC24A18" w14:textId="77777777" w:rsidR="002B7A3C" w:rsidRPr="00C15045" w:rsidRDefault="002B7A3C" w:rsidP="00C15045">
      <w:pPr>
        <w:spacing w:before="120" w:after="120" w:line="360" w:lineRule="auto"/>
        <w:rPr>
          <w:szCs w:val="24"/>
        </w:rPr>
      </w:pPr>
      <w:r w:rsidRPr="00C15045">
        <w:rPr>
          <w:b/>
          <w:szCs w:val="24"/>
        </w:rPr>
        <w:lastRenderedPageBreak/>
        <w:t>4. DATA GOVERNANCE CHALLENGES: A SEVEN-DOMAIN ANALYSIS</w:t>
      </w:r>
    </w:p>
    <w:p w14:paraId="27A159E1" w14:textId="77777777" w:rsidR="002B7A3C" w:rsidRPr="00C15045" w:rsidRDefault="002B7A3C" w:rsidP="00C15045">
      <w:pPr>
        <w:spacing w:before="120" w:after="120" w:line="360" w:lineRule="auto"/>
        <w:rPr>
          <w:szCs w:val="24"/>
        </w:rPr>
      </w:pPr>
      <w:r w:rsidRPr="00C15045">
        <w:rPr>
          <w:b/>
          <w:szCs w:val="24"/>
        </w:rPr>
        <w:t>4.1 Weak and Fragmented Regulatory Frameworks</w:t>
      </w:r>
    </w:p>
    <w:p w14:paraId="7401DA70" w14:textId="77777777" w:rsidR="002B7A3C" w:rsidRPr="00C15045" w:rsidRDefault="002B7A3C" w:rsidP="00C15045">
      <w:pPr>
        <w:spacing w:after="120" w:line="360" w:lineRule="auto"/>
        <w:rPr>
          <w:szCs w:val="24"/>
        </w:rPr>
      </w:pPr>
      <w:r w:rsidRPr="00C15045">
        <w:rPr>
          <w:szCs w:val="24"/>
        </w:rPr>
        <w:t>For AI governance to be effective in healthcare, the regulatory landscape must assess the safety and effectiveness of AI as a medical device, oversee post-market monitoring, establish liability frameworks, and demand transparency in algorithm-driven decision-making. The majority of LMICs lack all or most of these elements. In LMICs, health regulatory authorities often lack sufficient resources or technical capacity to assess AI-powered medical devices. Without explicit classification rules, AI diagnostic devices can be used without the controls used for traditional medical equipment. The United States' FDA has established pathways for AI/ML-based software as medical devices (SaMD), and the European Union's Medical Device Regulation (MDR) offers similar pathways (Muehlematter et al., 2021); these pathways do not impose any obligations on manufacturers when they deploy AI/ML tools in LMIC markets. There is regulatory fragmentation, with multiple ministries (usually Health, ICT/Communications, Finance and occasionally Defence) involved, with no clear distribution of mandates for AI in healthcare. There are few to no inter-ministerial coordination mechanisms in place. National data protection laws (if any) are poorly adapted to the local context and are largely influenced by the EU GDPR. National data protection laws (if any) are poorly adapted to the local context, and enforcement capacity is limited. Sub-Saharan Africa is a perfect example of this heterogeneity, with 36 of the 54 countries in the region having enacted data protection laws. In contrast, enforcement and guidance regarding health data are very limited as of 2023 (African Union, 2022).</w:t>
      </w:r>
    </w:p>
    <w:p w14:paraId="0625E264" w14:textId="77777777" w:rsidR="002B7A3C" w:rsidRPr="00C15045" w:rsidRDefault="002B7A3C" w:rsidP="00C15045">
      <w:pPr>
        <w:spacing w:before="120" w:after="120" w:line="360" w:lineRule="auto"/>
        <w:rPr>
          <w:szCs w:val="24"/>
        </w:rPr>
      </w:pPr>
      <w:r w:rsidRPr="00C15045">
        <w:rPr>
          <w:b/>
          <w:szCs w:val="24"/>
        </w:rPr>
        <w:t>4.2 Poor Data Quality and Fragmented Health Information Systems</w:t>
      </w:r>
    </w:p>
    <w:p w14:paraId="766AD8C9" w14:textId="77777777" w:rsidR="002B7A3C" w:rsidRPr="00C15045" w:rsidRDefault="002B7A3C" w:rsidP="00C15045">
      <w:pPr>
        <w:spacing w:after="120" w:line="360" w:lineRule="auto"/>
        <w:rPr>
          <w:szCs w:val="24"/>
        </w:rPr>
      </w:pPr>
      <w:r w:rsidRPr="00C15045">
        <w:rPr>
          <w:szCs w:val="24"/>
        </w:rPr>
        <w:t xml:space="preserve">The quality, completeness, and representativeness of the data on which AI systems are trained and used are crucial to their functioning. Several interacting challenges severely affect the quality of health data in LMICs. The use of Electronic Health Records (EHR) is low in most LMICs (Kumar &amp; Mostafa, 2019). Retrospective digitisation is expensive, inconsistent, and may lead to transcription errors when paper-based systems prevail. Where EHR systems are available, they are often vertical, disease-specific systems, such as HIV/AIDS registries, tuberculosis surveillance systems, and maternal and child health records, that do not interoperate (Bostan et al., 2024). Patient information can be spread across several disconnected systems without a unique patient identifier to tie them together. Data completeness is a related challenge. Time pressures, limited staff training, and system usability problems often lead to incomplete clinical documentation in low-resource facilities. </w:t>
      </w:r>
      <w:r w:rsidRPr="00C15045">
        <w:rPr>
          <w:szCs w:val="24"/>
        </w:rPr>
        <w:lastRenderedPageBreak/>
        <w:t>Laboratory results, vital status information and diagnostic codes are frequently unavailable. The poor quality of routine health information systems (RHIS), which serve as the operational basis for national health statistics, in many LMICs has been well documented, as they consistently undercount deaths, births, and the burden of disease. These quality shortcomings have direct consequences for AI performance. Models trained on limited data sets or on data sets that are not representative or comprehensive of the full clinical context will fail to generalise well in real-world clinical settings, leading to inaccurate predictions that can negatively impact clinical decisions. If AI systems do not raise red flags during inference, this garbage-in, garbage-out effect is exacerbated.</w:t>
      </w:r>
    </w:p>
    <w:p w14:paraId="7C0B9BA4" w14:textId="77777777" w:rsidR="002B7A3C" w:rsidRPr="00C15045" w:rsidRDefault="002B7A3C" w:rsidP="00C15045">
      <w:pPr>
        <w:spacing w:before="120" w:after="120" w:line="360" w:lineRule="auto"/>
        <w:rPr>
          <w:szCs w:val="24"/>
        </w:rPr>
      </w:pPr>
      <w:r w:rsidRPr="00C15045">
        <w:rPr>
          <w:b/>
          <w:szCs w:val="24"/>
        </w:rPr>
        <w:t>4.3 Interoperability Deficits</w:t>
      </w:r>
    </w:p>
    <w:p w14:paraId="645ECFE6" w14:textId="77777777" w:rsidR="002B7A3C" w:rsidRPr="00C15045" w:rsidRDefault="002B7A3C" w:rsidP="00C15045">
      <w:pPr>
        <w:spacing w:after="120" w:line="360" w:lineRule="auto"/>
        <w:rPr>
          <w:szCs w:val="24"/>
        </w:rPr>
      </w:pPr>
      <w:r w:rsidRPr="00C15045">
        <w:rPr>
          <w:szCs w:val="24"/>
        </w:rPr>
        <w:t>Interoperability, defined as the ability of various digital health systems to share and use the same data, must be achieved before AI can leverage information from a longitudinal patient record, multiple sources of clinical information, or population health intelligence. Interoperability at the technical, semantic, and organisational levels in the LMIC context is highly restricted (Akhlaq et al., 2016; Torab-Miandoab et al., 2023). Technical interoperability requires adopting common methods for exchanging data. HL7 FHIR (Fast Healthcare Interoperability Resources), SNOMED CT, ICD-10/11, and LOINC are international standards that have been in use for some time and support data exchange in high-income country health systems but are underutilised in LMICs. Numerous digital health platforms implemented in LMICs are also based on proprietary data models that are difficult to integrate in these settings and are typically provided by international NGOs or commercial vendors. Digital health is defined as a "digital health ecosystem fragmentation crisis" (USAID, 2019), characterised by many donor-funded, vertically implemented digital health tools that leave health systems operating with multiple incompatible tools and systems. Trust relationships, data-sharing agreements, and institutional incentives to enable data sharing across facilities, systems, and institutions are often lacking and are essential for organisational interoperability. Compounding these challenges are the fragmentation of the health system and substantial private-sector involvement in healthcare delivery, with limited data reporting requirements.</w:t>
      </w:r>
    </w:p>
    <w:p w14:paraId="245A84FF" w14:textId="77777777" w:rsidR="002B7A3C" w:rsidRPr="00C15045" w:rsidRDefault="002B7A3C" w:rsidP="00C15045">
      <w:pPr>
        <w:spacing w:before="120" w:after="120" w:line="360" w:lineRule="auto"/>
        <w:rPr>
          <w:szCs w:val="24"/>
        </w:rPr>
      </w:pPr>
      <w:r w:rsidRPr="00C15045">
        <w:rPr>
          <w:b/>
          <w:szCs w:val="24"/>
        </w:rPr>
        <w:t>4.4 Inadequate Patient Data Protection</w:t>
      </w:r>
    </w:p>
    <w:p w14:paraId="3FACE754" w14:textId="77777777" w:rsidR="002B7A3C" w:rsidRPr="00C15045" w:rsidRDefault="002B7A3C" w:rsidP="00C15045">
      <w:pPr>
        <w:spacing w:after="120" w:line="360" w:lineRule="auto"/>
        <w:rPr>
          <w:szCs w:val="24"/>
        </w:rPr>
      </w:pPr>
      <w:r w:rsidRPr="00C15045">
        <w:rPr>
          <w:szCs w:val="24"/>
        </w:rPr>
        <w:t xml:space="preserve">Handling sensitive health information for AI has significant privacy implications, especially in areas where existing legal safeguards are either non-existent or insufficiently robust (Tiffin et al., 2019). Health information is among the most sensitive types of personal information, </w:t>
      </w:r>
      <w:r w:rsidRPr="00C15045">
        <w:rPr>
          <w:szCs w:val="24"/>
        </w:rPr>
        <w:lastRenderedPageBreak/>
        <w:t>and it can lead to discrimination in employment, insurance, and social environments. It can result in stigma, especially for diseases such as HIV/AIDS, tuberculosis, mental health disorders and reproductive health. Consent processes for the use of health data in the development and research of AI are often weak (Kaushik et al., 2025). Literacy issues may impair a true understanding of the purpose, who, and how data will be used if informed consent is requested. Community participation in consent procedures is limited. In many LMIC settings, the boundaries between research and routine clinical care are not clearly demarcated, potentially allowing residual research use of clinical data without adequate oversight. The data security infrastructure is also weak. The majority of health facilities in LMICs lack basic cybersecurity measures, leaving them exposed to large-scale cyberattacks that could compromise patient data. Cloud-based digital health platforms raise further sovereignty concerns, especially when data is stored on servers in countries with diverse legal systems. The terms of technology vendor contracts often impose data rights that are not in the interests of health ministries and populations.</w:t>
      </w:r>
    </w:p>
    <w:p w14:paraId="6733604C" w14:textId="77777777" w:rsidR="002B7A3C" w:rsidRPr="00C15045" w:rsidRDefault="002B7A3C" w:rsidP="00C15045">
      <w:pPr>
        <w:spacing w:before="120" w:after="120" w:line="360" w:lineRule="auto"/>
        <w:rPr>
          <w:szCs w:val="24"/>
        </w:rPr>
      </w:pPr>
      <w:r w:rsidRPr="00C15045">
        <w:rPr>
          <w:b/>
          <w:szCs w:val="24"/>
        </w:rPr>
        <w:t>4.5 Algorithmic Bias and Representational Inequity</w:t>
      </w:r>
    </w:p>
    <w:p w14:paraId="39023B32" w14:textId="77777777" w:rsidR="002B7A3C" w:rsidRPr="00C15045" w:rsidRDefault="002B7A3C" w:rsidP="00C15045">
      <w:pPr>
        <w:spacing w:after="120" w:line="360" w:lineRule="auto"/>
        <w:rPr>
          <w:szCs w:val="24"/>
        </w:rPr>
      </w:pPr>
      <w:r w:rsidRPr="00C15045">
        <w:rPr>
          <w:szCs w:val="24"/>
        </w:rPr>
        <w:t xml:space="preserve"> The biggest governance problem is algorithmic bias. Algorithmic bias occurs when the output of AI systems is less accurate, less fair or less advantageous for specific population groups. Bias in AI tools targeting health is mainly due to the lack of representation of local populations, disease patterns, and disease presentations in the training datasets that are used to build these tools in LMIC contexts.</w:t>
      </w:r>
    </w:p>
    <w:p w14:paraId="25A5C31C" w14:textId="77777777" w:rsidR="002B7A3C" w:rsidRPr="00C15045" w:rsidRDefault="002B7A3C" w:rsidP="00C15045">
      <w:pPr>
        <w:spacing w:after="120" w:line="360" w:lineRule="auto"/>
        <w:rPr>
          <w:szCs w:val="24"/>
        </w:rPr>
      </w:pPr>
      <w:r w:rsidRPr="00C15045">
        <w:rPr>
          <w:szCs w:val="24"/>
        </w:rPr>
        <w:t>The dominant paradigm in AI health development involves training models on large datasets drawn from electronic health records and clinical repositories in high-income countries where digitised clinical data are most abundant. Models developed in this way encode the demographic, epidemiological, and clinical characteristics of those populations. When deployed in LMICs, where disease prevalence patterns, patient demographics, nutritional status, comorbidity profiles, and clinical presentation norms differ substantially, these models may perform markedly worse.</w:t>
      </w:r>
    </w:p>
    <w:p w14:paraId="633AC9C2" w14:textId="77777777" w:rsidR="002B7A3C" w:rsidRPr="00C15045" w:rsidRDefault="002B7A3C" w:rsidP="00C15045">
      <w:pPr>
        <w:spacing w:after="120" w:line="360" w:lineRule="auto"/>
        <w:rPr>
          <w:szCs w:val="24"/>
        </w:rPr>
      </w:pPr>
      <w:r w:rsidRPr="00C15045">
        <w:rPr>
          <w:szCs w:val="24"/>
        </w:rPr>
        <w:t>A commonly used commercial algorithm in the United States allocated lower health risk scores to Black patients versus White patients with similar health risks, resulting in different access to care management programmes, as documented by Obermeyer et al. (2019). In an LMIC setting, similar dynamics may be far more damaging, with less access to health services and fewer systems in place to identify and correct biased outputs.</w:t>
      </w:r>
    </w:p>
    <w:p w14:paraId="615B0758" w14:textId="77777777" w:rsidR="002B7A3C" w:rsidRPr="00C15045" w:rsidRDefault="002B7A3C" w:rsidP="00C15045">
      <w:pPr>
        <w:spacing w:after="120" w:line="360" w:lineRule="auto"/>
        <w:rPr>
          <w:szCs w:val="24"/>
        </w:rPr>
      </w:pPr>
      <w:r w:rsidRPr="00C15045">
        <w:rPr>
          <w:szCs w:val="24"/>
        </w:rPr>
        <w:lastRenderedPageBreak/>
        <w:t>A classic example of skin-tone bias in AI applications is the performance of dermatological models on darker skin tones; in this context, the models were trained on a large number of images from lighter skin tones but perform poorly on darker tones, which is relevant to populations across Africa, South Asia, and Latin America (Daneshjou et al., 2022). Models for chest X-ray interpretation developed using North American data may be inaccurate for the TB cases typically encountered in LMICs. Common risk factors for malnutrition in Sub-Saharan Africa may not be included in obstetric risk prediction models.</w:t>
      </w:r>
    </w:p>
    <w:p w14:paraId="7C359C13" w14:textId="77777777" w:rsidR="002B7A3C" w:rsidRPr="00C15045" w:rsidRDefault="002B7A3C" w:rsidP="00C15045">
      <w:pPr>
        <w:spacing w:after="120" w:line="360" w:lineRule="auto"/>
        <w:rPr>
          <w:szCs w:val="24"/>
        </w:rPr>
      </w:pPr>
      <w:r w:rsidRPr="00C15045">
        <w:rPr>
          <w:szCs w:val="24"/>
        </w:rPr>
        <w:t>Finally, algorithmic bias must be addressed technically, for example by introducing diversity in training data, incorporating techniques to identify and reduce bias, and testing algorithm performance in advance for local contexts, and through governance processes that require a bias assessment before deployment, define performance standards for local populations, and introduce accountability for algorithmic outputs.</w:t>
      </w:r>
    </w:p>
    <w:p w14:paraId="2FB16E54" w14:textId="77777777" w:rsidR="002B7A3C" w:rsidRPr="00C15045" w:rsidRDefault="002B7A3C" w:rsidP="00C15045">
      <w:pPr>
        <w:spacing w:before="120" w:after="120" w:line="360" w:lineRule="auto"/>
        <w:rPr>
          <w:szCs w:val="24"/>
        </w:rPr>
      </w:pPr>
      <w:r w:rsidRPr="00C15045">
        <w:rPr>
          <w:b/>
          <w:szCs w:val="24"/>
        </w:rPr>
        <w:t>4.6 Infrastructural Deficits</w:t>
      </w:r>
    </w:p>
    <w:p w14:paraId="44E255DF" w14:textId="77777777" w:rsidR="002B7A3C" w:rsidRPr="00C15045" w:rsidRDefault="002B7A3C" w:rsidP="00C15045">
      <w:pPr>
        <w:spacing w:after="120" w:line="360" w:lineRule="auto"/>
        <w:rPr>
          <w:szCs w:val="24"/>
        </w:rPr>
      </w:pPr>
      <w:r w:rsidRPr="00C15045">
        <w:rPr>
          <w:szCs w:val="24"/>
        </w:rPr>
        <w:t>AI health apps require a certain level of digital infrastructure, which is often lacking in LMICs. Infrastructure elements relevant to AI in Healthcare include connectivity, hardware, power supply, and cloud/computing capacity.</w:t>
      </w:r>
    </w:p>
    <w:p w14:paraId="3A051F2F" w14:textId="77777777" w:rsidR="002B7A3C" w:rsidRPr="00C15045" w:rsidRDefault="002B7A3C" w:rsidP="00C15045">
      <w:pPr>
        <w:spacing w:after="120" w:line="360" w:lineRule="auto"/>
        <w:rPr>
          <w:szCs w:val="24"/>
        </w:rPr>
      </w:pPr>
      <w:r w:rsidRPr="00C15045">
        <w:rPr>
          <w:szCs w:val="24"/>
        </w:rPr>
        <w:t>The past decade has seen tremendous growth in internet connectivity in LMICs, largely driven by the proliferation of mobile networks. However, there continues to be regional inequality, especially between rural and urban areas, high data prices as a share of average income, and bandwidth-hungry AI applications have poor connectivity. In 2023, 2.6 billion people worldwide remained unconnected to the internet, mainly in LMICs and rural areas (ITU, 2023). Many AI clinical decision support tools that require a reliable network for real-time inference, cloud data synchronisation, and model updates are unavailable in a significant proportion of LMIC primary care settings.</w:t>
      </w:r>
    </w:p>
    <w:p w14:paraId="718A1960" w14:textId="77777777" w:rsidR="002B7A3C" w:rsidRPr="00C15045" w:rsidRDefault="002B7A3C" w:rsidP="00C15045">
      <w:pPr>
        <w:spacing w:after="120" w:line="360" w:lineRule="auto"/>
        <w:rPr>
          <w:szCs w:val="24"/>
        </w:rPr>
      </w:pPr>
      <w:r w:rsidRPr="00C15045">
        <w:rPr>
          <w:szCs w:val="24"/>
        </w:rPr>
        <w:t>A related challenge is the unreliability of the power supply. There are 570 million people in Sub-Saharan Africa without access to electricity (International Energy Agency, 2024). Even for those who do have access, electricity services are often unreliable and intermittent, with frequent and extended power failures in many countries. Digital health devices and the servers that support them require continuous power, which means investing in backup power supply systems that significantly increase deployment costs.</w:t>
      </w:r>
    </w:p>
    <w:p w14:paraId="59FC66C5" w14:textId="77777777" w:rsidR="002B7A3C" w:rsidRPr="00C15045" w:rsidRDefault="002B7A3C" w:rsidP="00C15045">
      <w:pPr>
        <w:spacing w:after="120" w:line="360" w:lineRule="auto"/>
        <w:rPr>
          <w:szCs w:val="24"/>
        </w:rPr>
      </w:pPr>
      <w:r w:rsidRPr="00C15045">
        <w:rPr>
          <w:szCs w:val="24"/>
        </w:rPr>
        <w:t xml:space="preserve">Partial technical solutions include edge computing approaches and applications that can operate without internet connectivity. However, LMIC health systems have limited </w:t>
      </w:r>
      <w:r w:rsidRPr="00C15045">
        <w:rPr>
          <w:szCs w:val="24"/>
        </w:rPr>
        <w:lastRenderedPageBreak/>
        <w:t>procurement and maintenance resources that must be dedicated to procuring, maintaining, and periodically updating purpose-designed hardware.</w:t>
      </w:r>
    </w:p>
    <w:p w14:paraId="42FF66D0" w14:textId="77777777" w:rsidR="002B7A3C" w:rsidRPr="00C15045" w:rsidRDefault="002B7A3C" w:rsidP="00C15045">
      <w:pPr>
        <w:spacing w:before="120" w:after="120" w:line="360" w:lineRule="auto"/>
        <w:rPr>
          <w:szCs w:val="24"/>
        </w:rPr>
      </w:pPr>
      <w:r w:rsidRPr="00C15045">
        <w:rPr>
          <w:b/>
          <w:szCs w:val="24"/>
        </w:rPr>
        <w:t>4.7 Limited Digital Literacy and Workforce Capacity</w:t>
      </w:r>
    </w:p>
    <w:p w14:paraId="5B180BD5" w14:textId="77777777" w:rsidR="002B7A3C" w:rsidRPr="00C15045" w:rsidRDefault="002B7A3C" w:rsidP="00C15045">
      <w:pPr>
        <w:spacing w:after="120" w:line="360" w:lineRule="auto"/>
        <w:rPr>
          <w:szCs w:val="24"/>
        </w:rPr>
      </w:pPr>
      <w:r w:rsidRPr="00C15045">
        <w:rPr>
          <w:szCs w:val="24"/>
        </w:rPr>
        <w:t>AI health tools need to be integrated into appropriate systems and governance frameworks, and health professionals need to be digitally literate, able to engage critically with AI tools, and able to interpret their outputs and identify their limitations. Digital health literacy within individual health workers and the health system is low in most LMICs, and there are marked differences in literacy between urban tertiary facilities and rural primary care providers (Wang et al., 2025).</w:t>
      </w:r>
    </w:p>
    <w:p w14:paraId="448AD527" w14:textId="77777777" w:rsidR="002B7A3C" w:rsidRPr="00C15045" w:rsidRDefault="002B7A3C" w:rsidP="00C15045">
      <w:pPr>
        <w:spacing w:after="120" w:line="360" w:lineRule="auto"/>
        <w:rPr>
          <w:szCs w:val="24"/>
        </w:rPr>
      </w:pPr>
      <w:r w:rsidRPr="00C15045">
        <w:rPr>
          <w:szCs w:val="24"/>
        </w:rPr>
        <w:t>Pre-service health professional education in health informatics, digital health, or AI literacy is lacking in most LMICs. Even clinicians who want to use digital health tools lack readily available conceptual frameworks to critically assess AI recommendations. This can lead to automation bias (the uncritical acceptance of AI output) and automation resistance (the rejection of automation tools without engagement).</w:t>
      </w:r>
    </w:p>
    <w:p w14:paraId="1D200CCA" w14:textId="77777777" w:rsidR="002B7A3C" w:rsidRPr="00C15045" w:rsidRDefault="002B7A3C" w:rsidP="00C15045">
      <w:pPr>
        <w:spacing w:after="120" w:line="360" w:lineRule="auto"/>
        <w:rPr>
          <w:szCs w:val="24"/>
        </w:rPr>
      </w:pPr>
      <w:r w:rsidRPr="00C15045">
        <w:rPr>
          <w:szCs w:val="24"/>
        </w:rPr>
        <w:t>The governance ecosystem, including people who implement data protection laws, run ethics committees, audit the deployment of AI and manage health information infrastructure, is also woefully under-resourced (Alami et al., 2020). In most LMICs, ministries of health lack the technical expertise to develop AI governance regulations, procure AI systems with appropriate contractual security, and monitor AI performance effectively after deployment.</w:t>
      </w:r>
    </w:p>
    <w:p w14:paraId="71977021" w14:textId="77777777" w:rsidR="002B7A3C" w:rsidRPr="00C15045" w:rsidRDefault="002B7A3C" w:rsidP="00C15045">
      <w:pPr>
        <w:spacing w:before="120" w:after="120" w:line="360" w:lineRule="auto"/>
        <w:rPr>
          <w:szCs w:val="24"/>
        </w:rPr>
      </w:pPr>
      <w:r w:rsidRPr="00C15045">
        <w:rPr>
          <w:b/>
          <w:szCs w:val="24"/>
        </w:rPr>
        <w:t>5. CROSS-CUTTING THEMES AND STRUCTURAL DIMENSIONS</w:t>
      </w:r>
    </w:p>
    <w:p w14:paraId="59B59E85" w14:textId="77777777" w:rsidR="002B7A3C" w:rsidRPr="00C15045" w:rsidRDefault="002B7A3C" w:rsidP="00C15045">
      <w:pPr>
        <w:spacing w:before="120" w:after="120" w:line="360" w:lineRule="auto"/>
        <w:rPr>
          <w:szCs w:val="24"/>
        </w:rPr>
      </w:pPr>
      <w:r w:rsidRPr="00C15045">
        <w:rPr>
          <w:b/>
          <w:szCs w:val="24"/>
        </w:rPr>
        <w:t>5.1 Power Asymmetry in Global AI Development</w:t>
      </w:r>
    </w:p>
    <w:p w14:paraId="278F29F6" w14:textId="77777777" w:rsidR="002B7A3C" w:rsidRPr="00C15045" w:rsidRDefault="002B7A3C" w:rsidP="00C15045">
      <w:pPr>
        <w:spacing w:after="120" w:line="360" w:lineRule="auto"/>
        <w:rPr>
          <w:szCs w:val="24"/>
        </w:rPr>
      </w:pPr>
      <w:r w:rsidRPr="00C15045">
        <w:rPr>
          <w:szCs w:val="24"/>
        </w:rPr>
        <w:t xml:space="preserve">The structural challenges to global AI governance that underlie the specific issues raised above are worth further consideration, namely the extreme imbalance of power in the global development of AI. Large tech firms, university research institutions and venture-backed startups are the main players in the field of AI health technology, and they are overwhelmingly concentrated in the few high-income countries (Schwalbe &amp; Wahl, 2020). The copyright to the data, the intellectual property rights and the commercial interests involved in building AI are accordingly centralised. LMICs are often treated as deployment sites for AI systems developed elsewhere, rather than as co-creators of technologies designed around their own health needs. This reflects a broader pattern of technology transfer, in which products are first designed for high-resource settings and later adapted for LMICs, often with limited attention to local realities (McCoy et al., 2024). Similarly, major AI governance </w:t>
      </w:r>
      <w:r w:rsidRPr="00C15045">
        <w:rPr>
          <w:szCs w:val="24"/>
        </w:rPr>
        <w:lastRenderedPageBreak/>
        <w:t>frameworks, including the EU AI Act, the OECD AI Principles, and emerging AI regulatory approaches in the United States, have largely been shaped without meaningful participation from LMIC governments. As a result, they may not fully reflect the priorities, constraints, and health system contexts of LMICs.</w:t>
      </w:r>
    </w:p>
    <w:p w14:paraId="3A498D72" w14:textId="77777777" w:rsidR="002B7A3C" w:rsidRPr="00C15045" w:rsidRDefault="002B7A3C" w:rsidP="00C15045">
      <w:pPr>
        <w:spacing w:after="120" w:line="360" w:lineRule="auto"/>
        <w:rPr>
          <w:szCs w:val="24"/>
        </w:rPr>
      </w:pPr>
      <w:r w:rsidRPr="00C15045">
        <w:rPr>
          <w:szCs w:val="24"/>
        </w:rPr>
        <w:t>LMICs are often used as deployment sites for AI systems developed outside their countries, rather than as co-creators of technologies that meet their countries' health needs. This model is similar to the colonial tradition of technology transfer, in which products are first designed for one context and then modified for use in LMICs if they are used there (McCoy et al., 2024). Governance frameworks that drive AI development, such as the EU AI Act, OECD AI Principles, and proposed US AI regulations, are developed without meaningful engagement with LMIC governments and may not address LMIC priorities and contexts.</w:t>
      </w:r>
    </w:p>
    <w:p w14:paraId="32C42867" w14:textId="77777777" w:rsidR="002B7A3C" w:rsidRPr="00C15045" w:rsidRDefault="002B7A3C" w:rsidP="00C15045">
      <w:pPr>
        <w:spacing w:before="120" w:after="120" w:line="360" w:lineRule="auto"/>
        <w:rPr>
          <w:szCs w:val="24"/>
        </w:rPr>
      </w:pPr>
      <w:r w:rsidRPr="00C15045">
        <w:rPr>
          <w:b/>
          <w:szCs w:val="24"/>
        </w:rPr>
        <w:t>5.2 Donor Dependency and Sustainability</w:t>
      </w:r>
    </w:p>
    <w:p w14:paraId="2A4ED707" w14:textId="77777777" w:rsidR="002B7A3C" w:rsidRPr="00C15045" w:rsidRDefault="002B7A3C" w:rsidP="00C15045">
      <w:pPr>
        <w:spacing w:after="120" w:line="360" w:lineRule="auto"/>
        <w:rPr>
          <w:szCs w:val="24"/>
        </w:rPr>
      </w:pPr>
      <w:r w:rsidRPr="00C15045">
        <w:rPr>
          <w:szCs w:val="24"/>
        </w:rPr>
        <w:t>Investments in digital health in LMICs are often donor-driven. They may come from bilateral development assistance, multilateral health funds, philanthropic organisations, and international NGOs. These investments have supported important pilots and capacity-building programs. However, they also create sustainability risks when projects are not embedded in local systems and long-term financing plans. AI-enabled healthcare faces the same problem. Like other digital health systems, AI tools may be abandoned or poorly maintained after donor funding ends. This can lead to the loss of institutional knowledge, technical capacity, and data infrastructure built over time (Ilesanmi &amp; Afolabi, 2022; Kaboré et al., 2022).</w:t>
      </w:r>
    </w:p>
    <w:p w14:paraId="2D9BF8B1" w14:textId="77777777" w:rsidR="002B7A3C" w:rsidRPr="00C15045" w:rsidRDefault="002B7A3C" w:rsidP="00C15045">
      <w:pPr>
        <w:spacing w:line="360" w:lineRule="auto"/>
        <w:rPr>
          <w:szCs w:val="24"/>
        </w:rPr>
      </w:pPr>
    </w:p>
    <w:p w14:paraId="53A06D46" w14:textId="77777777" w:rsidR="002B7A3C" w:rsidRPr="00C15045" w:rsidRDefault="002B7A3C" w:rsidP="00C15045">
      <w:pPr>
        <w:spacing w:after="120" w:line="360" w:lineRule="auto"/>
        <w:rPr>
          <w:szCs w:val="24"/>
        </w:rPr>
      </w:pPr>
      <w:r w:rsidRPr="00C15045">
        <w:rPr>
          <w:szCs w:val="24"/>
        </w:rPr>
        <w:t>Donor funding for digital health is also more likely to be guided by donor priorities than by national health system priorities, further underscoring the vertical fragmentation of health information systems noted above (Olayiwola et al., 2026). Governance mechanisms created with donor support may be short-lived and lack authority because they are not embedded in government institutions.</w:t>
      </w:r>
    </w:p>
    <w:p w14:paraId="4C8D0180" w14:textId="77777777" w:rsidR="002B7A3C" w:rsidRPr="00C15045" w:rsidRDefault="002B7A3C" w:rsidP="00C15045">
      <w:pPr>
        <w:spacing w:before="120" w:after="120" w:line="360" w:lineRule="auto"/>
        <w:rPr>
          <w:szCs w:val="24"/>
        </w:rPr>
      </w:pPr>
      <w:r w:rsidRPr="00C15045">
        <w:rPr>
          <w:b/>
          <w:szCs w:val="24"/>
        </w:rPr>
        <w:t>5.3 Trust, Community Engagement, and Social License</w:t>
      </w:r>
    </w:p>
    <w:p w14:paraId="587F7AFE" w14:textId="77777777" w:rsidR="002B7A3C" w:rsidRPr="00C15045" w:rsidRDefault="002B7A3C" w:rsidP="00C15045">
      <w:pPr>
        <w:spacing w:after="120" w:line="360" w:lineRule="auto"/>
        <w:rPr>
          <w:szCs w:val="24"/>
        </w:rPr>
      </w:pPr>
      <w:r w:rsidRPr="00C15045">
        <w:rPr>
          <w:szCs w:val="24"/>
        </w:rPr>
        <w:t xml:space="preserve">Data governance is not only a technical or regulatory matter; it is also grounded in a social contract between those who collect, control, and use data and the communities from whom such data are obtained. Trust is therefore central to the acceptance of AI-enabled health systems by patients, communities, healthcare workers, and health institutions. In LMIC contexts, scepticism toward AI systems developed outside the communities they are intended </w:t>
      </w:r>
      <w:r w:rsidRPr="00C15045">
        <w:rPr>
          <w:szCs w:val="24"/>
        </w:rPr>
        <w:lastRenderedPageBreak/>
        <w:t>to serve is legitimate, particularly when the benefits do not return to those communities. This scepticism is rooted in past experiences where data were collected from communities without meaningful benefits, feedback, or improvements being shared with them (McCoy et al., 2024).</w:t>
      </w:r>
    </w:p>
    <w:p w14:paraId="2D9E46E7" w14:textId="77777777" w:rsidR="002B7A3C" w:rsidRPr="00C15045" w:rsidRDefault="002B7A3C" w:rsidP="00C15045">
      <w:pPr>
        <w:spacing w:after="120" w:line="360" w:lineRule="auto"/>
        <w:rPr>
          <w:szCs w:val="24"/>
        </w:rPr>
      </w:pPr>
      <w:r w:rsidRPr="00C15045">
        <w:rPr>
          <w:szCs w:val="24"/>
        </w:rPr>
        <w:t>Community involvement in the design, deployment, and oversight of AI health tools is crucial, both for ethical reasons and for effectiveness, because if community members do not trust the tools, they will not use them.</w:t>
      </w:r>
    </w:p>
    <w:p w14:paraId="2C12E396" w14:textId="77777777" w:rsidR="002B7A3C" w:rsidRPr="00C15045" w:rsidRDefault="002B7A3C" w:rsidP="00C15045">
      <w:pPr>
        <w:spacing w:before="120" w:after="120" w:line="360" w:lineRule="auto"/>
        <w:rPr>
          <w:szCs w:val="24"/>
        </w:rPr>
      </w:pPr>
      <w:r w:rsidRPr="00C15045">
        <w:rPr>
          <w:b/>
          <w:szCs w:val="24"/>
        </w:rPr>
        <w:t>6. A GOVERNANCE READINESS FRAMEWORK FOR AI-ENABLED HEALTHCARE</w:t>
      </w:r>
    </w:p>
    <w:p w14:paraId="6BB1B8E6" w14:textId="77777777" w:rsidR="002B7A3C" w:rsidRPr="00C15045" w:rsidRDefault="002B7A3C" w:rsidP="00C15045">
      <w:pPr>
        <w:spacing w:after="120" w:line="360" w:lineRule="auto"/>
        <w:rPr>
          <w:szCs w:val="24"/>
        </w:rPr>
      </w:pPr>
      <w:r w:rsidRPr="00C15045">
        <w:rPr>
          <w:szCs w:val="24"/>
        </w:rPr>
        <w:t>We propose a Governance Readiness Framework (GRF) for AI-enabled healthcare in low- and middle-income countries, building on the seven-domain analysis above and drawing on existing frameworks in digital health governance, regulatory science, and development (Greenhalgh et al., 2017).</w:t>
      </w:r>
    </w:p>
    <w:p w14:paraId="1C0F2D5E" w14:textId="77777777" w:rsidR="002B7A3C" w:rsidRPr="00C15045" w:rsidRDefault="002B7A3C" w:rsidP="00C15045">
      <w:pPr>
        <w:spacing w:after="120" w:line="360" w:lineRule="auto"/>
        <w:rPr>
          <w:szCs w:val="24"/>
        </w:rPr>
      </w:pPr>
      <w:r w:rsidRPr="00C15045">
        <w:rPr>
          <w:szCs w:val="24"/>
        </w:rPr>
        <w:t>The GRF is intended to help health ministries, development partners, and researchers assess governance capacity, identify gaps, and plan investments. It has six dimensions, each with specific indicators and a maturity scale that ranges from nascent (Level 1) to established (Level 4). Dimension 1: Regulatory Architecture: Indicators – National AI health strategy, AI/SaMD regulatory pathway, data protection legislation with health-specific provisions, enforcement authority and capacity, and post-market surveillance mechanisms. The maturity level is from no relevant legislation (L1) up to an enforcement-capable, AI-specific regulatory framework with active surveillance (L4).</w:t>
      </w:r>
    </w:p>
    <w:p w14:paraId="0D4C3283" w14:textId="77777777" w:rsidR="002B7A3C" w:rsidRPr="00C15045" w:rsidRDefault="002B7A3C" w:rsidP="00C15045">
      <w:pPr>
        <w:spacing w:after="120" w:line="360" w:lineRule="auto"/>
        <w:rPr>
          <w:szCs w:val="24"/>
        </w:rPr>
      </w:pPr>
      <w:r w:rsidRPr="00C15045">
        <w:rPr>
          <w:szCs w:val="24"/>
        </w:rPr>
        <w:t>Dimension 2: Data Infrastructure Quality: Indicators include EHR adoption rate, RHIS data completeness, a unique patient identifier system, data quality audit mechanisms, and longitudinal data availability. Systems vary from mainly paper-based with no unique identifiers (L1) to full electronic records with ongoing quality assurance (L4).</w:t>
      </w:r>
    </w:p>
    <w:p w14:paraId="3F3A8A61" w14:textId="77777777" w:rsidR="002B7A3C" w:rsidRPr="00C15045" w:rsidRDefault="002B7A3C" w:rsidP="00C15045">
      <w:pPr>
        <w:spacing w:after="120" w:line="360" w:lineRule="auto"/>
        <w:rPr>
          <w:szCs w:val="24"/>
        </w:rPr>
      </w:pPr>
      <w:r w:rsidRPr="00C15045">
        <w:rPr>
          <w:szCs w:val="24"/>
        </w:rPr>
        <w:t>Dimension 3: Interoperability Standards: Indicators – adoption of HL7 FHIR or equivalent, public-private data sharing frameworks, and multi-system integration capability. The level of maturity is between incompatible, siloed systems (L1) and a nationally standardised, interoperable digital health ecosystem (L4).</w:t>
      </w:r>
    </w:p>
    <w:p w14:paraId="43DB8D52" w14:textId="77777777" w:rsidR="002B7A3C" w:rsidRPr="00C15045" w:rsidRDefault="002B7A3C" w:rsidP="00C15045">
      <w:pPr>
        <w:spacing w:after="120" w:line="360" w:lineRule="auto"/>
        <w:rPr>
          <w:szCs w:val="24"/>
        </w:rPr>
      </w:pPr>
      <w:r w:rsidRPr="00C15045">
        <w:rPr>
          <w:szCs w:val="24"/>
        </w:rPr>
        <w:t xml:space="preserve">Dimension 4: Privacy and Ethics Governance: Indicators – ethical review capacity for AI, informed consent frameworks for data use, data sovereignty and localisation policy, security standards and audit requirements, and community engagement mechanisms. Maturity ranges </w:t>
      </w:r>
      <w:r w:rsidRPr="00C15045">
        <w:rPr>
          <w:szCs w:val="24"/>
        </w:rPr>
        <w:lastRenderedPageBreak/>
        <w:t>from no AI-specific ethics governance (L1) to institutionalised, community-anchored ethics infrastructure (L4).</w:t>
      </w:r>
    </w:p>
    <w:p w14:paraId="58C953B6" w14:textId="77777777" w:rsidR="002B7A3C" w:rsidRPr="00C15045" w:rsidRDefault="002B7A3C" w:rsidP="00C15045">
      <w:pPr>
        <w:spacing w:after="120" w:line="360" w:lineRule="auto"/>
        <w:rPr>
          <w:szCs w:val="24"/>
        </w:rPr>
      </w:pPr>
      <w:r w:rsidRPr="00C15045">
        <w:rPr>
          <w:szCs w:val="24"/>
        </w:rPr>
        <w:t>Dimension 5: Algorithmic Accountability: Indicators – bias assessment requirements, local performance validation requirements, explainability/transparency requirements, government audit rights, and redress mechanisms for affected individuals. Maturity can vary from no accountability mechanisms (L1) to pre-deployment and regular bias auditing and reporting (L4).</w:t>
      </w:r>
    </w:p>
    <w:p w14:paraId="3E9D4D8D" w14:textId="77777777" w:rsidR="002B7A3C" w:rsidRPr="00C15045" w:rsidRDefault="002B7A3C" w:rsidP="00C15045">
      <w:pPr>
        <w:spacing w:after="120" w:line="360" w:lineRule="auto"/>
        <w:rPr>
          <w:szCs w:val="24"/>
        </w:rPr>
      </w:pPr>
      <w:r w:rsidRPr="00C15045">
        <w:rPr>
          <w:szCs w:val="24"/>
        </w:rPr>
        <w:t>Dimension 6: Workforce and Institutional Capacity: Indicators measure the human and institutional capacity of the labour force responsible for digital health and AI governance. The maturity level ranges from no formal digital health training (L1) to national institutionalisation of digital health workforce development (L4).</w:t>
      </w:r>
    </w:p>
    <w:p w14:paraId="33B4EB4C" w14:textId="77777777" w:rsidR="002B7A3C" w:rsidRPr="00C15045" w:rsidRDefault="002B7A3C" w:rsidP="00C15045">
      <w:pPr>
        <w:spacing w:after="120" w:line="360" w:lineRule="auto"/>
        <w:rPr>
          <w:szCs w:val="24"/>
        </w:rPr>
      </w:pPr>
      <w:r w:rsidRPr="00C15045">
        <w:rPr>
          <w:szCs w:val="24"/>
        </w:rPr>
        <w:t>The GRF is designed as a "living document" to be customised for each country and updated as AI governance practices become increasingly global. It is not a blueprint for governance approaches, but rather a diagnostic of governance gaps, acknowledging that governance approaches should differ and be flexible across LMIC settings.</w:t>
      </w:r>
    </w:p>
    <w:p w14:paraId="3EB38A9E" w14:textId="77777777" w:rsidR="002B7A3C" w:rsidRPr="00C15045" w:rsidRDefault="002B7A3C" w:rsidP="00C15045">
      <w:pPr>
        <w:spacing w:before="120" w:after="120" w:line="360" w:lineRule="auto"/>
        <w:rPr>
          <w:szCs w:val="24"/>
        </w:rPr>
      </w:pPr>
      <w:r w:rsidRPr="00C15045">
        <w:rPr>
          <w:b/>
          <w:szCs w:val="24"/>
        </w:rPr>
        <w:t>7. DISCUSSION</w:t>
      </w:r>
    </w:p>
    <w:p w14:paraId="08D9983C" w14:textId="77777777" w:rsidR="002B7A3C" w:rsidRPr="00C15045" w:rsidRDefault="002B7A3C" w:rsidP="00C15045">
      <w:pPr>
        <w:spacing w:before="120" w:after="120" w:line="360" w:lineRule="auto"/>
        <w:rPr>
          <w:szCs w:val="24"/>
        </w:rPr>
      </w:pPr>
      <w:r w:rsidRPr="00C15045">
        <w:rPr>
          <w:b/>
          <w:szCs w:val="24"/>
        </w:rPr>
        <w:t>7.1 Synthesis of Findings</w:t>
      </w:r>
    </w:p>
    <w:p w14:paraId="1EB1D831" w14:textId="77777777" w:rsidR="002B7A3C" w:rsidRPr="00C15045" w:rsidRDefault="002B7A3C" w:rsidP="00C15045">
      <w:pPr>
        <w:spacing w:after="120" w:line="360" w:lineRule="auto"/>
        <w:rPr>
          <w:szCs w:val="24"/>
        </w:rPr>
      </w:pPr>
      <w:r w:rsidRPr="00C15045">
        <w:rPr>
          <w:szCs w:val="24"/>
        </w:rPr>
        <w:t>This review shows that governance issues, not technical ones, are the main hurdles to implementing AI in healthcare in LMICs. The seven challenge domains defined are tightly coupled and interconnected. The weak data governance norms are manifested and perpetuated by fragmented health information systems. Technically incompetent regulatory mechanisms are unable to enforce bias assessment and interoperability requirements. Insufficient digital literacy among health professionals hinders their ability to promote governance measures or to critically assess AI outputs.</w:t>
      </w:r>
    </w:p>
    <w:p w14:paraId="0AA00BBD" w14:textId="757A7F23" w:rsidR="002B7A3C" w:rsidRPr="00C15045" w:rsidRDefault="002B7A3C" w:rsidP="00C15045">
      <w:pPr>
        <w:spacing w:after="120" w:line="360" w:lineRule="auto"/>
        <w:rPr>
          <w:szCs w:val="24"/>
        </w:rPr>
      </w:pPr>
      <w:r w:rsidRPr="00C15045">
        <w:rPr>
          <w:szCs w:val="24"/>
        </w:rPr>
        <w:t>These connections show that isolated governance interventions are unlikely to succeed. A broader, system-wide approach that addresses several governance areas at once is more likely to be effective.Investments in data quality should go hand in hand with interoperability standards and regulations that clearly define data reporting requirements.</w:t>
      </w:r>
    </w:p>
    <w:p w14:paraId="38EF1AB7" w14:textId="77777777" w:rsidR="002B7A3C" w:rsidRPr="00C15045" w:rsidRDefault="002B7A3C" w:rsidP="00C15045">
      <w:pPr>
        <w:spacing w:after="120" w:line="360" w:lineRule="auto"/>
        <w:rPr>
          <w:szCs w:val="24"/>
        </w:rPr>
      </w:pPr>
      <w:r w:rsidRPr="00C15045">
        <w:rPr>
          <w:szCs w:val="24"/>
        </w:rPr>
        <w:t>Reducing algorithmic bias requires both technical and institutional measures. Technical measures include diverse training data and bias assessment tools, while institutional measures include mandatory pre-deployment evaluations and clear accountability mechanisms.</w:t>
      </w:r>
    </w:p>
    <w:p w14:paraId="47E0BC24" w14:textId="77777777" w:rsidR="002B7A3C" w:rsidRPr="00C15045" w:rsidRDefault="002B7A3C" w:rsidP="00C15045">
      <w:pPr>
        <w:spacing w:before="120" w:after="120" w:line="360" w:lineRule="auto"/>
        <w:rPr>
          <w:szCs w:val="24"/>
        </w:rPr>
      </w:pPr>
      <w:r w:rsidRPr="00C15045">
        <w:rPr>
          <w:b/>
          <w:szCs w:val="24"/>
        </w:rPr>
        <w:lastRenderedPageBreak/>
        <w:t>7.2 Implications for Policy</w:t>
      </w:r>
    </w:p>
    <w:p w14:paraId="139E8CDE" w14:textId="77777777" w:rsidR="002B7A3C" w:rsidRPr="00C15045" w:rsidRDefault="002B7A3C" w:rsidP="00C15045">
      <w:pPr>
        <w:spacing w:after="120" w:line="360" w:lineRule="auto"/>
        <w:rPr>
          <w:szCs w:val="24"/>
        </w:rPr>
      </w:pPr>
      <w:r w:rsidRPr="00C15045">
        <w:rPr>
          <w:szCs w:val="24"/>
        </w:rPr>
        <w:t>This analysis raises several policy questions. First, introducing AI governance provisions into national digital health strategies, rather than merely committing to digital transformation, is necessary and requires regulatory, technical, and institutional mechanisms to enable the responsible use of AI. The WHO Global Strategy on Digital Health 2020-2025 (World Health Organisation, 2021a) sets out a framework that needs to be elaborated further in the context of LMICs.</w:t>
      </w:r>
    </w:p>
    <w:p w14:paraId="448EE7AE" w14:textId="77777777" w:rsidR="002B7A3C" w:rsidRPr="00C15045" w:rsidRDefault="002B7A3C" w:rsidP="00C15045">
      <w:pPr>
        <w:spacing w:after="120" w:line="360" w:lineRule="auto"/>
        <w:rPr>
          <w:szCs w:val="24"/>
        </w:rPr>
      </w:pPr>
      <w:r w:rsidRPr="00C15045">
        <w:rPr>
          <w:szCs w:val="24"/>
        </w:rPr>
        <w:t>Second, international development partners and funders investing in digital health should align with national governance capacity-building priorities and not support stand-alone AI pilots that may be unsustainable or unreplicable. Multi-stakeholder coordination mechanisms, such as the Global Digital Health Partnership, can be used to coordinate efforts but need to be more inclusive and more active in LMICs.</w:t>
      </w:r>
    </w:p>
    <w:p w14:paraId="395ADF8B" w14:textId="77777777" w:rsidR="002B7A3C" w:rsidRPr="00C15045" w:rsidRDefault="002B7A3C" w:rsidP="00C15045">
      <w:pPr>
        <w:spacing w:after="120" w:line="360" w:lineRule="auto"/>
        <w:rPr>
          <w:szCs w:val="24"/>
        </w:rPr>
      </w:pPr>
      <w:r w:rsidRPr="00C15045">
        <w:rPr>
          <w:szCs w:val="24"/>
        </w:rPr>
        <w:t>Third, AI developers need to be accountable to governance when deploying in LMIC settings, regardless of whether they are commercial, academic, or NGO-driven. This could involve creating specific ethical guidelines, collaborative design processes, and agreements over data ownership, bias evaluation, and transparency.</w:t>
      </w:r>
    </w:p>
    <w:p w14:paraId="6E3EAF76" w14:textId="77777777" w:rsidR="002B7A3C" w:rsidRPr="00C15045" w:rsidRDefault="002B7A3C" w:rsidP="00C15045">
      <w:pPr>
        <w:spacing w:before="120" w:after="120" w:line="360" w:lineRule="auto"/>
        <w:rPr>
          <w:szCs w:val="24"/>
        </w:rPr>
      </w:pPr>
      <w:r w:rsidRPr="00C15045">
        <w:rPr>
          <w:b/>
          <w:szCs w:val="24"/>
        </w:rPr>
        <w:t>7.3 Limitations</w:t>
      </w:r>
    </w:p>
    <w:p w14:paraId="75DE2525" w14:textId="77777777" w:rsidR="002B7A3C" w:rsidRPr="00C15045" w:rsidRDefault="002B7A3C" w:rsidP="00C15045">
      <w:pPr>
        <w:spacing w:after="120" w:line="360" w:lineRule="auto"/>
        <w:rPr>
          <w:szCs w:val="24"/>
        </w:rPr>
      </w:pPr>
      <w:r w:rsidRPr="00C15045">
        <w:rPr>
          <w:szCs w:val="24"/>
        </w:rPr>
        <w:t>Several limitations of this review should be noted. AI governance-related literature in LMICs is rapidly evolving, and some publications may have been published since the date of the literature search. The structured narrative review methodology is suitable for this multidisciplinary review topic but does not allow a quantitative synthesis, as provided by narrative reviews or meta-analyses. This seven-domain taxonomy is based on the patterns identified in the literature reviewed and is not meant to be comprehensive. The proposed Governance Readiness Framework is a conceptual framework that has not been empirically tested and requires further research, including consultation with stakeholders across varied LMIC contexts.</w:t>
      </w:r>
    </w:p>
    <w:p w14:paraId="6643F034" w14:textId="77777777" w:rsidR="002B7A3C" w:rsidRPr="00C15045" w:rsidRDefault="002B7A3C" w:rsidP="00C15045">
      <w:pPr>
        <w:spacing w:before="120" w:after="120" w:line="360" w:lineRule="auto"/>
        <w:rPr>
          <w:szCs w:val="24"/>
        </w:rPr>
      </w:pPr>
      <w:r w:rsidRPr="00C15045">
        <w:rPr>
          <w:b/>
          <w:szCs w:val="24"/>
        </w:rPr>
        <w:t>7.4 Future Research Directions</w:t>
      </w:r>
    </w:p>
    <w:p w14:paraId="5762ED28" w14:textId="77777777" w:rsidR="002B7A3C" w:rsidRPr="00C15045" w:rsidRDefault="002B7A3C" w:rsidP="00C15045">
      <w:pPr>
        <w:spacing w:after="120" w:line="360" w:lineRule="auto"/>
        <w:rPr>
          <w:szCs w:val="24"/>
        </w:rPr>
      </w:pPr>
      <w:r w:rsidRPr="00C15045">
        <w:rPr>
          <w:szCs w:val="24"/>
        </w:rPr>
        <w:t xml:space="preserve">Future research priorities include: longitudinal studies of the implementation of the governance framework in selected LMIC contexts; development and validation of standardised governance framework readiness assessment instruments; comparative analysis of regulatory approaches across LMIC regions; community-based research on governance and building social license for AI health tools; and economic analysis of the cost and return of </w:t>
      </w:r>
      <w:r w:rsidRPr="00C15045">
        <w:rPr>
          <w:szCs w:val="24"/>
        </w:rPr>
        <w:lastRenderedPageBreak/>
        <w:t>investing in governance capacity. Research focusing on AI governance and gender equity, disability inclusion and minority languages in LMIC is especially desirable.</w:t>
      </w:r>
    </w:p>
    <w:p w14:paraId="3D44DC8B" w14:textId="77777777" w:rsidR="00225F55" w:rsidRPr="00C46FB3" w:rsidRDefault="00225F55" w:rsidP="00225F55">
      <w:pPr>
        <w:spacing w:before="100" w:beforeAutospacing="1" w:after="100" w:afterAutospacing="1" w:line="240" w:lineRule="auto"/>
        <w:rPr>
          <w:rFonts w:cs="Times New Roman"/>
          <w:szCs w:val="24"/>
        </w:rPr>
      </w:pPr>
      <w:r w:rsidRPr="00C46FB3">
        <w:rPr>
          <w:rFonts w:cs="Times New Roman"/>
          <w:b/>
          <w:bCs/>
          <w:szCs w:val="24"/>
        </w:rPr>
        <w:t>Conclusion</w:t>
      </w:r>
    </w:p>
    <w:p w14:paraId="15CD8DC0" w14:textId="77777777" w:rsidR="00225F55" w:rsidRPr="00C46FB3" w:rsidRDefault="00225F55" w:rsidP="00225F55">
      <w:pPr>
        <w:spacing w:before="100" w:beforeAutospacing="1" w:after="100" w:afterAutospacing="1" w:line="240" w:lineRule="auto"/>
        <w:rPr>
          <w:rFonts w:cs="Times New Roman"/>
          <w:szCs w:val="24"/>
        </w:rPr>
      </w:pPr>
      <w:r w:rsidRPr="00C46FB3">
        <w:rPr>
          <w:rFonts w:cs="Times New Roman"/>
          <w:szCs w:val="24"/>
        </w:rPr>
        <w:t>Artificial intelligence may contribute to improved healthcare delivery in low- and middle-income countries, but its benefits depend on the strength and suitability of the surrounding data governance environment. This review identified seven interrelated governance challenges that affect the responsible use of artificial intelligence in healthcare: fragmented regulation, poor data quality, limited interoperability, weak data protection, algorithmic bias, infrastructural constraints, and limited digital and institutional capacity. These challenges are not isolated. Weak regulatory systems can reduce accountability, fragmented health information systems can undermine data quality, and limited workforce capacity can restrict effective oversight and appropriate use of artificial intelligence tools.</w:t>
      </w:r>
    </w:p>
    <w:p w14:paraId="09C3BCA5" w14:textId="77777777" w:rsidR="00225F55" w:rsidRPr="00C46FB3" w:rsidRDefault="00225F55" w:rsidP="00225F55">
      <w:pPr>
        <w:spacing w:before="100" w:beforeAutospacing="1" w:after="100" w:afterAutospacing="1" w:line="240" w:lineRule="auto"/>
        <w:rPr>
          <w:rFonts w:cs="Times New Roman"/>
          <w:szCs w:val="24"/>
        </w:rPr>
      </w:pPr>
      <w:r w:rsidRPr="00C46FB3">
        <w:rPr>
          <w:rFonts w:cs="Times New Roman"/>
          <w:szCs w:val="24"/>
        </w:rPr>
        <w:t>The Governance Readiness Framework proposed in this review provides a structured approach for identifying gaps and planning policy action across regulatory, technical, ethical, institutional, and workforce domains. It is intended to support context-sensitive assessment rather than impose a single model across different health systems. Responsible implementation of artificial intelligence in healthcare requires more than the introduction of new technologies. It requires investment in governance capacity, transparent standards, ethical oversight, local validation, community engagement, and sustainable institutional support. Strengthening these areas is essential if artificial intelligence is to be used safely, fairly, and effectively in healthcare systems with limited resources.</w:t>
      </w:r>
    </w:p>
    <w:p w14:paraId="3528BAC4" w14:textId="77777777" w:rsidR="00225F55" w:rsidRPr="00C46FB3" w:rsidRDefault="00225F55" w:rsidP="00225F55">
      <w:pPr>
        <w:spacing w:before="100" w:beforeAutospacing="1" w:after="100" w:afterAutospacing="1" w:line="240" w:lineRule="auto"/>
        <w:rPr>
          <w:rFonts w:cs="Times New Roman"/>
          <w:szCs w:val="24"/>
        </w:rPr>
      </w:pPr>
      <w:r w:rsidRPr="00C46FB3">
        <w:rPr>
          <w:rFonts w:cs="Times New Roman"/>
          <w:b/>
          <w:bCs/>
          <w:szCs w:val="24"/>
        </w:rPr>
        <w:t>Limitations</w:t>
      </w:r>
    </w:p>
    <w:p w14:paraId="7691CD36" w14:textId="77777777" w:rsidR="00225F55" w:rsidRPr="00C46FB3" w:rsidRDefault="00225F55" w:rsidP="00225F55">
      <w:pPr>
        <w:spacing w:before="100" w:beforeAutospacing="1" w:after="100" w:afterAutospacing="1" w:line="240" w:lineRule="auto"/>
        <w:rPr>
          <w:rFonts w:cs="Times New Roman"/>
          <w:szCs w:val="24"/>
        </w:rPr>
      </w:pPr>
      <w:r w:rsidRPr="00C46FB3">
        <w:rPr>
          <w:rFonts w:cs="Times New Roman"/>
          <w:szCs w:val="24"/>
        </w:rPr>
        <w:t>This review has several limitations. First, the narrative review design allowed broad synthesis across multiple disciplines but did not provide the level of reproducibility expected from a systematic review or meta-analysis. Second, the available literature on artificial intelligence governance in low- and middle-income countries is evolving rapidly, and some relevant publications may not have been included. Third, the seven-domain taxonomy was developed from themes identified in the reviewed literature and should not be regarded as exhaustive. Fourth, the proposed Governance Readiness Framework is conceptual and has not yet been empirically tested in specific country settings. Its indicators and maturity levels require validation through consultation with policymakers, healthcare workers, regulators, researchers, patients, and community representatives. Finally, the review addresses low- and middle-income countries as a broad category, although governance capacity, infrastructure, legal systems, and health system priorities differ substantially across countries and regions.</w:t>
      </w:r>
    </w:p>
    <w:p w14:paraId="527A92EB" w14:textId="77777777" w:rsidR="00225F55" w:rsidRDefault="00225F55" w:rsidP="00225F55"/>
    <w:p w14:paraId="294D7AA9" w14:textId="77777777" w:rsidR="002B7A3C" w:rsidRPr="00C15045" w:rsidRDefault="002B7A3C" w:rsidP="00C15045">
      <w:pPr>
        <w:spacing w:line="360" w:lineRule="auto"/>
        <w:rPr>
          <w:szCs w:val="24"/>
        </w:rPr>
      </w:pPr>
    </w:p>
    <w:p w14:paraId="7391977F" w14:textId="77777777" w:rsidR="00225F55" w:rsidRPr="000839CE" w:rsidRDefault="00225F55" w:rsidP="00225F55">
      <w:pPr>
        <w:spacing w:after="0" w:line="240" w:lineRule="auto"/>
        <w:rPr>
          <w:rFonts w:cs="Times New Roman"/>
          <w:b/>
        </w:rPr>
      </w:pPr>
      <w:r w:rsidRPr="000839CE">
        <w:rPr>
          <w:rFonts w:cs="Times New Roman"/>
          <w:b/>
        </w:rPr>
        <w:t>Declaration of AI Use</w:t>
      </w:r>
    </w:p>
    <w:p w14:paraId="336DD21B" w14:textId="77777777" w:rsidR="00225F55" w:rsidRPr="000839CE" w:rsidRDefault="00225F55" w:rsidP="00225F55">
      <w:pPr>
        <w:spacing w:after="0" w:line="240" w:lineRule="auto"/>
        <w:rPr>
          <w:rFonts w:cs="Times New Roman"/>
        </w:rPr>
      </w:pPr>
    </w:p>
    <w:p w14:paraId="1722301A" w14:textId="77777777" w:rsidR="00225F55" w:rsidRPr="000839CE" w:rsidRDefault="00225F55" w:rsidP="00225F55">
      <w:pPr>
        <w:spacing w:after="0" w:line="240" w:lineRule="auto"/>
        <w:jc w:val="both"/>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sidRPr="00C56790">
        <w:rPr>
          <w:rFonts w:cs="Times New Roman"/>
        </w:rPr>
        <w:lastRenderedPageBreak/>
        <w:t>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7AAB7CD" w14:textId="7B59FCF9" w:rsidR="002B7A3C" w:rsidRPr="00C15045" w:rsidRDefault="002B7A3C" w:rsidP="00C15045">
      <w:pPr>
        <w:spacing w:line="360" w:lineRule="auto"/>
        <w:rPr>
          <w:szCs w:val="24"/>
        </w:rPr>
      </w:pPr>
    </w:p>
    <w:p w14:paraId="4216E486" w14:textId="77777777" w:rsidR="002B7A3C" w:rsidRPr="00C15045" w:rsidRDefault="002B7A3C" w:rsidP="00C15045">
      <w:pPr>
        <w:pStyle w:val="Heading1"/>
        <w:spacing w:before="120" w:after="120" w:line="360" w:lineRule="auto"/>
      </w:pPr>
      <w:r w:rsidRPr="00C15045">
        <w:t>REFERENCES</w:t>
      </w:r>
    </w:p>
    <w:p w14:paraId="0349B1F7"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African Union. (2022). </w:t>
      </w:r>
      <w:r w:rsidRPr="00C15045">
        <w:rPr>
          <w:rFonts w:cs="Times New Roman"/>
          <w:i/>
          <w:iCs/>
          <w:szCs w:val="24"/>
        </w:rPr>
        <w:t>Data policy framework for Africa.</w:t>
      </w:r>
      <w:r w:rsidRPr="00C15045">
        <w:rPr>
          <w:rFonts w:cs="Times New Roman"/>
          <w:szCs w:val="24"/>
        </w:rPr>
        <w:t xml:space="preserve"> African Union Commission, Addis Ababa.</w:t>
      </w:r>
    </w:p>
    <w:p w14:paraId="3D3CF692"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Akhlaq, A., McKinstry, B., Muhammad, K.B., &amp; Sheikh, A. (2016). Barriers and facilitators to health information exchange in low- and middle-income country settings: a systematic review. </w:t>
      </w:r>
      <w:r w:rsidRPr="00C15045">
        <w:rPr>
          <w:rFonts w:cs="Times New Roman"/>
          <w:i/>
          <w:iCs/>
          <w:szCs w:val="24"/>
        </w:rPr>
        <w:t>Health Policy and Planning, 31</w:t>
      </w:r>
      <w:r w:rsidRPr="00C15045">
        <w:rPr>
          <w:rFonts w:cs="Times New Roman"/>
          <w:szCs w:val="24"/>
        </w:rPr>
        <w:t>(9), 1310–1325. https://doi.org/10.1093/heapol/czw056</w:t>
      </w:r>
    </w:p>
    <w:p w14:paraId="66CC0E77"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Alami, H., Rivard, L., Lehoux, P., Hoffman, S.J., Cadeddu, S.B.M., Savoldelli, M., et al. (2020). Artificial intelligence in health care: laying the foundation for responsible, sustainable, and inclusive innovation in low- and middle-income countries. </w:t>
      </w:r>
      <w:r w:rsidRPr="00C15045">
        <w:rPr>
          <w:rFonts w:cs="Times New Roman"/>
          <w:i/>
          <w:iCs/>
          <w:szCs w:val="24"/>
        </w:rPr>
        <w:t>Globalization and Health, 16</w:t>
      </w:r>
      <w:r w:rsidRPr="00C15045">
        <w:rPr>
          <w:rFonts w:cs="Times New Roman"/>
          <w:szCs w:val="24"/>
        </w:rPr>
        <w:t>(1), 52. https://doi.org/10.1186/s12992-020-00584-1</w:t>
      </w:r>
    </w:p>
    <w:p w14:paraId="3D53CA64"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Bostan, S., Johnson, O.A., Jaspersen, L.J., &amp; Randell, R. (2024). Contextual barriers to implementing open-source electronic health record systems for low- and lower-middle-income countries: Scoping review. </w:t>
      </w:r>
      <w:r w:rsidRPr="00C15045">
        <w:rPr>
          <w:rFonts w:cs="Times New Roman"/>
          <w:i/>
          <w:iCs/>
          <w:szCs w:val="24"/>
        </w:rPr>
        <w:t>Journal of Medical Internet Research, 26</w:t>
      </w:r>
      <w:r w:rsidRPr="00C15045">
        <w:rPr>
          <w:rFonts w:cs="Times New Roman"/>
          <w:szCs w:val="24"/>
        </w:rPr>
        <w:t>, e45242. https://doi.org/10.2196/45242</w:t>
      </w:r>
    </w:p>
    <w:p w14:paraId="52882C07"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Braun, V., &amp; Clarke, V. (2006). Using thematic analysis in psychology. </w:t>
      </w:r>
      <w:r w:rsidRPr="00C15045">
        <w:rPr>
          <w:rFonts w:cs="Times New Roman"/>
          <w:i/>
          <w:iCs/>
          <w:szCs w:val="24"/>
        </w:rPr>
        <w:t>Qualitative Research in Psychology, 3</w:t>
      </w:r>
      <w:r w:rsidRPr="00C15045">
        <w:rPr>
          <w:rFonts w:cs="Times New Roman"/>
          <w:szCs w:val="24"/>
        </w:rPr>
        <w:t>(2), 77–101. https://doi.org/10.1191/1478088706qp063oa</w:t>
      </w:r>
    </w:p>
    <w:p w14:paraId="4D0DF03E"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Daneshjou, R., Vodrahalli, K., Novoa, R.A., et al. (2022). Disparities in dermatology AI performance on a diverse, curated clinical image set. </w:t>
      </w:r>
      <w:r w:rsidRPr="00C15045">
        <w:rPr>
          <w:rFonts w:cs="Times New Roman"/>
          <w:i/>
          <w:iCs/>
          <w:szCs w:val="24"/>
        </w:rPr>
        <w:t>Science Advances, 8</w:t>
      </w:r>
      <w:r w:rsidRPr="00C15045">
        <w:rPr>
          <w:rFonts w:cs="Times New Roman"/>
          <w:szCs w:val="24"/>
        </w:rPr>
        <w:t>(32), eabq6147. https://doi.org/10.1126/sciadv.abq6147</w:t>
      </w:r>
    </w:p>
    <w:p w14:paraId="2AC6635A"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GBD 2019 Diseases and Injuries Collaborators. (2020). Global burden of 369 diseases and injuries in 204 countries and territories, 1990–2019. </w:t>
      </w:r>
      <w:r w:rsidRPr="00C15045">
        <w:rPr>
          <w:rFonts w:cs="Times New Roman"/>
          <w:i/>
          <w:iCs/>
          <w:szCs w:val="24"/>
        </w:rPr>
        <w:t>The Lancet, 396</w:t>
      </w:r>
      <w:r w:rsidRPr="00C15045">
        <w:rPr>
          <w:rFonts w:cs="Times New Roman"/>
          <w:szCs w:val="24"/>
        </w:rPr>
        <w:t>(10258), 1204–1222. https://doi.org/10.1016/S0140-6736(20)30925-9</w:t>
      </w:r>
    </w:p>
    <w:p w14:paraId="17DE2B98"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Greenhalgh, T., Wherton, J., Papoutsi, C., Lynch, J., Hughes, G., A’Court, C., et al. (2017). Beyond adoption: A new framework for theorizing and evaluating nonadoption, abandonment, and challenges to the scale-up, spread, and sustainability of health and care technologies. </w:t>
      </w:r>
      <w:r w:rsidRPr="00C15045">
        <w:rPr>
          <w:rFonts w:cs="Times New Roman"/>
          <w:i/>
          <w:iCs/>
          <w:szCs w:val="24"/>
        </w:rPr>
        <w:t>Journal of Medical Internet Research, 19</w:t>
      </w:r>
      <w:r w:rsidRPr="00C15045">
        <w:rPr>
          <w:rFonts w:cs="Times New Roman"/>
          <w:szCs w:val="24"/>
        </w:rPr>
        <w:t>(11), e367. https://doi.org/10.2196/jmir.8775</w:t>
      </w:r>
    </w:p>
    <w:p w14:paraId="413B2D07" w14:textId="77777777" w:rsidR="002B7A3C" w:rsidRPr="00C15045" w:rsidRDefault="002B7A3C" w:rsidP="00C15045">
      <w:pPr>
        <w:spacing w:after="60" w:line="360" w:lineRule="auto"/>
        <w:ind w:left="720" w:hanging="720"/>
        <w:jc w:val="both"/>
        <w:rPr>
          <w:szCs w:val="24"/>
        </w:rPr>
      </w:pPr>
      <w:r w:rsidRPr="00C15045">
        <w:rPr>
          <w:rFonts w:cs="Times New Roman"/>
          <w:szCs w:val="24"/>
        </w:rPr>
        <w:lastRenderedPageBreak/>
        <w:t xml:space="preserve">Gulshan, V., Peng, L., Coram, M., et al. (2016). Development and validation of a deep learning algorithm for detection of diabetic retinopathy in retinal fundus photographs. </w:t>
      </w:r>
      <w:r w:rsidRPr="00C15045">
        <w:rPr>
          <w:rFonts w:cs="Times New Roman"/>
          <w:i/>
          <w:iCs/>
          <w:szCs w:val="24"/>
        </w:rPr>
        <w:t>JAMA, 316</w:t>
      </w:r>
      <w:r w:rsidRPr="00C15045">
        <w:rPr>
          <w:rFonts w:cs="Times New Roman"/>
          <w:szCs w:val="24"/>
        </w:rPr>
        <w:t>(22), 2402–2410. https://doi.org/10.1001/jama.2016.17216</w:t>
      </w:r>
    </w:p>
    <w:p w14:paraId="163B31F9"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Ilesanmi, O.S., &amp; Afolabi, A.A. (2022). Sustainability of donor-funded health-related programs beyond the funding lifecycle in Africa: A systematic review. </w:t>
      </w:r>
      <w:r w:rsidRPr="00C15045">
        <w:rPr>
          <w:rFonts w:cs="Times New Roman"/>
          <w:i/>
          <w:iCs/>
          <w:szCs w:val="24"/>
        </w:rPr>
        <w:t>Cureus, 14</w:t>
      </w:r>
      <w:r w:rsidRPr="00C15045">
        <w:rPr>
          <w:rFonts w:cs="Times New Roman"/>
          <w:szCs w:val="24"/>
        </w:rPr>
        <w:t>(4), e24643. https://doi.org/10.7759/cureus.24643</w:t>
      </w:r>
    </w:p>
    <w:p w14:paraId="77F8DB6B"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International Energy Agency. (2024). </w:t>
      </w:r>
      <w:r w:rsidRPr="00C15045">
        <w:rPr>
          <w:rFonts w:cs="Times New Roman"/>
          <w:i/>
          <w:iCs/>
          <w:szCs w:val="24"/>
        </w:rPr>
        <w:t>SDG7: Data and projections – Access to electricity.</w:t>
      </w:r>
      <w:r w:rsidRPr="00C15045">
        <w:rPr>
          <w:rFonts w:cs="Times New Roman"/>
          <w:szCs w:val="24"/>
        </w:rPr>
        <w:t xml:space="preserve"> IEA, Paris.</w:t>
      </w:r>
    </w:p>
    <w:p w14:paraId="2106A065"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International Telecommunication Union. (2023). </w:t>
      </w:r>
      <w:r w:rsidRPr="00C15045">
        <w:rPr>
          <w:rFonts w:cs="Times New Roman"/>
          <w:i/>
          <w:iCs/>
          <w:szCs w:val="24"/>
        </w:rPr>
        <w:t>Measuring digital development: Facts and figures 2023.</w:t>
      </w:r>
      <w:r w:rsidRPr="00C15045">
        <w:rPr>
          <w:rFonts w:cs="Times New Roman"/>
          <w:szCs w:val="24"/>
        </w:rPr>
        <w:t xml:space="preserve"> ITU, Geneva.</w:t>
      </w:r>
    </w:p>
    <w:p w14:paraId="1643F45F"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Kaboré, S.S., Ngangue, P., Soubeiga, D., Barro, A., Pilabré, A.H., Bationo, N., et al. (2022). Barriers and facilitators for the sustainability of digital health interventions in low and middle-income countries: A systematic review. </w:t>
      </w:r>
      <w:r w:rsidRPr="00C15045">
        <w:rPr>
          <w:rFonts w:cs="Times New Roman"/>
          <w:i/>
          <w:iCs/>
          <w:szCs w:val="24"/>
        </w:rPr>
        <w:t>Frontiers in Digital Health, 4</w:t>
      </w:r>
      <w:r w:rsidRPr="00C15045">
        <w:rPr>
          <w:rFonts w:cs="Times New Roman"/>
          <w:szCs w:val="24"/>
        </w:rPr>
        <w:t>, 1014375. https://doi.org/10.3389/fdgth.2022.1014375</w:t>
      </w:r>
    </w:p>
    <w:p w14:paraId="4802A466"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Kaushik, A., Barcellona, C., Mandyam, N.K., Tan, S.Y., &amp; Tromp, J. (2025). Challenges and opportunities for data sharing related to artificial intelligence tools in health care in low- and middle-income countries: Systematic review and case study from Thailand. </w:t>
      </w:r>
      <w:r w:rsidRPr="00C15045">
        <w:rPr>
          <w:rFonts w:cs="Times New Roman"/>
          <w:i/>
          <w:iCs/>
          <w:szCs w:val="24"/>
        </w:rPr>
        <w:t>Journal of Medical Internet Research, 27</w:t>
      </w:r>
      <w:r w:rsidRPr="00C15045">
        <w:rPr>
          <w:rFonts w:cs="Times New Roman"/>
          <w:szCs w:val="24"/>
        </w:rPr>
        <w:t>, e58338. https://doi.org/10.2196/58338</w:t>
      </w:r>
    </w:p>
    <w:p w14:paraId="2869A643"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Kumar, M., &amp; Mostafa, J. (2019). Research evidence on strategies enabling integration of electronic health records in the health care systems of low- and middle-income countries: A literature review. </w:t>
      </w:r>
      <w:r w:rsidRPr="00C15045">
        <w:rPr>
          <w:rFonts w:cs="Times New Roman"/>
          <w:i/>
          <w:iCs/>
          <w:szCs w:val="24"/>
        </w:rPr>
        <w:t>International Journal of Health Planning and Management, 34</w:t>
      </w:r>
      <w:r w:rsidRPr="00C15045">
        <w:rPr>
          <w:rFonts w:cs="Times New Roman"/>
          <w:szCs w:val="24"/>
        </w:rPr>
        <w:t>(2), e1016–e1025. https://doi.org/10.1002/hpm.2754</w:t>
      </w:r>
    </w:p>
    <w:p w14:paraId="781C1D92"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McCoy, D., Kapilashrami, A., Kumar, R., Rhule, E., &amp; Khosla, R. (2024). Developing an agenda for the decolonization of global health. </w:t>
      </w:r>
      <w:r w:rsidRPr="00C15045">
        <w:rPr>
          <w:rFonts w:cs="Times New Roman"/>
          <w:i/>
          <w:iCs/>
          <w:szCs w:val="24"/>
        </w:rPr>
        <w:t>Bulletin of the World Health Organization, 102</w:t>
      </w:r>
      <w:r w:rsidRPr="00C15045">
        <w:rPr>
          <w:rFonts w:cs="Times New Roman"/>
          <w:szCs w:val="24"/>
        </w:rPr>
        <w:t>(2), 130–136. https://doi.org/10.2471/BLT.23.289949</w:t>
      </w:r>
    </w:p>
    <w:p w14:paraId="69A763F2"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Muehlematter, U.J., Daniore, P., &amp; Vokinger, K.N. (2021). Approval of artificial intelligence and machine learning-based medical devices in the USA and Europe (2015–20): a comparative analysis. </w:t>
      </w:r>
      <w:r w:rsidRPr="00C15045">
        <w:rPr>
          <w:rFonts w:cs="Times New Roman"/>
          <w:i/>
          <w:iCs/>
          <w:szCs w:val="24"/>
        </w:rPr>
        <w:t>Lancet Digital Health, 3</w:t>
      </w:r>
      <w:r w:rsidRPr="00C15045">
        <w:rPr>
          <w:rFonts w:cs="Times New Roman"/>
          <w:szCs w:val="24"/>
        </w:rPr>
        <w:t>(3), e195–e203. https://doi.org/10.1016/S2589-7500(20)30292-2</w:t>
      </w:r>
    </w:p>
    <w:p w14:paraId="55B22922"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Obermeyer, Z., &amp; Emanuel, E.J. (2016). Predicting the future — big data, machine learning, and clinical medicine. </w:t>
      </w:r>
      <w:r w:rsidRPr="00C15045">
        <w:rPr>
          <w:rFonts w:cs="Times New Roman"/>
          <w:i/>
          <w:iCs/>
          <w:szCs w:val="24"/>
        </w:rPr>
        <w:t>New England Journal of Medicine, 375</w:t>
      </w:r>
      <w:r w:rsidRPr="00C15045">
        <w:rPr>
          <w:rFonts w:cs="Times New Roman"/>
          <w:szCs w:val="24"/>
        </w:rPr>
        <w:t>(13), 1216–1219. https://doi.org/10.1056/NEJMp1606181</w:t>
      </w:r>
    </w:p>
    <w:p w14:paraId="2EE0DE9C" w14:textId="77777777" w:rsidR="002B7A3C" w:rsidRPr="00C15045" w:rsidRDefault="002B7A3C" w:rsidP="00C15045">
      <w:pPr>
        <w:spacing w:after="60" w:line="360" w:lineRule="auto"/>
        <w:ind w:left="720" w:hanging="720"/>
        <w:jc w:val="both"/>
        <w:rPr>
          <w:szCs w:val="24"/>
        </w:rPr>
      </w:pPr>
      <w:r w:rsidRPr="00C15045">
        <w:rPr>
          <w:rFonts w:cs="Times New Roman"/>
          <w:szCs w:val="24"/>
        </w:rPr>
        <w:lastRenderedPageBreak/>
        <w:t xml:space="preserve">Obermeyer, Z., Powers, B., Vogeli, C., &amp; Mullainathan, S. (2019). Dissecting racial bias in an algorithm used to manage the health of populations. </w:t>
      </w:r>
      <w:r w:rsidRPr="00C15045">
        <w:rPr>
          <w:rFonts w:cs="Times New Roman"/>
          <w:i/>
          <w:iCs/>
          <w:szCs w:val="24"/>
        </w:rPr>
        <w:t>Science, 366</w:t>
      </w:r>
      <w:r w:rsidRPr="00C15045">
        <w:rPr>
          <w:rFonts w:cs="Times New Roman"/>
          <w:szCs w:val="24"/>
        </w:rPr>
        <w:t>(6464), 447–453. https://doi.org/10.1126/science.aax2342</w:t>
      </w:r>
    </w:p>
    <w:p w14:paraId="03C8D7AC"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Olayiwola, Q.B., Sanusi, O.M., Amoo, G.S., Agboola, O.J., Adeyemi, J.A., Suleiman, H.A., Ibrahim, M.A., &amp; Hassan, T.A. (2026). Barriers to digital health implementation in low- and middle-income countries: a narrative review. </w:t>
      </w:r>
      <w:r w:rsidRPr="00C15045">
        <w:rPr>
          <w:rFonts w:cs="Times New Roman"/>
          <w:i/>
          <w:iCs/>
          <w:szCs w:val="24"/>
        </w:rPr>
        <w:t>Discover Public Health, 23</w:t>
      </w:r>
      <w:r w:rsidRPr="00C15045">
        <w:rPr>
          <w:rFonts w:cs="Times New Roman"/>
          <w:szCs w:val="24"/>
        </w:rPr>
        <w:t>, 499. https://doi.org/10.1186/s12982-026-01875-5</w:t>
      </w:r>
    </w:p>
    <w:p w14:paraId="4B06A286"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Rajpurkar, P., Irvin, J., Ball, R.L., Zhu, K., Yang, B., Mehta, H., et al. (2018). Deep learning for chest radiograph diagnosis: A retrospective comparison of the CheXNeXt algorithm to practicing radiologists. </w:t>
      </w:r>
      <w:r w:rsidRPr="00C15045">
        <w:rPr>
          <w:rFonts w:cs="Times New Roman"/>
          <w:i/>
          <w:iCs/>
          <w:szCs w:val="24"/>
        </w:rPr>
        <w:t>PLOS Medicine, 15</w:t>
      </w:r>
      <w:r w:rsidRPr="00C15045">
        <w:rPr>
          <w:rFonts w:cs="Times New Roman"/>
          <w:szCs w:val="24"/>
        </w:rPr>
        <w:t>(11), e1002686. https://doi.org/10.1371/journal.pmed.1002686</w:t>
      </w:r>
    </w:p>
    <w:p w14:paraId="5895BBA1"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Schwalbe, N., &amp; Wahl, B. (2020). Artificial intelligence and the future of global health. </w:t>
      </w:r>
      <w:r w:rsidRPr="00C15045">
        <w:rPr>
          <w:rFonts w:cs="Times New Roman"/>
          <w:i/>
          <w:iCs/>
          <w:szCs w:val="24"/>
        </w:rPr>
        <w:t>Lancet, 395</w:t>
      </w:r>
      <w:r w:rsidRPr="00C15045">
        <w:rPr>
          <w:rFonts w:cs="Times New Roman"/>
          <w:szCs w:val="24"/>
        </w:rPr>
        <w:t>(10236), 1579–1586. https://doi.org/10.1016/S0140-6736(20)30226-9</w:t>
      </w:r>
    </w:p>
    <w:p w14:paraId="034BFE3C"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Shahid, A., Nisha, F.N.U., Azhar, Z., Rauf, T., Ishaq, E.E., Kansal, G., Oduoye, M.O., Adeniji, O.W., &amp; Conteh, J. (2026). Navigating ethical, regulatory, and implementation barriers to AI in healthcare: pathways toward inclusive digital health in low-resource settings—a scoping review. </w:t>
      </w:r>
      <w:r w:rsidRPr="00C15045">
        <w:rPr>
          <w:rFonts w:cs="Times New Roman"/>
          <w:i/>
          <w:iCs/>
          <w:szCs w:val="24"/>
        </w:rPr>
        <w:t>Frontiers in Digital Health, 8</w:t>
      </w:r>
      <w:r w:rsidRPr="00C15045">
        <w:rPr>
          <w:rFonts w:cs="Times New Roman"/>
          <w:szCs w:val="24"/>
        </w:rPr>
        <w:t>, 1763884. https://doi.org/10.3389/fdgth.2026.1763884</w:t>
      </w:r>
    </w:p>
    <w:p w14:paraId="1565091C"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Tiffin, N., George, A., &amp; LeFevre, A.E. (2019). How to use relevant data for maximal benefit with minimal risk: digital health data governance to protect vulnerable populations in low-income and middle-income countries. </w:t>
      </w:r>
      <w:r w:rsidRPr="00C15045">
        <w:rPr>
          <w:rFonts w:cs="Times New Roman"/>
          <w:i/>
          <w:iCs/>
          <w:szCs w:val="24"/>
        </w:rPr>
        <w:t>BMJ Global Health, 4</w:t>
      </w:r>
      <w:r w:rsidRPr="00C15045">
        <w:rPr>
          <w:rFonts w:cs="Times New Roman"/>
          <w:szCs w:val="24"/>
        </w:rPr>
        <w:t>(2), e001395. https://doi.org/10.1136/bmjgh-2019-001395</w:t>
      </w:r>
    </w:p>
    <w:p w14:paraId="601B2B53"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Topol, E.J. (2019). High-performance medicine: the convergence of human and artificial intelligence. </w:t>
      </w:r>
      <w:r w:rsidRPr="00C15045">
        <w:rPr>
          <w:rFonts w:cs="Times New Roman"/>
          <w:i/>
          <w:iCs/>
          <w:szCs w:val="24"/>
        </w:rPr>
        <w:t>Nature Medicine, 25</w:t>
      </w:r>
      <w:r w:rsidRPr="00C15045">
        <w:rPr>
          <w:rFonts w:cs="Times New Roman"/>
          <w:szCs w:val="24"/>
        </w:rPr>
        <w:t>(1), 44–56. https://doi.org/10.1038/s41591-018-0300-7</w:t>
      </w:r>
    </w:p>
    <w:p w14:paraId="0D59E9D2"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Torab-Miandoab, A., Samad-Soltani, T., Jodati, A., &amp; Rezaei-Hachesu, P. (2023). Interoperability of heterogeneous health information systems: a systematic literature review. </w:t>
      </w:r>
      <w:r w:rsidRPr="00C15045">
        <w:rPr>
          <w:rFonts w:cs="Times New Roman"/>
          <w:i/>
          <w:iCs/>
          <w:szCs w:val="24"/>
        </w:rPr>
        <w:t>BMC Medical Informatics and Decision Making, 23</w:t>
      </w:r>
      <w:r w:rsidRPr="00C15045">
        <w:rPr>
          <w:rFonts w:cs="Times New Roman"/>
          <w:szCs w:val="24"/>
        </w:rPr>
        <w:t>(1), 18. https://doi.org/10.1186/s12911-023-02115-5</w:t>
      </w:r>
    </w:p>
    <w:p w14:paraId="4D6BC886"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USAID. (2019). </w:t>
      </w:r>
      <w:r w:rsidRPr="00C15045">
        <w:rPr>
          <w:rFonts w:cs="Times New Roman"/>
          <w:i/>
          <w:iCs/>
          <w:szCs w:val="24"/>
        </w:rPr>
        <w:t>Digital health interoperability framework.</w:t>
      </w:r>
      <w:r w:rsidRPr="00C15045">
        <w:rPr>
          <w:rFonts w:cs="Times New Roman"/>
          <w:szCs w:val="24"/>
        </w:rPr>
        <w:t xml:space="preserve"> United States Agency for International Development, Washington D.C.</w:t>
      </w:r>
    </w:p>
    <w:p w14:paraId="3AF88F1A" w14:textId="77777777" w:rsidR="002B7A3C" w:rsidRPr="00C15045" w:rsidRDefault="002B7A3C" w:rsidP="00C15045">
      <w:pPr>
        <w:spacing w:after="60" w:line="360" w:lineRule="auto"/>
        <w:ind w:left="720" w:hanging="720"/>
        <w:jc w:val="both"/>
        <w:rPr>
          <w:szCs w:val="24"/>
        </w:rPr>
      </w:pPr>
      <w:r w:rsidRPr="00C15045">
        <w:rPr>
          <w:rFonts w:cs="Times New Roman"/>
          <w:szCs w:val="24"/>
        </w:rPr>
        <w:lastRenderedPageBreak/>
        <w:t xml:space="preserve">Wang, M., Huang, K., Li, X., Zhao, X., Downey, L., Hassounah, S., et al. (2025). Health workers’ adoption of digital health technology in low- and middle-income countries: a systematic review and meta-analysis. </w:t>
      </w:r>
      <w:r w:rsidRPr="00C15045">
        <w:rPr>
          <w:rFonts w:cs="Times New Roman"/>
          <w:i/>
          <w:iCs/>
          <w:szCs w:val="24"/>
        </w:rPr>
        <w:t>Bulletin of the World Health Organization, 103</w:t>
      </w:r>
      <w:r w:rsidRPr="00C15045">
        <w:rPr>
          <w:rFonts w:cs="Times New Roman"/>
          <w:szCs w:val="24"/>
        </w:rPr>
        <w:t>(2), 126–135F. https://doi.org/10.2471/BLT.24.292157</w:t>
      </w:r>
    </w:p>
    <w:p w14:paraId="6C96AACA"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World Bank. (2023). </w:t>
      </w:r>
      <w:r w:rsidRPr="00C15045">
        <w:rPr>
          <w:rFonts w:cs="Times New Roman"/>
          <w:i/>
          <w:iCs/>
          <w:szCs w:val="24"/>
        </w:rPr>
        <w:t>World Bank country and lending groups.</w:t>
      </w:r>
      <w:r w:rsidRPr="00C15045">
        <w:rPr>
          <w:rFonts w:cs="Times New Roman"/>
          <w:szCs w:val="24"/>
        </w:rPr>
        <w:t xml:space="preserve"> https://datahelpdesk.worldbank.org/knowledgebase/articles/906519</w:t>
      </w:r>
    </w:p>
    <w:p w14:paraId="6B22F91F"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World Health Organization. (2021a). </w:t>
      </w:r>
      <w:r w:rsidRPr="00C15045">
        <w:rPr>
          <w:rFonts w:cs="Times New Roman"/>
          <w:i/>
          <w:iCs/>
          <w:szCs w:val="24"/>
        </w:rPr>
        <w:t>Global strategy on digital health 2020–2025.</w:t>
      </w:r>
      <w:r w:rsidRPr="00C15045">
        <w:rPr>
          <w:rFonts w:cs="Times New Roman"/>
          <w:szCs w:val="24"/>
        </w:rPr>
        <w:t xml:space="preserve"> World Health Organization, Geneva.</w:t>
      </w:r>
    </w:p>
    <w:p w14:paraId="37BC1046"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World Health Organization. (2021b). </w:t>
      </w:r>
      <w:r w:rsidRPr="00C15045">
        <w:rPr>
          <w:rFonts w:cs="Times New Roman"/>
          <w:i/>
          <w:iCs/>
          <w:szCs w:val="24"/>
        </w:rPr>
        <w:t>Health workforce: Working together for health.</w:t>
      </w:r>
      <w:r w:rsidRPr="00C15045">
        <w:rPr>
          <w:rFonts w:cs="Times New Roman"/>
          <w:szCs w:val="24"/>
        </w:rPr>
        <w:t xml:space="preserve"> World Health Organization, Geneva.</w:t>
      </w:r>
    </w:p>
    <w:p w14:paraId="44C92A91" w14:textId="77777777" w:rsidR="002B7A3C" w:rsidRPr="00C15045" w:rsidRDefault="002B7A3C" w:rsidP="00C15045">
      <w:pPr>
        <w:spacing w:after="60" w:line="360" w:lineRule="auto"/>
        <w:ind w:left="720" w:hanging="720"/>
        <w:jc w:val="both"/>
        <w:rPr>
          <w:szCs w:val="24"/>
        </w:rPr>
      </w:pPr>
      <w:r w:rsidRPr="00C15045">
        <w:rPr>
          <w:rFonts w:cs="Times New Roman"/>
          <w:szCs w:val="24"/>
        </w:rPr>
        <w:t xml:space="preserve">Xue, Z., Novetsky, A.P., Einstein, M.H., et al. (2020). A demonstration of automated visual evaluation of cervical images taken with a smartphone camera. </w:t>
      </w:r>
      <w:r w:rsidRPr="00C15045">
        <w:rPr>
          <w:rFonts w:cs="Times New Roman"/>
          <w:i/>
          <w:iCs/>
          <w:szCs w:val="24"/>
        </w:rPr>
        <w:t>International Journal of Cancer, 147</w:t>
      </w:r>
      <w:r w:rsidRPr="00C15045">
        <w:rPr>
          <w:rFonts w:cs="Times New Roman"/>
          <w:szCs w:val="24"/>
        </w:rPr>
        <w:t>(9), 2416–2423. https://doi.org/10.1002/ijc.33029</w:t>
      </w:r>
    </w:p>
    <w:p w14:paraId="7472CE0C" w14:textId="77777777" w:rsidR="002B7A3C" w:rsidRPr="00C15045" w:rsidRDefault="002B7A3C" w:rsidP="00C15045">
      <w:pPr>
        <w:pBdr>
          <w:bottom w:val="single" w:sz="6" w:space="1" w:color="000000"/>
        </w:pBdr>
        <w:spacing w:after="80" w:line="360" w:lineRule="auto"/>
        <w:rPr>
          <w:szCs w:val="24"/>
        </w:rPr>
      </w:pPr>
    </w:p>
    <w:p w14:paraId="7357863C" w14:textId="77777777" w:rsidR="002B7A3C" w:rsidRPr="00C15045" w:rsidRDefault="002B7A3C" w:rsidP="00C15045">
      <w:pPr>
        <w:pStyle w:val="Heading1"/>
        <w:spacing w:before="120" w:after="120" w:line="360" w:lineRule="auto"/>
      </w:pPr>
      <w:r w:rsidRPr="00C15045">
        <w:t>APPENDIX A: GOVERNANCE READINESS FRAMEWORK – SUMMARY TABLE</w:t>
      </w:r>
    </w:p>
    <w:p w14:paraId="7FC5B0F1" w14:textId="77777777" w:rsidR="002B7A3C" w:rsidRPr="00C15045" w:rsidRDefault="002B7A3C" w:rsidP="00C15045">
      <w:pPr>
        <w:spacing w:before="120" w:after="120" w:line="360" w:lineRule="auto"/>
        <w:jc w:val="center"/>
        <w:rPr>
          <w:szCs w:val="24"/>
        </w:rPr>
      </w:pPr>
      <w:r w:rsidRPr="00C15045">
        <w:rPr>
          <w:rFonts w:cs="Times New Roman"/>
          <w:b/>
          <w:i/>
          <w:iCs/>
          <w:szCs w:val="24"/>
        </w:rPr>
        <w:t>Table A1. Governance Readiness Framework: Dimensions, Indicators, and Maturity Levels</w:t>
      </w:r>
    </w:p>
    <w:p w14:paraId="5E220536" w14:textId="77777777" w:rsidR="002B7A3C" w:rsidRPr="00C15045" w:rsidRDefault="002B7A3C" w:rsidP="00C15045">
      <w:pPr>
        <w:spacing w:after="60" w:line="360" w:lineRule="auto"/>
        <w:ind w:left="720" w:hanging="720"/>
        <w:jc w:val="both"/>
        <w:rPr>
          <w:szCs w:val="24"/>
        </w:rPr>
      </w:pPr>
      <w:r w:rsidRPr="00C15045">
        <w:rPr>
          <w:rFonts w:cs="Times New Roman"/>
          <w:szCs w:val="24"/>
        </w:rPr>
        <w:t>A summary of the GRF is provided below, including the main dimensions, indicators, maturity levels, and guidance notes for adaptation to national contexts.</w:t>
      </w:r>
    </w:p>
    <w:p w14:paraId="5A2EC59A" w14:textId="77777777" w:rsidR="002B7A3C" w:rsidRPr="00C15045" w:rsidRDefault="002B7A3C" w:rsidP="00C15045">
      <w:pPr>
        <w:spacing w:after="60" w:line="360" w:lineRule="auto"/>
        <w:ind w:left="720" w:hanging="720"/>
        <w:jc w:val="both"/>
        <w:rPr>
          <w:szCs w:val="24"/>
        </w:rPr>
      </w:pPr>
      <w:r w:rsidRPr="00C15045">
        <w:rPr>
          <w:rFonts w:cs="Times New Roman"/>
          <w:szCs w:val="24"/>
        </w:rPr>
        <w:t>Governance Dimension 1 (Regulatory Architecture) encompasses the legislative and institutional arrangements enabling formal oversight of AI in healthcare, from the existence of relevant legislation through to active, technically-capable enforcement. Dimension 2 (Data Infrastructure Quality) addresses the completeness, accuracy, and longitudinal availability of health data. Dimension 3 (Interoperability Standards) evaluates the extent to which digital health systems can exchange and use shared data. Dimension 4 (Privacy and Ethics Governance) covers mechanisms for patient data protection and ethical oversight. Dimension 5 (Algorithmic Accountability) addresses requirements for bias assessment, transparency, and redress. Dimension 6 (Workforce and Institutional Capacity) evaluates human resources and organisational capabilities.</w:t>
      </w:r>
    </w:p>
    <w:p w14:paraId="4F5F8EBE" w14:textId="77777777" w:rsidR="002B7A3C" w:rsidRPr="00C15045" w:rsidRDefault="002B7A3C" w:rsidP="00C15045">
      <w:pPr>
        <w:spacing w:after="60" w:line="360" w:lineRule="auto"/>
        <w:ind w:left="720" w:hanging="720"/>
        <w:jc w:val="both"/>
        <w:rPr>
          <w:szCs w:val="24"/>
        </w:rPr>
      </w:pPr>
      <w:r w:rsidRPr="00C15045">
        <w:rPr>
          <w:rFonts w:cs="Times New Roman"/>
          <w:szCs w:val="24"/>
        </w:rPr>
        <w:t>Each dimension is assessed on a four-level maturity scale (Nascent → Developing → Functional → Established), with composite scoring enabling identification of governance readiness profiles and comparative analysis across countries and health system contexts.</w:t>
      </w:r>
    </w:p>
    <w:p w14:paraId="464AE3ED" w14:textId="77777777" w:rsidR="002B7A3C" w:rsidRPr="00C15045" w:rsidRDefault="002B7A3C" w:rsidP="00C15045">
      <w:pPr>
        <w:spacing w:line="360" w:lineRule="auto"/>
        <w:rPr>
          <w:szCs w:val="24"/>
        </w:rPr>
      </w:pPr>
    </w:p>
    <w:sectPr w:rsidR="002B7A3C" w:rsidRPr="00C1504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E9BE" w14:textId="77777777" w:rsidR="00C301C8" w:rsidRDefault="00C301C8" w:rsidP="004F6928">
      <w:pPr>
        <w:spacing w:after="0" w:line="240" w:lineRule="auto"/>
      </w:pPr>
      <w:r>
        <w:separator/>
      </w:r>
    </w:p>
  </w:endnote>
  <w:endnote w:type="continuationSeparator" w:id="0">
    <w:p w14:paraId="52926AA4" w14:textId="77777777" w:rsidR="00C301C8" w:rsidRDefault="00C301C8" w:rsidP="004F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7B72A" w14:textId="77777777" w:rsidR="004F6928" w:rsidRDefault="004F6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9092" w14:textId="77777777" w:rsidR="004F6928" w:rsidRDefault="004F6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B576" w14:textId="77777777" w:rsidR="004F6928" w:rsidRDefault="004F6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8D601" w14:textId="77777777" w:rsidR="00C301C8" w:rsidRDefault="00C301C8" w:rsidP="004F6928">
      <w:pPr>
        <w:spacing w:after="0" w:line="240" w:lineRule="auto"/>
      </w:pPr>
      <w:r>
        <w:separator/>
      </w:r>
    </w:p>
  </w:footnote>
  <w:footnote w:type="continuationSeparator" w:id="0">
    <w:p w14:paraId="7D3AD15C" w14:textId="77777777" w:rsidR="00C301C8" w:rsidRDefault="00C301C8" w:rsidP="004F6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4235" w14:textId="3E027CB0" w:rsidR="004F6928" w:rsidRDefault="004F6928">
    <w:pPr>
      <w:pStyle w:val="Header"/>
    </w:pPr>
    <w:r>
      <w:rPr>
        <w:noProof/>
      </w:rPr>
      <w:pict w14:anchorId="0AF39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3" o:spid="_x0000_s1026" type="#_x0000_t136" style="position:absolute;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EBF3" w14:textId="5F00C4BC" w:rsidR="004F6928" w:rsidRDefault="004F6928">
    <w:pPr>
      <w:pStyle w:val="Header"/>
    </w:pPr>
    <w:r>
      <w:rPr>
        <w:noProof/>
      </w:rPr>
      <w:pict w14:anchorId="1ADB02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4" o:spid="_x0000_s1027" type="#_x0000_t136" style="position:absolute;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D235" w14:textId="2AD17EE7" w:rsidR="004F6928" w:rsidRDefault="004F6928">
    <w:pPr>
      <w:pStyle w:val="Header"/>
    </w:pPr>
    <w:r>
      <w:rPr>
        <w:noProof/>
      </w:rPr>
      <w:pict w14:anchorId="7B09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7812" o:spid="_x0000_s1025" type="#_x0000_t136" style="position:absolute;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3C"/>
    <w:rsid w:val="0003485E"/>
    <w:rsid w:val="000B3F44"/>
    <w:rsid w:val="00225F55"/>
    <w:rsid w:val="00247ADD"/>
    <w:rsid w:val="002B7A3C"/>
    <w:rsid w:val="004F6928"/>
    <w:rsid w:val="005A3B7B"/>
    <w:rsid w:val="00607F3D"/>
    <w:rsid w:val="006775F7"/>
    <w:rsid w:val="006E72C5"/>
    <w:rsid w:val="007558F1"/>
    <w:rsid w:val="00872110"/>
    <w:rsid w:val="00953D8C"/>
    <w:rsid w:val="00A61BA0"/>
    <w:rsid w:val="00C15045"/>
    <w:rsid w:val="00C301C8"/>
    <w:rsid w:val="00DA72A7"/>
    <w:rsid w:val="00DF2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EFE3F"/>
  <w15:chartTrackingRefBased/>
  <w15:docId w15:val="{1EB1DA04-DEB5-4E44-8565-7728B82A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rPr>
  </w:style>
  <w:style w:type="paragraph" w:styleId="Heading1">
    <w:name w:val="heading 1"/>
    <w:link w:val="Heading1Char"/>
    <w:uiPriority w:val="9"/>
    <w:qFormat/>
    <w:rsid w:val="002B7A3C"/>
    <w:pPr>
      <w:spacing w:before="320" w:line="240" w:lineRule="auto"/>
      <w:outlineLvl w:val="0"/>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A3C"/>
    <w:rPr>
      <w:rFonts w:ascii="Times New Roman" w:eastAsia="Times New Roman" w:hAnsi="Times New Roman" w:cs="Times New Roman"/>
      <w:b/>
      <w:bCs/>
      <w:color w:val="000000"/>
      <w:sz w:val="24"/>
      <w:szCs w:val="24"/>
    </w:rPr>
  </w:style>
  <w:style w:type="character" w:styleId="Hyperlink">
    <w:name w:val="Hyperlink"/>
    <w:basedOn w:val="DefaultParagraphFont"/>
    <w:uiPriority w:val="99"/>
    <w:unhideWhenUsed/>
    <w:rsid w:val="00953D8C"/>
    <w:rPr>
      <w:color w:val="0563C1" w:themeColor="hyperlink"/>
      <w:u w:val="single"/>
    </w:rPr>
  </w:style>
  <w:style w:type="character" w:styleId="UnresolvedMention">
    <w:name w:val="Unresolved Mention"/>
    <w:basedOn w:val="DefaultParagraphFont"/>
    <w:uiPriority w:val="99"/>
    <w:semiHidden/>
    <w:unhideWhenUsed/>
    <w:rsid w:val="00953D8C"/>
    <w:rPr>
      <w:color w:val="605E5C"/>
      <w:shd w:val="clear" w:color="auto" w:fill="E1DFDD"/>
    </w:rPr>
  </w:style>
  <w:style w:type="paragraph" w:styleId="Header">
    <w:name w:val="header"/>
    <w:basedOn w:val="Normal"/>
    <w:link w:val="HeaderChar"/>
    <w:uiPriority w:val="99"/>
    <w:unhideWhenUsed/>
    <w:rsid w:val="004F6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928"/>
    <w:rPr>
      <w:rFonts w:ascii="Times New Roman" w:eastAsia="Times New Roman" w:hAnsi="Times New Roman"/>
      <w:sz w:val="24"/>
    </w:rPr>
  </w:style>
  <w:style w:type="paragraph" w:styleId="Footer">
    <w:name w:val="footer"/>
    <w:basedOn w:val="Normal"/>
    <w:link w:val="FooterChar"/>
    <w:uiPriority w:val="99"/>
    <w:unhideWhenUsed/>
    <w:rsid w:val="004F6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928"/>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7125</Words>
  <Characters>40616</Characters>
  <Application>Microsoft Office Word</Application>
  <DocSecurity>0</DocSecurity>
  <Lines>338</Lines>
  <Paragraphs>95</Paragraphs>
  <ScaleCrop>false</ScaleCrop>
  <Company/>
  <LinksUpToDate>false</LinksUpToDate>
  <CharactersWithSpaces>47646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Governance Challenges in Artificial Intelligence-Enabled Healthcare in Low- and Middle-Income Countries</dc:title>
  <dc:subject>Revised manuscript for JOMAHR submission</dc:subject>
  <dc:creator>USER</dc:creator>
  <cp:keywords/>
  <dc:description/>
  <cp:lastModifiedBy>SDI 1084</cp:lastModifiedBy>
  <cp:revision>22</cp:revision>
  <dcterms:created xsi:type="dcterms:W3CDTF">2026-06-23T08:26:00Z</dcterms:created>
  <dcterms:modified xsi:type="dcterms:W3CDTF">2026-06-24T11:44:00Z</dcterms:modified>
</cp:coreProperties>
</file>