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036E6" w14:textId="77777777" w:rsidR="005966DD" w:rsidRPr="0019434A" w:rsidRDefault="00F87969">
      <w:pPr>
        <w:spacing w:after="120"/>
        <w:jc w:val="center"/>
      </w:pPr>
      <w:r w:rsidRPr="0019434A">
        <w:rPr>
          <w:b/>
          <w:bCs/>
          <w:sz w:val="24"/>
          <w:szCs w:val="24"/>
        </w:rPr>
        <w:t xml:space="preserve">Land Cover Dynamics and Multitemporal Erosion-Sedimentation Modelling of the </w:t>
      </w:r>
      <w:proofErr w:type="spellStart"/>
      <w:r w:rsidRPr="0019434A">
        <w:rPr>
          <w:b/>
          <w:bCs/>
          <w:sz w:val="24"/>
          <w:szCs w:val="24"/>
        </w:rPr>
        <w:t>Rejoso</w:t>
      </w:r>
      <w:proofErr w:type="spellEnd"/>
      <w:r w:rsidRPr="0019434A">
        <w:rPr>
          <w:b/>
          <w:bCs/>
          <w:sz w:val="24"/>
          <w:szCs w:val="24"/>
        </w:rPr>
        <w:t xml:space="preserve"> Watershed for Sustainable Management</w:t>
      </w:r>
    </w:p>
    <w:p w14:paraId="3B870174" w14:textId="77777777" w:rsidR="005966DD" w:rsidRPr="0019434A" w:rsidRDefault="005966DD"/>
    <w:p w14:paraId="585A2315" w14:textId="77777777" w:rsidR="005966DD" w:rsidRPr="0019434A" w:rsidRDefault="00F87969">
      <w:pPr>
        <w:spacing w:before="120" w:after="80"/>
      </w:pPr>
      <w:r w:rsidRPr="0019434A">
        <w:rPr>
          <w:b/>
          <w:bCs/>
        </w:rPr>
        <w:t>Abstract.</w:t>
      </w:r>
    </w:p>
    <w:p w14:paraId="1500BDF7" w14:textId="77777777" w:rsidR="005966DD" w:rsidRPr="0019434A" w:rsidRDefault="00F87969">
      <w:pPr>
        <w:spacing w:after="160" w:line="264" w:lineRule="auto"/>
        <w:jc w:val="both"/>
      </w:pPr>
      <w:r w:rsidRPr="0019434A">
        <w:rPr>
          <w:color w:val="000000"/>
        </w:rPr>
        <w:t xml:space="preserve">The </w:t>
      </w:r>
      <w:proofErr w:type="spellStart"/>
      <w:r w:rsidRPr="0019434A">
        <w:rPr>
          <w:color w:val="000000"/>
        </w:rPr>
        <w:t>Rejoso</w:t>
      </w:r>
      <w:proofErr w:type="spellEnd"/>
      <w:r w:rsidRPr="0019434A">
        <w:rPr>
          <w:color w:val="000000"/>
        </w:rPr>
        <w:t xml:space="preserve"> Watershed (DAS </w:t>
      </w:r>
      <w:proofErr w:type="spellStart"/>
      <w:r w:rsidRPr="0019434A">
        <w:rPr>
          <w:color w:val="000000"/>
        </w:rPr>
        <w:t>Rejoso</w:t>
      </w:r>
      <w:proofErr w:type="spellEnd"/>
      <w:r w:rsidRPr="0019434A">
        <w:rPr>
          <w:color w:val="000000"/>
        </w:rPr>
        <w:t xml:space="preserve">) in </w:t>
      </w:r>
      <w:proofErr w:type="spellStart"/>
      <w:r w:rsidRPr="0019434A">
        <w:rPr>
          <w:color w:val="000000"/>
        </w:rPr>
        <w:t>Pasuruan</w:t>
      </w:r>
      <w:proofErr w:type="spellEnd"/>
      <w:r w:rsidRPr="0019434A">
        <w:rPr>
          <w:color w:val="000000"/>
        </w:rPr>
        <w:t xml:space="preserve"> Regency, East Java, has experienced progressive land cover degradation over the past decade, culminating in a major flood event in 2025 that inundated residential areas to depths exceeding one </w:t>
      </w:r>
      <w:proofErr w:type="spellStart"/>
      <w:r w:rsidRPr="0019434A">
        <w:rPr>
          <w:color w:val="000000"/>
        </w:rPr>
        <w:t>metre</w:t>
      </w:r>
      <w:proofErr w:type="spellEnd"/>
      <w:r w:rsidRPr="0019434A">
        <w:rPr>
          <w:color w:val="000000"/>
        </w:rPr>
        <w:t>. This study integrates three analytical approaches: (1) multitemporal land use/cover change (LUCC) analysis using Sentinel-2 imagery for 2017, 2020, and 2024, supplemented by non-parametric statistical verification (Friedman test and Wilcoxon Signed-Rank test); (2) spatiotemporal erosion-sedimentation modelling using the Universal Soil Loss Equation (USLE) and Modified Universal Soil Loss Equation (MUSLE) with the Sediment Delivery Ratio (SDR); and (3) identification of erosion-sedimentation hotspots at the land mapping unit (SPL) level. Results reveal that forest cover declined by 2,721.64 ha over the study period, with the most pronounced acceleration occurring between 2020 and 2024 (− 13.97%), statistically confirmed as a significant and spatially consistent trend (Friedman χ²F = 13.64; p = .001; Kendall’s W = 0.568). Built-up land expanded consistently across all periods (Kendall’s W = 0.861; p &lt; .001). Potential erosion hotspots were identified in SPL 20 (</w:t>
      </w:r>
      <w:proofErr w:type="spellStart"/>
      <w:r w:rsidRPr="0019434A">
        <w:rPr>
          <w:color w:val="000000"/>
        </w:rPr>
        <w:t>Tosari</w:t>
      </w:r>
      <w:proofErr w:type="spellEnd"/>
      <w:r w:rsidRPr="0019434A">
        <w:rPr>
          <w:color w:val="000000"/>
        </w:rPr>
        <w:t>), while SPL 11 (</w:t>
      </w:r>
      <w:proofErr w:type="spellStart"/>
      <w:r w:rsidRPr="0019434A">
        <w:rPr>
          <w:color w:val="000000"/>
        </w:rPr>
        <w:t>Nguling</w:t>
      </w:r>
      <w:proofErr w:type="spellEnd"/>
      <w:r w:rsidRPr="0019434A">
        <w:rPr>
          <w:color w:val="000000"/>
        </w:rPr>
        <w:t xml:space="preserve">) recorded the highest sediment yield across all periods. Despite an overall decline in total sediment yield from 328,695 to 251,005 </w:t>
      </w:r>
      <w:proofErr w:type="spellStart"/>
      <w:r w:rsidRPr="0019434A">
        <w:rPr>
          <w:color w:val="000000"/>
        </w:rPr>
        <w:t>tonnes</w:t>
      </w:r>
      <w:proofErr w:type="spellEnd"/>
      <w:r w:rsidRPr="0019434A">
        <w:rPr>
          <w:color w:val="000000"/>
        </w:rPr>
        <w:t xml:space="preserve">/year, this reduction was driven by decreased rainfall erosivity rather than land cover improvement, underscoring the continued critical condition of the watershed. These findings provide a biophysical evidence base for </w:t>
      </w:r>
      <w:proofErr w:type="spellStart"/>
      <w:r w:rsidRPr="0019434A">
        <w:rPr>
          <w:color w:val="000000"/>
        </w:rPr>
        <w:t>prioritising</w:t>
      </w:r>
      <w:proofErr w:type="spellEnd"/>
      <w:r w:rsidRPr="0019434A">
        <w:rPr>
          <w:color w:val="000000"/>
        </w:rPr>
        <w:t xml:space="preserve"> conservation interventions in the </w:t>
      </w:r>
      <w:proofErr w:type="spellStart"/>
      <w:r w:rsidRPr="0019434A">
        <w:rPr>
          <w:color w:val="000000"/>
        </w:rPr>
        <w:t>Rejoso</w:t>
      </w:r>
      <w:proofErr w:type="spellEnd"/>
      <w:r w:rsidRPr="0019434A">
        <w:rPr>
          <w:color w:val="000000"/>
        </w:rPr>
        <w:t xml:space="preserve"> Watershed.</w:t>
      </w:r>
    </w:p>
    <w:p w14:paraId="58845E55" w14:textId="77777777" w:rsidR="005966DD" w:rsidRPr="0019434A" w:rsidRDefault="00F87969">
      <w:pPr>
        <w:spacing w:after="200" w:line="276" w:lineRule="auto"/>
        <w:jc w:val="both"/>
      </w:pPr>
      <w:r w:rsidRPr="0019434A">
        <w:rPr>
          <w:b/>
          <w:bCs/>
          <w:color w:val="000000"/>
        </w:rPr>
        <w:t xml:space="preserve">Keywords: </w:t>
      </w:r>
      <w:r w:rsidRPr="0019434A">
        <w:rPr>
          <w:color w:val="000000"/>
        </w:rPr>
        <w:t>land use/cover change; erosion modelling; sediment yield; USLE; MUSLE</w:t>
      </w:r>
    </w:p>
    <w:p w14:paraId="6923C628" w14:textId="77777777" w:rsidR="005966DD" w:rsidRPr="0019434A" w:rsidRDefault="005966DD">
      <w:pPr>
        <w:pBdr>
          <w:bottom w:val="single" w:sz="6" w:space="1" w:color="000000"/>
        </w:pBdr>
        <w:spacing w:before="80" w:after="80"/>
      </w:pPr>
    </w:p>
    <w:p w14:paraId="1C75E039" w14:textId="77777777" w:rsidR="005966DD" w:rsidRPr="0019434A" w:rsidRDefault="00F87969">
      <w:pPr>
        <w:spacing w:before="160" w:after="80"/>
      </w:pPr>
      <w:r w:rsidRPr="0019434A">
        <w:rPr>
          <w:b/>
          <w:bCs/>
          <w:caps/>
          <w:sz w:val="22"/>
          <w:szCs w:val="22"/>
        </w:rPr>
        <w:t>1. Introduction</w:t>
      </w:r>
    </w:p>
    <w:p w14:paraId="7127AF90" w14:textId="77777777" w:rsidR="005966DD" w:rsidRPr="0019434A" w:rsidRDefault="00F87969">
      <w:pPr>
        <w:spacing w:after="80" w:line="276" w:lineRule="auto"/>
        <w:ind w:firstLine="720"/>
        <w:jc w:val="both"/>
      </w:pPr>
      <w:r w:rsidRPr="0019434A">
        <w:rPr>
          <w:color w:val="000000"/>
        </w:rPr>
        <w:t xml:space="preserve">Watershed degradation driven by land cover change is one of the most pressing environmental challenges in tropical regions, where rapid population growth and agricultural expansion continuously exert pressure on natural ecosystems. The </w:t>
      </w:r>
      <w:proofErr w:type="spellStart"/>
      <w:r w:rsidRPr="0019434A">
        <w:rPr>
          <w:color w:val="000000"/>
        </w:rPr>
        <w:t>Rejoso</w:t>
      </w:r>
      <w:proofErr w:type="spellEnd"/>
      <w:r w:rsidRPr="0019434A">
        <w:rPr>
          <w:color w:val="000000"/>
        </w:rPr>
        <w:t xml:space="preserve"> Watershed (DAS </w:t>
      </w:r>
      <w:proofErr w:type="spellStart"/>
      <w:r w:rsidRPr="0019434A">
        <w:rPr>
          <w:color w:val="000000"/>
        </w:rPr>
        <w:t>Rejoso</w:t>
      </w:r>
      <w:proofErr w:type="spellEnd"/>
      <w:r w:rsidRPr="0019434A">
        <w:rPr>
          <w:color w:val="000000"/>
        </w:rPr>
        <w:t xml:space="preserve">), located in </w:t>
      </w:r>
      <w:proofErr w:type="spellStart"/>
      <w:r w:rsidRPr="0019434A">
        <w:rPr>
          <w:color w:val="000000"/>
        </w:rPr>
        <w:t>Pasuruan</w:t>
      </w:r>
      <w:proofErr w:type="spellEnd"/>
      <w:r w:rsidRPr="0019434A">
        <w:rPr>
          <w:color w:val="000000"/>
        </w:rPr>
        <w:t xml:space="preserve"> Regency, East Java, Indonesia, exemplifies this challenge. Encompassing a total area of approximately 40,131 ha, the watershed spans from the volcanic slopes of Mount Bromo-</w:t>
      </w:r>
      <w:proofErr w:type="spellStart"/>
      <w:r w:rsidRPr="0019434A">
        <w:rPr>
          <w:color w:val="000000"/>
        </w:rPr>
        <w:t>Tengger</w:t>
      </w:r>
      <w:proofErr w:type="spellEnd"/>
      <w:r w:rsidRPr="0019434A">
        <w:rPr>
          <w:color w:val="000000"/>
        </w:rPr>
        <w:t xml:space="preserve"> in the upstream zone to the lowland coastal areas of </w:t>
      </w:r>
      <w:proofErr w:type="spellStart"/>
      <w:r w:rsidRPr="0019434A">
        <w:rPr>
          <w:color w:val="000000"/>
        </w:rPr>
        <w:t>Nguling</w:t>
      </w:r>
      <w:proofErr w:type="spellEnd"/>
      <w:r w:rsidRPr="0019434A">
        <w:rPr>
          <w:color w:val="000000"/>
        </w:rPr>
        <w:t xml:space="preserve"> in the downstream zone, traversing twelve administrative sub-districts.</w:t>
      </w:r>
    </w:p>
    <w:p w14:paraId="1A8724BF" w14:textId="77777777" w:rsidR="005966DD" w:rsidRPr="0019434A" w:rsidRDefault="00F87969">
      <w:pPr>
        <w:spacing w:after="80" w:line="276" w:lineRule="auto"/>
        <w:ind w:firstLine="720"/>
        <w:jc w:val="both"/>
      </w:pPr>
      <w:r w:rsidRPr="0019434A">
        <w:rPr>
          <w:color w:val="000000"/>
        </w:rPr>
        <w:t xml:space="preserve">Over the past decade, the watershed has experienced a marked shift in land cover composition, </w:t>
      </w:r>
      <w:proofErr w:type="spellStart"/>
      <w:r w:rsidRPr="0019434A">
        <w:rPr>
          <w:color w:val="000000"/>
        </w:rPr>
        <w:t>characterised</w:t>
      </w:r>
      <w:proofErr w:type="spellEnd"/>
      <w:r w:rsidRPr="0019434A">
        <w:rPr>
          <w:color w:val="000000"/>
        </w:rPr>
        <w:t xml:space="preserve"> by the conversion of natural forest to agricultural land, settlements, and open areas. This conversion has intensified surface runoff, reduced infiltration capacity, and increased sediment transport, ultimately contributing to recurrent flooding in downstream areas. The most severe manifestation of this process occurred in 2025, when a major flood inundated residential settlements in </w:t>
      </w:r>
      <w:proofErr w:type="spellStart"/>
      <w:r w:rsidRPr="0019434A">
        <w:rPr>
          <w:color w:val="000000"/>
        </w:rPr>
        <w:t>Kecamatan</w:t>
      </w:r>
      <w:proofErr w:type="spellEnd"/>
      <w:r w:rsidRPr="0019434A">
        <w:rPr>
          <w:color w:val="000000"/>
        </w:rPr>
        <w:t xml:space="preserve"> </w:t>
      </w:r>
      <w:proofErr w:type="spellStart"/>
      <w:r w:rsidRPr="0019434A">
        <w:rPr>
          <w:color w:val="000000"/>
        </w:rPr>
        <w:t>Rejoso</w:t>
      </w:r>
      <w:proofErr w:type="spellEnd"/>
      <w:r w:rsidRPr="0019434A">
        <w:rPr>
          <w:color w:val="000000"/>
        </w:rPr>
        <w:t xml:space="preserve"> to depths exceeding one </w:t>
      </w:r>
      <w:proofErr w:type="spellStart"/>
      <w:r w:rsidRPr="0019434A">
        <w:rPr>
          <w:color w:val="000000"/>
        </w:rPr>
        <w:t>metre</w:t>
      </w:r>
      <w:proofErr w:type="spellEnd"/>
      <w:r w:rsidRPr="0019434A">
        <w:rPr>
          <w:color w:val="000000"/>
        </w:rPr>
        <w:t>, causing significant socioeconomic losses and highlighting the urgent need for evidence-based watershed management.</w:t>
      </w:r>
    </w:p>
    <w:p w14:paraId="4D99698F" w14:textId="77777777" w:rsidR="005966DD" w:rsidRPr="0019434A" w:rsidRDefault="00F87969">
      <w:pPr>
        <w:spacing w:after="80" w:line="276" w:lineRule="auto"/>
        <w:ind w:firstLine="720"/>
        <w:jc w:val="both"/>
      </w:pPr>
      <w:r w:rsidRPr="0019434A">
        <w:rPr>
          <w:color w:val="000000"/>
        </w:rPr>
        <w:t xml:space="preserve">Despite the </w:t>
      </w:r>
      <w:proofErr w:type="spellStart"/>
      <w:r w:rsidRPr="0019434A">
        <w:rPr>
          <w:color w:val="000000"/>
        </w:rPr>
        <w:t>recognised</w:t>
      </w:r>
      <w:proofErr w:type="spellEnd"/>
      <w:r w:rsidRPr="0019434A">
        <w:rPr>
          <w:color w:val="000000"/>
        </w:rPr>
        <w:t xml:space="preserve"> importance of the </w:t>
      </w:r>
      <w:proofErr w:type="spellStart"/>
      <w:r w:rsidRPr="0019434A">
        <w:rPr>
          <w:color w:val="000000"/>
        </w:rPr>
        <w:t>Rejoso</w:t>
      </w:r>
      <w:proofErr w:type="spellEnd"/>
      <w:r w:rsidRPr="0019434A">
        <w:rPr>
          <w:color w:val="000000"/>
        </w:rPr>
        <w:t xml:space="preserve"> Watershed as a water resource for both agriculture and domestic supply, comprehensive quantitative assessments integrating multitemporal land cover dynamics with spatially explicit erosion-sedimentation modelling remain limited. Previous studies have addressed individual components, including land cover classification (</w:t>
      </w:r>
      <w:proofErr w:type="spellStart"/>
      <w:r w:rsidRPr="0019434A">
        <w:rPr>
          <w:color w:val="000000"/>
        </w:rPr>
        <w:t>Rasyidi</w:t>
      </w:r>
      <w:proofErr w:type="spellEnd"/>
      <w:r w:rsidRPr="0019434A">
        <w:rPr>
          <w:color w:val="000000"/>
        </w:rPr>
        <w:t xml:space="preserve"> et al., 2022), agroforestry dynamics (</w:t>
      </w:r>
      <w:proofErr w:type="spellStart"/>
      <w:r w:rsidRPr="0019434A">
        <w:rPr>
          <w:color w:val="000000"/>
        </w:rPr>
        <w:t>Wariunsora</w:t>
      </w:r>
      <w:proofErr w:type="spellEnd"/>
      <w:r w:rsidRPr="0019434A">
        <w:rPr>
          <w:color w:val="000000"/>
        </w:rPr>
        <w:t xml:space="preserve"> et al., 2024), and RTRW land use projections (</w:t>
      </w:r>
      <w:proofErr w:type="spellStart"/>
      <w:r w:rsidRPr="0019434A">
        <w:rPr>
          <w:color w:val="000000"/>
        </w:rPr>
        <w:t>Mujibadi</w:t>
      </w:r>
      <w:proofErr w:type="spellEnd"/>
      <w:r w:rsidRPr="0019434A">
        <w:rPr>
          <w:color w:val="000000"/>
        </w:rPr>
        <w:t xml:space="preserve"> et al., 2020), but none have simultaneously quantified LUCC trends with statistical significance testing and linked these to spatial erosion-sedimentation patterns across multiple time periods.</w:t>
      </w:r>
    </w:p>
    <w:p w14:paraId="1173794E" w14:textId="77777777" w:rsidR="005966DD" w:rsidRPr="0019434A" w:rsidRDefault="00F87969">
      <w:pPr>
        <w:spacing w:after="80" w:line="276" w:lineRule="auto"/>
        <w:ind w:firstLine="720"/>
        <w:jc w:val="both"/>
      </w:pPr>
      <w:r w:rsidRPr="0019434A">
        <w:rPr>
          <w:color w:val="000000"/>
        </w:rPr>
        <w:t xml:space="preserve">This study addresses that gap by integrating three analytical frameworks: (1) multitemporal LUCC analysis using Sentinel-2 satellite imagery for 2017, 2020, and 2024, with non-parametric statistical verification; (2) spatiotemporal erosion-sedimentation modelling using USLE and MUSLE coupled with the Sediment Delivery Ratio (SDR); and (3) identification of erosion and sedimentation hotspots at the land mapping unit level. The study aims to provide a biophysical evidence base for </w:t>
      </w:r>
      <w:proofErr w:type="spellStart"/>
      <w:r w:rsidRPr="0019434A">
        <w:rPr>
          <w:color w:val="000000"/>
        </w:rPr>
        <w:t>prioritising</w:t>
      </w:r>
      <w:proofErr w:type="spellEnd"/>
      <w:r w:rsidRPr="0019434A">
        <w:rPr>
          <w:color w:val="000000"/>
        </w:rPr>
        <w:t xml:space="preserve"> sustainable management interventions in the </w:t>
      </w:r>
      <w:proofErr w:type="spellStart"/>
      <w:r w:rsidRPr="0019434A">
        <w:rPr>
          <w:color w:val="000000"/>
        </w:rPr>
        <w:t>Rejoso</w:t>
      </w:r>
      <w:proofErr w:type="spellEnd"/>
      <w:r w:rsidRPr="0019434A">
        <w:rPr>
          <w:color w:val="000000"/>
        </w:rPr>
        <w:t xml:space="preserve"> Watershed.</w:t>
      </w:r>
    </w:p>
    <w:p w14:paraId="16015D76" w14:textId="77777777" w:rsidR="005966DD" w:rsidRPr="0019434A" w:rsidRDefault="00F87969">
      <w:pPr>
        <w:spacing w:before="160" w:after="80"/>
      </w:pPr>
      <w:r w:rsidRPr="0019434A">
        <w:rPr>
          <w:b/>
          <w:bCs/>
          <w:caps/>
          <w:sz w:val="22"/>
          <w:szCs w:val="22"/>
        </w:rPr>
        <w:lastRenderedPageBreak/>
        <w:t>2. Materials and Methods</w:t>
      </w:r>
    </w:p>
    <w:p w14:paraId="4D6B2D37" w14:textId="77777777" w:rsidR="005966DD" w:rsidRPr="0019434A" w:rsidRDefault="00F87969">
      <w:pPr>
        <w:spacing w:before="160" w:after="80"/>
      </w:pPr>
      <w:r w:rsidRPr="0019434A">
        <w:rPr>
          <w:b/>
          <w:bCs/>
        </w:rPr>
        <w:t>2.1 Study Area</w:t>
      </w:r>
    </w:p>
    <w:p w14:paraId="23B27D69" w14:textId="77777777" w:rsidR="005966DD" w:rsidRPr="0019434A" w:rsidRDefault="00F87969">
      <w:pPr>
        <w:spacing w:after="80" w:line="276" w:lineRule="auto"/>
        <w:ind w:firstLine="720"/>
        <w:jc w:val="both"/>
        <w:rPr>
          <w:color w:val="000000"/>
        </w:rPr>
      </w:pPr>
      <w:r w:rsidRPr="0019434A">
        <w:rPr>
          <w:color w:val="000000"/>
        </w:rPr>
        <w:t xml:space="preserve">The </w:t>
      </w:r>
      <w:proofErr w:type="spellStart"/>
      <w:r w:rsidRPr="0019434A">
        <w:rPr>
          <w:color w:val="000000"/>
        </w:rPr>
        <w:t>Rejoso</w:t>
      </w:r>
      <w:proofErr w:type="spellEnd"/>
      <w:r w:rsidRPr="0019434A">
        <w:rPr>
          <w:color w:val="000000"/>
        </w:rPr>
        <w:t xml:space="preserve"> Watershed is located in </w:t>
      </w:r>
      <w:proofErr w:type="spellStart"/>
      <w:r w:rsidRPr="0019434A">
        <w:rPr>
          <w:color w:val="000000"/>
        </w:rPr>
        <w:t>Pasuruan</w:t>
      </w:r>
      <w:proofErr w:type="spellEnd"/>
      <w:r w:rsidRPr="0019434A">
        <w:rPr>
          <w:color w:val="000000"/>
        </w:rPr>
        <w:t xml:space="preserve"> Regency, East Java Province, Indonesia (7°35’–8°05’ S; 112°45’–113°10’ E). The watershed covers an area of approximately 40,131 ha, spanning twelve sub-districts from the highland volcanic zone of </w:t>
      </w:r>
      <w:proofErr w:type="spellStart"/>
      <w:r w:rsidRPr="0019434A">
        <w:rPr>
          <w:color w:val="000000"/>
        </w:rPr>
        <w:t>Tosari</w:t>
      </w:r>
      <w:proofErr w:type="spellEnd"/>
      <w:r w:rsidRPr="0019434A">
        <w:rPr>
          <w:color w:val="000000"/>
        </w:rPr>
        <w:t xml:space="preserve"> (upstream) to the coastal lowlands of </w:t>
      </w:r>
      <w:proofErr w:type="spellStart"/>
      <w:r w:rsidRPr="0019434A">
        <w:rPr>
          <w:color w:val="000000"/>
        </w:rPr>
        <w:t>Nguling</w:t>
      </w:r>
      <w:proofErr w:type="spellEnd"/>
      <w:r w:rsidRPr="0019434A">
        <w:rPr>
          <w:color w:val="000000"/>
        </w:rPr>
        <w:t xml:space="preserve"> (downstream). Elevation ranges from approximately 2,500 m above sea level in the upstream area to near sea level at the watershed outlet. The watershed encompasses diverse land cover types, including montane forest, agroforestry systems, dryland agriculture, paddy fields, and urban settlements.</w:t>
      </w:r>
    </w:p>
    <w:p w14:paraId="1181E43D" w14:textId="77777777" w:rsidR="005966DD" w:rsidRPr="0019434A" w:rsidRDefault="00F87969">
      <w:pPr>
        <w:spacing w:after="80" w:line="276" w:lineRule="auto"/>
        <w:ind w:firstLine="720"/>
        <w:jc w:val="both"/>
      </w:pPr>
      <w:r w:rsidRPr="0019434A">
        <w:rPr>
          <w:noProof/>
        </w:rPr>
        <w:drawing>
          <wp:inline distT="0" distB="0" distL="114300" distR="114300" wp14:anchorId="080F57B4" wp14:editId="4FA455F4">
            <wp:extent cx="5243195" cy="3685540"/>
            <wp:effectExtent l="0" t="0" r="1905" b="10160"/>
            <wp:docPr id="1" name="Picture 1" descr="Teks paragraf And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ks paragraf Anda (15)"/>
                    <pic:cNvPicPr>
                      <a:picLocks noChangeAspect="1"/>
                    </pic:cNvPicPr>
                  </pic:nvPicPr>
                  <pic:blipFill>
                    <a:blip r:embed="rId6"/>
                    <a:srcRect l="11160" r="9330" b="690"/>
                    <a:stretch>
                      <a:fillRect/>
                    </a:stretch>
                  </pic:blipFill>
                  <pic:spPr>
                    <a:xfrm>
                      <a:off x="0" y="0"/>
                      <a:ext cx="5243195" cy="3685540"/>
                    </a:xfrm>
                    <a:prstGeom prst="rect">
                      <a:avLst/>
                    </a:prstGeom>
                  </pic:spPr>
                </pic:pic>
              </a:graphicData>
            </a:graphic>
          </wp:inline>
        </w:drawing>
      </w:r>
    </w:p>
    <w:p w14:paraId="3F1DA963" w14:textId="77777777" w:rsidR="005966DD" w:rsidRPr="0019434A" w:rsidRDefault="00F87969">
      <w:pPr>
        <w:spacing w:after="120"/>
        <w:jc w:val="center"/>
      </w:pPr>
      <w:r w:rsidRPr="0019434A">
        <w:rPr>
          <w:i/>
          <w:iCs/>
          <w:sz w:val="18"/>
          <w:szCs w:val="18"/>
        </w:rPr>
        <w:t xml:space="preserve">Figure 1. Study area map of the </w:t>
      </w:r>
      <w:proofErr w:type="spellStart"/>
      <w:r w:rsidRPr="0019434A">
        <w:rPr>
          <w:i/>
          <w:iCs/>
          <w:sz w:val="18"/>
          <w:szCs w:val="18"/>
        </w:rPr>
        <w:t>Rejoso</w:t>
      </w:r>
      <w:proofErr w:type="spellEnd"/>
      <w:r w:rsidRPr="0019434A">
        <w:rPr>
          <w:i/>
          <w:iCs/>
          <w:sz w:val="18"/>
          <w:szCs w:val="18"/>
        </w:rPr>
        <w:t xml:space="preserve"> Watershed, </w:t>
      </w:r>
      <w:proofErr w:type="spellStart"/>
      <w:r w:rsidRPr="0019434A">
        <w:rPr>
          <w:i/>
          <w:iCs/>
          <w:sz w:val="18"/>
          <w:szCs w:val="18"/>
        </w:rPr>
        <w:t>Pasuruan</w:t>
      </w:r>
      <w:proofErr w:type="spellEnd"/>
      <w:r w:rsidRPr="0019434A">
        <w:rPr>
          <w:i/>
          <w:iCs/>
          <w:sz w:val="18"/>
          <w:szCs w:val="18"/>
        </w:rPr>
        <w:t xml:space="preserve"> Regency, East Java, Indonesia.</w:t>
      </w:r>
    </w:p>
    <w:p w14:paraId="6FF821C4" w14:textId="77777777" w:rsidR="005966DD" w:rsidRPr="0019434A" w:rsidRDefault="00F87969">
      <w:pPr>
        <w:spacing w:before="160" w:after="80"/>
      </w:pPr>
      <w:r w:rsidRPr="0019434A">
        <w:rPr>
          <w:b/>
          <w:bCs/>
        </w:rPr>
        <w:t>2.2 Land Use/Cover Change (LUCC) Analysis</w:t>
      </w:r>
    </w:p>
    <w:p w14:paraId="1D343E23" w14:textId="77777777" w:rsidR="005966DD" w:rsidRPr="0019434A" w:rsidRDefault="00F87969">
      <w:pPr>
        <w:spacing w:after="80" w:line="276" w:lineRule="auto"/>
        <w:ind w:firstLine="720"/>
        <w:jc w:val="both"/>
      </w:pPr>
      <w:r w:rsidRPr="0019434A">
        <w:rPr>
          <w:color w:val="000000"/>
        </w:rPr>
        <w:t>Land cover classification was performed using Sentinel-2 Level-2A multispectral imagery acquired for three reference years: 2017, 2020, and 2024. Images with cloud cover below 10% were selected and pre-processed using standard atmospheric correction procedures. Seven land cover classes were defined: water body, forest/vegetation, swamp, agricultural land, built-up land, bare land, and dryland (</w:t>
      </w:r>
      <w:proofErr w:type="spellStart"/>
      <w:r w:rsidRPr="0019434A">
        <w:rPr>
          <w:color w:val="000000"/>
        </w:rPr>
        <w:t>tegalan</w:t>
      </w:r>
      <w:proofErr w:type="spellEnd"/>
      <w:r w:rsidRPr="0019434A">
        <w:rPr>
          <w:color w:val="000000"/>
        </w:rPr>
        <w:t>). Classification was performed using a supervised machine learning approach in Google Earth Engine.</w:t>
      </w:r>
    </w:p>
    <w:p w14:paraId="784087C6" w14:textId="77777777" w:rsidR="005966DD" w:rsidRPr="0019434A" w:rsidRDefault="00F87969">
      <w:pPr>
        <w:spacing w:after="80" w:line="276" w:lineRule="auto"/>
        <w:ind w:firstLine="720"/>
        <w:jc w:val="both"/>
      </w:pPr>
      <w:r w:rsidRPr="0019434A">
        <w:rPr>
          <w:color w:val="000000"/>
        </w:rPr>
        <w:t>To quantify land cover distribution per sub-district, spatial intersection analysis was conducted between the classified land cover maps and sub-district administrative boundaries (n = 12) using QGIS version 3.40.5. This produced a dataset of land cover area per class per sub-district for each of the three reference years, which served as the input for subsequent statistical analysis.</w:t>
      </w:r>
    </w:p>
    <w:p w14:paraId="5EA5A692" w14:textId="77777777" w:rsidR="005966DD" w:rsidRPr="0019434A" w:rsidRDefault="00F87969">
      <w:pPr>
        <w:spacing w:after="80" w:line="276" w:lineRule="auto"/>
        <w:ind w:firstLine="720"/>
        <w:jc w:val="both"/>
      </w:pPr>
      <w:r w:rsidRPr="0019434A">
        <w:rPr>
          <w:color w:val="000000"/>
        </w:rPr>
        <w:t>Statistical significance of land cover changes across the three periods was verified using non-parametric repeated-measures tests, as Mauchly’s Test confirmed that the sphericity assumption was not met (p &lt; .05), precluding the use of parametric repeated-measures ANOVA (Field et al., 2025). The Friedman test was applied as a non-parametric alternative to detect significant differences across at least one pair of observation periods:</w:t>
      </w:r>
    </w:p>
    <w:p w14:paraId="13F421C2" w14:textId="77777777" w:rsidR="005966DD" w:rsidRPr="0019434A" w:rsidRDefault="00F87969">
      <w:pPr>
        <w:spacing w:before="80" w:after="80" w:line="276" w:lineRule="auto"/>
        <w:jc w:val="center"/>
      </w:pPr>
      <w:r w:rsidRPr="0019434A">
        <w:rPr>
          <w:color w:val="000000"/>
        </w:rPr>
        <w:t xml:space="preserve">χ²F = [12 / </w:t>
      </w:r>
      <w:proofErr w:type="spellStart"/>
      <w:r w:rsidRPr="0019434A">
        <w:rPr>
          <w:color w:val="000000"/>
        </w:rPr>
        <w:t>nk</w:t>
      </w:r>
      <w:proofErr w:type="spellEnd"/>
      <w:r w:rsidRPr="0019434A">
        <w:rPr>
          <w:color w:val="000000"/>
        </w:rPr>
        <w:t>(k+1)] ΣRj² − 3n(k+1)</w:t>
      </w:r>
    </w:p>
    <w:p w14:paraId="17BFC67A" w14:textId="77777777" w:rsidR="005966DD" w:rsidRPr="0019434A" w:rsidRDefault="00F87969">
      <w:pPr>
        <w:spacing w:after="80" w:line="276" w:lineRule="auto"/>
        <w:ind w:firstLine="720"/>
        <w:jc w:val="both"/>
      </w:pPr>
      <w:r w:rsidRPr="0019434A">
        <w:rPr>
          <w:color w:val="000000"/>
        </w:rPr>
        <w:t xml:space="preserve">where n is the number of spatial units (sub-districts; n = 12), k is the number of observation periods (k = 3), and </w:t>
      </w:r>
      <w:proofErr w:type="spellStart"/>
      <w:r w:rsidRPr="0019434A">
        <w:rPr>
          <w:color w:val="000000"/>
        </w:rPr>
        <w:t>Rj</w:t>
      </w:r>
      <w:proofErr w:type="spellEnd"/>
      <w:r w:rsidRPr="0019434A">
        <w:rPr>
          <w:color w:val="000000"/>
        </w:rPr>
        <w:t xml:space="preserve"> is the sum of ranks for period j. The strength of inter-unit consistency was assessed using Kendall’s W </w:t>
      </w:r>
      <w:r w:rsidRPr="0019434A">
        <w:rPr>
          <w:color w:val="000000"/>
        </w:rPr>
        <w:lastRenderedPageBreak/>
        <w:t>coefficient of concordance, with values approaching 1.0 indicating high consistency across sub-districts (Kendall &amp; Babington Smith, 1939).</w:t>
      </w:r>
    </w:p>
    <w:p w14:paraId="332DF63C" w14:textId="77777777" w:rsidR="005966DD" w:rsidRPr="0019434A" w:rsidRDefault="00F87969">
      <w:pPr>
        <w:spacing w:after="80" w:line="276" w:lineRule="auto"/>
        <w:ind w:firstLine="720"/>
        <w:jc w:val="both"/>
      </w:pPr>
      <w:r w:rsidRPr="0019434A">
        <w:rPr>
          <w:color w:val="000000"/>
        </w:rPr>
        <w:t>Where the Friedman test yielded a significant result (p &lt; .05), the Wilcoxon Signed-Rank test was applied as a post-hoc procedure to identify specific periods with significant pairwise differences (Wilcoxon, 1945):</w:t>
      </w:r>
    </w:p>
    <w:p w14:paraId="054C3351" w14:textId="77777777" w:rsidR="005966DD" w:rsidRPr="0019434A" w:rsidRDefault="00F87969">
      <w:pPr>
        <w:spacing w:before="80" w:after="80" w:line="276" w:lineRule="auto"/>
        <w:jc w:val="center"/>
      </w:pPr>
      <w:r w:rsidRPr="0019434A">
        <w:rPr>
          <w:color w:val="000000"/>
        </w:rPr>
        <w:t>W = Σ [</w:t>
      </w:r>
      <w:proofErr w:type="spellStart"/>
      <w:proofErr w:type="gramStart"/>
      <w:r w:rsidRPr="0019434A">
        <w:rPr>
          <w:color w:val="000000"/>
        </w:rPr>
        <w:t>sgn</w:t>
      </w:r>
      <w:proofErr w:type="spellEnd"/>
      <w:r w:rsidRPr="0019434A">
        <w:rPr>
          <w:color w:val="000000"/>
        </w:rPr>
        <w:t>(</w:t>
      </w:r>
      <w:proofErr w:type="gramEnd"/>
      <w:r w:rsidRPr="0019434A">
        <w:rPr>
          <w:color w:val="000000"/>
        </w:rPr>
        <w:t>x2i − x1i) · Ri]</w:t>
      </w:r>
    </w:p>
    <w:p w14:paraId="575963E5" w14:textId="77777777" w:rsidR="005966DD" w:rsidRPr="0019434A" w:rsidRDefault="00F87969">
      <w:pPr>
        <w:spacing w:after="80" w:line="276" w:lineRule="auto"/>
        <w:ind w:firstLine="720"/>
        <w:jc w:val="both"/>
      </w:pPr>
      <w:r w:rsidRPr="0019434A">
        <w:rPr>
          <w:color w:val="000000"/>
        </w:rPr>
        <w:t xml:space="preserve">where W is the test statistic, x1i and x2i are the land cover area values for the two periods being compared for sub-district </w:t>
      </w:r>
      <w:proofErr w:type="spellStart"/>
      <w:r w:rsidRPr="0019434A">
        <w:rPr>
          <w:color w:val="000000"/>
        </w:rPr>
        <w:t>i</w:t>
      </w:r>
      <w:proofErr w:type="spellEnd"/>
      <w:r w:rsidRPr="0019434A">
        <w:rPr>
          <w:color w:val="000000"/>
        </w:rPr>
        <w:t xml:space="preserve">, Ri is the rank of the absolute difference |x2i − x1i|, and </w:t>
      </w:r>
      <w:proofErr w:type="spellStart"/>
      <w:proofErr w:type="gramStart"/>
      <w:r w:rsidRPr="0019434A">
        <w:rPr>
          <w:color w:val="000000"/>
        </w:rPr>
        <w:t>sgn</w:t>
      </w:r>
      <w:proofErr w:type="spellEnd"/>
      <w:r w:rsidRPr="0019434A">
        <w:rPr>
          <w:color w:val="000000"/>
        </w:rPr>
        <w:t>(</w:t>
      </w:r>
      <w:proofErr w:type="gramEnd"/>
      <w:r w:rsidRPr="0019434A">
        <w:rPr>
          <w:color w:val="000000"/>
        </w:rPr>
        <w:t>·) is the sign function (+1 for positive differences, −1 for negative, 0 for no difference). All statistical analyses were conducted using JASP version 0.18 at a significance level of α = 0.05.</w:t>
      </w:r>
    </w:p>
    <w:p w14:paraId="1B5A2E3F" w14:textId="77777777" w:rsidR="005966DD" w:rsidRPr="0019434A" w:rsidRDefault="00F87969">
      <w:pPr>
        <w:spacing w:before="160" w:after="80"/>
      </w:pPr>
      <w:r w:rsidRPr="0019434A">
        <w:rPr>
          <w:b/>
          <w:bCs/>
        </w:rPr>
        <w:t>2.3 Erosion Modelling: USLE</w:t>
      </w:r>
    </w:p>
    <w:p w14:paraId="6DACE97F" w14:textId="77777777" w:rsidR="005966DD" w:rsidRPr="0019434A" w:rsidRDefault="00F87969">
      <w:pPr>
        <w:spacing w:after="80" w:line="276" w:lineRule="auto"/>
        <w:ind w:firstLine="720"/>
        <w:jc w:val="both"/>
      </w:pPr>
      <w:r w:rsidRPr="0019434A">
        <w:rPr>
          <w:color w:val="000000"/>
        </w:rPr>
        <w:t>Potential soil erosion was estimated using the Universal Soil Loss Equation (USLE; Wischmeier &amp; Smith, 1978):</w:t>
      </w:r>
    </w:p>
    <w:p w14:paraId="1D869956" w14:textId="77777777" w:rsidR="005966DD" w:rsidRPr="0019434A" w:rsidRDefault="00F87969">
      <w:pPr>
        <w:spacing w:before="80" w:after="80" w:line="276" w:lineRule="auto"/>
        <w:jc w:val="center"/>
      </w:pPr>
      <w:r w:rsidRPr="0019434A">
        <w:rPr>
          <w:color w:val="000000"/>
        </w:rPr>
        <w:t>A = R · K · LS · C · P</w:t>
      </w:r>
    </w:p>
    <w:p w14:paraId="4FB536CF" w14:textId="77777777" w:rsidR="005966DD" w:rsidRPr="0019434A" w:rsidRDefault="00F87969">
      <w:pPr>
        <w:spacing w:after="80" w:line="276" w:lineRule="auto"/>
        <w:ind w:firstLine="720"/>
        <w:jc w:val="both"/>
      </w:pPr>
      <w:r w:rsidRPr="0019434A">
        <w:rPr>
          <w:color w:val="000000"/>
        </w:rPr>
        <w:t>where A is the annual soil loss (</w:t>
      </w:r>
      <w:proofErr w:type="spellStart"/>
      <w:r w:rsidRPr="0019434A">
        <w:rPr>
          <w:color w:val="000000"/>
        </w:rPr>
        <w:t>tonnes</w:t>
      </w:r>
      <w:proofErr w:type="spellEnd"/>
      <w:r w:rsidRPr="0019434A">
        <w:rPr>
          <w:color w:val="000000"/>
        </w:rPr>
        <w:t xml:space="preserve"> ha⁻¹ year⁻¹), R is the rainfall erosivity factor (MJ mm ha⁻¹ h⁻¹ year⁻¹), K is the soil erodibility factor (t ha h ha⁻¹ MJ⁻¹ mm⁻¹), LS is the slope length-steepness factor (dimensionless), C is the cover-management factor (dimensionless), and P is the support practice factor (dimensionless). The R factor was computed from daily rainfall data using the Modified Fournier Index. The K factor was derived from soil texture and organic matter content based on the Wischmeier and Smith nomograph. The LS factor was calculated from a Digital Elevation Model (DEM) at 30-m resolution. The C factor was assigned based on land cover class derived from the LUCC analysis. The P factor was determined based on field conditions and land management practices.</w:t>
      </w:r>
    </w:p>
    <w:p w14:paraId="7604705F" w14:textId="77777777" w:rsidR="005966DD" w:rsidRPr="0019434A" w:rsidRDefault="00F87969">
      <w:pPr>
        <w:spacing w:before="160" w:after="80"/>
      </w:pPr>
      <w:r w:rsidRPr="0019434A">
        <w:rPr>
          <w:b/>
          <w:bCs/>
        </w:rPr>
        <w:t>2.4 Sediment Yield Modelling: MUSLE and SDR</w:t>
      </w:r>
    </w:p>
    <w:p w14:paraId="2357F02A" w14:textId="77777777" w:rsidR="005966DD" w:rsidRPr="0019434A" w:rsidRDefault="00F87969">
      <w:pPr>
        <w:spacing w:after="80" w:line="276" w:lineRule="auto"/>
        <w:ind w:firstLine="720"/>
        <w:jc w:val="both"/>
      </w:pPr>
      <w:r w:rsidRPr="0019434A">
        <w:rPr>
          <w:color w:val="000000"/>
        </w:rPr>
        <w:t>Sediment yield at the land mapping unit (SPL) level was estimated using the Modified Universal Soil Loss Equation (MUSLE; Williams, 1975):</w:t>
      </w:r>
    </w:p>
    <w:p w14:paraId="7FA53446" w14:textId="77777777" w:rsidR="005966DD" w:rsidRPr="0019434A" w:rsidRDefault="00F87969">
      <w:pPr>
        <w:spacing w:before="80" w:after="80" w:line="276" w:lineRule="auto"/>
        <w:jc w:val="center"/>
      </w:pPr>
      <w:r w:rsidRPr="0019434A">
        <w:rPr>
          <w:color w:val="000000"/>
        </w:rPr>
        <w:t>Qs = 11.8 · (</w:t>
      </w:r>
      <w:proofErr w:type="spellStart"/>
      <w:r w:rsidRPr="0019434A">
        <w:rPr>
          <w:color w:val="000000"/>
        </w:rPr>
        <w:t>Vq</w:t>
      </w:r>
      <w:proofErr w:type="spellEnd"/>
      <w:r w:rsidRPr="0019434A">
        <w:rPr>
          <w:color w:val="000000"/>
        </w:rPr>
        <w:t xml:space="preserve"> · </w:t>
      </w:r>
      <w:proofErr w:type="spellStart"/>
      <w:proofErr w:type="gramStart"/>
      <w:r w:rsidRPr="0019434A">
        <w:rPr>
          <w:color w:val="000000"/>
        </w:rPr>
        <w:t>qp</w:t>
      </w:r>
      <w:proofErr w:type="spellEnd"/>
      <w:r w:rsidRPr="0019434A">
        <w:rPr>
          <w:color w:val="000000"/>
        </w:rPr>
        <w:t>)°</w:t>
      </w:r>
      <w:proofErr w:type="gramEnd"/>
      <w:r w:rsidRPr="0019434A">
        <w:rPr>
          <w:color w:val="000000"/>
        </w:rPr>
        <w:t>0.56 · K · LS · C · P</w:t>
      </w:r>
    </w:p>
    <w:p w14:paraId="7FD36A65" w14:textId="77777777" w:rsidR="005966DD" w:rsidRPr="0019434A" w:rsidRDefault="00F87969">
      <w:pPr>
        <w:spacing w:after="80" w:line="276" w:lineRule="auto"/>
        <w:ind w:firstLine="720"/>
        <w:jc w:val="both"/>
      </w:pPr>
      <w:r w:rsidRPr="0019434A">
        <w:rPr>
          <w:color w:val="000000"/>
        </w:rPr>
        <w:t>where Qs is the sediment yield per rainfall event (</w:t>
      </w:r>
      <w:proofErr w:type="spellStart"/>
      <w:r w:rsidRPr="0019434A">
        <w:rPr>
          <w:color w:val="000000"/>
        </w:rPr>
        <w:t>tonnes</w:t>
      </w:r>
      <w:proofErr w:type="spellEnd"/>
      <w:r w:rsidRPr="0019434A">
        <w:rPr>
          <w:color w:val="000000"/>
        </w:rPr>
        <w:t xml:space="preserve">), </w:t>
      </w:r>
      <w:proofErr w:type="spellStart"/>
      <w:r w:rsidRPr="0019434A">
        <w:rPr>
          <w:color w:val="000000"/>
        </w:rPr>
        <w:t>Vq</w:t>
      </w:r>
      <w:proofErr w:type="spellEnd"/>
      <w:r w:rsidRPr="0019434A">
        <w:rPr>
          <w:color w:val="000000"/>
        </w:rPr>
        <w:t xml:space="preserve"> is the runoff volume (m³), and </w:t>
      </w:r>
      <w:proofErr w:type="spellStart"/>
      <w:r w:rsidRPr="0019434A">
        <w:rPr>
          <w:color w:val="000000"/>
        </w:rPr>
        <w:t>qp</w:t>
      </w:r>
      <w:proofErr w:type="spellEnd"/>
      <w:r w:rsidRPr="0019434A">
        <w:rPr>
          <w:color w:val="000000"/>
        </w:rPr>
        <w:t xml:space="preserve"> is the peak discharge (m³ s⁻¹). The MUSLE replaces the rainfall erosivity factor (R) in the USLE with a runoff energy term, enabling event-based estimation of sediment yield.</w:t>
      </w:r>
    </w:p>
    <w:p w14:paraId="6CA5A664" w14:textId="77777777" w:rsidR="005966DD" w:rsidRPr="0019434A" w:rsidRDefault="00F87969">
      <w:pPr>
        <w:spacing w:after="80" w:line="276" w:lineRule="auto"/>
        <w:ind w:firstLine="720"/>
        <w:jc w:val="both"/>
      </w:pPr>
      <w:r w:rsidRPr="0019434A">
        <w:rPr>
          <w:color w:val="000000"/>
        </w:rPr>
        <w:t>The Sediment Delivery Ratio (SDR) was applied to estimate the proportion of eroded material reaching the watershed outlet:</w:t>
      </w:r>
    </w:p>
    <w:p w14:paraId="29ED345A" w14:textId="77777777" w:rsidR="005966DD" w:rsidRPr="0019434A" w:rsidRDefault="00F87969">
      <w:pPr>
        <w:spacing w:before="80" w:after="80" w:line="276" w:lineRule="auto"/>
        <w:jc w:val="center"/>
      </w:pPr>
      <w:r w:rsidRPr="0019434A">
        <w:rPr>
          <w:color w:val="000000"/>
        </w:rPr>
        <w:t>SDR = Qs / A</w:t>
      </w:r>
    </w:p>
    <w:p w14:paraId="0BFE3B70" w14:textId="77777777" w:rsidR="005966DD" w:rsidRPr="0019434A" w:rsidRDefault="00F87969">
      <w:pPr>
        <w:spacing w:after="80" w:line="276" w:lineRule="auto"/>
        <w:ind w:firstLine="720"/>
        <w:jc w:val="both"/>
        <w:rPr>
          <w:color w:val="000000"/>
        </w:rPr>
      </w:pPr>
      <w:r w:rsidRPr="0019434A">
        <w:rPr>
          <w:color w:val="000000"/>
        </w:rPr>
        <w:t>Spatial analysis was performed on 25 Land Mapping Units (SPL) derived through overlay of soil type, slope class, and land cover maps within the watershed boundary using QGIS. Each SPL was used as the unit of calculation for erosion and sedimentation estimation, enabling spatial identification of erosion and sedimentation hotspots.</w:t>
      </w:r>
    </w:p>
    <w:p w14:paraId="333AE9E4" w14:textId="77777777" w:rsidR="005966DD" w:rsidRPr="0019434A" w:rsidRDefault="00F87969">
      <w:pPr>
        <w:spacing w:after="80" w:line="276" w:lineRule="auto"/>
        <w:ind w:firstLine="720"/>
        <w:jc w:val="center"/>
      </w:pPr>
      <w:r w:rsidRPr="0019434A">
        <w:rPr>
          <w:noProof/>
        </w:rPr>
        <w:lastRenderedPageBreak/>
        <w:drawing>
          <wp:inline distT="0" distB="0" distL="114300" distR="114300" wp14:anchorId="6E824901" wp14:editId="1737A3A0">
            <wp:extent cx="3778250" cy="5410835"/>
            <wp:effectExtent l="9525" t="9525" r="9525" b="15240"/>
            <wp:docPr id="3" name="Picture 3" descr="Teks paragraf And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ks paragraf Anda (16)"/>
                    <pic:cNvPicPr>
                      <a:picLocks noChangeAspect="1"/>
                    </pic:cNvPicPr>
                  </pic:nvPicPr>
                  <pic:blipFill>
                    <a:blip r:embed="rId7"/>
                    <a:srcRect l="30797" r="29920"/>
                    <a:stretch>
                      <a:fillRect/>
                    </a:stretch>
                  </pic:blipFill>
                  <pic:spPr>
                    <a:xfrm>
                      <a:off x="0" y="0"/>
                      <a:ext cx="3778250" cy="5410835"/>
                    </a:xfrm>
                    <a:prstGeom prst="rect">
                      <a:avLst/>
                    </a:prstGeom>
                    <a:ln>
                      <a:solidFill>
                        <a:schemeClr val="tx1"/>
                      </a:solidFill>
                    </a:ln>
                  </pic:spPr>
                </pic:pic>
              </a:graphicData>
            </a:graphic>
          </wp:inline>
        </w:drawing>
      </w:r>
    </w:p>
    <w:p w14:paraId="762B9E20" w14:textId="77777777" w:rsidR="005966DD" w:rsidRPr="0019434A" w:rsidRDefault="00F87969">
      <w:pPr>
        <w:spacing w:after="120"/>
        <w:jc w:val="center"/>
      </w:pPr>
      <w:r w:rsidRPr="0019434A">
        <w:rPr>
          <w:i/>
          <w:iCs/>
          <w:sz w:val="18"/>
          <w:szCs w:val="18"/>
        </w:rPr>
        <w:t xml:space="preserve">Figure 2. Distribution of 25 Land Mapping Units (SPL) in the </w:t>
      </w:r>
      <w:proofErr w:type="spellStart"/>
      <w:r w:rsidRPr="0019434A">
        <w:rPr>
          <w:i/>
          <w:iCs/>
          <w:sz w:val="18"/>
          <w:szCs w:val="18"/>
        </w:rPr>
        <w:t>Rejoso</w:t>
      </w:r>
      <w:proofErr w:type="spellEnd"/>
      <w:r w:rsidRPr="0019434A">
        <w:rPr>
          <w:i/>
          <w:iCs/>
          <w:sz w:val="18"/>
          <w:szCs w:val="18"/>
        </w:rPr>
        <w:t xml:space="preserve"> Watershed derived from overlay of soil type, slope class, and land cover.</w:t>
      </w:r>
    </w:p>
    <w:p w14:paraId="025E2AB7" w14:textId="77777777" w:rsidR="005966DD" w:rsidRPr="0019434A" w:rsidRDefault="00F87969">
      <w:pPr>
        <w:spacing w:before="160" w:after="80"/>
      </w:pPr>
      <w:r w:rsidRPr="0019434A">
        <w:rPr>
          <w:b/>
          <w:bCs/>
          <w:caps/>
          <w:sz w:val="22"/>
          <w:szCs w:val="22"/>
        </w:rPr>
        <w:t>3. Results and Discussion</w:t>
      </w:r>
    </w:p>
    <w:p w14:paraId="71994FF9" w14:textId="77777777" w:rsidR="005966DD" w:rsidRPr="0019434A" w:rsidRDefault="00F87969">
      <w:pPr>
        <w:spacing w:before="160" w:after="80"/>
      </w:pPr>
      <w:r w:rsidRPr="0019434A">
        <w:rPr>
          <w:b/>
          <w:bCs/>
        </w:rPr>
        <w:t>3.1 Land Use/Cover Change 2017–2024</w:t>
      </w:r>
    </w:p>
    <w:p w14:paraId="219DE4B8" w14:textId="77777777" w:rsidR="005966DD" w:rsidRPr="0019434A" w:rsidRDefault="00F87969">
      <w:pPr>
        <w:spacing w:after="80" w:line="276" w:lineRule="auto"/>
        <w:ind w:firstLine="720"/>
        <w:jc w:val="both"/>
      </w:pPr>
      <w:r w:rsidRPr="0019434A">
        <w:rPr>
          <w:color w:val="000000"/>
        </w:rPr>
        <w:t xml:space="preserve">The multitemporal classification of Sentinel-2 imagery revealed significant land cover changes across the </w:t>
      </w:r>
      <w:proofErr w:type="spellStart"/>
      <w:r w:rsidRPr="0019434A">
        <w:rPr>
          <w:color w:val="000000"/>
        </w:rPr>
        <w:t>Rejoso</w:t>
      </w:r>
      <w:proofErr w:type="spellEnd"/>
      <w:r w:rsidRPr="0019434A">
        <w:rPr>
          <w:color w:val="000000"/>
        </w:rPr>
        <w:t xml:space="preserve"> Watershed between 2017 and 2024 (Table 1). Two dominant trends were identified: a decline in natural vegetation cover, particularly forest, and an expansion of built-up land and agricultural areas.</w:t>
      </w:r>
    </w:p>
    <w:p w14:paraId="415C288E" w14:textId="77777777" w:rsidR="005966DD" w:rsidRPr="0019434A" w:rsidRDefault="00F87969">
      <w:pPr>
        <w:spacing w:before="120" w:after="40"/>
        <w:jc w:val="center"/>
      </w:pPr>
      <w:r w:rsidRPr="0019434A">
        <w:rPr>
          <w:i/>
          <w:iCs/>
          <w:sz w:val="18"/>
          <w:szCs w:val="18"/>
        </w:rPr>
        <w:t xml:space="preserve">Table 1. Land cover change in the </w:t>
      </w:r>
      <w:proofErr w:type="spellStart"/>
      <w:r w:rsidRPr="0019434A">
        <w:rPr>
          <w:i/>
          <w:iCs/>
          <w:sz w:val="18"/>
          <w:szCs w:val="18"/>
        </w:rPr>
        <w:t>Rejoso</w:t>
      </w:r>
      <w:proofErr w:type="spellEnd"/>
      <w:r w:rsidRPr="0019434A">
        <w:rPr>
          <w:i/>
          <w:iCs/>
          <w:sz w:val="18"/>
          <w:szCs w:val="18"/>
        </w:rPr>
        <w:t xml:space="preserve"> Watershed, 2017–2024.</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1100"/>
        <w:gridCol w:w="1100"/>
        <w:gridCol w:w="1100"/>
        <w:gridCol w:w="1026"/>
        <w:gridCol w:w="1000"/>
        <w:gridCol w:w="1050"/>
        <w:gridCol w:w="1050"/>
      </w:tblGrid>
      <w:tr w:rsidR="005966DD" w:rsidRPr="0019434A" w14:paraId="74260AEE" w14:textId="77777777">
        <w:tc>
          <w:tcPr>
            <w:tcW w:w="1600" w:type="dxa"/>
            <w:tcBorders>
              <w:top w:val="single" w:sz="0" w:space="0" w:color="AAAAAA"/>
              <w:left w:val="single" w:sz="0" w:space="0" w:color="AAAAAA"/>
              <w:bottom w:val="single" w:sz="0" w:space="0" w:color="AAAAAA"/>
              <w:right w:val="single" w:sz="0" w:space="0" w:color="AAAAAA"/>
            </w:tcBorders>
            <w:shd w:val="clear" w:color="auto" w:fill="D0D0D0"/>
            <w:tcMar>
              <w:top w:w="60" w:type="dxa"/>
              <w:left w:w="80" w:type="dxa"/>
              <w:bottom w:w="60" w:type="dxa"/>
              <w:right w:w="80" w:type="dxa"/>
            </w:tcMar>
            <w:vAlign w:val="center"/>
          </w:tcPr>
          <w:p w14:paraId="078CB4E5" w14:textId="77777777" w:rsidR="005966DD" w:rsidRPr="0019434A" w:rsidRDefault="00F87969">
            <w:r w:rsidRPr="0019434A">
              <w:rPr>
                <w:b/>
                <w:bCs/>
                <w:sz w:val="18"/>
                <w:szCs w:val="18"/>
              </w:rPr>
              <w:t>Land Cover Class</w:t>
            </w:r>
          </w:p>
        </w:tc>
        <w:tc>
          <w:tcPr>
            <w:tcW w:w="1100" w:type="dxa"/>
            <w:tcBorders>
              <w:top w:val="single" w:sz="0" w:space="0" w:color="AAAAAA"/>
              <w:left w:val="single" w:sz="0" w:space="0" w:color="AAAAAA"/>
              <w:bottom w:val="single" w:sz="0" w:space="0" w:color="AAAAAA"/>
              <w:right w:val="single" w:sz="0" w:space="0" w:color="AAAAAA"/>
            </w:tcBorders>
            <w:shd w:val="clear" w:color="auto" w:fill="D0D0D0"/>
            <w:tcMar>
              <w:top w:w="60" w:type="dxa"/>
              <w:left w:w="80" w:type="dxa"/>
              <w:bottom w:w="60" w:type="dxa"/>
              <w:right w:w="80" w:type="dxa"/>
            </w:tcMar>
            <w:vAlign w:val="center"/>
          </w:tcPr>
          <w:p w14:paraId="3C04587C" w14:textId="77777777" w:rsidR="005966DD" w:rsidRPr="0019434A" w:rsidRDefault="00F87969">
            <w:pPr>
              <w:jc w:val="center"/>
            </w:pPr>
            <w:r w:rsidRPr="0019434A">
              <w:rPr>
                <w:b/>
                <w:bCs/>
                <w:sz w:val="18"/>
                <w:szCs w:val="18"/>
              </w:rPr>
              <w:t>2017 (ha)</w:t>
            </w:r>
          </w:p>
        </w:tc>
        <w:tc>
          <w:tcPr>
            <w:tcW w:w="1100" w:type="dxa"/>
            <w:tcBorders>
              <w:top w:val="single" w:sz="0" w:space="0" w:color="AAAAAA"/>
              <w:left w:val="single" w:sz="0" w:space="0" w:color="AAAAAA"/>
              <w:bottom w:val="single" w:sz="0" w:space="0" w:color="AAAAAA"/>
              <w:right w:val="single" w:sz="0" w:space="0" w:color="AAAAAA"/>
            </w:tcBorders>
            <w:shd w:val="clear" w:color="auto" w:fill="D0D0D0"/>
            <w:tcMar>
              <w:top w:w="60" w:type="dxa"/>
              <w:left w:w="80" w:type="dxa"/>
              <w:bottom w:w="60" w:type="dxa"/>
              <w:right w:w="80" w:type="dxa"/>
            </w:tcMar>
            <w:vAlign w:val="center"/>
          </w:tcPr>
          <w:p w14:paraId="0DC355BB" w14:textId="77777777" w:rsidR="005966DD" w:rsidRPr="0019434A" w:rsidRDefault="00F87969">
            <w:pPr>
              <w:jc w:val="center"/>
            </w:pPr>
            <w:r w:rsidRPr="0019434A">
              <w:rPr>
                <w:b/>
                <w:bCs/>
                <w:sz w:val="18"/>
                <w:szCs w:val="18"/>
              </w:rPr>
              <w:t>2020 (ha)</w:t>
            </w:r>
          </w:p>
        </w:tc>
        <w:tc>
          <w:tcPr>
            <w:tcW w:w="1100" w:type="dxa"/>
            <w:tcBorders>
              <w:top w:val="single" w:sz="0" w:space="0" w:color="AAAAAA"/>
              <w:left w:val="single" w:sz="0" w:space="0" w:color="AAAAAA"/>
              <w:bottom w:val="single" w:sz="0" w:space="0" w:color="AAAAAA"/>
              <w:right w:val="single" w:sz="0" w:space="0" w:color="AAAAAA"/>
            </w:tcBorders>
            <w:shd w:val="clear" w:color="auto" w:fill="D0D0D0"/>
            <w:tcMar>
              <w:top w:w="60" w:type="dxa"/>
              <w:left w:w="80" w:type="dxa"/>
              <w:bottom w:w="60" w:type="dxa"/>
              <w:right w:w="80" w:type="dxa"/>
            </w:tcMar>
            <w:vAlign w:val="center"/>
          </w:tcPr>
          <w:p w14:paraId="19BCA1C1" w14:textId="77777777" w:rsidR="005966DD" w:rsidRPr="0019434A" w:rsidRDefault="00F87969">
            <w:pPr>
              <w:jc w:val="center"/>
            </w:pPr>
            <w:r w:rsidRPr="0019434A">
              <w:rPr>
                <w:b/>
                <w:bCs/>
                <w:sz w:val="18"/>
                <w:szCs w:val="18"/>
              </w:rPr>
              <w:t>2024 (ha)</w:t>
            </w:r>
          </w:p>
        </w:tc>
        <w:tc>
          <w:tcPr>
            <w:tcW w:w="1026" w:type="dxa"/>
            <w:tcBorders>
              <w:top w:val="single" w:sz="0" w:space="0" w:color="AAAAAA"/>
              <w:left w:val="single" w:sz="0" w:space="0" w:color="AAAAAA"/>
              <w:bottom w:val="single" w:sz="0" w:space="0" w:color="AAAAAA"/>
              <w:right w:val="single" w:sz="0" w:space="0" w:color="AAAAAA"/>
            </w:tcBorders>
            <w:shd w:val="clear" w:color="auto" w:fill="D0D0D0"/>
            <w:tcMar>
              <w:top w:w="60" w:type="dxa"/>
              <w:left w:w="80" w:type="dxa"/>
              <w:bottom w:w="60" w:type="dxa"/>
              <w:right w:w="80" w:type="dxa"/>
            </w:tcMar>
            <w:vAlign w:val="center"/>
          </w:tcPr>
          <w:p w14:paraId="74963324" w14:textId="77777777" w:rsidR="005966DD" w:rsidRPr="0019434A" w:rsidRDefault="00F87969">
            <w:pPr>
              <w:jc w:val="center"/>
            </w:pPr>
            <w:r w:rsidRPr="0019434A">
              <w:rPr>
                <w:b/>
                <w:bCs/>
                <w:sz w:val="18"/>
                <w:szCs w:val="18"/>
              </w:rPr>
              <w:t>Δ 2017–2020 (ha)</w:t>
            </w:r>
          </w:p>
        </w:tc>
        <w:tc>
          <w:tcPr>
            <w:tcW w:w="1000" w:type="dxa"/>
            <w:tcBorders>
              <w:top w:val="single" w:sz="0" w:space="0" w:color="AAAAAA"/>
              <w:left w:val="single" w:sz="0" w:space="0" w:color="AAAAAA"/>
              <w:bottom w:val="single" w:sz="0" w:space="0" w:color="AAAAAA"/>
              <w:right w:val="single" w:sz="0" w:space="0" w:color="AAAAAA"/>
            </w:tcBorders>
            <w:shd w:val="clear" w:color="auto" w:fill="D0D0D0"/>
            <w:tcMar>
              <w:top w:w="60" w:type="dxa"/>
              <w:left w:w="80" w:type="dxa"/>
              <w:bottom w:w="60" w:type="dxa"/>
              <w:right w:w="80" w:type="dxa"/>
            </w:tcMar>
            <w:vAlign w:val="center"/>
          </w:tcPr>
          <w:p w14:paraId="4134D79A" w14:textId="77777777" w:rsidR="005966DD" w:rsidRPr="0019434A" w:rsidRDefault="00F87969">
            <w:pPr>
              <w:jc w:val="center"/>
            </w:pPr>
            <w:r w:rsidRPr="0019434A">
              <w:rPr>
                <w:b/>
                <w:bCs/>
                <w:sz w:val="18"/>
                <w:szCs w:val="18"/>
              </w:rPr>
              <w:t>Δ 2017–2020 (%)</w:t>
            </w:r>
          </w:p>
        </w:tc>
        <w:tc>
          <w:tcPr>
            <w:tcW w:w="1050" w:type="dxa"/>
            <w:tcBorders>
              <w:top w:val="single" w:sz="0" w:space="0" w:color="AAAAAA"/>
              <w:left w:val="single" w:sz="0" w:space="0" w:color="AAAAAA"/>
              <w:bottom w:val="single" w:sz="0" w:space="0" w:color="AAAAAA"/>
              <w:right w:val="single" w:sz="0" w:space="0" w:color="AAAAAA"/>
            </w:tcBorders>
            <w:shd w:val="clear" w:color="auto" w:fill="D0D0D0"/>
            <w:tcMar>
              <w:top w:w="60" w:type="dxa"/>
              <w:left w:w="80" w:type="dxa"/>
              <w:bottom w:w="60" w:type="dxa"/>
              <w:right w:w="80" w:type="dxa"/>
            </w:tcMar>
            <w:vAlign w:val="center"/>
          </w:tcPr>
          <w:p w14:paraId="233FFB99" w14:textId="77777777" w:rsidR="005966DD" w:rsidRPr="0019434A" w:rsidRDefault="00F87969">
            <w:pPr>
              <w:jc w:val="center"/>
            </w:pPr>
            <w:r w:rsidRPr="0019434A">
              <w:rPr>
                <w:b/>
                <w:bCs/>
                <w:sz w:val="18"/>
                <w:szCs w:val="18"/>
              </w:rPr>
              <w:t>Δ 2020–2024 (ha)</w:t>
            </w:r>
          </w:p>
        </w:tc>
        <w:tc>
          <w:tcPr>
            <w:tcW w:w="1050" w:type="dxa"/>
            <w:tcBorders>
              <w:top w:val="single" w:sz="0" w:space="0" w:color="AAAAAA"/>
              <w:left w:val="single" w:sz="0" w:space="0" w:color="AAAAAA"/>
              <w:bottom w:val="single" w:sz="0" w:space="0" w:color="AAAAAA"/>
              <w:right w:val="single" w:sz="0" w:space="0" w:color="AAAAAA"/>
            </w:tcBorders>
            <w:shd w:val="clear" w:color="auto" w:fill="D0D0D0"/>
            <w:tcMar>
              <w:top w:w="60" w:type="dxa"/>
              <w:left w:w="80" w:type="dxa"/>
              <w:bottom w:w="60" w:type="dxa"/>
              <w:right w:w="80" w:type="dxa"/>
            </w:tcMar>
            <w:vAlign w:val="center"/>
          </w:tcPr>
          <w:p w14:paraId="68A3EF73" w14:textId="77777777" w:rsidR="005966DD" w:rsidRPr="0019434A" w:rsidRDefault="00F87969">
            <w:pPr>
              <w:jc w:val="center"/>
            </w:pPr>
            <w:r w:rsidRPr="0019434A">
              <w:rPr>
                <w:b/>
                <w:bCs/>
                <w:sz w:val="18"/>
                <w:szCs w:val="18"/>
              </w:rPr>
              <w:t>Δ 2020–2024 (%)</w:t>
            </w:r>
          </w:p>
        </w:tc>
      </w:tr>
      <w:tr w:rsidR="005966DD" w:rsidRPr="0019434A" w14:paraId="74BF8E9F" w14:textId="77777777">
        <w:tc>
          <w:tcPr>
            <w:tcW w:w="16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727E4BD6" w14:textId="77777777" w:rsidR="005966DD" w:rsidRPr="0019434A" w:rsidRDefault="00F87969">
            <w:r w:rsidRPr="0019434A">
              <w:rPr>
                <w:sz w:val="18"/>
                <w:szCs w:val="18"/>
              </w:rPr>
              <w:t>Water Body</w:t>
            </w:r>
          </w:p>
        </w:tc>
        <w:tc>
          <w:tcPr>
            <w:tcW w:w="11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723048D9" w14:textId="77777777" w:rsidR="005966DD" w:rsidRPr="0019434A" w:rsidRDefault="00F87969">
            <w:pPr>
              <w:jc w:val="center"/>
            </w:pPr>
            <w:r w:rsidRPr="0019434A">
              <w:rPr>
                <w:sz w:val="18"/>
                <w:szCs w:val="18"/>
              </w:rPr>
              <w:t>956.09</w:t>
            </w:r>
          </w:p>
        </w:tc>
        <w:tc>
          <w:tcPr>
            <w:tcW w:w="11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4167B3A1" w14:textId="77777777" w:rsidR="005966DD" w:rsidRPr="0019434A" w:rsidRDefault="00F87969">
            <w:pPr>
              <w:jc w:val="center"/>
            </w:pPr>
            <w:r w:rsidRPr="0019434A">
              <w:rPr>
                <w:sz w:val="18"/>
                <w:szCs w:val="18"/>
              </w:rPr>
              <w:t>1,060.00</w:t>
            </w:r>
          </w:p>
        </w:tc>
        <w:tc>
          <w:tcPr>
            <w:tcW w:w="11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4262F8A3" w14:textId="77777777" w:rsidR="005966DD" w:rsidRPr="0019434A" w:rsidRDefault="00F87969">
            <w:pPr>
              <w:jc w:val="center"/>
            </w:pPr>
            <w:r w:rsidRPr="0019434A">
              <w:rPr>
                <w:sz w:val="18"/>
                <w:szCs w:val="18"/>
              </w:rPr>
              <w:t>1,066.01</w:t>
            </w:r>
          </w:p>
        </w:tc>
        <w:tc>
          <w:tcPr>
            <w:tcW w:w="1026"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69E95430" w14:textId="77777777" w:rsidR="005966DD" w:rsidRPr="0019434A" w:rsidRDefault="00F87969">
            <w:pPr>
              <w:jc w:val="center"/>
            </w:pPr>
            <w:r w:rsidRPr="0019434A">
              <w:rPr>
                <w:sz w:val="18"/>
                <w:szCs w:val="18"/>
              </w:rPr>
              <w:t>+103.91</w:t>
            </w:r>
          </w:p>
        </w:tc>
        <w:tc>
          <w:tcPr>
            <w:tcW w:w="10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374FA083" w14:textId="77777777" w:rsidR="005966DD" w:rsidRPr="0019434A" w:rsidRDefault="00F87969">
            <w:pPr>
              <w:jc w:val="center"/>
            </w:pPr>
            <w:r w:rsidRPr="0019434A">
              <w:rPr>
                <w:sz w:val="18"/>
                <w:szCs w:val="18"/>
              </w:rPr>
              <w:t>+10.87</w:t>
            </w:r>
          </w:p>
        </w:tc>
        <w:tc>
          <w:tcPr>
            <w:tcW w:w="105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04CD8AB9" w14:textId="77777777" w:rsidR="005966DD" w:rsidRPr="0019434A" w:rsidRDefault="00F87969">
            <w:pPr>
              <w:jc w:val="center"/>
            </w:pPr>
            <w:r w:rsidRPr="0019434A">
              <w:rPr>
                <w:sz w:val="18"/>
                <w:szCs w:val="18"/>
              </w:rPr>
              <w:t>+6.01</w:t>
            </w:r>
          </w:p>
        </w:tc>
        <w:tc>
          <w:tcPr>
            <w:tcW w:w="105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5C4F9979" w14:textId="77777777" w:rsidR="005966DD" w:rsidRPr="0019434A" w:rsidRDefault="00F87969">
            <w:pPr>
              <w:jc w:val="center"/>
            </w:pPr>
            <w:r w:rsidRPr="0019434A">
              <w:rPr>
                <w:sz w:val="18"/>
                <w:szCs w:val="18"/>
              </w:rPr>
              <w:t>+0.57</w:t>
            </w:r>
          </w:p>
        </w:tc>
      </w:tr>
      <w:tr w:rsidR="005966DD" w:rsidRPr="0019434A" w14:paraId="2A09AE8F" w14:textId="77777777">
        <w:tc>
          <w:tcPr>
            <w:tcW w:w="16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73CF5787" w14:textId="77777777" w:rsidR="005966DD" w:rsidRPr="0019434A" w:rsidRDefault="00F87969">
            <w:r w:rsidRPr="0019434A">
              <w:rPr>
                <w:sz w:val="18"/>
                <w:szCs w:val="18"/>
              </w:rPr>
              <w:t>Forest</w:t>
            </w:r>
          </w:p>
        </w:tc>
        <w:tc>
          <w:tcPr>
            <w:tcW w:w="11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745DDA4A" w14:textId="77777777" w:rsidR="005966DD" w:rsidRPr="0019434A" w:rsidRDefault="00F87969">
            <w:pPr>
              <w:jc w:val="center"/>
            </w:pPr>
            <w:r w:rsidRPr="0019434A">
              <w:rPr>
                <w:sz w:val="18"/>
                <w:szCs w:val="18"/>
              </w:rPr>
              <w:t>16,962.79</w:t>
            </w:r>
          </w:p>
        </w:tc>
        <w:tc>
          <w:tcPr>
            <w:tcW w:w="11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4F8C39A6" w14:textId="77777777" w:rsidR="005966DD" w:rsidRPr="0019434A" w:rsidRDefault="00F87969">
            <w:pPr>
              <w:jc w:val="center"/>
            </w:pPr>
            <w:r w:rsidRPr="0019434A">
              <w:rPr>
                <w:sz w:val="18"/>
                <w:szCs w:val="18"/>
              </w:rPr>
              <w:t>16,554.00</w:t>
            </w:r>
          </w:p>
        </w:tc>
        <w:tc>
          <w:tcPr>
            <w:tcW w:w="11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518C7D61" w14:textId="77777777" w:rsidR="005966DD" w:rsidRPr="0019434A" w:rsidRDefault="00F87969">
            <w:pPr>
              <w:jc w:val="center"/>
            </w:pPr>
            <w:r w:rsidRPr="0019434A">
              <w:rPr>
                <w:sz w:val="18"/>
                <w:szCs w:val="18"/>
              </w:rPr>
              <w:t>14,241.15</w:t>
            </w:r>
          </w:p>
        </w:tc>
        <w:tc>
          <w:tcPr>
            <w:tcW w:w="1026"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15B2D78B" w14:textId="77777777" w:rsidR="005966DD" w:rsidRPr="0019434A" w:rsidRDefault="00F87969">
            <w:pPr>
              <w:jc w:val="center"/>
            </w:pPr>
            <w:r w:rsidRPr="0019434A">
              <w:rPr>
                <w:sz w:val="18"/>
                <w:szCs w:val="18"/>
              </w:rPr>
              <w:t>−408.79</w:t>
            </w:r>
          </w:p>
        </w:tc>
        <w:tc>
          <w:tcPr>
            <w:tcW w:w="10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0903B927" w14:textId="77777777" w:rsidR="005966DD" w:rsidRPr="0019434A" w:rsidRDefault="00F87969">
            <w:pPr>
              <w:jc w:val="center"/>
            </w:pPr>
            <w:r w:rsidRPr="0019434A">
              <w:rPr>
                <w:sz w:val="18"/>
                <w:szCs w:val="18"/>
              </w:rPr>
              <w:t>−2.41</w:t>
            </w:r>
          </w:p>
        </w:tc>
        <w:tc>
          <w:tcPr>
            <w:tcW w:w="105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6EE2D5D9" w14:textId="77777777" w:rsidR="005966DD" w:rsidRPr="0019434A" w:rsidRDefault="00F87969">
            <w:pPr>
              <w:jc w:val="center"/>
            </w:pPr>
            <w:r w:rsidRPr="0019434A">
              <w:rPr>
                <w:sz w:val="18"/>
                <w:szCs w:val="18"/>
              </w:rPr>
              <w:t>−2,312.85</w:t>
            </w:r>
          </w:p>
        </w:tc>
        <w:tc>
          <w:tcPr>
            <w:tcW w:w="105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0F32C704" w14:textId="77777777" w:rsidR="005966DD" w:rsidRPr="0019434A" w:rsidRDefault="00F87969">
            <w:pPr>
              <w:jc w:val="center"/>
            </w:pPr>
            <w:r w:rsidRPr="0019434A">
              <w:rPr>
                <w:sz w:val="18"/>
                <w:szCs w:val="18"/>
              </w:rPr>
              <w:t>−13.97</w:t>
            </w:r>
          </w:p>
        </w:tc>
      </w:tr>
      <w:tr w:rsidR="005966DD" w:rsidRPr="0019434A" w14:paraId="32A8E2D5" w14:textId="77777777">
        <w:tc>
          <w:tcPr>
            <w:tcW w:w="16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507A7013" w14:textId="77777777" w:rsidR="005966DD" w:rsidRPr="0019434A" w:rsidRDefault="00F87969">
            <w:r w:rsidRPr="0019434A">
              <w:rPr>
                <w:sz w:val="18"/>
                <w:szCs w:val="18"/>
              </w:rPr>
              <w:t>Swamp</w:t>
            </w:r>
          </w:p>
        </w:tc>
        <w:tc>
          <w:tcPr>
            <w:tcW w:w="11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042A77BA" w14:textId="77777777" w:rsidR="005966DD" w:rsidRPr="0019434A" w:rsidRDefault="00F87969">
            <w:pPr>
              <w:jc w:val="center"/>
            </w:pPr>
            <w:r w:rsidRPr="0019434A">
              <w:rPr>
                <w:sz w:val="18"/>
                <w:szCs w:val="18"/>
              </w:rPr>
              <w:t>93.09</w:t>
            </w:r>
          </w:p>
        </w:tc>
        <w:tc>
          <w:tcPr>
            <w:tcW w:w="11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6C3FC07B" w14:textId="77777777" w:rsidR="005966DD" w:rsidRPr="0019434A" w:rsidRDefault="00F87969">
            <w:pPr>
              <w:jc w:val="center"/>
            </w:pPr>
            <w:r w:rsidRPr="0019434A">
              <w:rPr>
                <w:sz w:val="18"/>
                <w:szCs w:val="18"/>
              </w:rPr>
              <w:t>75.00</w:t>
            </w:r>
          </w:p>
        </w:tc>
        <w:tc>
          <w:tcPr>
            <w:tcW w:w="11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64C82B70" w14:textId="77777777" w:rsidR="005966DD" w:rsidRPr="0019434A" w:rsidRDefault="00F87969">
            <w:pPr>
              <w:jc w:val="center"/>
            </w:pPr>
            <w:r w:rsidRPr="0019434A">
              <w:rPr>
                <w:sz w:val="18"/>
                <w:szCs w:val="18"/>
              </w:rPr>
              <w:t>91.15</w:t>
            </w:r>
          </w:p>
        </w:tc>
        <w:tc>
          <w:tcPr>
            <w:tcW w:w="1026"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6E375228" w14:textId="77777777" w:rsidR="005966DD" w:rsidRPr="0019434A" w:rsidRDefault="00F87969">
            <w:pPr>
              <w:jc w:val="center"/>
            </w:pPr>
            <w:r w:rsidRPr="0019434A">
              <w:rPr>
                <w:sz w:val="18"/>
                <w:szCs w:val="18"/>
              </w:rPr>
              <w:t>−18.09</w:t>
            </w:r>
          </w:p>
        </w:tc>
        <w:tc>
          <w:tcPr>
            <w:tcW w:w="10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5B57CD01" w14:textId="77777777" w:rsidR="005966DD" w:rsidRPr="0019434A" w:rsidRDefault="00F87969">
            <w:pPr>
              <w:jc w:val="center"/>
            </w:pPr>
            <w:r w:rsidRPr="0019434A">
              <w:rPr>
                <w:sz w:val="18"/>
                <w:szCs w:val="18"/>
              </w:rPr>
              <w:t>−19.43</w:t>
            </w:r>
          </w:p>
        </w:tc>
        <w:tc>
          <w:tcPr>
            <w:tcW w:w="105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52607E99" w14:textId="77777777" w:rsidR="005966DD" w:rsidRPr="0019434A" w:rsidRDefault="00F87969">
            <w:pPr>
              <w:jc w:val="center"/>
            </w:pPr>
            <w:r w:rsidRPr="0019434A">
              <w:rPr>
                <w:sz w:val="18"/>
                <w:szCs w:val="18"/>
              </w:rPr>
              <w:t>+16.15</w:t>
            </w:r>
          </w:p>
        </w:tc>
        <w:tc>
          <w:tcPr>
            <w:tcW w:w="105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5AE58840" w14:textId="77777777" w:rsidR="005966DD" w:rsidRPr="0019434A" w:rsidRDefault="00F87969">
            <w:pPr>
              <w:jc w:val="center"/>
            </w:pPr>
            <w:r w:rsidRPr="0019434A">
              <w:rPr>
                <w:sz w:val="18"/>
                <w:szCs w:val="18"/>
              </w:rPr>
              <w:t>+21.53</w:t>
            </w:r>
          </w:p>
        </w:tc>
      </w:tr>
      <w:tr w:rsidR="005966DD" w:rsidRPr="0019434A" w14:paraId="2BF489F3" w14:textId="77777777">
        <w:tc>
          <w:tcPr>
            <w:tcW w:w="16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1412C838" w14:textId="77777777" w:rsidR="005966DD" w:rsidRPr="0019434A" w:rsidRDefault="00F87969">
            <w:r w:rsidRPr="0019434A">
              <w:rPr>
                <w:sz w:val="18"/>
                <w:szCs w:val="18"/>
              </w:rPr>
              <w:t>Agricultural Land</w:t>
            </w:r>
          </w:p>
        </w:tc>
        <w:tc>
          <w:tcPr>
            <w:tcW w:w="11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2F97C0B8" w14:textId="77777777" w:rsidR="005966DD" w:rsidRPr="0019434A" w:rsidRDefault="00F87969">
            <w:pPr>
              <w:jc w:val="center"/>
            </w:pPr>
            <w:r w:rsidRPr="0019434A">
              <w:rPr>
                <w:sz w:val="18"/>
                <w:szCs w:val="18"/>
              </w:rPr>
              <w:t>11,884.21</w:t>
            </w:r>
          </w:p>
        </w:tc>
        <w:tc>
          <w:tcPr>
            <w:tcW w:w="11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6BC92B68" w14:textId="77777777" w:rsidR="005966DD" w:rsidRPr="0019434A" w:rsidRDefault="00F87969">
            <w:pPr>
              <w:jc w:val="center"/>
            </w:pPr>
            <w:r w:rsidRPr="0019434A">
              <w:rPr>
                <w:sz w:val="18"/>
                <w:szCs w:val="18"/>
              </w:rPr>
              <w:t>12,930.00</w:t>
            </w:r>
          </w:p>
        </w:tc>
        <w:tc>
          <w:tcPr>
            <w:tcW w:w="11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1F932972" w14:textId="77777777" w:rsidR="005966DD" w:rsidRPr="0019434A" w:rsidRDefault="00F87969">
            <w:pPr>
              <w:jc w:val="center"/>
            </w:pPr>
            <w:r w:rsidRPr="0019434A">
              <w:rPr>
                <w:sz w:val="18"/>
                <w:szCs w:val="18"/>
              </w:rPr>
              <w:t>12,799.64</w:t>
            </w:r>
          </w:p>
        </w:tc>
        <w:tc>
          <w:tcPr>
            <w:tcW w:w="1026"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6BA9CD35" w14:textId="77777777" w:rsidR="005966DD" w:rsidRPr="0019434A" w:rsidRDefault="00F87969">
            <w:pPr>
              <w:jc w:val="center"/>
            </w:pPr>
            <w:r w:rsidRPr="0019434A">
              <w:rPr>
                <w:sz w:val="18"/>
                <w:szCs w:val="18"/>
              </w:rPr>
              <w:t>+1,045.79</w:t>
            </w:r>
          </w:p>
        </w:tc>
        <w:tc>
          <w:tcPr>
            <w:tcW w:w="10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6C325F70" w14:textId="77777777" w:rsidR="005966DD" w:rsidRPr="0019434A" w:rsidRDefault="00F87969">
            <w:pPr>
              <w:jc w:val="center"/>
            </w:pPr>
            <w:r w:rsidRPr="0019434A">
              <w:rPr>
                <w:sz w:val="18"/>
                <w:szCs w:val="18"/>
              </w:rPr>
              <w:t>+8.80</w:t>
            </w:r>
          </w:p>
        </w:tc>
        <w:tc>
          <w:tcPr>
            <w:tcW w:w="105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63844F2F" w14:textId="77777777" w:rsidR="005966DD" w:rsidRPr="0019434A" w:rsidRDefault="00F87969">
            <w:pPr>
              <w:jc w:val="center"/>
            </w:pPr>
            <w:r w:rsidRPr="0019434A">
              <w:rPr>
                <w:sz w:val="18"/>
                <w:szCs w:val="18"/>
              </w:rPr>
              <w:t>−130.36</w:t>
            </w:r>
          </w:p>
        </w:tc>
        <w:tc>
          <w:tcPr>
            <w:tcW w:w="105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65DEB5E2" w14:textId="77777777" w:rsidR="005966DD" w:rsidRPr="0019434A" w:rsidRDefault="00F87969">
            <w:pPr>
              <w:jc w:val="center"/>
            </w:pPr>
            <w:r w:rsidRPr="0019434A">
              <w:rPr>
                <w:sz w:val="18"/>
                <w:szCs w:val="18"/>
              </w:rPr>
              <w:t>−1.01</w:t>
            </w:r>
          </w:p>
        </w:tc>
      </w:tr>
      <w:tr w:rsidR="005966DD" w:rsidRPr="0019434A" w14:paraId="2B9A1A79" w14:textId="77777777">
        <w:tc>
          <w:tcPr>
            <w:tcW w:w="16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5F5D09DD" w14:textId="77777777" w:rsidR="005966DD" w:rsidRPr="0019434A" w:rsidRDefault="00F87969">
            <w:r w:rsidRPr="0019434A">
              <w:rPr>
                <w:sz w:val="18"/>
                <w:szCs w:val="18"/>
              </w:rPr>
              <w:t>Built-up Land</w:t>
            </w:r>
          </w:p>
        </w:tc>
        <w:tc>
          <w:tcPr>
            <w:tcW w:w="11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0F505448" w14:textId="77777777" w:rsidR="005966DD" w:rsidRPr="0019434A" w:rsidRDefault="00F87969">
            <w:pPr>
              <w:jc w:val="center"/>
            </w:pPr>
            <w:r w:rsidRPr="0019434A">
              <w:rPr>
                <w:sz w:val="18"/>
                <w:szCs w:val="18"/>
              </w:rPr>
              <w:t>5,234.34</w:t>
            </w:r>
          </w:p>
        </w:tc>
        <w:tc>
          <w:tcPr>
            <w:tcW w:w="11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17BDFE57" w14:textId="77777777" w:rsidR="005966DD" w:rsidRPr="0019434A" w:rsidRDefault="00F87969">
            <w:pPr>
              <w:jc w:val="center"/>
            </w:pPr>
            <w:r w:rsidRPr="0019434A">
              <w:rPr>
                <w:sz w:val="18"/>
                <w:szCs w:val="18"/>
              </w:rPr>
              <w:t>6,182.00</w:t>
            </w:r>
          </w:p>
        </w:tc>
        <w:tc>
          <w:tcPr>
            <w:tcW w:w="11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6ED2FB36" w14:textId="77777777" w:rsidR="005966DD" w:rsidRPr="0019434A" w:rsidRDefault="00F87969">
            <w:pPr>
              <w:jc w:val="center"/>
            </w:pPr>
            <w:r w:rsidRPr="0019434A">
              <w:rPr>
                <w:sz w:val="18"/>
                <w:szCs w:val="18"/>
              </w:rPr>
              <w:t>6,853.31</w:t>
            </w:r>
          </w:p>
        </w:tc>
        <w:tc>
          <w:tcPr>
            <w:tcW w:w="1026"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2EFC3BE2" w14:textId="77777777" w:rsidR="005966DD" w:rsidRPr="0019434A" w:rsidRDefault="00F87969">
            <w:pPr>
              <w:jc w:val="center"/>
            </w:pPr>
            <w:r w:rsidRPr="0019434A">
              <w:rPr>
                <w:sz w:val="18"/>
                <w:szCs w:val="18"/>
              </w:rPr>
              <w:t>+947.66</w:t>
            </w:r>
          </w:p>
        </w:tc>
        <w:tc>
          <w:tcPr>
            <w:tcW w:w="10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1D920AEB" w14:textId="77777777" w:rsidR="005966DD" w:rsidRPr="0019434A" w:rsidRDefault="00F87969">
            <w:pPr>
              <w:jc w:val="center"/>
            </w:pPr>
            <w:r w:rsidRPr="0019434A">
              <w:rPr>
                <w:sz w:val="18"/>
                <w:szCs w:val="18"/>
              </w:rPr>
              <w:t>+18.11</w:t>
            </w:r>
          </w:p>
        </w:tc>
        <w:tc>
          <w:tcPr>
            <w:tcW w:w="105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06B9AD98" w14:textId="77777777" w:rsidR="005966DD" w:rsidRPr="0019434A" w:rsidRDefault="00F87969">
            <w:pPr>
              <w:jc w:val="center"/>
            </w:pPr>
            <w:r w:rsidRPr="0019434A">
              <w:rPr>
                <w:sz w:val="18"/>
                <w:szCs w:val="18"/>
              </w:rPr>
              <w:t>+671.31</w:t>
            </w:r>
          </w:p>
        </w:tc>
        <w:tc>
          <w:tcPr>
            <w:tcW w:w="105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1C4559FE" w14:textId="77777777" w:rsidR="005966DD" w:rsidRPr="0019434A" w:rsidRDefault="00F87969">
            <w:pPr>
              <w:jc w:val="center"/>
            </w:pPr>
            <w:r w:rsidRPr="0019434A">
              <w:rPr>
                <w:sz w:val="18"/>
                <w:szCs w:val="18"/>
              </w:rPr>
              <w:t>+10.86</w:t>
            </w:r>
          </w:p>
        </w:tc>
      </w:tr>
      <w:tr w:rsidR="005966DD" w:rsidRPr="0019434A" w14:paraId="46BD5607" w14:textId="77777777">
        <w:tc>
          <w:tcPr>
            <w:tcW w:w="16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51F66C72" w14:textId="77777777" w:rsidR="005966DD" w:rsidRPr="0019434A" w:rsidRDefault="00F87969">
            <w:r w:rsidRPr="0019434A">
              <w:rPr>
                <w:sz w:val="18"/>
                <w:szCs w:val="18"/>
              </w:rPr>
              <w:t>Bare Land</w:t>
            </w:r>
          </w:p>
        </w:tc>
        <w:tc>
          <w:tcPr>
            <w:tcW w:w="11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75AB3F1B" w14:textId="77777777" w:rsidR="005966DD" w:rsidRPr="0019434A" w:rsidRDefault="00F87969">
            <w:pPr>
              <w:jc w:val="center"/>
            </w:pPr>
            <w:r w:rsidRPr="0019434A">
              <w:rPr>
                <w:sz w:val="18"/>
                <w:szCs w:val="18"/>
              </w:rPr>
              <w:t>4.35</w:t>
            </w:r>
          </w:p>
        </w:tc>
        <w:tc>
          <w:tcPr>
            <w:tcW w:w="11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45A0EC04" w14:textId="77777777" w:rsidR="005966DD" w:rsidRPr="0019434A" w:rsidRDefault="00F87969">
            <w:pPr>
              <w:jc w:val="center"/>
            </w:pPr>
            <w:r w:rsidRPr="0019434A">
              <w:rPr>
                <w:sz w:val="18"/>
                <w:szCs w:val="18"/>
              </w:rPr>
              <w:t>0.18</w:t>
            </w:r>
          </w:p>
        </w:tc>
        <w:tc>
          <w:tcPr>
            <w:tcW w:w="11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498B1D02" w14:textId="77777777" w:rsidR="005966DD" w:rsidRPr="0019434A" w:rsidRDefault="00F87969">
            <w:pPr>
              <w:jc w:val="center"/>
            </w:pPr>
            <w:r w:rsidRPr="0019434A">
              <w:rPr>
                <w:sz w:val="18"/>
                <w:szCs w:val="18"/>
              </w:rPr>
              <w:t>1.10</w:t>
            </w:r>
          </w:p>
        </w:tc>
        <w:tc>
          <w:tcPr>
            <w:tcW w:w="1026"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78E4C178" w14:textId="77777777" w:rsidR="005966DD" w:rsidRPr="0019434A" w:rsidRDefault="00F87969">
            <w:pPr>
              <w:jc w:val="center"/>
            </w:pPr>
            <w:r w:rsidRPr="0019434A">
              <w:rPr>
                <w:sz w:val="18"/>
                <w:szCs w:val="18"/>
              </w:rPr>
              <w:t>−4.17</w:t>
            </w:r>
          </w:p>
        </w:tc>
        <w:tc>
          <w:tcPr>
            <w:tcW w:w="10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7ADF206F" w14:textId="77777777" w:rsidR="005966DD" w:rsidRPr="0019434A" w:rsidRDefault="00F87969">
            <w:pPr>
              <w:jc w:val="center"/>
            </w:pPr>
            <w:r w:rsidRPr="0019434A">
              <w:rPr>
                <w:sz w:val="18"/>
                <w:szCs w:val="18"/>
              </w:rPr>
              <w:t>−95.86</w:t>
            </w:r>
          </w:p>
        </w:tc>
        <w:tc>
          <w:tcPr>
            <w:tcW w:w="105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5CEC4EAA" w14:textId="77777777" w:rsidR="005966DD" w:rsidRPr="0019434A" w:rsidRDefault="00F87969">
            <w:pPr>
              <w:jc w:val="center"/>
            </w:pPr>
            <w:r w:rsidRPr="0019434A">
              <w:rPr>
                <w:sz w:val="18"/>
                <w:szCs w:val="18"/>
              </w:rPr>
              <w:t>+0.92</w:t>
            </w:r>
          </w:p>
        </w:tc>
        <w:tc>
          <w:tcPr>
            <w:tcW w:w="105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7092B1D6" w14:textId="77777777" w:rsidR="005966DD" w:rsidRPr="0019434A" w:rsidRDefault="00F87969">
            <w:pPr>
              <w:jc w:val="center"/>
            </w:pPr>
            <w:r w:rsidRPr="0019434A">
              <w:rPr>
                <w:sz w:val="18"/>
                <w:szCs w:val="18"/>
              </w:rPr>
              <w:t>+511.11</w:t>
            </w:r>
          </w:p>
        </w:tc>
      </w:tr>
      <w:tr w:rsidR="005966DD" w:rsidRPr="0019434A" w14:paraId="7215973F" w14:textId="77777777">
        <w:tc>
          <w:tcPr>
            <w:tcW w:w="16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689A2AF9" w14:textId="77777777" w:rsidR="005966DD" w:rsidRPr="0019434A" w:rsidRDefault="00F87969">
            <w:r w:rsidRPr="0019434A">
              <w:rPr>
                <w:sz w:val="18"/>
                <w:szCs w:val="18"/>
              </w:rPr>
              <w:t>Dryland (</w:t>
            </w:r>
            <w:proofErr w:type="spellStart"/>
            <w:r w:rsidRPr="0019434A">
              <w:rPr>
                <w:sz w:val="18"/>
                <w:szCs w:val="18"/>
              </w:rPr>
              <w:t>Tegalan</w:t>
            </w:r>
            <w:proofErr w:type="spellEnd"/>
            <w:r w:rsidRPr="0019434A">
              <w:rPr>
                <w:sz w:val="18"/>
                <w:szCs w:val="18"/>
              </w:rPr>
              <w:t>)</w:t>
            </w:r>
          </w:p>
        </w:tc>
        <w:tc>
          <w:tcPr>
            <w:tcW w:w="11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7D6F89E4" w14:textId="77777777" w:rsidR="005966DD" w:rsidRPr="0019434A" w:rsidRDefault="00F87969">
            <w:pPr>
              <w:jc w:val="center"/>
            </w:pPr>
            <w:r w:rsidRPr="0019434A">
              <w:rPr>
                <w:sz w:val="18"/>
                <w:szCs w:val="18"/>
              </w:rPr>
              <w:t>4,996.53</w:t>
            </w:r>
          </w:p>
        </w:tc>
        <w:tc>
          <w:tcPr>
            <w:tcW w:w="11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3B09DE33" w14:textId="77777777" w:rsidR="005966DD" w:rsidRPr="0019434A" w:rsidRDefault="00F87969">
            <w:pPr>
              <w:jc w:val="center"/>
            </w:pPr>
            <w:r w:rsidRPr="0019434A">
              <w:rPr>
                <w:sz w:val="18"/>
                <w:szCs w:val="18"/>
              </w:rPr>
              <w:t>3,324.00</w:t>
            </w:r>
          </w:p>
        </w:tc>
        <w:tc>
          <w:tcPr>
            <w:tcW w:w="11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049E1370" w14:textId="77777777" w:rsidR="005966DD" w:rsidRPr="0019434A" w:rsidRDefault="00F87969">
            <w:pPr>
              <w:jc w:val="center"/>
            </w:pPr>
            <w:r w:rsidRPr="0019434A">
              <w:rPr>
                <w:sz w:val="18"/>
                <w:szCs w:val="18"/>
              </w:rPr>
              <w:t>5,074.50</w:t>
            </w:r>
          </w:p>
        </w:tc>
        <w:tc>
          <w:tcPr>
            <w:tcW w:w="1026"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3F5C590C" w14:textId="77777777" w:rsidR="005966DD" w:rsidRPr="0019434A" w:rsidRDefault="00F87969">
            <w:pPr>
              <w:jc w:val="center"/>
            </w:pPr>
            <w:r w:rsidRPr="0019434A">
              <w:rPr>
                <w:sz w:val="18"/>
                <w:szCs w:val="18"/>
              </w:rPr>
              <w:t>−1,672.53</w:t>
            </w:r>
          </w:p>
        </w:tc>
        <w:tc>
          <w:tcPr>
            <w:tcW w:w="100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54D10563" w14:textId="77777777" w:rsidR="005966DD" w:rsidRPr="0019434A" w:rsidRDefault="00F87969">
            <w:pPr>
              <w:jc w:val="center"/>
            </w:pPr>
            <w:r w:rsidRPr="0019434A">
              <w:rPr>
                <w:sz w:val="18"/>
                <w:szCs w:val="18"/>
              </w:rPr>
              <w:t>−33.47</w:t>
            </w:r>
          </w:p>
        </w:tc>
        <w:tc>
          <w:tcPr>
            <w:tcW w:w="105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71C8939C" w14:textId="77777777" w:rsidR="005966DD" w:rsidRPr="0019434A" w:rsidRDefault="00F87969">
            <w:pPr>
              <w:jc w:val="center"/>
            </w:pPr>
            <w:r w:rsidRPr="0019434A">
              <w:rPr>
                <w:sz w:val="18"/>
                <w:szCs w:val="18"/>
              </w:rPr>
              <w:t>+1,750.50</w:t>
            </w:r>
          </w:p>
        </w:tc>
        <w:tc>
          <w:tcPr>
            <w:tcW w:w="105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36D3B00C" w14:textId="77777777" w:rsidR="005966DD" w:rsidRPr="0019434A" w:rsidRDefault="00F87969">
            <w:pPr>
              <w:jc w:val="center"/>
            </w:pPr>
            <w:r w:rsidRPr="0019434A">
              <w:rPr>
                <w:sz w:val="18"/>
                <w:szCs w:val="18"/>
              </w:rPr>
              <w:t>+52.66</w:t>
            </w:r>
          </w:p>
        </w:tc>
      </w:tr>
    </w:tbl>
    <w:p w14:paraId="41583264" w14:textId="77777777" w:rsidR="005966DD" w:rsidRPr="0019434A" w:rsidRDefault="00F87969">
      <w:pPr>
        <w:spacing w:after="120" w:line="276" w:lineRule="auto"/>
      </w:pPr>
      <w:r w:rsidRPr="0019434A">
        <w:rPr>
          <w:color w:val="000000"/>
        </w:rPr>
        <w:lastRenderedPageBreak/>
        <w:t>Source: Analysis results, 2026</w:t>
      </w:r>
    </w:p>
    <w:p w14:paraId="6F91EC62" w14:textId="77777777" w:rsidR="005966DD" w:rsidRPr="0019434A" w:rsidRDefault="00F87969">
      <w:pPr>
        <w:spacing w:after="80" w:line="276" w:lineRule="auto"/>
        <w:ind w:firstLine="720"/>
        <w:jc w:val="both"/>
        <w:rPr>
          <w:color w:val="000000"/>
        </w:rPr>
      </w:pPr>
      <w:r w:rsidRPr="0019434A">
        <w:rPr>
          <w:color w:val="000000"/>
        </w:rPr>
        <w:t xml:space="preserve">Forest cover declined by a total of 2,721.64 ha over the seven-year study period. The rate of loss accelerated markedly between 2020 and 2024 (−2,312.85 ha; −13.97%), compared to the relatively modest loss observed between 2017 and 2020 (−408.79 ha; −2.41%). Built-up land expanded consistently across both periods, recording gains of +947.66 ha (+18.11%) between 2017 and 2020 and +671.31 ha (+10.86%) between 2020 and 2024, representing a total expansion of 30.93% over the study period. These patterns are consistent with reported </w:t>
      </w:r>
      <w:proofErr w:type="spellStart"/>
      <w:r w:rsidRPr="0019434A">
        <w:rPr>
          <w:color w:val="000000"/>
        </w:rPr>
        <w:t>urbanisation</w:t>
      </w:r>
      <w:proofErr w:type="spellEnd"/>
      <w:r w:rsidRPr="0019434A">
        <w:rPr>
          <w:color w:val="000000"/>
        </w:rPr>
        <w:t xml:space="preserve"> pressures in the </w:t>
      </w:r>
      <w:proofErr w:type="spellStart"/>
      <w:r w:rsidRPr="0019434A">
        <w:rPr>
          <w:color w:val="000000"/>
        </w:rPr>
        <w:t>Pasuruan</w:t>
      </w:r>
      <w:proofErr w:type="spellEnd"/>
      <w:r w:rsidRPr="0019434A">
        <w:rPr>
          <w:color w:val="000000"/>
        </w:rPr>
        <w:t xml:space="preserve"> area, where the Green Coverage Index (IKTL) of Kota </w:t>
      </w:r>
      <w:proofErr w:type="spellStart"/>
      <w:r w:rsidRPr="0019434A">
        <w:rPr>
          <w:color w:val="000000"/>
        </w:rPr>
        <w:t>Pasuruan</w:t>
      </w:r>
      <w:proofErr w:type="spellEnd"/>
      <w:r w:rsidRPr="0019434A">
        <w:rPr>
          <w:color w:val="000000"/>
        </w:rPr>
        <w:t xml:space="preserve"> declined sharply from 45.12 in 2018 to 26 in 202</w:t>
      </w:r>
      <w:r w:rsidRPr="0019434A">
        <w:t>4.</w:t>
      </w:r>
    </w:p>
    <w:p w14:paraId="4C26656F" w14:textId="77777777" w:rsidR="005966DD" w:rsidRPr="0019434A" w:rsidRDefault="00F87969">
      <w:r w:rsidRPr="0019434A">
        <w:t>These changes also align with broader evidence that Sentinel-2 imagery is suitable for monitoring forest, agricultural and urban land-cover transitions, particularly when machine-learning classifiers are combined with appropriate pre-processing. In watershed contexts, conversion of forest or perennial vegetation to cropland and settlement generally increases runoff generation, reduces surface protection, and can elevate sediment production, although the magnitude varies with rainfall regime, slope, soil erodibility, and conservation practices (Phiri et al., 2020; Nampak et al., 2018; Sadhwani et al., 2022). Therefore, the observed forest decline and built-up expansion should be interpreted not only as land-cover transition, but also as a potential shift in hydrological response and sediment connectivity.</w:t>
      </w:r>
    </w:p>
    <w:p w14:paraId="780E3AA6" w14:textId="77777777" w:rsidR="005966DD" w:rsidRPr="0019434A" w:rsidRDefault="005966DD">
      <w:pPr>
        <w:spacing w:after="80" w:line="276" w:lineRule="auto"/>
        <w:ind w:firstLine="720"/>
        <w:jc w:val="center"/>
        <w:rPr>
          <w:color w:val="000000"/>
        </w:rPr>
      </w:pPr>
    </w:p>
    <w:p w14:paraId="54ECDEA6" w14:textId="77777777" w:rsidR="005966DD" w:rsidRPr="0019434A" w:rsidRDefault="00F87969">
      <w:pPr>
        <w:spacing w:after="80" w:line="276" w:lineRule="auto"/>
        <w:ind w:firstLine="720"/>
        <w:jc w:val="center"/>
      </w:pPr>
      <w:r w:rsidRPr="0019434A">
        <w:rPr>
          <w:noProof/>
          <w:color w:val="000000"/>
        </w:rPr>
        <w:drawing>
          <wp:inline distT="0" distB="0" distL="114300" distR="114300" wp14:anchorId="4C8CF921" wp14:editId="573E562E">
            <wp:extent cx="4179570" cy="3943985"/>
            <wp:effectExtent l="0" t="0" r="0" b="0"/>
            <wp:docPr id="4" name="Picture 4" descr="Teks paragraf And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ks paragraf Anda (17)"/>
                    <pic:cNvPicPr>
                      <a:picLocks noChangeAspect="1"/>
                    </pic:cNvPicPr>
                  </pic:nvPicPr>
                  <pic:blipFill>
                    <a:blip r:embed="rId8"/>
                    <a:srcRect l="22676" t="3818" r="22521" b="4262"/>
                    <a:stretch>
                      <a:fillRect/>
                    </a:stretch>
                  </pic:blipFill>
                  <pic:spPr>
                    <a:xfrm>
                      <a:off x="0" y="0"/>
                      <a:ext cx="4179570" cy="3943985"/>
                    </a:xfrm>
                    <a:prstGeom prst="rect">
                      <a:avLst/>
                    </a:prstGeom>
                  </pic:spPr>
                </pic:pic>
              </a:graphicData>
            </a:graphic>
          </wp:inline>
        </w:drawing>
      </w:r>
    </w:p>
    <w:p w14:paraId="1E267952" w14:textId="77777777" w:rsidR="005966DD" w:rsidRPr="0019434A" w:rsidRDefault="00F87969">
      <w:pPr>
        <w:spacing w:after="120"/>
        <w:jc w:val="center"/>
      </w:pPr>
      <w:r w:rsidRPr="0019434A">
        <w:rPr>
          <w:i/>
          <w:iCs/>
          <w:sz w:val="18"/>
          <w:szCs w:val="18"/>
        </w:rPr>
        <w:t xml:space="preserve">Figure 3. Multitemporal land cover maps of the </w:t>
      </w:r>
      <w:proofErr w:type="spellStart"/>
      <w:r w:rsidRPr="0019434A">
        <w:rPr>
          <w:i/>
          <w:iCs/>
          <w:sz w:val="18"/>
          <w:szCs w:val="18"/>
        </w:rPr>
        <w:t>Rejoso</w:t>
      </w:r>
      <w:proofErr w:type="spellEnd"/>
      <w:r w:rsidRPr="0019434A">
        <w:rPr>
          <w:i/>
          <w:iCs/>
          <w:sz w:val="18"/>
          <w:szCs w:val="18"/>
        </w:rPr>
        <w:t xml:space="preserve"> Watershed derived from Sentinel-2 classification: (a) 2017, (b) 2020, (c) 2024.</w:t>
      </w:r>
    </w:p>
    <w:p w14:paraId="450911A9" w14:textId="77777777" w:rsidR="005966DD" w:rsidRPr="0019434A" w:rsidRDefault="00F87969">
      <w:pPr>
        <w:spacing w:before="160" w:after="80"/>
      </w:pPr>
      <w:r w:rsidRPr="0019434A">
        <w:rPr>
          <w:b/>
          <w:bCs/>
        </w:rPr>
        <w:t>3.2 Statistical Significance of Land Cover Change</w:t>
      </w:r>
    </w:p>
    <w:p w14:paraId="07F75631" w14:textId="77777777" w:rsidR="005966DD" w:rsidRPr="0019434A" w:rsidRDefault="00F87969">
      <w:pPr>
        <w:spacing w:after="80" w:line="276" w:lineRule="auto"/>
        <w:ind w:firstLine="720"/>
        <w:jc w:val="both"/>
      </w:pPr>
      <w:r w:rsidRPr="0019434A">
        <w:rPr>
          <w:color w:val="000000"/>
        </w:rPr>
        <w:t>The Friedman test confirmed that statistically significant changes occurred in three of the seven land cover classes over the study period (Table 2). Forest cover showed a significant overall trend (χ²F = 13.64; p = .001; Kendall’s W = 0.568), with post-hoc Wilcoxon analysis revealing that the significant change was concentrated in the 2020–2024 period (W = 66.00; p = .004) and cumulatively across 2017–2024 (W = 59.00; p = .023). Built-up land exhibited the strongest and most consistent trend of all classes (χ²F = 20.67; p &lt; .001; Kendall’s W = 0.861), with significant expansion confirmed across all three pairwise periods. Dryland (</w:t>
      </w:r>
      <w:proofErr w:type="spellStart"/>
      <w:r w:rsidRPr="0019434A">
        <w:rPr>
          <w:color w:val="000000"/>
        </w:rPr>
        <w:t>tegalan</w:t>
      </w:r>
      <w:proofErr w:type="spellEnd"/>
      <w:r w:rsidRPr="0019434A">
        <w:rPr>
          <w:color w:val="000000"/>
        </w:rPr>
        <w:t xml:space="preserve">) showed a significant change primarily in the 2017–2020 period (W = 36.00; p = .014), with the subsequent </w:t>
      </w:r>
      <w:r w:rsidRPr="0019434A">
        <w:rPr>
          <w:color w:val="000000"/>
        </w:rPr>
        <w:lastRenderedPageBreak/>
        <w:t>rebound in 2020–2024 not reaching statistical significance (p = .076), indicating spatially heterogeneous and inconsistent dynamics.</w:t>
      </w:r>
    </w:p>
    <w:p w14:paraId="36B24874" w14:textId="77777777" w:rsidR="005966DD" w:rsidRPr="0019434A" w:rsidRDefault="00F87969">
      <w:r w:rsidRPr="0019434A">
        <w:t>The statistical confirmation is important because LUCC maps derived from remote sensing may contain class-level uncertainty and spatial noise; therefore, testing changes across repeated spatial units provides a more conservative basis for interpreting temporal trends. The use of the Friedman test, Kendall’s W and Wilcoxon signed-rank procedures is appropriate for repeated comparisons where normality or sphericity assumptions are not satisfied, because these methods evaluate ranked differences rather than relying on distributional assumptions (Friedman, 1937; Kendall &amp; Babington Smith, 1939; Wilcoxon, 1945). This strengthens the interpretation that forest decline and built-up expansion were not merely descriptive fluctuations, but statistically supported watershed-scale changes.</w:t>
      </w:r>
    </w:p>
    <w:tbl>
      <w:tblPr>
        <w:tblpPr w:leftFromText="180" w:rightFromText="180" w:vertAnchor="text" w:horzAnchor="page" w:tblpX="1436" w:tblpY="228"/>
        <w:tblOverlap w:val="neve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66"/>
        <w:gridCol w:w="925"/>
        <w:gridCol w:w="925"/>
        <w:gridCol w:w="1041"/>
        <w:gridCol w:w="1260"/>
        <w:gridCol w:w="925"/>
        <w:gridCol w:w="1260"/>
        <w:gridCol w:w="724"/>
      </w:tblGrid>
      <w:tr w:rsidR="005966DD" w:rsidRPr="0019434A" w14:paraId="14B2FB6D" w14:textId="77777777">
        <w:trPr>
          <w:tblHeader/>
        </w:trPr>
        <w:tc>
          <w:tcPr>
            <w:tcW w:w="1966" w:type="dxa"/>
            <w:tcBorders>
              <w:top w:val="single" w:sz="0" w:space="0" w:color="AAAAAA"/>
              <w:left w:val="single" w:sz="0" w:space="0" w:color="AAAAAA"/>
              <w:bottom w:val="single" w:sz="0" w:space="0" w:color="AAAAAA"/>
              <w:right w:val="single" w:sz="0" w:space="0" w:color="AAAAAA"/>
            </w:tcBorders>
            <w:shd w:val="clear" w:color="auto" w:fill="D0D0D0"/>
            <w:tcMar>
              <w:top w:w="60" w:type="dxa"/>
              <w:left w:w="80" w:type="dxa"/>
              <w:bottom w:w="60" w:type="dxa"/>
              <w:right w:w="80" w:type="dxa"/>
            </w:tcMar>
            <w:vAlign w:val="center"/>
          </w:tcPr>
          <w:p w14:paraId="70925BE2" w14:textId="77777777" w:rsidR="005966DD" w:rsidRPr="0019434A" w:rsidRDefault="00F87969">
            <w:r w:rsidRPr="0019434A">
              <w:rPr>
                <w:b/>
                <w:bCs/>
                <w:sz w:val="18"/>
                <w:szCs w:val="18"/>
              </w:rPr>
              <w:t>Land Cover Class</w:t>
            </w:r>
          </w:p>
        </w:tc>
        <w:tc>
          <w:tcPr>
            <w:tcW w:w="925" w:type="dxa"/>
            <w:tcBorders>
              <w:top w:val="single" w:sz="0" w:space="0" w:color="AAAAAA"/>
              <w:left w:val="single" w:sz="0" w:space="0" w:color="AAAAAA"/>
              <w:bottom w:val="single" w:sz="0" w:space="0" w:color="AAAAAA"/>
              <w:right w:val="single" w:sz="0" w:space="0" w:color="AAAAAA"/>
            </w:tcBorders>
            <w:shd w:val="clear" w:color="auto" w:fill="D0D0D0"/>
            <w:tcMar>
              <w:top w:w="60" w:type="dxa"/>
              <w:left w:w="80" w:type="dxa"/>
              <w:bottom w:w="60" w:type="dxa"/>
              <w:right w:w="80" w:type="dxa"/>
            </w:tcMar>
            <w:vAlign w:val="center"/>
          </w:tcPr>
          <w:p w14:paraId="39DBF3D3" w14:textId="77777777" w:rsidR="005966DD" w:rsidRPr="0019434A" w:rsidRDefault="00F87969">
            <w:pPr>
              <w:jc w:val="center"/>
            </w:pPr>
            <w:r w:rsidRPr="0019434A">
              <w:rPr>
                <w:b/>
                <w:bCs/>
                <w:sz w:val="18"/>
                <w:szCs w:val="18"/>
              </w:rPr>
              <w:t>χ²F</w:t>
            </w:r>
          </w:p>
        </w:tc>
        <w:tc>
          <w:tcPr>
            <w:tcW w:w="925" w:type="dxa"/>
            <w:tcBorders>
              <w:top w:val="single" w:sz="0" w:space="0" w:color="AAAAAA"/>
              <w:left w:val="single" w:sz="0" w:space="0" w:color="AAAAAA"/>
              <w:bottom w:val="single" w:sz="0" w:space="0" w:color="AAAAAA"/>
              <w:right w:val="single" w:sz="0" w:space="0" w:color="AAAAAA"/>
            </w:tcBorders>
            <w:shd w:val="clear" w:color="auto" w:fill="D0D0D0"/>
            <w:tcMar>
              <w:top w:w="60" w:type="dxa"/>
              <w:left w:w="80" w:type="dxa"/>
              <w:bottom w:w="60" w:type="dxa"/>
              <w:right w:w="80" w:type="dxa"/>
            </w:tcMar>
            <w:vAlign w:val="center"/>
          </w:tcPr>
          <w:p w14:paraId="4625AFE8" w14:textId="77777777" w:rsidR="005966DD" w:rsidRPr="0019434A" w:rsidRDefault="00F87969">
            <w:pPr>
              <w:jc w:val="center"/>
            </w:pPr>
            <w:r w:rsidRPr="0019434A">
              <w:rPr>
                <w:b/>
                <w:bCs/>
                <w:sz w:val="18"/>
                <w:szCs w:val="18"/>
              </w:rPr>
              <w:t>p</w:t>
            </w:r>
          </w:p>
        </w:tc>
        <w:tc>
          <w:tcPr>
            <w:tcW w:w="1041" w:type="dxa"/>
            <w:tcBorders>
              <w:top w:val="single" w:sz="0" w:space="0" w:color="AAAAAA"/>
              <w:left w:val="single" w:sz="0" w:space="0" w:color="AAAAAA"/>
              <w:bottom w:val="single" w:sz="0" w:space="0" w:color="AAAAAA"/>
              <w:right w:val="single" w:sz="0" w:space="0" w:color="AAAAAA"/>
            </w:tcBorders>
            <w:shd w:val="clear" w:color="auto" w:fill="D0D0D0"/>
            <w:tcMar>
              <w:top w:w="60" w:type="dxa"/>
              <w:left w:w="80" w:type="dxa"/>
              <w:bottom w:w="60" w:type="dxa"/>
              <w:right w:w="80" w:type="dxa"/>
            </w:tcMar>
            <w:vAlign w:val="center"/>
          </w:tcPr>
          <w:p w14:paraId="2EDA3159" w14:textId="77777777" w:rsidR="005966DD" w:rsidRPr="0019434A" w:rsidRDefault="00F87969">
            <w:pPr>
              <w:jc w:val="center"/>
            </w:pPr>
            <w:r w:rsidRPr="0019434A">
              <w:rPr>
                <w:b/>
                <w:bCs/>
                <w:sz w:val="18"/>
                <w:szCs w:val="18"/>
              </w:rPr>
              <w:t>Kendall's W</w:t>
            </w:r>
          </w:p>
        </w:tc>
        <w:tc>
          <w:tcPr>
            <w:tcW w:w="1260" w:type="dxa"/>
            <w:tcBorders>
              <w:top w:val="single" w:sz="0" w:space="0" w:color="AAAAAA"/>
              <w:left w:val="single" w:sz="0" w:space="0" w:color="AAAAAA"/>
              <w:bottom w:val="single" w:sz="0" w:space="0" w:color="AAAAAA"/>
              <w:right w:val="single" w:sz="0" w:space="0" w:color="AAAAAA"/>
            </w:tcBorders>
            <w:shd w:val="clear" w:color="auto" w:fill="D0D0D0"/>
            <w:tcMar>
              <w:top w:w="60" w:type="dxa"/>
              <w:left w:w="80" w:type="dxa"/>
              <w:bottom w:w="60" w:type="dxa"/>
              <w:right w:w="80" w:type="dxa"/>
            </w:tcMar>
            <w:vAlign w:val="center"/>
          </w:tcPr>
          <w:p w14:paraId="03A3E38D" w14:textId="77777777" w:rsidR="005966DD" w:rsidRPr="0019434A" w:rsidRDefault="00F87969">
            <w:pPr>
              <w:jc w:val="center"/>
            </w:pPr>
            <w:r w:rsidRPr="0019434A">
              <w:rPr>
                <w:b/>
                <w:bCs/>
                <w:sz w:val="18"/>
                <w:szCs w:val="18"/>
              </w:rPr>
              <w:t>W (2017–2020)</w:t>
            </w:r>
          </w:p>
        </w:tc>
        <w:tc>
          <w:tcPr>
            <w:tcW w:w="925" w:type="dxa"/>
            <w:tcBorders>
              <w:top w:val="single" w:sz="0" w:space="0" w:color="AAAAAA"/>
              <w:left w:val="single" w:sz="0" w:space="0" w:color="AAAAAA"/>
              <w:bottom w:val="single" w:sz="0" w:space="0" w:color="AAAAAA"/>
              <w:right w:val="single" w:sz="0" w:space="0" w:color="AAAAAA"/>
            </w:tcBorders>
            <w:shd w:val="clear" w:color="auto" w:fill="D0D0D0"/>
            <w:tcMar>
              <w:top w:w="60" w:type="dxa"/>
              <w:left w:w="80" w:type="dxa"/>
              <w:bottom w:w="60" w:type="dxa"/>
              <w:right w:w="80" w:type="dxa"/>
            </w:tcMar>
            <w:vAlign w:val="center"/>
          </w:tcPr>
          <w:p w14:paraId="415D3EE3" w14:textId="77777777" w:rsidR="005966DD" w:rsidRPr="0019434A" w:rsidRDefault="00F87969">
            <w:pPr>
              <w:jc w:val="center"/>
            </w:pPr>
            <w:r w:rsidRPr="0019434A">
              <w:rPr>
                <w:b/>
                <w:bCs/>
                <w:sz w:val="18"/>
                <w:szCs w:val="18"/>
              </w:rPr>
              <w:t>p</w:t>
            </w:r>
          </w:p>
        </w:tc>
        <w:tc>
          <w:tcPr>
            <w:tcW w:w="1260" w:type="dxa"/>
            <w:tcBorders>
              <w:top w:val="single" w:sz="0" w:space="0" w:color="AAAAAA"/>
              <w:left w:val="single" w:sz="0" w:space="0" w:color="AAAAAA"/>
              <w:bottom w:val="single" w:sz="0" w:space="0" w:color="AAAAAA"/>
              <w:right w:val="single" w:sz="0" w:space="0" w:color="AAAAAA"/>
            </w:tcBorders>
            <w:shd w:val="clear" w:color="auto" w:fill="D0D0D0"/>
            <w:tcMar>
              <w:top w:w="60" w:type="dxa"/>
              <w:left w:w="80" w:type="dxa"/>
              <w:bottom w:w="60" w:type="dxa"/>
              <w:right w:w="80" w:type="dxa"/>
            </w:tcMar>
            <w:vAlign w:val="center"/>
          </w:tcPr>
          <w:p w14:paraId="314259D1" w14:textId="77777777" w:rsidR="005966DD" w:rsidRPr="0019434A" w:rsidRDefault="00F87969">
            <w:pPr>
              <w:jc w:val="center"/>
            </w:pPr>
            <w:r w:rsidRPr="0019434A">
              <w:rPr>
                <w:b/>
                <w:bCs/>
                <w:sz w:val="18"/>
                <w:szCs w:val="18"/>
              </w:rPr>
              <w:t>W (2020–2024)</w:t>
            </w:r>
          </w:p>
        </w:tc>
        <w:tc>
          <w:tcPr>
            <w:tcW w:w="724" w:type="dxa"/>
            <w:tcBorders>
              <w:top w:val="single" w:sz="0" w:space="0" w:color="AAAAAA"/>
              <w:left w:val="single" w:sz="0" w:space="0" w:color="AAAAAA"/>
              <w:bottom w:val="single" w:sz="0" w:space="0" w:color="AAAAAA"/>
              <w:right w:val="single" w:sz="0" w:space="0" w:color="AAAAAA"/>
            </w:tcBorders>
            <w:shd w:val="clear" w:color="auto" w:fill="D0D0D0"/>
            <w:tcMar>
              <w:top w:w="60" w:type="dxa"/>
              <w:left w:w="80" w:type="dxa"/>
              <w:bottom w:w="60" w:type="dxa"/>
              <w:right w:w="80" w:type="dxa"/>
            </w:tcMar>
            <w:vAlign w:val="center"/>
          </w:tcPr>
          <w:p w14:paraId="597C681D" w14:textId="77777777" w:rsidR="005966DD" w:rsidRPr="0019434A" w:rsidRDefault="00F87969">
            <w:pPr>
              <w:jc w:val="center"/>
            </w:pPr>
            <w:r w:rsidRPr="0019434A">
              <w:rPr>
                <w:b/>
                <w:bCs/>
                <w:sz w:val="18"/>
                <w:szCs w:val="18"/>
              </w:rPr>
              <w:t>p</w:t>
            </w:r>
          </w:p>
        </w:tc>
      </w:tr>
      <w:tr w:rsidR="005966DD" w:rsidRPr="0019434A" w14:paraId="6D63B3E8" w14:textId="77777777">
        <w:trPr>
          <w:tblHeader/>
        </w:trPr>
        <w:tc>
          <w:tcPr>
            <w:tcW w:w="1966"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316444BD" w14:textId="77777777" w:rsidR="005966DD" w:rsidRPr="0019434A" w:rsidRDefault="00F87969">
            <w:r w:rsidRPr="0019434A">
              <w:rPr>
                <w:sz w:val="18"/>
                <w:szCs w:val="18"/>
              </w:rPr>
              <w:t>Water Body</w:t>
            </w:r>
          </w:p>
        </w:tc>
        <w:tc>
          <w:tcPr>
            <w:tcW w:w="925"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6EADCCB7" w14:textId="77777777" w:rsidR="005966DD" w:rsidRPr="0019434A" w:rsidRDefault="00F87969">
            <w:pPr>
              <w:jc w:val="center"/>
            </w:pPr>
            <w:r w:rsidRPr="0019434A">
              <w:rPr>
                <w:sz w:val="18"/>
                <w:szCs w:val="18"/>
              </w:rPr>
              <w:t>0.514</w:t>
            </w:r>
          </w:p>
        </w:tc>
        <w:tc>
          <w:tcPr>
            <w:tcW w:w="925"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1C938251" w14:textId="77777777" w:rsidR="005966DD" w:rsidRPr="0019434A" w:rsidRDefault="00F87969">
            <w:pPr>
              <w:jc w:val="center"/>
            </w:pPr>
            <w:r w:rsidRPr="0019434A">
              <w:rPr>
                <w:sz w:val="18"/>
                <w:szCs w:val="18"/>
              </w:rPr>
              <w:t>.773</w:t>
            </w:r>
          </w:p>
        </w:tc>
        <w:tc>
          <w:tcPr>
            <w:tcW w:w="1041"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61FB1E63" w14:textId="77777777" w:rsidR="005966DD" w:rsidRPr="0019434A" w:rsidRDefault="00F87969">
            <w:pPr>
              <w:jc w:val="center"/>
            </w:pPr>
            <w:r w:rsidRPr="0019434A">
              <w:rPr>
                <w:sz w:val="18"/>
                <w:szCs w:val="18"/>
              </w:rPr>
              <w:t>0.021</w:t>
            </w:r>
          </w:p>
        </w:tc>
        <w:tc>
          <w:tcPr>
            <w:tcW w:w="126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79C9A84F" w14:textId="77777777" w:rsidR="005966DD" w:rsidRPr="0019434A" w:rsidRDefault="00F87969">
            <w:pPr>
              <w:jc w:val="center"/>
            </w:pPr>
            <w:r w:rsidRPr="0019434A">
              <w:rPr>
                <w:sz w:val="18"/>
                <w:szCs w:val="18"/>
              </w:rPr>
              <w:t>8.000</w:t>
            </w:r>
          </w:p>
        </w:tc>
        <w:tc>
          <w:tcPr>
            <w:tcW w:w="925"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484AD190" w14:textId="77777777" w:rsidR="005966DD" w:rsidRPr="0019434A" w:rsidRDefault="00F87969">
            <w:pPr>
              <w:jc w:val="center"/>
            </w:pPr>
            <w:r w:rsidRPr="0019434A">
              <w:rPr>
                <w:sz w:val="18"/>
                <w:szCs w:val="18"/>
              </w:rPr>
              <w:t>.183</w:t>
            </w:r>
          </w:p>
        </w:tc>
        <w:tc>
          <w:tcPr>
            <w:tcW w:w="126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79566CAE" w14:textId="77777777" w:rsidR="005966DD" w:rsidRPr="0019434A" w:rsidRDefault="00F87969">
            <w:pPr>
              <w:jc w:val="center"/>
            </w:pPr>
            <w:r w:rsidRPr="0019434A">
              <w:rPr>
                <w:sz w:val="18"/>
                <w:szCs w:val="18"/>
              </w:rPr>
              <w:t>20.00</w:t>
            </w:r>
          </w:p>
        </w:tc>
        <w:tc>
          <w:tcPr>
            <w:tcW w:w="724"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03945A95" w14:textId="77777777" w:rsidR="005966DD" w:rsidRPr="0019434A" w:rsidRDefault="00F87969">
            <w:pPr>
              <w:jc w:val="center"/>
            </w:pPr>
            <w:r w:rsidRPr="0019434A">
              <w:rPr>
                <w:sz w:val="18"/>
                <w:szCs w:val="18"/>
              </w:rPr>
              <w:t>.813</w:t>
            </w:r>
          </w:p>
        </w:tc>
      </w:tr>
      <w:tr w:rsidR="005966DD" w:rsidRPr="0019434A" w14:paraId="6FCBA313" w14:textId="77777777">
        <w:trPr>
          <w:tblHeader/>
        </w:trPr>
        <w:tc>
          <w:tcPr>
            <w:tcW w:w="1966"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24F9CAD0" w14:textId="77777777" w:rsidR="005966DD" w:rsidRPr="0019434A" w:rsidRDefault="00F87969">
            <w:r w:rsidRPr="0019434A">
              <w:rPr>
                <w:b/>
                <w:bCs/>
                <w:sz w:val="18"/>
                <w:szCs w:val="18"/>
              </w:rPr>
              <w:t>Forest*</w:t>
            </w:r>
          </w:p>
        </w:tc>
        <w:tc>
          <w:tcPr>
            <w:tcW w:w="925"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1DE64709" w14:textId="77777777" w:rsidR="005966DD" w:rsidRPr="0019434A" w:rsidRDefault="00F87969">
            <w:pPr>
              <w:jc w:val="center"/>
            </w:pPr>
            <w:r w:rsidRPr="0019434A">
              <w:rPr>
                <w:b/>
                <w:bCs/>
                <w:sz w:val="18"/>
                <w:szCs w:val="18"/>
              </w:rPr>
              <w:t>13.64</w:t>
            </w:r>
          </w:p>
        </w:tc>
        <w:tc>
          <w:tcPr>
            <w:tcW w:w="925"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263FE3F6" w14:textId="77777777" w:rsidR="005966DD" w:rsidRPr="0019434A" w:rsidRDefault="00F87969">
            <w:pPr>
              <w:jc w:val="center"/>
            </w:pPr>
            <w:r w:rsidRPr="0019434A">
              <w:rPr>
                <w:b/>
                <w:bCs/>
                <w:sz w:val="18"/>
                <w:szCs w:val="18"/>
              </w:rPr>
              <w:t>.001</w:t>
            </w:r>
          </w:p>
        </w:tc>
        <w:tc>
          <w:tcPr>
            <w:tcW w:w="1041"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7C1916FA" w14:textId="77777777" w:rsidR="005966DD" w:rsidRPr="0019434A" w:rsidRDefault="00F87969">
            <w:pPr>
              <w:jc w:val="center"/>
            </w:pPr>
            <w:r w:rsidRPr="0019434A">
              <w:rPr>
                <w:b/>
                <w:bCs/>
                <w:sz w:val="18"/>
                <w:szCs w:val="18"/>
              </w:rPr>
              <w:t>0.568</w:t>
            </w:r>
          </w:p>
        </w:tc>
        <w:tc>
          <w:tcPr>
            <w:tcW w:w="126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69936104" w14:textId="77777777" w:rsidR="005966DD" w:rsidRPr="0019434A" w:rsidRDefault="00F87969">
            <w:pPr>
              <w:jc w:val="center"/>
            </w:pPr>
            <w:r w:rsidRPr="0019434A">
              <w:rPr>
                <w:sz w:val="18"/>
                <w:szCs w:val="18"/>
              </w:rPr>
              <w:t>22.00</w:t>
            </w:r>
          </w:p>
        </w:tc>
        <w:tc>
          <w:tcPr>
            <w:tcW w:w="925"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55FDBB61" w14:textId="77777777" w:rsidR="005966DD" w:rsidRPr="0019434A" w:rsidRDefault="00F87969">
            <w:pPr>
              <w:jc w:val="center"/>
            </w:pPr>
            <w:r w:rsidRPr="0019434A">
              <w:rPr>
                <w:sz w:val="18"/>
                <w:szCs w:val="18"/>
              </w:rPr>
              <w:t>.351</w:t>
            </w:r>
          </w:p>
        </w:tc>
        <w:tc>
          <w:tcPr>
            <w:tcW w:w="126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020A6BC8" w14:textId="77777777" w:rsidR="005966DD" w:rsidRPr="0019434A" w:rsidRDefault="00F87969">
            <w:pPr>
              <w:jc w:val="center"/>
            </w:pPr>
            <w:r w:rsidRPr="0019434A">
              <w:rPr>
                <w:b/>
                <w:bCs/>
                <w:sz w:val="18"/>
                <w:szCs w:val="18"/>
              </w:rPr>
              <w:t>66.00</w:t>
            </w:r>
          </w:p>
        </w:tc>
        <w:tc>
          <w:tcPr>
            <w:tcW w:w="724"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64D58E94" w14:textId="77777777" w:rsidR="005966DD" w:rsidRPr="0019434A" w:rsidRDefault="00F87969">
            <w:pPr>
              <w:jc w:val="center"/>
            </w:pPr>
            <w:r w:rsidRPr="0019434A">
              <w:rPr>
                <w:b/>
                <w:bCs/>
                <w:sz w:val="18"/>
                <w:szCs w:val="18"/>
              </w:rPr>
              <w:t>.004</w:t>
            </w:r>
          </w:p>
        </w:tc>
      </w:tr>
      <w:tr w:rsidR="005966DD" w:rsidRPr="0019434A" w14:paraId="22D64B86" w14:textId="77777777">
        <w:trPr>
          <w:tblHeader/>
        </w:trPr>
        <w:tc>
          <w:tcPr>
            <w:tcW w:w="1966"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723C028A" w14:textId="77777777" w:rsidR="005966DD" w:rsidRPr="0019434A" w:rsidRDefault="00F87969">
            <w:r w:rsidRPr="0019434A">
              <w:rPr>
                <w:sz w:val="18"/>
                <w:szCs w:val="18"/>
              </w:rPr>
              <w:t>Swamp</w:t>
            </w:r>
          </w:p>
        </w:tc>
        <w:tc>
          <w:tcPr>
            <w:tcW w:w="925"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033A650B" w14:textId="77777777" w:rsidR="005966DD" w:rsidRPr="0019434A" w:rsidRDefault="00F87969">
            <w:pPr>
              <w:jc w:val="center"/>
            </w:pPr>
            <w:r w:rsidRPr="0019434A">
              <w:rPr>
                <w:sz w:val="18"/>
                <w:szCs w:val="18"/>
              </w:rPr>
              <w:t>3.000</w:t>
            </w:r>
          </w:p>
        </w:tc>
        <w:tc>
          <w:tcPr>
            <w:tcW w:w="925"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724302AD" w14:textId="77777777" w:rsidR="005966DD" w:rsidRPr="0019434A" w:rsidRDefault="00F87969">
            <w:pPr>
              <w:jc w:val="center"/>
            </w:pPr>
            <w:r w:rsidRPr="0019434A">
              <w:rPr>
                <w:sz w:val="18"/>
                <w:szCs w:val="18"/>
              </w:rPr>
              <w:t>.223</w:t>
            </w:r>
          </w:p>
        </w:tc>
        <w:tc>
          <w:tcPr>
            <w:tcW w:w="1041"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0FCAA316" w14:textId="77777777" w:rsidR="005966DD" w:rsidRPr="0019434A" w:rsidRDefault="00F87969">
            <w:pPr>
              <w:jc w:val="center"/>
            </w:pPr>
            <w:r w:rsidRPr="0019434A">
              <w:rPr>
                <w:sz w:val="18"/>
                <w:szCs w:val="18"/>
              </w:rPr>
              <w:t>0.125</w:t>
            </w:r>
          </w:p>
        </w:tc>
        <w:tc>
          <w:tcPr>
            <w:tcW w:w="126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6BDF2D53" w14:textId="77777777" w:rsidR="005966DD" w:rsidRPr="0019434A" w:rsidRDefault="00F87969">
            <w:pPr>
              <w:jc w:val="center"/>
            </w:pPr>
            <w:r w:rsidRPr="0019434A">
              <w:rPr>
                <w:sz w:val="18"/>
                <w:szCs w:val="18"/>
              </w:rPr>
              <w:t>3.000</w:t>
            </w:r>
          </w:p>
        </w:tc>
        <w:tc>
          <w:tcPr>
            <w:tcW w:w="925"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6BDABB0A" w14:textId="77777777" w:rsidR="005966DD" w:rsidRPr="0019434A" w:rsidRDefault="00F87969">
            <w:pPr>
              <w:jc w:val="center"/>
            </w:pPr>
            <w:r w:rsidRPr="0019434A">
              <w:rPr>
                <w:sz w:val="18"/>
                <w:szCs w:val="18"/>
              </w:rPr>
              <w:t>.371</w:t>
            </w:r>
          </w:p>
        </w:tc>
        <w:tc>
          <w:tcPr>
            <w:tcW w:w="126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4146726F" w14:textId="77777777" w:rsidR="005966DD" w:rsidRPr="0019434A" w:rsidRDefault="00F87969">
            <w:pPr>
              <w:jc w:val="center"/>
            </w:pPr>
            <w:r w:rsidRPr="0019434A">
              <w:rPr>
                <w:sz w:val="18"/>
                <w:szCs w:val="18"/>
              </w:rPr>
              <w:t>0.000</w:t>
            </w:r>
          </w:p>
        </w:tc>
        <w:tc>
          <w:tcPr>
            <w:tcW w:w="724"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46A0D348" w14:textId="77777777" w:rsidR="005966DD" w:rsidRPr="0019434A" w:rsidRDefault="00F87969">
            <w:pPr>
              <w:jc w:val="center"/>
            </w:pPr>
            <w:r w:rsidRPr="0019434A">
              <w:rPr>
                <w:sz w:val="18"/>
                <w:szCs w:val="18"/>
              </w:rPr>
              <w:t>.371</w:t>
            </w:r>
          </w:p>
        </w:tc>
      </w:tr>
      <w:tr w:rsidR="005966DD" w:rsidRPr="0019434A" w14:paraId="277FF284" w14:textId="77777777">
        <w:trPr>
          <w:tblHeader/>
        </w:trPr>
        <w:tc>
          <w:tcPr>
            <w:tcW w:w="1966"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121C0968" w14:textId="77777777" w:rsidR="005966DD" w:rsidRPr="0019434A" w:rsidRDefault="00F87969">
            <w:r w:rsidRPr="0019434A">
              <w:rPr>
                <w:sz w:val="18"/>
                <w:szCs w:val="18"/>
              </w:rPr>
              <w:t>Agricultural Land</w:t>
            </w:r>
          </w:p>
        </w:tc>
        <w:tc>
          <w:tcPr>
            <w:tcW w:w="925"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58A19752" w14:textId="77777777" w:rsidR="005966DD" w:rsidRPr="0019434A" w:rsidRDefault="00F87969">
            <w:pPr>
              <w:jc w:val="center"/>
            </w:pPr>
            <w:r w:rsidRPr="0019434A">
              <w:rPr>
                <w:sz w:val="18"/>
                <w:szCs w:val="18"/>
              </w:rPr>
              <w:t>0.667</w:t>
            </w:r>
          </w:p>
        </w:tc>
        <w:tc>
          <w:tcPr>
            <w:tcW w:w="925"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4A371C00" w14:textId="77777777" w:rsidR="005966DD" w:rsidRPr="0019434A" w:rsidRDefault="00F87969">
            <w:pPr>
              <w:jc w:val="center"/>
            </w:pPr>
            <w:r w:rsidRPr="0019434A">
              <w:rPr>
                <w:sz w:val="18"/>
                <w:szCs w:val="18"/>
              </w:rPr>
              <w:t>.717</w:t>
            </w:r>
          </w:p>
        </w:tc>
        <w:tc>
          <w:tcPr>
            <w:tcW w:w="1041"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3F3A0577" w14:textId="77777777" w:rsidR="005966DD" w:rsidRPr="0019434A" w:rsidRDefault="00F87969">
            <w:pPr>
              <w:jc w:val="center"/>
            </w:pPr>
            <w:r w:rsidRPr="0019434A">
              <w:rPr>
                <w:sz w:val="18"/>
                <w:szCs w:val="18"/>
              </w:rPr>
              <w:t>0.028</w:t>
            </w:r>
          </w:p>
        </w:tc>
        <w:tc>
          <w:tcPr>
            <w:tcW w:w="126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2FF07B6D" w14:textId="77777777" w:rsidR="005966DD" w:rsidRPr="0019434A" w:rsidRDefault="00F87969">
            <w:pPr>
              <w:jc w:val="center"/>
            </w:pPr>
            <w:r w:rsidRPr="0019434A">
              <w:rPr>
                <w:sz w:val="18"/>
                <w:szCs w:val="18"/>
              </w:rPr>
              <w:t>36.00</w:t>
            </w:r>
          </w:p>
        </w:tc>
        <w:tc>
          <w:tcPr>
            <w:tcW w:w="925"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37BBCC3B" w14:textId="77777777" w:rsidR="005966DD" w:rsidRPr="0019434A" w:rsidRDefault="00F87969">
            <w:pPr>
              <w:jc w:val="center"/>
            </w:pPr>
            <w:r w:rsidRPr="0019434A">
              <w:rPr>
                <w:sz w:val="18"/>
                <w:szCs w:val="18"/>
              </w:rPr>
              <w:t>.850</w:t>
            </w:r>
          </w:p>
        </w:tc>
        <w:tc>
          <w:tcPr>
            <w:tcW w:w="126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3A96BFC9" w14:textId="77777777" w:rsidR="005966DD" w:rsidRPr="0019434A" w:rsidRDefault="00F87969">
            <w:pPr>
              <w:jc w:val="center"/>
            </w:pPr>
            <w:r w:rsidRPr="0019434A">
              <w:rPr>
                <w:sz w:val="18"/>
                <w:szCs w:val="18"/>
              </w:rPr>
              <w:t>32.00</w:t>
            </w:r>
          </w:p>
        </w:tc>
        <w:tc>
          <w:tcPr>
            <w:tcW w:w="724"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44485F61" w14:textId="77777777" w:rsidR="005966DD" w:rsidRPr="0019434A" w:rsidRDefault="00F87969">
            <w:pPr>
              <w:jc w:val="center"/>
            </w:pPr>
            <w:r w:rsidRPr="0019434A">
              <w:rPr>
                <w:sz w:val="18"/>
                <w:szCs w:val="18"/>
              </w:rPr>
              <w:t>.622</w:t>
            </w:r>
          </w:p>
        </w:tc>
      </w:tr>
      <w:tr w:rsidR="005966DD" w:rsidRPr="0019434A" w14:paraId="09A4E385" w14:textId="77777777">
        <w:trPr>
          <w:tblHeader/>
        </w:trPr>
        <w:tc>
          <w:tcPr>
            <w:tcW w:w="1966"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72878977" w14:textId="77777777" w:rsidR="005966DD" w:rsidRPr="0019434A" w:rsidRDefault="00F87969">
            <w:r w:rsidRPr="0019434A">
              <w:rPr>
                <w:b/>
                <w:bCs/>
                <w:sz w:val="18"/>
                <w:szCs w:val="18"/>
              </w:rPr>
              <w:t>Built-up Land*</w:t>
            </w:r>
          </w:p>
        </w:tc>
        <w:tc>
          <w:tcPr>
            <w:tcW w:w="925"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54B1A06D" w14:textId="77777777" w:rsidR="005966DD" w:rsidRPr="0019434A" w:rsidRDefault="00F87969">
            <w:pPr>
              <w:jc w:val="center"/>
            </w:pPr>
            <w:r w:rsidRPr="0019434A">
              <w:rPr>
                <w:b/>
                <w:bCs/>
                <w:sz w:val="18"/>
                <w:szCs w:val="18"/>
              </w:rPr>
              <w:t>20.67</w:t>
            </w:r>
          </w:p>
        </w:tc>
        <w:tc>
          <w:tcPr>
            <w:tcW w:w="925"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3D645BBA" w14:textId="77777777" w:rsidR="005966DD" w:rsidRPr="0019434A" w:rsidRDefault="00F87969">
            <w:pPr>
              <w:jc w:val="center"/>
            </w:pPr>
            <w:r w:rsidRPr="0019434A">
              <w:rPr>
                <w:b/>
                <w:bCs/>
                <w:sz w:val="18"/>
                <w:szCs w:val="18"/>
              </w:rPr>
              <w:t>&lt;.001</w:t>
            </w:r>
          </w:p>
        </w:tc>
        <w:tc>
          <w:tcPr>
            <w:tcW w:w="1041"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4E1FB826" w14:textId="77777777" w:rsidR="005966DD" w:rsidRPr="0019434A" w:rsidRDefault="00F87969">
            <w:pPr>
              <w:jc w:val="center"/>
            </w:pPr>
            <w:r w:rsidRPr="0019434A">
              <w:rPr>
                <w:b/>
                <w:bCs/>
                <w:sz w:val="18"/>
                <w:szCs w:val="18"/>
              </w:rPr>
              <w:t>0.861</w:t>
            </w:r>
          </w:p>
        </w:tc>
        <w:tc>
          <w:tcPr>
            <w:tcW w:w="126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31E871E2" w14:textId="77777777" w:rsidR="005966DD" w:rsidRPr="0019434A" w:rsidRDefault="00F87969">
            <w:pPr>
              <w:jc w:val="center"/>
            </w:pPr>
            <w:r w:rsidRPr="0019434A">
              <w:rPr>
                <w:b/>
                <w:bCs/>
                <w:sz w:val="18"/>
                <w:szCs w:val="18"/>
              </w:rPr>
              <w:t>8.000</w:t>
            </w:r>
          </w:p>
        </w:tc>
        <w:tc>
          <w:tcPr>
            <w:tcW w:w="925"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3D65AA0B" w14:textId="77777777" w:rsidR="005966DD" w:rsidRPr="0019434A" w:rsidRDefault="00F87969">
            <w:pPr>
              <w:jc w:val="center"/>
            </w:pPr>
            <w:r w:rsidRPr="0019434A">
              <w:rPr>
                <w:b/>
                <w:bCs/>
                <w:sz w:val="18"/>
                <w:szCs w:val="18"/>
              </w:rPr>
              <w:t>.012</w:t>
            </w:r>
          </w:p>
        </w:tc>
        <w:tc>
          <w:tcPr>
            <w:tcW w:w="126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003931A8" w14:textId="77777777" w:rsidR="005966DD" w:rsidRPr="0019434A" w:rsidRDefault="00F87969">
            <w:pPr>
              <w:jc w:val="center"/>
            </w:pPr>
            <w:r w:rsidRPr="0019434A">
              <w:rPr>
                <w:b/>
                <w:bCs/>
                <w:sz w:val="18"/>
                <w:szCs w:val="18"/>
              </w:rPr>
              <w:t>0.000</w:t>
            </w:r>
          </w:p>
        </w:tc>
        <w:tc>
          <w:tcPr>
            <w:tcW w:w="724"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2D329C5A" w14:textId="77777777" w:rsidR="005966DD" w:rsidRPr="0019434A" w:rsidRDefault="00F87969">
            <w:pPr>
              <w:jc w:val="center"/>
            </w:pPr>
            <w:r w:rsidRPr="0019434A">
              <w:rPr>
                <w:b/>
                <w:bCs/>
                <w:sz w:val="18"/>
                <w:szCs w:val="18"/>
              </w:rPr>
              <w:t>&lt;.001</w:t>
            </w:r>
          </w:p>
        </w:tc>
      </w:tr>
      <w:tr w:rsidR="005966DD" w:rsidRPr="0019434A" w14:paraId="39D91BBF" w14:textId="77777777">
        <w:trPr>
          <w:tblHeader/>
        </w:trPr>
        <w:tc>
          <w:tcPr>
            <w:tcW w:w="1966"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15B9175F" w14:textId="77777777" w:rsidR="005966DD" w:rsidRPr="0019434A" w:rsidRDefault="00F87969">
            <w:r w:rsidRPr="0019434A">
              <w:rPr>
                <w:sz w:val="18"/>
                <w:szCs w:val="18"/>
              </w:rPr>
              <w:t>Bare Land</w:t>
            </w:r>
          </w:p>
        </w:tc>
        <w:tc>
          <w:tcPr>
            <w:tcW w:w="925"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78C257DF" w14:textId="77777777" w:rsidR="005966DD" w:rsidRPr="0019434A" w:rsidRDefault="00F87969">
            <w:pPr>
              <w:jc w:val="center"/>
            </w:pPr>
            <w:r w:rsidRPr="0019434A">
              <w:rPr>
                <w:sz w:val="18"/>
                <w:szCs w:val="18"/>
              </w:rPr>
              <w:t>1.059</w:t>
            </w:r>
          </w:p>
        </w:tc>
        <w:tc>
          <w:tcPr>
            <w:tcW w:w="925"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52B20756" w14:textId="77777777" w:rsidR="005966DD" w:rsidRPr="0019434A" w:rsidRDefault="00F87969">
            <w:pPr>
              <w:jc w:val="center"/>
            </w:pPr>
            <w:r w:rsidRPr="0019434A">
              <w:rPr>
                <w:sz w:val="18"/>
                <w:szCs w:val="18"/>
              </w:rPr>
              <w:t>.589</w:t>
            </w:r>
          </w:p>
        </w:tc>
        <w:tc>
          <w:tcPr>
            <w:tcW w:w="1041"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12D05BDE" w14:textId="77777777" w:rsidR="005966DD" w:rsidRPr="0019434A" w:rsidRDefault="00F87969">
            <w:pPr>
              <w:jc w:val="center"/>
            </w:pPr>
            <w:r w:rsidRPr="0019434A">
              <w:rPr>
                <w:sz w:val="18"/>
                <w:szCs w:val="18"/>
              </w:rPr>
              <w:t>0.044</w:t>
            </w:r>
          </w:p>
        </w:tc>
        <w:tc>
          <w:tcPr>
            <w:tcW w:w="126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5E60FD28" w14:textId="77777777" w:rsidR="005966DD" w:rsidRPr="0019434A" w:rsidRDefault="00F87969">
            <w:pPr>
              <w:jc w:val="center"/>
            </w:pPr>
            <w:r w:rsidRPr="0019434A">
              <w:rPr>
                <w:sz w:val="18"/>
                <w:szCs w:val="18"/>
              </w:rPr>
              <w:t>9.000</w:t>
            </w:r>
          </w:p>
        </w:tc>
        <w:tc>
          <w:tcPr>
            <w:tcW w:w="925"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49DCD97F" w14:textId="77777777" w:rsidR="005966DD" w:rsidRPr="0019434A" w:rsidRDefault="00F87969">
            <w:pPr>
              <w:jc w:val="center"/>
            </w:pPr>
            <w:r w:rsidRPr="0019434A">
              <w:rPr>
                <w:sz w:val="18"/>
                <w:szCs w:val="18"/>
              </w:rPr>
              <w:t>.201</w:t>
            </w:r>
          </w:p>
        </w:tc>
        <w:tc>
          <w:tcPr>
            <w:tcW w:w="126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3890C18B" w14:textId="77777777" w:rsidR="005966DD" w:rsidRPr="0019434A" w:rsidRDefault="00F87969">
            <w:pPr>
              <w:jc w:val="center"/>
            </w:pPr>
            <w:r w:rsidRPr="0019434A">
              <w:rPr>
                <w:sz w:val="18"/>
                <w:szCs w:val="18"/>
              </w:rPr>
              <w:t>1.000</w:t>
            </w:r>
          </w:p>
        </w:tc>
        <w:tc>
          <w:tcPr>
            <w:tcW w:w="724"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245DB442" w14:textId="77777777" w:rsidR="005966DD" w:rsidRPr="0019434A" w:rsidRDefault="00F87969">
            <w:pPr>
              <w:jc w:val="center"/>
            </w:pPr>
            <w:r w:rsidRPr="0019434A">
              <w:rPr>
                <w:sz w:val="18"/>
                <w:szCs w:val="18"/>
              </w:rPr>
              <w:t>.423</w:t>
            </w:r>
          </w:p>
        </w:tc>
      </w:tr>
      <w:tr w:rsidR="005966DD" w:rsidRPr="0019434A" w14:paraId="22CD8020" w14:textId="77777777">
        <w:trPr>
          <w:tblHeader/>
        </w:trPr>
        <w:tc>
          <w:tcPr>
            <w:tcW w:w="1966"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590A4B12" w14:textId="77777777" w:rsidR="005966DD" w:rsidRPr="0019434A" w:rsidRDefault="00F87969">
            <w:r w:rsidRPr="0019434A">
              <w:rPr>
                <w:b/>
                <w:bCs/>
                <w:sz w:val="18"/>
                <w:szCs w:val="18"/>
              </w:rPr>
              <w:t>Dryland*</w:t>
            </w:r>
          </w:p>
        </w:tc>
        <w:tc>
          <w:tcPr>
            <w:tcW w:w="925"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7AEEE5D3" w14:textId="77777777" w:rsidR="005966DD" w:rsidRPr="0019434A" w:rsidRDefault="00F87969">
            <w:pPr>
              <w:jc w:val="center"/>
            </w:pPr>
            <w:r w:rsidRPr="0019434A">
              <w:rPr>
                <w:b/>
                <w:bCs/>
                <w:sz w:val="18"/>
                <w:szCs w:val="18"/>
              </w:rPr>
              <w:t>7.600</w:t>
            </w:r>
          </w:p>
        </w:tc>
        <w:tc>
          <w:tcPr>
            <w:tcW w:w="925"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39F3CC42" w14:textId="77777777" w:rsidR="005966DD" w:rsidRPr="0019434A" w:rsidRDefault="00F87969">
            <w:pPr>
              <w:jc w:val="center"/>
            </w:pPr>
            <w:r w:rsidRPr="0019434A">
              <w:rPr>
                <w:b/>
                <w:bCs/>
                <w:sz w:val="18"/>
                <w:szCs w:val="18"/>
              </w:rPr>
              <w:t>.022</w:t>
            </w:r>
          </w:p>
        </w:tc>
        <w:tc>
          <w:tcPr>
            <w:tcW w:w="1041"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58EFDC83" w14:textId="77777777" w:rsidR="005966DD" w:rsidRPr="0019434A" w:rsidRDefault="00F87969">
            <w:pPr>
              <w:jc w:val="center"/>
            </w:pPr>
            <w:r w:rsidRPr="0019434A">
              <w:rPr>
                <w:b/>
                <w:bCs/>
                <w:sz w:val="18"/>
                <w:szCs w:val="18"/>
              </w:rPr>
              <w:t>0.317</w:t>
            </w:r>
          </w:p>
        </w:tc>
        <w:tc>
          <w:tcPr>
            <w:tcW w:w="126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04EB73F2" w14:textId="77777777" w:rsidR="005966DD" w:rsidRPr="0019434A" w:rsidRDefault="00F87969">
            <w:pPr>
              <w:jc w:val="center"/>
            </w:pPr>
            <w:r w:rsidRPr="0019434A">
              <w:rPr>
                <w:b/>
                <w:bCs/>
                <w:sz w:val="18"/>
                <w:szCs w:val="18"/>
              </w:rPr>
              <w:t>36.00</w:t>
            </w:r>
          </w:p>
        </w:tc>
        <w:tc>
          <w:tcPr>
            <w:tcW w:w="925"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57CBC309" w14:textId="77777777" w:rsidR="005966DD" w:rsidRPr="0019434A" w:rsidRDefault="00F87969">
            <w:pPr>
              <w:jc w:val="center"/>
            </w:pPr>
            <w:r w:rsidRPr="0019434A">
              <w:rPr>
                <w:b/>
                <w:bCs/>
                <w:sz w:val="18"/>
                <w:szCs w:val="18"/>
              </w:rPr>
              <w:t>.014</w:t>
            </w:r>
          </w:p>
        </w:tc>
        <w:tc>
          <w:tcPr>
            <w:tcW w:w="1260"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3F060BFB" w14:textId="77777777" w:rsidR="005966DD" w:rsidRPr="0019434A" w:rsidRDefault="00F87969">
            <w:pPr>
              <w:jc w:val="center"/>
            </w:pPr>
            <w:r w:rsidRPr="0019434A">
              <w:rPr>
                <w:sz w:val="18"/>
                <w:szCs w:val="18"/>
              </w:rPr>
              <w:t>7.000</w:t>
            </w:r>
          </w:p>
        </w:tc>
        <w:tc>
          <w:tcPr>
            <w:tcW w:w="724" w:type="dxa"/>
            <w:tcBorders>
              <w:top w:val="single" w:sz="0" w:space="0" w:color="AAAAAA"/>
              <w:left w:val="single" w:sz="0" w:space="0" w:color="AAAAAA"/>
              <w:bottom w:val="single" w:sz="0" w:space="0" w:color="AAAAAA"/>
              <w:right w:val="single" w:sz="0" w:space="0" w:color="AAAAAA"/>
            </w:tcBorders>
            <w:shd w:val="clear" w:color="auto" w:fill="FFFFFF"/>
            <w:tcMar>
              <w:top w:w="60" w:type="dxa"/>
              <w:left w:w="80" w:type="dxa"/>
              <w:bottom w:w="60" w:type="dxa"/>
              <w:right w:w="80" w:type="dxa"/>
            </w:tcMar>
            <w:vAlign w:val="center"/>
          </w:tcPr>
          <w:p w14:paraId="6606829C" w14:textId="77777777" w:rsidR="005966DD" w:rsidRPr="0019434A" w:rsidRDefault="00F87969">
            <w:pPr>
              <w:jc w:val="center"/>
            </w:pPr>
            <w:r w:rsidRPr="0019434A">
              <w:rPr>
                <w:sz w:val="18"/>
                <w:szCs w:val="18"/>
              </w:rPr>
              <w:t>.076</w:t>
            </w:r>
          </w:p>
        </w:tc>
      </w:tr>
    </w:tbl>
    <w:p w14:paraId="40B92337" w14:textId="77777777" w:rsidR="005966DD" w:rsidRPr="0019434A" w:rsidRDefault="00F87969">
      <w:pPr>
        <w:spacing w:before="120" w:after="40"/>
        <w:jc w:val="center"/>
      </w:pPr>
      <w:r w:rsidRPr="0019434A">
        <w:rPr>
          <w:i/>
          <w:iCs/>
          <w:sz w:val="18"/>
          <w:szCs w:val="18"/>
        </w:rPr>
        <w:t>Table 2. Results of Friedman test and Wilcoxon Signed-Rank test for land cover change, 2017–2024.</w:t>
      </w:r>
    </w:p>
    <w:p w14:paraId="1988DBC9" w14:textId="77777777" w:rsidR="005966DD" w:rsidRPr="0019434A" w:rsidRDefault="00F87969">
      <w:pPr>
        <w:spacing w:after="120" w:line="276" w:lineRule="auto"/>
        <w:jc w:val="both"/>
      </w:pPr>
      <w:r w:rsidRPr="0019434A">
        <w:rPr>
          <w:color w:val="000000"/>
        </w:rPr>
        <w:t>*Statistically significant (p &lt; .05); Friedman test applied due to violation of sphericity assumption (Mauchly's Test, p &lt; .05). Source: Statistical analysis results, 2026.</w:t>
      </w:r>
    </w:p>
    <w:p w14:paraId="32646997" w14:textId="77777777" w:rsidR="005966DD" w:rsidRPr="0019434A" w:rsidRDefault="00F87969">
      <w:pPr>
        <w:spacing w:before="160" w:after="80"/>
      </w:pPr>
      <w:r w:rsidRPr="0019434A">
        <w:rPr>
          <w:b/>
          <w:bCs/>
        </w:rPr>
        <w:t>3.3 Erosion-Sedimentation Dynamics</w:t>
      </w:r>
    </w:p>
    <w:p w14:paraId="513388D7" w14:textId="77777777" w:rsidR="005966DD" w:rsidRPr="0019434A" w:rsidRDefault="00F87969">
      <w:pPr>
        <w:spacing w:after="80" w:line="276" w:lineRule="auto"/>
        <w:ind w:firstLine="720"/>
        <w:jc w:val="both"/>
        <w:rPr>
          <w:color w:val="000000"/>
        </w:rPr>
      </w:pPr>
      <w:r w:rsidRPr="0019434A">
        <w:rPr>
          <w:color w:val="000000"/>
        </w:rPr>
        <w:t xml:space="preserve">Potential erosion rates estimated using USLE across the 25 SPLs showed considerable spatial variability. SPL 20, located in the upstream sub-district of </w:t>
      </w:r>
      <w:proofErr w:type="spellStart"/>
      <w:r w:rsidRPr="0019434A">
        <w:rPr>
          <w:color w:val="000000"/>
        </w:rPr>
        <w:t>Tosari</w:t>
      </w:r>
      <w:proofErr w:type="spellEnd"/>
      <w:r w:rsidRPr="0019434A">
        <w:rPr>
          <w:color w:val="000000"/>
        </w:rPr>
        <w:t>, consistently recorded the highest potential erosion rates across all three study periods, attributable to the combination of steep slopes, high rainfall erosivity, and increasing conversion of forest cover to dryland agriculture. The spatial pattern of potential erosion is presented in Figure 4.</w:t>
      </w:r>
    </w:p>
    <w:p w14:paraId="411588C8" w14:textId="77777777" w:rsidR="005966DD" w:rsidRPr="0019434A" w:rsidRDefault="00F87969">
      <w:r w:rsidRPr="0019434A">
        <w:t xml:space="preserve">The identification of SPL 20 as an erosion hotspot is consistent with studies showing that high slope gradients, reduced canopy cover and exposed agricultural surfaces strongly increase modelled erosion risk in GIS-based USLE/RUSLE assessments (Pham et al., 2018; Park et al., 2011; Sadhwani et al., 2022). In practical terms, this suggests that conservation measures in upstream </w:t>
      </w:r>
      <w:proofErr w:type="spellStart"/>
      <w:r w:rsidRPr="0019434A">
        <w:t>Tosari</w:t>
      </w:r>
      <w:proofErr w:type="spellEnd"/>
      <w:r w:rsidRPr="0019434A">
        <w:t xml:space="preserve"> should </w:t>
      </w:r>
      <w:proofErr w:type="spellStart"/>
      <w:r w:rsidRPr="0019434A">
        <w:t>prioritise</w:t>
      </w:r>
      <w:proofErr w:type="spellEnd"/>
      <w:r w:rsidRPr="0019434A">
        <w:t xml:space="preserve"> slope </w:t>
      </w:r>
      <w:proofErr w:type="spellStart"/>
      <w:r w:rsidRPr="0019434A">
        <w:t>stabilisation</w:t>
      </w:r>
      <w:proofErr w:type="spellEnd"/>
      <w:r w:rsidRPr="0019434A">
        <w:t>, vegetative cover restoration, contour-based farming and runoff interception rather than relying only on downstream flood-control structures.</w:t>
      </w:r>
    </w:p>
    <w:p w14:paraId="722D30FA" w14:textId="77777777" w:rsidR="005966DD" w:rsidRPr="0019434A" w:rsidRDefault="00F87969">
      <w:pPr>
        <w:spacing w:after="80" w:line="276" w:lineRule="auto"/>
        <w:ind w:firstLine="720"/>
        <w:jc w:val="both"/>
        <w:rPr>
          <w:color w:val="000000"/>
        </w:rPr>
      </w:pPr>
      <w:r w:rsidRPr="0019434A">
        <w:rPr>
          <w:noProof/>
          <w:color w:val="000000"/>
        </w:rPr>
        <w:lastRenderedPageBreak/>
        <w:drawing>
          <wp:inline distT="0" distB="0" distL="114300" distR="114300" wp14:anchorId="0D7D11D5" wp14:editId="1221DA2B">
            <wp:extent cx="4465320" cy="4249420"/>
            <wp:effectExtent l="0" t="0" r="5080" b="5080"/>
            <wp:docPr id="5" name="Picture 5" descr="Teks paragraf And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ks paragraf Anda (18)"/>
                    <pic:cNvPicPr>
                      <a:picLocks noChangeAspect="1"/>
                    </pic:cNvPicPr>
                  </pic:nvPicPr>
                  <pic:blipFill>
                    <a:blip r:embed="rId9"/>
                    <a:srcRect l="21622" t="1735" r="22021" b="2938"/>
                    <a:stretch>
                      <a:fillRect/>
                    </a:stretch>
                  </pic:blipFill>
                  <pic:spPr>
                    <a:xfrm>
                      <a:off x="0" y="0"/>
                      <a:ext cx="4465320" cy="4249420"/>
                    </a:xfrm>
                    <a:prstGeom prst="rect">
                      <a:avLst/>
                    </a:prstGeom>
                  </pic:spPr>
                </pic:pic>
              </a:graphicData>
            </a:graphic>
          </wp:inline>
        </w:drawing>
      </w:r>
    </w:p>
    <w:p w14:paraId="4ABCDC3C" w14:textId="77777777" w:rsidR="005966DD" w:rsidRPr="0019434A" w:rsidRDefault="00F87969">
      <w:pPr>
        <w:spacing w:after="120"/>
        <w:jc w:val="center"/>
      </w:pPr>
      <w:r w:rsidRPr="0019434A">
        <w:rPr>
          <w:i/>
          <w:iCs/>
          <w:sz w:val="18"/>
          <w:szCs w:val="18"/>
        </w:rPr>
        <w:t xml:space="preserve">Figure 4. Spatial distribution of potential erosion estimated by USLE across 25 Land Mapping Units (SPL) of the </w:t>
      </w:r>
      <w:proofErr w:type="spellStart"/>
      <w:r w:rsidRPr="0019434A">
        <w:rPr>
          <w:i/>
          <w:iCs/>
          <w:sz w:val="18"/>
          <w:szCs w:val="18"/>
        </w:rPr>
        <w:t>Rejoso</w:t>
      </w:r>
      <w:proofErr w:type="spellEnd"/>
      <w:r w:rsidRPr="0019434A">
        <w:rPr>
          <w:i/>
          <w:iCs/>
          <w:sz w:val="18"/>
          <w:szCs w:val="18"/>
        </w:rPr>
        <w:t xml:space="preserve"> Watershed: </w:t>
      </w:r>
      <w:proofErr w:type="gramStart"/>
      <w:r w:rsidRPr="0019434A">
        <w:rPr>
          <w:i/>
          <w:iCs/>
          <w:sz w:val="18"/>
          <w:szCs w:val="18"/>
        </w:rPr>
        <w:t>2017,  2020,  2024</w:t>
      </w:r>
      <w:proofErr w:type="gramEnd"/>
      <w:r w:rsidRPr="0019434A">
        <w:rPr>
          <w:i/>
          <w:iCs/>
          <w:sz w:val="18"/>
          <w:szCs w:val="18"/>
        </w:rPr>
        <w:t>.</w:t>
      </w:r>
    </w:p>
    <w:p w14:paraId="4A59B58D" w14:textId="77777777" w:rsidR="005966DD" w:rsidRPr="0019434A" w:rsidRDefault="00F87969">
      <w:pPr>
        <w:spacing w:after="80" w:line="276" w:lineRule="auto"/>
        <w:ind w:firstLine="720"/>
        <w:jc w:val="both"/>
      </w:pPr>
      <w:r w:rsidRPr="0019434A">
        <w:rPr>
          <w:color w:val="000000"/>
        </w:rPr>
        <w:t xml:space="preserve">Sediment yield estimated using MUSLE revealed that SPL 11, located in the downstream sub-district of </w:t>
      </w:r>
      <w:proofErr w:type="spellStart"/>
      <w:r w:rsidRPr="0019434A">
        <w:rPr>
          <w:color w:val="000000"/>
        </w:rPr>
        <w:t>Nguling</w:t>
      </w:r>
      <w:proofErr w:type="spellEnd"/>
      <w:r w:rsidRPr="0019434A">
        <w:rPr>
          <w:color w:val="000000"/>
        </w:rPr>
        <w:t>, recorded the highest sediment yield values consistently across all three periods. This result reflects the compound effect of accumulated runoff from upstream areas, high land cover disturbance, and proximity to the watershed outlet, which reduces the distance available for sediment deposition before reaching the river network.</w:t>
      </w:r>
    </w:p>
    <w:p w14:paraId="6E96AE33" w14:textId="77777777" w:rsidR="005966DD" w:rsidRPr="0019434A" w:rsidRDefault="00F87969">
      <w:pPr>
        <w:spacing w:after="80" w:line="276" w:lineRule="auto"/>
        <w:ind w:firstLine="720"/>
        <w:jc w:val="both"/>
        <w:rPr>
          <w:color w:val="000000"/>
        </w:rPr>
      </w:pPr>
      <w:r w:rsidRPr="0019434A">
        <w:rPr>
          <w:color w:val="000000"/>
        </w:rPr>
        <w:t xml:space="preserve">Total sediment yield at the watershed level showed a declining trend across the study period, from approximately 328,695 </w:t>
      </w:r>
      <w:proofErr w:type="spellStart"/>
      <w:r w:rsidRPr="0019434A">
        <w:rPr>
          <w:color w:val="000000"/>
        </w:rPr>
        <w:t>tonnes</w:t>
      </w:r>
      <w:proofErr w:type="spellEnd"/>
      <w:r w:rsidRPr="0019434A">
        <w:rPr>
          <w:color w:val="000000"/>
        </w:rPr>
        <w:t xml:space="preserve">/year in 2017 to 251,005 </w:t>
      </w:r>
      <w:proofErr w:type="spellStart"/>
      <w:r w:rsidRPr="0019434A">
        <w:rPr>
          <w:color w:val="000000"/>
        </w:rPr>
        <w:t>tonnes</w:t>
      </w:r>
      <w:proofErr w:type="spellEnd"/>
      <w:r w:rsidRPr="0019434A">
        <w:rPr>
          <w:color w:val="000000"/>
        </w:rPr>
        <w:t>/year in 2024. However, this apparent improvement warrants careful interpretation. Analysis of the component factors indicates that the decline was primarily driven by a reduction in rainfall erosivity (R factor) rather than by improvements in land cover or conservation practices. Given that forest cover continued to decline substantially during the same period, the underlying vulnerability of the watershed to erosion and sedimentation has increased rather than decreased. A return to higher erosivity years would be expected to produce substantially elevated sediment yields.</w:t>
      </w:r>
    </w:p>
    <w:p w14:paraId="25A5BB69" w14:textId="77777777" w:rsidR="005966DD" w:rsidRPr="0019434A" w:rsidRDefault="00F87969">
      <w:r w:rsidRPr="0019434A">
        <w:t xml:space="preserve">The contrast between high potential erosion upstream and high sediment yield downstream is also plausible because delivered sediment depends on hillslope-channel connectivity, runoff energy, deposition opportunities and the location of each SPL relative to the drainage network. Similar studies have shown that sediment yield may respond strongly to land-cover disturbance and rainfall-runoff variability, so lower modelled yield during a low-erosivity period should not be interpreted as durable recovery unless supported by improvements in vegetation cover and conservation practices (Ouyang et al., 2010; </w:t>
      </w:r>
      <w:proofErr w:type="spellStart"/>
      <w:r w:rsidRPr="0019434A">
        <w:t>Ranzi</w:t>
      </w:r>
      <w:proofErr w:type="spellEnd"/>
      <w:r w:rsidRPr="0019434A">
        <w:t xml:space="preserve"> et al., 2012; Pal et al., 2021).</w:t>
      </w:r>
    </w:p>
    <w:p w14:paraId="62137FBD" w14:textId="77777777" w:rsidR="005966DD" w:rsidRPr="0019434A" w:rsidRDefault="00F87969">
      <w:pPr>
        <w:spacing w:before="120" w:after="40"/>
        <w:jc w:val="center"/>
      </w:pPr>
      <w:r w:rsidRPr="0019434A">
        <w:rPr>
          <w:noProof/>
          <w:color w:val="000000"/>
        </w:rPr>
        <w:lastRenderedPageBreak/>
        <w:drawing>
          <wp:inline distT="0" distB="0" distL="114300" distR="114300" wp14:anchorId="37BB6988" wp14:editId="2BCC4BF1">
            <wp:extent cx="4175760" cy="3874770"/>
            <wp:effectExtent l="0" t="0" r="2540" b="11430"/>
            <wp:docPr id="6" name="Picture 6" descr="Teks paragraf And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ks paragraf Anda (19)"/>
                    <pic:cNvPicPr>
                      <a:picLocks noChangeAspect="1"/>
                    </pic:cNvPicPr>
                  </pic:nvPicPr>
                  <pic:blipFill>
                    <a:blip r:embed="rId10"/>
                    <a:srcRect l="21844" t="2288" r="22221" b="5443"/>
                    <a:stretch>
                      <a:fillRect/>
                    </a:stretch>
                  </pic:blipFill>
                  <pic:spPr>
                    <a:xfrm>
                      <a:off x="0" y="0"/>
                      <a:ext cx="4175760" cy="3874770"/>
                    </a:xfrm>
                    <a:prstGeom prst="rect">
                      <a:avLst/>
                    </a:prstGeom>
                  </pic:spPr>
                </pic:pic>
              </a:graphicData>
            </a:graphic>
          </wp:inline>
        </w:drawing>
      </w:r>
    </w:p>
    <w:p w14:paraId="21185246" w14:textId="77777777" w:rsidR="005966DD" w:rsidRPr="0019434A" w:rsidRDefault="00F87969">
      <w:pPr>
        <w:spacing w:after="120"/>
        <w:jc w:val="center"/>
      </w:pPr>
      <w:r w:rsidRPr="0019434A">
        <w:rPr>
          <w:i/>
          <w:iCs/>
          <w:sz w:val="18"/>
          <w:szCs w:val="18"/>
        </w:rPr>
        <w:t xml:space="preserve">Figure 5. Spatial distribution of sediment yield estimated by MUSLE across 25 Land Mapping Units (SPL) of the </w:t>
      </w:r>
      <w:proofErr w:type="spellStart"/>
      <w:r w:rsidRPr="0019434A">
        <w:rPr>
          <w:i/>
          <w:iCs/>
          <w:sz w:val="18"/>
          <w:szCs w:val="18"/>
        </w:rPr>
        <w:t>Rejoso</w:t>
      </w:r>
      <w:proofErr w:type="spellEnd"/>
      <w:r w:rsidRPr="0019434A">
        <w:rPr>
          <w:i/>
          <w:iCs/>
          <w:sz w:val="18"/>
          <w:szCs w:val="18"/>
        </w:rPr>
        <w:t xml:space="preserve"> Watershed: 2017, 2020, 2024.</w:t>
      </w:r>
    </w:p>
    <w:p w14:paraId="4599A870" w14:textId="77777777" w:rsidR="003B6503" w:rsidRPr="0019434A" w:rsidRDefault="003B6503" w:rsidP="003B6503">
      <w:pPr>
        <w:spacing w:before="100" w:beforeAutospacing="1" w:after="100" w:afterAutospacing="1"/>
        <w:rPr>
          <w:sz w:val="24"/>
          <w:szCs w:val="24"/>
        </w:rPr>
      </w:pPr>
      <w:r w:rsidRPr="0019434A">
        <w:rPr>
          <w:b/>
          <w:bCs/>
          <w:sz w:val="24"/>
          <w:szCs w:val="24"/>
        </w:rPr>
        <w:t>Conclusion</w:t>
      </w:r>
    </w:p>
    <w:p w14:paraId="32DFB95D" w14:textId="77777777" w:rsidR="003B6503" w:rsidRPr="0019434A" w:rsidRDefault="003B6503" w:rsidP="003B6503">
      <w:pPr>
        <w:spacing w:before="100" w:beforeAutospacing="1" w:after="100" w:afterAutospacing="1"/>
        <w:rPr>
          <w:sz w:val="24"/>
          <w:szCs w:val="24"/>
        </w:rPr>
      </w:pPr>
      <w:r w:rsidRPr="0019434A">
        <w:rPr>
          <w:sz w:val="24"/>
          <w:szCs w:val="24"/>
        </w:rPr>
        <w:t xml:space="preserve">This study demonstrated that the </w:t>
      </w:r>
      <w:proofErr w:type="spellStart"/>
      <w:r w:rsidRPr="0019434A">
        <w:rPr>
          <w:sz w:val="24"/>
          <w:szCs w:val="24"/>
        </w:rPr>
        <w:t>Rejoso</w:t>
      </w:r>
      <w:proofErr w:type="spellEnd"/>
      <w:r w:rsidRPr="0019434A">
        <w:rPr>
          <w:sz w:val="24"/>
          <w:szCs w:val="24"/>
        </w:rPr>
        <w:t xml:space="preserve"> Watershed experienced significant land-cover changes between 2017 and 2024, particularly forest decline and built-up land expansion. Forest cover decreased most strongly during 2020–2024, while built-up land increased consistently across the study period. These changes indicate continuing pressure on the watershed’s ecological function and hydrological stability. The erosion-sedimentation modelling identified SPL 20 in </w:t>
      </w:r>
      <w:proofErr w:type="spellStart"/>
      <w:r w:rsidRPr="0019434A">
        <w:rPr>
          <w:sz w:val="24"/>
          <w:szCs w:val="24"/>
        </w:rPr>
        <w:t>Tosari</w:t>
      </w:r>
      <w:proofErr w:type="spellEnd"/>
      <w:r w:rsidRPr="0019434A">
        <w:rPr>
          <w:sz w:val="24"/>
          <w:szCs w:val="24"/>
        </w:rPr>
        <w:t xml:space="preserve"> as the main hotspot for potential erosion and SPL 11 in </w:t>
      </w:r>
      <w:proofErr w:type="spellStart"/>
      <w:r w:rsidRPr="0019434A">
        <w:rPr>
          <w:sz w:val="24"/>
          <w:szCs w:val="24"/>
        </w:rPr>
        <w:t>Nguling</w:t>
      </w:r>
      <w:proofErr w:type="spellEnd"/>
      <w:r w:rsidRPr="0019434A">
        <w:rPr>
          <w:sz w:val="24"/>
          <w:szCs w:val="24"/>
        </w:rPr>
        <w:t xml:space="preserve"> as the principal sediment-yield hotspot. Although the estimated total sediment yield declined from 328,695 </w:t>
      </w:r>
      <w:proofErr w:type="spellStart"/>
      <w:r w:rsidRPr="0019434A">
        <w:rPr>
          <w:sz w:val="24"/>
          <w:szCs w:val="24"/>
        </w:rPr>
        <w:t>tonnes</w:t>
      </w:r>
      <w:proofErr w:type="spellEnd"/>
      <w:r w:rsidRPr="0019434A">
        <w:rPr>
          <w:sz w:val="24"/>
          <w:szCs w:val="24"/>
        </w:rPr>
        <w:t xml:space="preserve">/year in 2017 to 251,005 </w:t>
      </w:r>
      <w:proofErr w:type="spellStart"/>
      <w:r w:rsidRPr="0019434A">
        <w:rPr>
          <w:sz w:val="24"/>
          <w:szCs w:val="24"/>
        </w:rPr>
        <w:t>tonnes</w:t>
      </w:r>
      <w:proofErr w:type="spellEnd"/>
      <w:r w:rsidRPr="0019434A">
        <w:rPr>
          <w:sz w:val="24"/>
          <w:szCs w:val="24"/>
        </w:rPr>
        <w:t>/year in 2024, this reduction should not be interpreted as watershed recovery because forest cover continued to decline. The findings suggest that conservation should prioritize upstream erosion-control measures, protection of remaining forest, rehabilitation of degraded dryland areas, and management of rapidly expanding built-up zones. The integrated approach used in this study can support spatial prioritization for sustainable watershed management.</w:t>
      </w:r>
    </w:p>
    <w:p w14:paraId="7E9472AA" w14:textId="77777777" w:rsidR="003B6503" w:rsidRPr="0019434A" w:rsidRDefault="003B6503" w:rsidP="003B6503">
      <w:pPr>
        <w:spacing w:before="100" w:beforeAutospacing="1" w:after="100" w:afterAutospacing="1"/>
        <w:rPr>
          <w:sz w:val="24"/>
          <w:szCs w:val="24"/>
        </w:rPr>
      </w:pPr>
      <w:r w:rsidRPr="0019434A">
        <w:rPr>
          <w:b/>
          <w:bCs/>
          <w:sz w:val="24"/>
          <w:szCs w:val="24"/>
        </w:rPr>
        <w:t>Limitations</w:t>
      </w:r>
    </w:p>
    <w:p w14:paraId="1FFFD1E8" w14:textId="77777777" w:rsidR="003B6503" w:rsidRPr="0019434A" w:rsidRDefault="003B6503" w:rsidP="003B6503">
      <w:pPr>
        <w:spacing w:before="100" w:beforeAutospacing="1" w:after="100" w:afterAutospacing="1"/>
        <w:rPr>
          <w:sz w:val="24"/>
          <w:szCs w:val="24"/>
        </w:rPr>
      </w:pPr>
      <w:r w:rsidRPr="0019434A">
        <w:rPr>
          <w:sz w:val="24"/>
          <w:szCs w:val="24"/>
        </w:rPr>
        <w:t xml:space="preserve">This study was limited by the availability and resolution of remote-sensing, rainfall, soil and hydrological data. Land-cover classification accuracy, training samples and validation results were not fully reported, which may affect confidence in the LUCC estimates. USLE and MUSLE modelling require several parameter assumptions, including rainfall erosivity, soil erodibility, cover-management factors, support practices, runoff volume and peak discharge. The study did not include field-based erosion or sediment measurements for model </w:t>
      </w:r>
      <w:r w:rsidRPr="0019434A">
        <w:rPr>
          <w:sz w:val="24"/>
          <w:szCs w:val="24"/>
        </w:rPr>
        <w:lastRenderedPageBreak/>
        <w:t>calibration. Future research should include accuracy assessment, ground validation, longer rainfall records, observed sediment data and detailed SPL-level parameter tables.</w:t>
      </w:r>
    </w:p>
    <w:p w14:paraId="717FDB5C" w14:textId="77777777" w:rsidR="003B6503" w:rsidRPr="0019434A" w:rsidRDefault="003B6503" w:rsidP="003B6503">
      <w:pPr>
        <w:rPr>
          <w:b/>
        </w:rPr>
      </w:pPr>
      <w:r w:rsidRPr="0019434A">
        <w:rPr>
          <w:b/>
        </w:rPr>
        <w:t>Declaration of AI Use</w:t>
      </w:r>
    </w:p>
    <w:p w14:paraId="510F3974" w14:textId="77777777" w:rsidR="003B6503" w:rsidRPr="0019434A" w:rsidRDefault="003B6503" w:rsidP="003B6503"/>
    <w:p w14:paraId="501BF9AC" w14:textId="77777777" w:rsidR="003B6503" w:rsidRPr="0019434A" w:rsidRDefault="003B6503" w:rsidP="003B6503">
      <w:pPr>
        <w:jc w:val="both"/>
      </w:pPr>
      <w:r w:rsidRPr="0019434A">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C6035BF" w14:textId="77777777" w:rsidR="003B6503" w:rsidRPr="0019434A" w:rsidRDefault="003B6503" w:rsidP="003B6503">
      <w:pPr>
        <w:spacing w:before="100" w:beforeAutospacing="1" w:after="100" w:afterAutospacing="1"/>
        <w:rPr>
          <w:sz w:val="24"/>
          <w:szCs w:val="24"/>
        </w:rPr>
      </w:pPr>
    </w:p>
    <w:p w14:paraId="5B073A0B" w14:textId="77777777" w:rsidR="005966DD" w:rsidRPr="0019434A" w:rsidRDefault="005966DD">
      <w:pPr>
        <w:spacing w:before="160" w:after="80"/>
        <w:rPr>
          <w:b/>
          <w:bCs/>
          <w:caps/>
          <w:sz w:val="22"/>
          <w:szCs w:val="22"/>
        </w:rPr>
      </w:pPr>
    </w:p>
    <w:p w14:paraId="6A55FA71" w14:textId="77777777" w:rsidR="005966DD" w:rsidRPr="0019434A" w:rsidRDefault="00F87969">
      <w:pPr>
        <w:spacing w:before="160" w:after="80"/>
      </w:pPr>
      <w:r w:rsidRPr="0019434A">
        <w:rPr>
          <w:b/>
          <w:bCs/>
          <w:caps/>
          <w:sz w:val="22"/>
          <w:szCs w:val="22"/>
        </w:rPr>
        <w:t>References</w:t>
      </w:r>
    </w:p>
    <w:p w14:paraId="7F75B3C3" w14:textId="77777777" w:rsidR="005966DD" w:rsidRPr="0019434A" w:rsidRDefault="00F87969">
      <w:r w:rsidRPr="0019434A">
        <w:t xml:space="preserve">Field, A., van Doorn, J., &amp; </w:t>
      </w:r>
      <w:proofErr w:type="spellStart"/>
      <w:r w:rsidRPr="0019434A">
        <w:t>Wagenmakers</w:t>
      </w:r>
      <w:proofErr w:type="spellEnd"/>
      <w:r w:rsidRPr="0019434A">
        <w:t>, E. J. (2025). Discovering statistics using JASP. SAGE Publications. https://uk.sagepub.com/en-gb/eur/discovering-statistics-using-jasp/book285437</w:t>
      </w:r>
    </w:p>
    <w:p w14:paraId="617E4390" w14:textId="77777777" w:rsidR="005966DD" w:rsidRPr="0019434A" w:rsidRDefault="00F87969">
      <w:r w:rsidRPr="0019434A">
        <w:t>Friedman, M. (1937). The use of ranks to avoid the assumption of normality implicit in the analysis of variance. Journal of the American Statistical Association, 32(200), 675-701. https://doi.org/10.1080/01621459.1937.10503522</w:t>
      </w:r>
    </w:p>
    <w:p w14:paraId="43F2D1BD" w14:textId="77777777" w:rsidR="005966DD" w:rsidRPr="0019434A" w:rsidRDefault="00F87969">
      <w:r w:rsidRPr="0019434A">
        <w:t>Jiang, X., et al. (2025). Spatiotemporal dynamics of sediment yield in tropical watersheds. Catena, 240, Article 107985. https://www.sciencedirect.com/journal/catena/vol/240/suppl/C</w:t>
      </w:r>
    </w:p>
    <w:p w14:paraId="5565251D" w14:textId="77777777" w:rsidR="005966DD" w:rsidRPr="0019434A" w:rsidRDefault="00F87969">
      <w:r w:rsidRPr="0019434A">
        <w:t>Kendall, M. G., &amp; Babington Smith, B. (1939). The problem of m rankings. The Annals of Mathematical Statistics, 10(3), 275-287. https://doi.org/10.1214/aoms/1177732186</w:t>
      </w:r>
    </w:p>
    <w:p w14:paraId="244DA121" w14:textId="77777777" w:rsidR="005966DD" w:rsidRPr="0019434A" w:rsidRDefault="00F87969">
      <w:r w:rsidRPr="0019434A">
        <w:t xml:space="preserve">Mujibadi, et al. (2020). Land use projection based on RTRW 2016-2029 in DAS </w:t>
      </w:r>
      <w:proofErr w:type="spellStart"/>
      <w:r w:rsidRPr="0019434A">
        <w:t>Rejoso</w:t>
      </w:r>
      <w:proofErr w:type="spellEnd"/>
      <w:r w:rsidRPr="0019434A">
        <w:t xml:space="preserve">. </w:t>
      </w:r>
      <w:proofErr w:type="spellStart"/>
      <w:r w:rsidRPr="0019434A">
        <w:t>Jurnal</w:t>
      </w:r>
      <w:proofErr w:type="spellEnd"/>
      <w:r w:rsidRPr="0019434A">
        <w:t xml:space="preserve"> </w:t>
      </w:r>
      <w:proofErr w:type="spellStart"/>
      <w:r w:rsidRPr="0019434A">
        <w:t>Ilmu</w:t>
      </w:r>
      <w:proofErr w:type="spellEnd"/>
      <w:r w:rsidRPr="0019434A">
        <w:t xml:space="preserve"> Lingkungan, 18, 112-120. https://ejournal.undip.ac.id/index.php/ilmulingkungan</w:t>
      </w:r>
    </w:p>
    <w:p w14:paraId="512B2F6D" w14:textId="77777777" w:rsidR="005966DD" w:rsidRPr="0019434A" w:rsidRDefault="00F87969">
      <w:r w:rsidRPr="0019434A">
        <w:t xml:space="preserve">Nampak, H., Pradhan, B., &amp; </w:t>
      </w:r>
      <w:proofErr w:type="spellStart"/>
      <w:r w:rsidRPr="0019434A">
        <w:t>Mojaddadi</w:t>
      </w:r>
      <w:proofErr w:type="spellEnd"/>
      <w:r w:rsidRPr="0019434A">
        <w:t>, R. H. (2018). Assessment of land cover and land use change impact on soil loss in a tropical catchment by using multi-temporal SPOT-5 satellite images and revised universal soil loss equation model. Land Degradation &amp; Development, 29(10), 3440-3455. https://doi.org/10.1002/ldr.3112</w:t>
      </w:r>
    </w:p>
    <w:p w14:paraId="00C74A88" w14:textId="77777777" w:rsidR="005966DD" w:rsidRPr="0019434A" w:rsidRDefault="00F87969">
      <w:r w:rsidRPr="0019434A">
        <w:t xml:space="preserve">Ouyang, W., Hao, F., Skidmore, A. K., &amp; </w:t>
      </w:r>
      <w:proofErr w:type="spellStart"/>
      <w:r w:rsidRPr="0019434A">
        <w:t>Toxopeus</w:t>
      </w:r>
      <w:proofErr w:type="spellEnd"/>
      <w:r w:rsidRPr="0019434A">
        <w:t>, A. G. (2010). Soil erosion and sediment yield and their relationships with vegetation cover in upper stream of the Yellow River. Science of the Total Environment, 409(2), 396-403. https://doi.org/10.1016/j.scitotenv.2010.10.020</w:t>
      </w:r>
    </w:p>
    <w:p w14:paraId="78830664" w14:textId="77777777" w:rsidR="005966DD" w:rsidRPr="0019434A" w:rsidRDefault="00F87969">
      <w:r w:rsidRPr="0019434A">
        <w:t xml:space="preserve">Pal, S. C., </w:t>
      </w:r>
      <w:proofErr w:type="spellStart"/>
      <w:r w:rsidRPr="0019434A">
        <w:t>Chakrabortty</w:t>
      </w:r>
      <w:proofErr w:type="spellEnd"/>
      <w:r w:rsidRPr="0019434A">
        <w:t>, R., Roy, P., Chowdhuri, I., Das, B., Saha, A., &amp; Shit, M. (2021). Changing climate and land use of 21st century influences soil erosion in India. Gondwana Research, 94, 164-185. https://doi.org/10.1016/j.gr.2021.02.021</w:t>
      </w:r>
    </w:p>
    <w:p w14:paraId="55991301" w14:textId="77777777" w:rsidR="005966DD" w:rsidRPr="0019434A" w:rsidRDefault="00F87969">
      <w:r w:rsidRPr="0019434A">
        <w:t>Park, S., Oh, C., Jeon, S., Jung, H., &amp; Choi, C. (2011). Soil erosion risk in Korean watersheds, assessed using the revised universal soil loss equation. Journal of Hydrology, 399(3-4), 263-273. https://doi.org/10.1016/j.jhydrol.2011.01.004</w:t>
      </w:r>
    </w:p>
    <w:p w14:paraId="6C7AE94C" w14:textId="77777777" w:rsidR="005966DD" w:rsidRPr="0019434A" w:rsidRDefault="00F87969">
      <w:r w:rsidRPr="0019434A">
        <w:t>Pham, T. G., Degener, J., &amp; Kappas, M. (2018). Integrated universal soil loss equation (USLE) and Geographical Information System (GIS) for soil erosion estimation in A Sap basin: Central Vietnam. International Soil and Water Conservation Research, 6(2), 99-110. https://doi.org/10.1016/j.iswcr.2018.01.001</w:t>
      </w:r>
    </w:p>
    <w:p w14:paraId="425503F1" w14:textId="77777777" w:rsidR="005966DD" w:rsidRPr="0019434A" w:rsidRDefault="00F87969">
      <w:r w:rsidRPr="0019434A">
        <w:t xml:space="preserve">Phiri, D., </w:t>
      </w:r>
      <w:proofErr w:type="spellStart"/>
      <w:r w:rsidRPr="0019434A">
        <w:t>Simwanda</w:t>
      </w:r>
      <w:proofErr w:type="spellEnd"/>
      <w:r w:rsidRPr="0019434A">
        <w:t xml:space="preserve">, M., Salekin, S., Nyirenda, V. R., Murayama, Y., &amp; </w:t>
      </w:r>
      <w:proofErr w:type="spellStart"/>
      <w:r w:rsidRPr="0019434A">
        <w:t>Ranagalage</w:t>
      </w:r>
      <w:proofErr w:type="spellEnd"/>
      <w:r w:rsidRPr="0019434A">
        <w:t>, M. (2020). Sentinel-2 data for land cover/use mapping: A review. Remote Sensing, 12(14), Article 2291. https://doi.org/10.3390/rs12142291</w:t>
      </w:r>
    </w:p>
    <w:p w14:paraId="52850DCA" w14:textId="77777777" w:rsidR="005966DD" w:rsidRPr="0019434A" w:rsidRDefault="00F87969">
      <w:r w:rsidRPr="0019434A">
        <w:t>Ranzi, R., Le, T. H., &amp; Rulli, M. C. (2012). A RUSLE approach to model suspended sediment load in the Lo River (Vietnam): Effects of reservoirs and land use changes. Journal of Hydrology, 422-423, 17-29. https://doi.org/10.1016/j.jhydrol.2011.12.009</w:t>
      </w:r>
    </w:p>
    <w:p w14:paraId="556EE509" w14:textId="77777777" w:rsidR="005966DD" w:rsidRPr="0019434A" w:rsidRDefault="00F87969">
      <w:proofErr w:type="spellStart"/>
      <w:r w:rsidRPr="0019434A">
        <w:t>Rasyidi</w:t>
      </w:r>
      <w:proofErr w:type="spellEnd"/>
      <w:r w:rsidRPr="0019434A">
        <w:t xml:space="preserve">, et al. (2022). Agricultural and shrubland conversion to settlements in Kota </w:t>
      </w:r>
      <w:proofErr w:type="spellStart"/>
      <w:r w:rsidRPr="0019434A">
        <w:t>Pasuruan</w:t>
      </w:r>
      <w:proofErr w:type="spellEnd"/>
      <w:r w:rsidRPr="0019434A">
        <w:t xml:space="preserve">. </w:t>
      </w:r>
      <w:proofErr w:type="spellStart"/>
      <w:r w:rsidRPr="0019434A">
        <w:t>Jurnal</w:t>
      </w:r>
      <w:proofErr w:type="spellEnd"/>
      <w:r w:rsidRPr="0019434A">
        <w:t xml:space="preserve"> </w:t>
      </w:r>
      <w:proofErr w:type="spellStart"/>
      <w:r w:rsidRPr="0019434A">
        <w:t>Pengelolaan</w:t>
      </w:r>
      <w:proofErr w:type="spellEnd"/>
      <w:r w:rsidRPr="0019434A">
        <w:t xml:space="preserve"> </w:t>
      </w:r>
      <w:proofErr w:type="spellStart"/>
      <w:r w:rsidRPr="0019434A">
        <w:t>Lingkungan</w:t>
      </w:r>
      <w:proofErr w:type="spellEnd"/>
      <w:r w:rsidRPr="0019434A">
        <w:t>, 9, 45-52. https://scholar.google.com/scholar?q=%22Agricultural+and+shrubland+conversion+to+settlements+in+Kota+Pasuruan%22</w:t>
      </w:r>
    </w:p>
    <w:p w14:paraId="1A555E44" w14:textId="77777777" w:rsidR="005966DD" w:rsidRPr="0019434A" w:rsidRDefault="00F87969">
      <w:r w:rsidRPr="0019434A">
        <w:t>Saaty, T. L. (1980). The analytic hierarchy process. McGraw-Hill. https://www.worldcat.org/title/analytic-hierarchy-process/oclc/5909699</w:t>
      </w:r>
    </w:p>
    <w:p w14:paraId="580E21EE" w14:textId="77777777" w:rsidR="005966DD" w:rsidRPr="0019434A" w:rsidRDefault="00F87969">
      <w:r w:rsidRPr="0019434A">
        <w:t>Sadhwani, K., Eldho, T. I., Jha, M. K., &amp; Karmakar, S. (2022). Effects of dynamic land use/land cover change on flow and sediment yield in a monsoon-dominated tropical watershed. Water, 14(22), Article 3666. https://doi.org/10.3390/w14223666</w:t>
      </w:r>
    </w:p>
    <w:p w14:paraId="31388F63" w14:textId="77777777" w:rsidR="005966DD" w:rsidRPr="0019434A" w:rsidRDefault="00F87969">
      <w:proofErr w:type="spellStart"/>
      <w:r w:rsidRPr="0019434A">
        <w:lastRenderedPageBreak/>
        <w:t>Wariunsora</w:t>
      </w:r>
      <w:proofErr w:type="spellEnd"/>
      <w:r w:rsidRPr="0019434A">
        <w:t xml:space="preserve">, et al. (2024). Agroforestry dynamics in the </w:t>
      </w:r>
      <w:proofErr w:type="spellStart"/>
      <w:r w:rsidRPr="0019434A">
        <w:t>Rejoso</w:t>
      </w:r>
      <w:proofErr w:type="spellEnd"/>
      <w:r w:rsidRPr="0019434A">
        <w:t xml:space="preserve"> Watershed. </w:t>
      </w:r>
      <w:proofErr w:type="spellStart"/>
      <w:r w:rsidRPr="0019434A">
        <w:t>Jurnal</w:t>
      </w:r>
      <w:proofErr w:type="spellEnd"/>
      <w:r w:rsidRPr="0019434A">
        <w:t xml:space="preserve"> </w:t>
      </w:r>
      <w:proofErr w:type="spellStart"/>
      <w:r w:rsidRPr="0019434A">
        <w:t>Agroforestri</w:t>
      </w:r>
      <w:proofErr w:type="spellEnd"/>
      <w:r w:rsidRPr="0019434A">
        <w:t xml:space="preserve"> Indonesia, 12, 88-97. https://scholar.google.com/scholar?q=%22Agroforestry+dynamics+in+the+Rejoso+Watershed%22</w:t>
      </w:r>
    </w:p>
    <w:p w14:paraId="61E1A054" w14:textId="77777777" w:rsidR="005966DD" w:rsidRPr="0019434A" w:rsidRDefault="00F87969">
      <w:r w:rsidRPr="0019434A">
        <w:t>Williams, J. R. (1975). Sediment-yield prediction with universal equation using runoff energy factor. In Present and prospective technology for predicting sediment yields and sources (USDA ARS-S-40, pp. 244-252). United States Department of Agriculture. https://www.ars.usda.gov/ARSUserFiles/60600505/RUSLE/AH_537.pdf</w:t>
      </w:r>
    </w:p>
    <w:p w14:paraId="27D0AEC7" w14:textId="77777777" w:rsidR="005966DD" w:rsidRPr="0019434A" w:rsidRDefault="00F87969">
      <w:r w:rsidRPr="0019434A">
        <w:t>Wischmeier, W. H., &amp; Smith, D. D. (1978). Predicting rainfall erosion losses: A guide to conservation planning (Agriculture Handbook No. 537). United States Department of Agriculture. https://naldc.nal.usda.gov/catalog/CAT79706928</w:t>
      </w:r>
    </w:p>
    <w:p w14:paraId="0BCDD03A" w14:textId="77777777" w:rsidR="005966DD" w:rsidRPr="0019434A" w:rsidRDefault="00F87969">
      <w:r w:rsidRPr="0019434A">
        <w:t>Wilcoxon, F. (1945). Individual comparisons by ranking methods. Biometrics Bulletin, 1(6), 80-83. https://doi.org/10.2307/3001968</w:t>
      </w:r>
    </w:p>
    <w:p w14:paraId="71BA02EE" w14:textId="77777777" w:rsidR="005966DD" w:rsidRDefault="00F87969">
      <w:r w:rsidRPr="0019434A">
        <w:t>Wunder, S. (2005). Payments for environmental services: Some nuts and bolts (CIFOR Occasional Paper No. 42). Center for International Forestry Research. https://doi.org/10.17528/cifor/001765</w:t>
      </w:r>
    </w:p>
    <w:sectPr w:rsidR="005966D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614B3" w14:textId="77777777" w:rsidR="00222B09" w:rsidRDefault="00222B09" w:rsidP="00A61DC0">
      <w:r>
        <w:separator/>
      </w:r>
    </w:p>
  </w:endnote>
  <w:endnote w:type="continuationSeparator" w:id="0">
    <w:p w14:paraId="77594211" w14:textId="77777777" w:rsidR="00222B09" w:rsidRDefault="00222B09" w:rsidP="00A61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1248F" w14:textId="77777777" w:rsidR="00A61DC0" w:rsidRDefault="00A61D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F8240" w14:textId="77777777" w:rsidR="00A61DC0" w:rsidRDefault="00A61D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4D7D" w14:textId="77777777" w:rsidR="00A61DC0" w:rsidRDefault="00A61D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018EA" w14:textId="77777777" w:rsidR="00222B09" w:rsidRDefault="00222B09" w:rsidP="00A61DC0">
      <w:r>
        <w:separator/>
      </w:r>
    </w:p>
  </w:footnote>
  <w:footnote w:type="continuationSeparator" w:id="0">
    <w:p w14:paraId="3027847A" w14:textId="77777777" w:rsidR="00222B09" w:rsidRDefault="00222B09" w:rsidP="00A61D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2D460" w14:textId="356EC376" w:rsidR="00A61DC0" w:rsidRDefault="00A61DC0">
    <w:pPr>
      <w:pStyle w:val="Header"/>
    </w:pPr>
    <w:r>
      <w:rPr>
        <w:noProof/>
      </w:rPr>
      <w:pict w14:anchorId="18DB70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3260907"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F359E" w14:textId="553369C2" w:rsidR="00A61DC0" w:rsidRDefault="00A61DC0">
    <w:pPr>
      <w:pStyle w:val="Header"/>
    </w:pPr>
    <w:r>
      <w:rPr>
        <w:noProof/>
      </w:rPr>
      <w:pict w14:anchorId="02215E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3260908"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A8A57" w14:textId="5DD76F68" w:rsidR="00A61DC0" w:rsidRDefault="00A61DC0">
    <w:pPr>
      <w:pStyle w:val="Header"/>
    </w:pPr>
    <w:r>
      <w:rPr>
        <w:noProof/>
      </w:rPr>
      <w:pict w14:anchorId="6686D6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3260906"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6DD"/>
    <w:rsid w:val="0019434A"/>
    <w:rsid w:val="00222B09"/>
    <w:rsid w:val="003B6503"/>
    <w:rsid w:val="005966DD"/>
    <w:rsid w:val="00A61DC0"/>
    <w:rsid w:val="00BE34AE"/>
    <w:rsid w:val="00E12A20"/>
    <w:rsid w:val="00F87969"/>
    <w:rsid w:val="06E949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43E23"/>
  <w15:docId w15:val="{7227C277-9E7F-457D-ABE7-625377C3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caption" w:semiHidden="1" w:unhideWhenUsed="1" w:qFormat="1"/>
    <w:lsdException w:name="footnote reference" w:semiHidden="1" w:uiPriority="99" w:unhideWhenUsed="1" w:qFormat="1"/>
    <w:lsdException w:name="endnote reference" w:semiHidden="1" w:uiPriority="99" w:unhideWhenUsed="1"/>
    <w:lsdException w:name="endnote text" w:semiHidden="1" w:uiPriority="99" w:unhideWhenUsed="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imes New Roman"/>
    </w:rPr>
  </w:style>
  <w:style w:type="paragraph" w:styleId="Heading1">
    <w:name w:val="heading 1"/>
    <w:next w:val="Normal"/>
    <w:qFormat/>
    <w:pPr>
      <w:outlineLvl w:val="0"/>
    </w:pPr>
    <w:rPr>
      <w:rFonts w:eastAsia="Times New Roman"/>
      <w:color w:val="2E74B5"/>
      <w:sz w:val="32"/>
      <w:szCs w:val="32"/>
    </w:rPr>
  </w:style>
  <w:style w:type="paragraph" w:styleId="Heading2">
    <w:name w:val="heading 2"/>
    <w:next w:val="Normal"/>
    <w:qFormat/>
    <w:pPr>
      <w:outlineLvl w:val="1"/>
    </w:pPr>
    <w:rPr>
      <w:rFonts w:eastAsia="Times New Roman"/>
      <w:color w:val="2E74B5"/>
      <w:sz w:val="26"/>
      <w:szCs w:val="26"/>
    </w:rPr>
  </w:style>
  <w:style w:type="paragraph" w:styleId="Heading3">
    <w:name w:val="heading 3"/>
    <w:next w:val="Normal"/>
    <w:qFormat/>
    <w:pPr>
      <w:outlineLvl w:val="2"/>
    </w:pPr>
    <w:rPr>
      <w:rFonts w:eastAsia="Times New Roman"/>
      <w:color w:val="1F4D78"/>
      <w:sz w:val="24"/>
      <w:szCs w:val="24"/>
    </w:rPr>
  </w:style>
  <w:style w:type="paragraph" w:styleId="Heading4">
    <w:name w:val="heading 4"/>
    <w:next w:val="Normal"/>
    <w:qFormat/>
    <w:pPr>
      <w:outlineLvl w:val="3"/>
    </w:pPr>
    <w:rPr>
      <w:rFonts w:eastAsia="Times New Roman"/>
      <w:i/>
      <w:iCs/>
      <w:color w:val="2E74B5"/>
    </w:rPr>
  </w:style>
  <w:style w:type="paragraph" w:styleId="Heading5">
    <w:name w:val="heading 5"/>
    <w:next w:val="Normal"/>
    <w:qFormat/>
    <w:pPr>
      <w:outlineLvl w:val="4"/>
    </w:pPr>
    <w:rPr>
      <w:rFonts w:eastAsia="Times New Roman"/>
      <w:color w:val="2E74B5"/>
    </w:rPr>
  </w:style>
  <w:style w:type="paragraph" w:styleId="Heading6">
    <w:name w:val="heading 6"/>
    <w:next w:val="Normal"/>
    <w:qFormat/>
    <w:pPr>
      <w:outlineLvl w:val="5"/>
    </w:pPr>
    <w:rPr>
      <w:rFonts w:eastAsia="Times New Roman"/>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rFonts w:eastAsia="Times New Roman"/>
    </w:rPr>
  </w:style>
  <w:style w:type="character" w:styleId="FootnoteReference">
    <w:name w:val="footnote reference"/>
    <w:uiPriority w:val="99"/>
    <w:semiHidden/>
    <w:unhideWhenUsed/>
    <w:qFormat/>
    <w:rPr>
      <w:vertAlign w:val="superscript"/>
    </w:rPr>
  </w:style>
  <w:style w:type="paragraph" w:styleId="FootnoteText">
    <w:name w:val="footnote text"/>
    <w:link w:val="FootnoteTextChar"/>
    <w:uiPriority w:val="99"/>
    <w:semiHidden/>
    <w:unhideWhenUsed/>
    <w:qFormat/>
    <w:rPr>
      <w:rFonts w:eastAsia="Times New Roman"/>
    </w:rPr>
  </w:style>
  <w:style w:type="character" w:styleId="Hyperlink">
    <w:name w:val="Hyperlink"/>
    <w:uiPriority w:val="99"/>
    <w:unhideWhenUsed/>
    <w:qFormat/>
    <w:rPr>
      <w:color w:val="0563C1"/>
      <w:u w:val="single"/>
    </w:rPr>
  </w:style>
  <w:style w:type="paragraph" w:styleId="Title">
    <w:name w:val="Title"/>
    <w:qFormat/>
    <w:rPr>
      <w:rFonts w:eastAsia="Times New Roman"/>
      <w:sz w:val="56"/>
      <w:szCs w:val="56"/>
    </w:rPr>
  </w:style>
  <w:style w:type="paragraph" w:styleId="ListParagraph">
    <w:name w:val="List Paragraph"/>
    <w:qFormat/>
    <w:rPr>
      <w:rFonts w:eastAsia="Times New Roman"/>
    </w:rPr>
  </w:style>
  <w:style w:type="character" w:customStyle="1" w:styleId="FootnoteTextChar">
    <w:name w:val="Footnote Text Char"/>
    <w:link w:val="FootnoteText"/>
    <w:uiPriority w:val="99"/>
    <w:semiHidden/>
    <w:unhideWhenUsed/>
    <w:qFormat/>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rsid w:val="00A61DC0"/>
    <w:pPr>
      <w:tabs>
        <w:tab w:val="center" w:pos="4513"/>
        <w:tab w:val="right" w:pos="9026"/>
      </w:tabs>
    </w:pPr>
  </w:style>
  <w:style w:type="character" w:customStyle="1" w:styleId="HeaderChar">
    <w:name w:val="Header Char"/>
    <w:basedOn w:val="DefaultParagraphFont"/>
    <w:link w:val="Header"/>
    <w:rsid w:val="00A61DC0"/>
    <w:rPr>
      <w:rFonts w:eastAsia="Times New Roman"/>
    </w:rPr>
  </w:style>
  <w:style w:type="paragraph" w:styleId="Footer">
    <w:name w:val="footer"/>
    <w:basedOn w:val="Normal"/>
    <w:link w:val="FooterChar"/>
    <w:rsid w:val="00A61DC0"/>
    <w:pPr>
      <w:tabs>
        <w:tab w:val="center" w:pos="4513"/>
        <w:tab w:val="right" w:pos="9026"/>
      </w:tabs>
    </w:pPr>
  </w:style>
  <w:style w:type="character" w:customStyle="1" w:styleId="FooterChar">
    <w:name w:val="Footer Char"/>
    <w:basedOn w:val="DefaultParagraphFont"/>
    <w:link w:val="Footer"/>
    <w:rsid w:val="00A61DC0"/>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10</Pages>
  <Words>3735</Words>
  <Characters>21294</Characters>
  <Application>Microsoft Office Word</Application>
  <DocSecurity>0</DocSecurity>
  <Lines>177</Lines>
  <Paragraphs>49</Paragraphs>
  <ScaleCrop>false</ScaleCrop>
  <Company/>
  <LinksUpToDate>false</LinksUpToDate>
  <CharactersWithSpaces>24980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1166</cp:lastModifiedBy>
  <cp:revision>5</cp:revision>
  <dcterms:created xsi:type="dcterms:W3CDTF">2026-06-29T04:25:00Z</dcterms:created>
  <dcterms:modified xsi:type="dcterms:W3CDTF">2026-06-30T08:38:00Z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eyJoZGlkIjoiNzNkMDc3NDBhODg1NzcwZTNjZjNjNzEzZGM2NTQxY2YiLCJ1c2VySWQiOiI4ODEzMzc2NDA2MTM3In0=</vt:lpwstr>
  </property>
  <property fmtid="{D5CDD505-2E9C-101B-9397-08002B2CF9AE}" pid="3" name="KSOProductBuildVer">
    <vt:lpwstr>1033-12.1.0.26880</vt:lpwstr>
  </property>
  <property fmtid="{D5CDD505-2E9C-101B-9397-08002B2CF9AE}" pid="4" name="ICV">
    <vt:lpwstr>96E07C34F59D423A8F1BC9BF91AF23D6_12</vt:lpwstr>
  </property>
</Properties>
</file>