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E533" w14:textId="77777777" w:rsidR="002E5CAB" w:rsidRPr="002E5CAB" w:rsidRDefault="002E5CAB" w:rsidP="002E5CAB">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2E5CAB">
        <w:rPr>
          <w:rFonts w:ascii="Times New Roman" w:eastAsia="Times New Roman" w:hAnsi="Times New Roman" w:cs="Times New Roman"/>
          <w:b/>
          <w:bCs/>
          <w:i/>
          <w:iCs/>
          <w:sz w:val="36"/>
          <w:szCs w:val="36"/>
          <w:u w:val="single"/>
          <w:lang w:val="en-US" w:eastAsia="en-GB"/>
        </w:rPr>
        <w:t>Review Article</w:t>
      </w:r>
    </w:p>
    <w:p w14:paraId="659B251D" w14:textId="77777777" w:rsidR="00C65699" w:rsidRPr="00C65699" w:rsidRDefault="00C65699" w:rsidP="00C6569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65699">
        <w:rPr>
          <w:rFonts w:ascii="Times New Roman" w:eastAsia="Times New Roman" w:hAnsi="Times New Roman" w:cs="Times New Roman"/>
          <w:b/>
          <w:bCs/>
          <w:sz w:val="36"/>
          <w:szCs w:val="36"/>
          <w:lang w:eastAsia="en-GB"/>
        </w:rPr>
        <w:t>Zoos and Aquariums as Socio-Ecological Testbeds: Technological Pathways for Climate Change Mitigation and Sustainable Development in Indian and Global Contexts</w:t>
      </w:r>
    </w:p>
    <w:p w14:paraId="0BEBC791"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Abstract</w:t>
      </w:r>
    </w:p>
    <w:p w14:paraId="6F53CD14"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Zoos and aquariums have moved well beyond their historical role as menageries of curiosity. They now operate as composite institutions in which conservation science, public education, animal welfare and urban land management converge. This review examines the claim that zoos and aquariums function as socio-ecological testbeds: living laboratories where technological innovation is trialled, evaluated and diffused in ways that bear directly on climate change mitigation and the wider sustainable development agenda. Drawing on a narrative synthesis of recent peer-reviewed literature, the article follows four interlocking technological pathways. The first concerns genetic and reproductive biotechnologies, including cryobanking, assisted reproduction, genome editing and environmental DNA surveillance, which extend the reach of ex situ conservation as habitat loss accelerates. The second concerns digital and computational technologies, spanning artificial intelligence-assisted monitoring, immersive visitor experiences and behaviour-change communication, which reshape how institutions generate evidence and engage the public on climate science. The third concerns operational sustainability: renewable energy adoption, circular waste-to-energy systems and green infrastructure, each delivering direct mitigation benefits alongside habitat for free-ranging urban biodiversity. The fourth situates these pathways within India, where the Central Zoo Authority's regulatory architecture, conservation breeding programmes and emerging Vision Plan illustrate both the promise and the constraints of technological uptake in a resource-constrained, biodiversity-rich setting. Throughout, the review attends to governance gaps, equity concerns and unresolved debates about the educational efficacy of zoo-based interventions, arguing that technological capability alone cannot substitute for institutional reform, international cooperation and sustained investment in the Global South. The article concludes that zoos and aquariums, while no substitute for in situ conservation or systemic decarbonisation, constitute an underappreciated node within the global sustainability infrastructure, one whose testbed function merits closer integration into national biodiversity and climate strategies.</w:t>
      </w:r>
    </w:p>
    <w:p w14:paraId="7CEF7C70"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Keywords:</w:t>
      </w:r>
      <w:r w:rsidRPr="00C65699">
        <w:rPr>
          <w:rFonts w:ascii="Times New Roman" w:eastAsia="Times New Roman" w:hAnsi="Times New Roman" w:cs="Times New Roman"/>
          <w:sz w:val="24"/>
          <w:szCs w:val="24"/>
          <w:lang w:eastAsia="en-GB"/>
        </w:rPr>
        <w:t xml:space="preserve"> zoos and aquariums; climate change mitigation; ex situ conservation; conservation technology; sustainable development; Indian zoos; socio-ecological systems</w:t>
      </w:r>
    </w:p>
    <w:p w14:paraId="0A85BE6A"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47E6A75F"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 Introduction</w:t>
      </w:r>
    </w:p>
    <w:p w14:paraId="76AFD08F"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1.1 Zoos and aquariums in the Anthropocene: from menageries to conservation institutions</w:t>
      </w:r>
    </w:p>
    <w:p w14:paraId="51E0F11D"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 xml:space="preserve">Few institutions have reinvented themselves as thoroughly over the past century as the zoological garden. What began as a space organised around novelty and spectacle has become a multifunctional entity charged with conservation breeding, scientific research, public education and, increasingly, sustainability leadership (Beer et al., 2023). The shift has not been smooth or complete. Many early twentieth-century zoos retained the menagerie ethos well into living memory, displaying exotic fauna with little systematic attention to genetic management or habitat representation. It was the professionalisation of zoo biology from the 1970s onward, with the rise of studbooks, species survival planning and formal accreditation, that recast these institutions as custodians of "insurance populations" for species facing mounting extinction risk (Conde et al., 2011). More recently, commentators have questioned whether the traditional four pillars of conservation, education, research and recreation still capture what a modern zoo actually does, proposing that animal and visitor wellbeing be recognised as a fifth aim running through all the others (Rose &amp; Riley, 2022). This broadening mandate has unfolded alongside a growing recognition that zoos and aquariums, despite occupying a modest collective land footprint, reach several hundred million visitors each year and so sit in an unusually privileged position from which to model, communicate and act on global environmental change (Miranda et al., </w:t>
      </w:r>
      <w:r w:rsidR="008C5E8C">
        <w:rPr>
          <w:rFonts w:ascii="Times New Roman" w:eastAsia="Times New Roman" w:hAnsi="Times New Roman" w:cs="Times New Roman"/>
          <w:sz w:val="24"/>
          <w:szCs w:val="24"/>
          <w:lang w:eastAsia="en-GB"/>
        </w:rPr>
        <w:t>2023</w:t>
      </w:r>
      <w:r w:rsidRPr="00C65699">
        <w:rPr>
          <w:rFonts w:ascii="Times New Roman" w:eastAsia="Times New Roman" w:hAnsi="Times New Roman" w:cs="Times New Roman"/>
          <w:sz w:val="24"/>
          <w:szCs w:val="24"/>
          <w:lang w:eastAsia="en-GB"/>
        </w:rPr>
        <w:t>).</w:t>
      </w:r>
    </w:p>
    <w:p w14:paraId="3D8EC66B"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1.2 Climate change as a compounding pressure on ex situ collections and missions</w:t>
      </w:r>
    </w:p>
    <w:p w14:paraId="295ECB64"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 change touches the zoo and aquarium sector in at least three distinct ways. First, it threatens the viability of captive collections directly: shifting temperature and humidity regimes strain husbandry systems built for a more stable climatic baseline, pushing institutions to redesign enclosures, retrofit climate control and reconsider which species they can responsibly hold (Beer et al., 2023). Second, it sharpens the urgency of the conservation function zoos perform on behalf of wild populations, since many species held in trust through conservation breeding programmes are losing habitat to climate-driven range shifts, sea-level rise and altered disturbance regimes at the same time. This dynamic is nowhere starker than in the deteriorating condition of coral reef ecosystems, which public aquaria both depict and, in some cases, actively work to restore (Suggett &amp; van Oppen, 2022). Third, climate change has become unavoidable in the public education work of these institutions, which are now expected to translate complex Earth-system science into messaging accessible and emotionally resonant enough to shift visitor attitudes and behaviour (Grajal et al., 2017). The Intergovernmental Panel on Climate Change has been blunt about the stakes, stressing that climate, ecosystems, biodiversity and human societies are so interdependent that responses confined to a single sector will not suffice (Intergovernmental Panel on Climate Change, 2023). That framing lends real institutional urgency to the question this review asks: what role, credibly, can zoos and aquariums play within such an integrated response?</w:t>
      </w:r>
    </w:p>
    <w:p w14:paraId="34AD90F9"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1.3 The socio-ecological testbed concept: technology, governance and publics</w:t>
      </w:r>
    </w:p>
    <w:p w14:paraId="019F6B8A"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This review uses the term socio-ecological testbed to describe a bounded institutional space in which technological, behavioural and governance innovations can be trialled at a manageable scale before, or alongside, deployment in wider ecological or societal systems. Zoos and aquariums have several features that suit this function particularly well. They combine controlled physical infrastructure with living biological systems, making it possible to experiment with genetic and reproductive technologies that would be logistically or ethically untenable to attempt in wild populations (Pritchard et al., 2012). They host concentrated, often repeat-visiting publics whose attitudes and behaviour can be measured and influenced through structured interpretive programming, building an evidence base for </w:t>
      </w:r>
      <w:r w:rsidRPr="00C65699">
        <w:rPr>
          <w:rFonts w:ascii="Times New Roman" w:eastAsia="Times New Roman" w:hAnsi="Times New Roman" w:cs="Times New Roman"/>
          <w:sz w:val="24"/>
          <w:szCs w:val="24"/>
          <w:lang w:eastAsia="en-GB"/>
        </w:rPr>
        <w:lastRenderedPageBreak/>
        <w:t>conservation psychology and climate communication that would be hard to assemble at comparable scale anywhere else (McNally et al., 2025). And they operate as discrete, identifiable consumers of energy and resources, meaning their retrofitting with renewable energy, circular waste systems and green infrastructure can be documented, evaluated and copied by comparable institutions, including municipal authorities managing similar green spaces nearby (Tin et al., 2024). The testbed function, though, is socio-ecological rather than purely technological: outcomes hinge as much on staff training, visitor psychology, institutional governance and international policy alignment as on the underlying hardware or biological technique — a point this review returns to explicitly in its closing sections.</w:t>
      </w:r>
    </w:p>
    <w:p w14:paraId="5BED40C2"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1.4 Scope and objectives of this review</w:t>
      </w:r>
    </w:p>
    <w:p w14:paraId="37DA3216"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This review examines the technological pathways through which zoos and aquariums contribute, or might more fully contribute, to climate change mitigation and sustainable development, paying particular attention to the contrast between high-resource institutional settings typical of North America, Europe and Australasia and the resource-constrained but biodiversity-rich setting of India. The discussion is organised around four substantive domains: genetic and reproductive biotechnologies; digital and computational technologies for monitoring and engagement; marine and coral-focused technologies situated within aquaria; and operational sustainability measures including renewable energy, circular resource flows and green infrastructure. Within each domain, the review synthesises recent empirical and conceptual literature, weighs the strength and limits of the existing evidence, and considers what follows for policy and institutional practice. A dedicated section turns to the Indian context specifically, examining the regulatory architecture of the Central Zoo Authority, documented conservation breeding outcomes and the structural barriers to technological scaling in a developing-country setting. A further section addresses governance, ethical and effectiveness debates that temper enthusiasm for technological solutions, before the review proposes an integrated framework for understanding zoos and aquariums as socio-ecological testbeds. The aim throughout is not to advocate uncritically for any one technology, but to give a measured, evidence-grounded account of where genuine mitigation and sustainable development value has been demonstrated, where the claims remain provisional, and where institutional and policy gaps most urgently need attention.</w:t>
      </w:r>
    </w:p>
    <w:p w14:paraId="48C0529A"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152DCB45"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2. Methods for Literature Selection</w:t>
      </w:r>
    </w:p>
    <w:p w14:paraId="18DBCA12"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This review adopted a narrative rather than a systematic review methodology, for reasons worth stating plainly. The subject matter cuts across an unusually wide range of disciplines — conservation biology, reproductive physiology, computer science, environmental psychology, energy engineering and public policy — none of which share outcome metrics or study designs amenable to formal meta-analytic pooling. Narrative review is recognised in the methodological literature as the better-suited approach when the goal is to integrate conceptually disparate strands of evidence into a coherent interpretive account, rather than to produce a single quantitative effect estimate, and when the intended contribution is an organising framework rather than an exhaustive catalogue of every primary study (Snyder, 2019). A systematic review protocol, by contrast, works best for a narrowly defined question with comparable outcome measures across studies — a condition this topic does not meet, given that it deliberately spans biotechnology, digital innovation, energy systems and conservation governance across both global and Indian institutional settings.</w:t>
      </w:r>
    </w:p>
    <w:p w14:paraId="42E3CA43"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The search drew on four general-purpose databases — Web of Science, Scopus, Google Scholar and PubMed — supplemented by six field-specific bibliographic and abstracting resources chosen for their relevance to zoology, conservation science and environmental management: CAB Abstracts, BIOSIS Previews, Zoological Record, AGRICOLA, GreenFILE and Wildlife and Ecology Studies Worldwide. The search covered literature published between January 2015 and 8 May 2026. The year 2015 was chosen as the starting point because it coincides with the adoption of the Sustainable Development Goals and immediately precedes the period in which institutional attention within the zoo and aquarium sector to climate resilience, conservation technology and sustainability reporting intensified noticeably; this window therefore captures the period over which the pathways examined in this review matured from isolated pilot projects into recognisable institutional practice. Search strings combined population terms ("zoo*" OR "aquarium*" OR "zoological park*" OR "wildlife park*") with intervention or topic terms ("climate change" OR "climate mitigation" OR "carbon" OR "renewable energy" OR "biobank*" OR "cryopreservation" OR "artificial intelligence" OR "environmental DNA" OR "virtual reality" OR "sustainable development" OR "biodiversity conservation"), using Boolean operators appropriate to each database's syntax. A small number of classic studies predating 2015 were retained where they remain the primary methodological or conceptual reference point for a given technique, consistent with the brief's allowance for older literature to supplement, rather than substitute for, the contemporary evidence base.</w:t>
      </w:r>
    </w:p>
    <w:p w14:paraId="37D34F3F"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Screening proceeded in two stages. Titles and abstracts were first reviewed to exclude clearly irrelevant records, after which full texts of provisionally relevant items were checked against explicit inclusion and exclusion criteria. Eligible studies were peer-reviewed primary research articles, systematic or narrative reviews, and meta-analyses published in English, together with a small number of authoritative institutional reports issued by recognised intergovernmental bodies where no peer-reviewed equivalent existed and a verifiable web address could be supplied. Excluded categories comprised books and book chapters, grey literature, conference proceedings and abstracts, trade or popular-press magazine articles, preprints not subsequently published in a peer-reviewed venue, and patents. Duplicate records identified across databases were consolidated using bibliographic management software before screening began, and the reference lists of key review articles were hand-searched to pick up additional eligible studies the electronic search strings had missed — a step that proved particularly useful for locating Indian-context literature underrepresented in the larger international databases. Influential studies were identified through a combination of citation count, recency, methodological rigour and the degree to which a study was repeatedly cited as a foundational reference within the retrieved corpus itself, rather than through any single numerical threshold. No language restriction beyond English was imposed at the search stage, though in practice the retrieved corpus skewed heavily toward English-language publication — a limitation acknowledged later in this review.</w:t>
      </w:r>
    </w:p>
    <w:p w14:paraId="4093F4BC"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0720A9C4"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3. The Evolving Mandate of Zoos and Aquariums: From Menagerie to Mitigation Partner</w:t>
      </w:r>
    </w:p>
    <w:p w14:paraId="0B1D7309"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3.1 Historical trajectory and the expanding institutional remit</w:t>
      </w:r>
    </w:p>
    <w:p w14:paraId="03D2E7E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How zoos see themselves professionally has shifted markedly over the past three decades, moving from an emphasis on display and recreation toward an integrated conservation, </w:t>
      </w:r>
      <w:r w:rsidRPr="00C65699">
        <w:rPr>
          <w:rFonts w:ascii="Times New Roman" w:eastAsia="Times New Roman" w:hAnsi="Times New Roman" w:cs="Times New Roman"/>
          <w:sz w:val="24"/>
          <w:szCs w:val="24"/>
          <w:lang w:eastAsia="en-GB"/>
        </w:rPr>
        <w:lastRenderedPageBreak/>
        <w:t>education, research and welfare mandate (Beer et al., 2023). This shift has come with growing scholarly insistence that the societal value of the modern zoo runs well beyond entertainment, reaching into measurable contributions to local community wellbeing, urban biodiversity, scientific literacy and, increasingly, sustainability leadership (Greenwell et al., 2023). Others have pushed back, warning that the traditional four-pillar framework risks becoming a rhetorical justification rather than a rigorously evidenced claim, and calling for a renewed model in which zoos demonstrate, rather than simply assert, their value to both species and society (Spooner et al., 2023). It is within this contested but evolving self-understanding that the question of technological contribution to climate mitigation and sustainable development needs to be placed: technology is not pursued for its own sake here, but as the instrument through which an already broadening mandate gets put into practice.</w:t>
      </w:r>
    </w:p>
    <w:p w14:paraId="4D175545"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3.2 Aligning zoo and aquarium functions with global biodiversity and climate frameworks</w:t>
      </w:r>
    </w:p>
    <w:p w14:paraId="132F156E"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adoption of the Kunming-Montreal Global Biodiversity Framework at the fifteenth Conference of the Parties to the Convention on Biological Diversity in December 2022 gave zoos and aquariums an explicit international reference point against which their conservation, educational and operational work can now be benchmarked (Convention on Biological Diversity, 2022). The framework's targets on species recovery, genetic diversity, urban green infrastructure and public awareness map onto functions zoos already perform with notable precision — a correspondence documented in detail for the Indian zoo network, where conservation breeding programmes, designated green areas and visitor education initiatives were found to align with specific Global Biodiversity Framework targets even though many of the underlying programmes predate the framework itself (Gupta et al., 2025). This matters for the present review because it shows that the technological pathways examined below are not freestanding curiosities but instruments through which institutions discharge obligations increasingly written into international biodiversity and climate governance.</w:t>
      </w:r>
    </w:p>
    <w:p w14:paraId="1055DCE1"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related body of work has looked at how the system-level allocation of conservation resources across zoo collections interacts with visitor attendance and in situ conservation outcomes, finding that institutional choices about which species to hold and breed carry consequences for both public engagement and the global distribution of ex situ conservation effort (Mooney et al., 2020). In a similar vein, coordinated biodiversity education campaigns run across multiple institutions have produced measurable shifts in visitor understanding of biodiversity loss, reinforcing the point that zoos function as a distributed network capable of synchronised, large-scale public communication in a way few other conservation actors can match (Moss et al., 2017). Table 1 summarises how core institutional functions correspond to international framework targets and indicates the principal technological or programmatic pathway through which each function is increasingly delivered.</w:t>
      </w:r>
    </w:p>
    <w:p w14:paraId="490754E4"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1. Alignment of contemporary zoo and aquarium functions with international biodiversity and climate frameworks</w:t>
      </w:r>
    </w:p>
    <w:tbl>
      <w:tblPr>
        <w:tblStyle w:val="TableGrid"/>
        <w:tblW w:w="0" w:type="auto"/>
        <w:tblLook w:val="04A0" w:firstRow="1" w:lastRow="0" w:firstColumn="1" w:lastColumn="0" w:noHBand="0" w:noVBand="1"/>
      </w:tblPr>
      <w:tblGrid>
        <w:gridCol w:w="2823"/>
        <w:gridCol w:w="3060"/>
        <w:gridCol w:w="3359"/>
      </w:tblGrid>
      <w:tr w:rsidR="00C65699" w:rsidRPr="00C65699" w14:paraId="104F8F2A" w14:textId="77777777" w:rsidTr="008C5E8C">
        <w:tc>
          <w:tcPr>
            <w:tcW w:w="0" w:type="auto"/>
            <w:hideMark/>
          </w:tcPr>
          <w:p w14:paraId="39508EAA"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Institutional function</w:t>
            </w:r>
          </w:p>
        </w:tc>
        <w:tc>
          <w:tcPr>
            <w:tcW w:w="0" w:type="auto"/>
            <w:hideMark/>
          </w:tcPr>
          <w:p w14:paraId="627DCF72"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Illustrative framework alignment</w:t>
            </w:r>
          </w:p>
        </w:tc>
        <w:tc>
          <w:tcPr>
            <w:tcW w:w="0" w:type="auto"/>
            <w:hideMark/>
          </w:tcPr>
          <w:p w14:paraId="0F8C3164"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Principal technological or programmatic pathway</w:t>
            </w:r>
          </w:p>
        </w:tc>
      </w:tr>
      <w:tr w:rsidR="00C65699" w:rsidRPr="00C65699" w14:paraId="151E3249" w14:textId="77777777" w:rsidTr="008C5E8C">
        <w:tc>
          <w:tcPr>
            <w:tcW w:w="0" w:type="auto"/>
            <w:hideMark/>
          </w:tcPr>
          <w:p w14:paraId="5733FCD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Conservation breeding and genetic management</w:t>
            </w:r>
          </w:p>
        </w:tc>
        <w:tc>
          <w:tcPr>
            <w:tcW w:w="0" w:type="auto"/>
            <w:hideMark/>
          </w:tcPr>
          <w:p w14:paraId="0076F7D5"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Species recovery and genetic diversity targets</w:t>
            </w:r>
          </w:p>
        </w:tc>
        <w:tc>
          <w:tcPr>
            <w:tcW w:w="0" w:type="auto"/>
            <w:hideMark/>
          </w:tcPr>
          <w:p w14:paraId="6F0E5D4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Biobanking, studbook-guided pairing, assisted reproduction</w:t>
            </w:r>
          </w:p>
        </w:tc>
      </w:tr>
      <w:tr w:rsidR="00C65699" w:rsidRPr="00C65699" w14:paraId="63C43DAC" w14:textId="77777777" w:rsidTr="008C5E8C">
        <w:tc>
          <w:tcPr>
            <w:tcW w:w="0" w:type="auto"/>
            <w:hideMark/>
          </w:tcPr>
          <w:p w14:paraId="427BDB55"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Habitat and green space provision</w:t>
            </w:r>
          </w:p>
        </w:tc>
        <w:tc>
          <w:tcPr>
            <w:tcW w:w="0" w:type="auto"/>
            <w:hideMark/>
          </w:tcPr>
          <w:p w14:paraId="249A2A4A"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Urban biodiversity and area-based conservation targets</w:t>
            </w:r>
          </w:p>
        </w:tc>
        <w:tc>
          <w:tcPr>
            <w:tcW w:w="0" w:type="auto"/>
            <w:hideMark/>
          </w:tcPr>
          <w:p w14:paraId="49552DA0"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Designated green areas, native planting, microhabitat design</w:t>
            </w:r>
          </w:p>
        </w:tc>
      </w:tr>
      <w:tr w:rsidR="00C65699" w:rsidRPr="00C65699" w14:paraId="0A1000B7" w14:textId="77777777" w:rsidTr="008C5E8C">
        <w:tc>
          <w:tcPr>
            <w:tcW w:w="0" w:type="auto"/>
            <w:hideMark/>
          </w:tcPr>
          <w:p w14:paraId="7A7ED48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Climate-resilient horticulture and collection planning</w:t>
            </w:r>
          </w:p>
        </w:tc>
        <w:tc>
          <w:tcPr>
            <w:tcW w:w="0" w:type="auto"/>
            <w:hideMark/>
          </w:tcPr>
          <w:p w14:paraId="6EAD736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 resilience through plant diversity</w:t>
            </w:r>
          </w:p>
        </w:tc>
        <w:tc>
          <w:tcPr>
            <w:tcW w:w="0" w:type="auto"/>
            <w:hideMark/>
          </w:tcPr>
          <w:p w14:paraId="0F31F1A5"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Species selection informed by projected climatic suitability</w:t>
            </w:r>
          </w:p>
        </w:tc>
      </w:tr>
      <w:tr w:rsidR="00C65699" w:rsidRPr="00C65699" w14:paraId="7CC7780C" w14:textId="77777777" w:rsidTr="008C5E8C">
        <w:tc>
          <w:tcPr>
            <w:tcW w:w="0" w:type="auto"/>
            <w:hideMark/>
          </w:tcPr>
          <w:p w14:paraId="22F821A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Public education and behaviour change</w:t>
            </w:r>
          </w:p>
        </w:tc>
        <w:tc>
          <w:tcPr>
            <w:tcW w:w="0" w:type="auto"/>
            <w:hideMark/>
          </w:tcPr>
          <w:p w14:paraId="2430E8B4"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Awareness and capacity-building targets</w:t>
            </w:r>
          </w:p>
        </w:tc>
        <w:tc>
          <w:tcPr>
            <w:tcW w:w="0" w:type="auto"/>
            <w:hideMark/>
          </w:tcPr>
          <w:p w14:paraId="035C08BA"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Interpretive programming, digital and immersive communication</w:t>
            </w:r>
          </w:p>
        </w:tc>
      </w:tr>
      <w:tr w:rsidR="00C65699" w:rsidRPr="00C65699" w14:paraId="1C9CC485" w14:textId="77777777" w:rsidTr="008C5E8C">
        <w:tc>
          <w:tcPr>
            <w:tcW w:w="0" w:type="auto"/>
            <w:hideMark/>
          </w:tcPr>
          <w:p w14:paraId="0B555235"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Research and biodiversity monitoring</w:t>
            </w:r>
          </w:p>
        </w:tc>
        <w:tc>
          <w:tcPr>
            <w:tcW w:w="0" w:type="auto"/>
            <w:hideMark/>
          </w:tcPr>
          <w:p w14:paraId="633F79D1"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Knowledge generation in support of national reporting</w:t>
            </w:r>
          </w:p>
        </w:tc>
        <w:tc>
          <w:tcPr>
            <w:tcW w:w="0" w:type="auto"/>
            <w:hideMark/>
          </w:tcPr>
          <w:p w14:paraId="15313A78"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Camera-trap and AI-assisted monitoring, environmental DNA</w:t>
            </w:r>
          </w:p>
        </w:tc>
      </w:tr>
      <w:tr w:rsidR="00C65699" w:rsidRPr="00C65699" w14:paraId="1A22DF5F" w14:textId="77777777" w:rsidTr="008C5E8C">
        <w:tc>
          <w:tcPr>
            <w:tcW w:w="0" w:type="auto"/>
            <w:hideMark/>
          </w:tcPr>
          <w:p w14:paraId="452BDB43"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Sustainable operations</w:t>
            </w:r>
          </w:p>
        </w:tc>
        <w:tc>
          <w:tcPr>
            <w:tcW w:w="0" w:type="auto"/>
            <w:hideMark/>
          </w:tcPr>
          <w:p w14:paraId="3E8774FA"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Resource mobilisation and low-impact infrastructure targets</w:t>
            </w:r>
          </w:p>
        </w:tc>
        <w:tc>
          <w:tcPr>
            <w:tcW w:w="0" w:type="auto"/>
            <w:hideMark/>
          </w:tcPr>
          <w:p w14:paraId="6D9F7A47"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Renewable energy, circular waste-to-energy systems</w:t>
            </w:r>
          </w:p>
        </w:tc>
      </w:tr>
    </w:tbl>
    <w:p w14:paraId="46DFF071"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t>Sources: Beer et al. (2023); Convention on Biological Diversity (2022); Gupta et al. (2025); Mooney et al. (2020); Spooner et al. (2023).</w:t>
      </w:r>
    </w:p>
    <w:p w14:paraId="1817E9FB"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table illustrates a recurring theme of this review: every institutional function now has an identifiable technological complement, but the maturity, evidentiary support and accessibility of that complement vary a good deal across functions — a variation the rest of the article unpacks in turn.</w:t>
      </w:r>
    </w:p>
    <w:p w14:paraId="68780E3C"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60C6FBA5"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4. Genetic and Reproductive Biotechnologies as Climate-Adaptive Conservation Tools</w:t>
      </w:r>
    </w:p>
    <w:p w14:paraId="4CB0DFB4"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4.1 Biobanking and cryopreservation as a hedge against accelerating attrition</w:t>
      </w:r>
    </w:p>
    <w:p w14:paraId="3882D269"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Cryopreservation of gametes, embryos, somatic cells and tissue has grown from a curiosity-driven research activity into a recognised pillar of conservation strategy, offering a way to capture genetic diversity that might otherwise be lost for good as wild populations decline (Comizzoli &amp; Holt, 2019). The case for biobanking becomes sharper still under climate change, since rapid environmental shifts can compress the window within which in situ conservation alone remains feasible, leaving cryopreserved material as one of the few options left for retaining variation that field-based conservation cannot secure quickly enough on its own. Comizzoli and Holt (2019) trace a series of breakthroughs in reproductive biology — spanning hormonal manipulation, oocyte recovery and in vitro culture — that have steadily lowered the species-specificity barriers historically limiting biobanking to a handful of well-studied taxa. The strategic logic sits within a wider genome resource banking framework in which cryopreserved material functions as a bridge between ex situ and in situ conservation, opening the door to future genetic rescue for populations that have already passed through a bottleneck — a concern directly relevant to several Indian conservation breeding programmes, including the Asiatic lion (</w:t>
      </w:r>
      <w:r w:rsidRPr="00C65699">
        <w:rPr>
          <w:rFonts w:ascii="Times New Roman" w:eastAsia="Times New Roman" w:hAnsi="Times New Roman" w:cs="Times New Roman"/>
          <w:i/>
          <w:iCs/>
          <w:sz w:val="24"/>
          <w:szCs w:val="24"/>
          <w:lang w:eastAsia="en-GB"/>
        </w:rPr>
        <w:t>Panthera leo persica</w:t>
      </w:r>
      <w:r w:rsidRPr="00C65699">
        <w:rPr>
          <w:rFonts w:ascii="Times New Roman" w:eastAsia="Times New Roman" w:hAnsi="Times New Roman" w:cs="Times New Roman"/>
          <w:sz w:val="24"/>
          <w:szCs w:val="24"/>
          <w:lang w:eastAsia="en-GB"/>
        </w:rPr>
        <w:t>) population at Sakkarbaug Zoo, where small founder numbers and limited gene flow continue to constrain genetic diversity despite decades of managed breeding (Gupta et al., 2025).</w:t>
      </w:r>
    </w:p>
    <w:p w14:paraId="0DCECDB4"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4.2 Assisted reproductive technologies and the management of small, climate-stressed populations</w:t>
      </w:r>
    </w:p>
    <w:p w14:paraId="51B637C6"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Assisted reproductive technologies — artificial insemination, in vitro fertilisation, embryo transfer — extend the practical reach of genetic management by allowing genetic material to move between geographically separated institutions without the welfare and logistical costs of transporting live animals. Their relevance to climate adaptation cuts two ways: such techniques permit genetic rescue of populations whose natural reproductive opportunities have been curtailed by climate-driven habitat fragmentation, and they reduce the demographic risk inherent in maintaining small, climate-vulnerable captive populations by maximising the reproductive contribution of limited founder stock. Inbreeding depression remains a persistent risk in small managed populations, and the genetic and demographic theory underpinning conservation breeding has long held that purging strategies and careful pedigree management are needed to offset the erosive effects of restricted gene flow (Leberg &amp; Firmin, 2008). That theoretical grounding continues to shape how assisted reproduction is applied across mammalian, avian and reptilian taxa in ex situ collections, including the documented Indian success of the breeding programme for the Indian mouse deer (</w:t>
      </w:r>
      <w:r w:rsidRPr="00C65699">
        <w:rPr>
          <w:rFonts w:ascii="Times New Roman" w:eastAsia="Times New Roman" w:hAnsi="Times New Roman" w:cs="Times New Roman"/>
          <w:i/>
          <w:iCs/>
          <w:sz w:val="24"/>
          <w:szCs w:val="24"/>
          <w:lang w:eastAsia="en-GB"/>
        </w:rPr>
        <w:t>Moschiola indica</w:t>
      </w:r>
      <w:r w:rsidRPr="00C65699">
        <w:rPr>
          <w:rFonts w:ascii="Times New Roman" w:eastAsia="Times New Roman" w:hAnsi="Times New Roman" w:cs="Times New Roman"/>
          <w:sz w:val="24"/>
          <w:szCs w:val="24"/>
          <w:lang w:eastAsia="en-GB"/>
        </w:rPr>
        <w:t>), which has fed directly into both ex situ management protocols and subsequent reintroduction efforts (Kumar &amp; Umapathy, 2023). The limits of even well-resourced assisted reproduction are equally instructive: captive breeding of pangolins, a taxon whose highly specialised diet and dependence on intact natural ecosystems make reproduction in managed care notoriously difficult, illustrates how species-specific biology can blunt the practical impact of reproductive technology regardless of institutional investment (Hua et al., 2015).</w:t>
      </w:r>
    </w:p>
    <w:p w14:paraId="56868869"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4.3 Cloning, genome editing and the contested frontier of de-extinction</w:t>
      </w:r>
    </w:p>
    <w:p w14:paraId="022C0A0D"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Somatic cell nuclear transfer, or cloning, has moved from a largely experimental procedure to a technique with demonstrated, if still narrow, application in endangered species conservation. Recent reviews document its potential to restore genetic diversity not represented in extant managed populations (Cowl et al., 2024). Its conservation value lies less in producing novel individuals than in reintroducing variation preserved in cryobanked material, sometimes decades earlier — a capability of particular relevance to species whose remaining wild and captive populations have already been through severe bottlenecks. Building on the same suite of genomic and reproductive technologies, de-extinction research, most prominently associated with efforts to generate functional proxies of extinct lineages, has been reframed by recent scholarship less as an end in itself and more as a technology incubator. Its component innovations — genome sequencing, embryology, artificial intelligence-supported reintroduction planning — carry direct application to the conservation of still-extant but critically endangered species, a process now described as "de-endangerment" (Turner et al., 2025). This reframing matters for the present review because it positions even the most speculative end of the conservation biotechnology spectrum as contributing, indirectly, to climate-adaptive conservation capacity through methodological spillover rather than literal species revival.</w:t>
      </w:r>
    </w:p>
    <w:p w14:paraId="6E8A4965"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Genome editing technologies, particularly CRISPR-Cas systems, push this trajectory further by raising the prospect of targeted genetic rescue, in which mutations accumulated through inbreeding might in principle be corrected or beneficial alleles reintroduced from historical genetic material. The ethical and ecological caution attached to such interventions is considerable, and the literature is candid that genome editing only makes sense once underlying demographic threats have been substantially addressed through more conventional conservation measures — edited individuals released into degraded or poaching-exposed habitats would gain little from a genomic intervention alone (Turner et al., 2025). The technology nonetheless shows how zoos and aquariums, working with specialised genomics </w:t>
      </w:r>
      <w:r w:rsidRPr="00C65699">
        <w:rPr>
          <w:rFonts w:ascii="Times New Roman" w:eastAsia="Times New Roman" w:hAnsi="Times New Roman" w:cs="Times New Roman"/>
          <w:sz w:val="24"/>
          <w:szCs w:val="24"/>
          <w:lang w:eastAsia="en-GB"/>
        </w:rPr>
        <w:lastRenderedPageBreak/>
        <w:t>laboratories, increasingly serve as the institutional interface through which frontier biotechnology gets translated into applied conservation practice.</w:t>
      </w:r>
    </w:p>
    <w:p w14:paraId="4A2E9C22"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4.4 Environmental DNA as a complementary, climate-relevant surveillance tool</w:t>
      </w:r>
    </w:p>
    <w:p w14:paraId="7928993E"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Environmental DNA analysis, which detects genetic material shed by organisms into water, soil or air without requiring direct observation or capture, has expanded rapidly as a biodiversity monitoring tool over the period this review covers (Çevik &amp; Çevik, 2025). Its relevance to the climate mitigation and sustainable development agenda of zoos and aquariums operates on two levels. Within facilities themselves, environmental DNA offers a low-disturbance way to confirm the presence, health status and reproductive activity of held populations, including notoriously cryptic aquatic taxa. Beyond the institutional boundary, aquaria and zoos increasingly partner with field conservation programmes to apply environmental DNA surveillance to wild populations whose distributions are shifting under climate pressure, providing an early-warning capability for range contraction or local loss that conventional survey methods often pick up only after substantial decline has already occurred. Çevik and Çevik (2025) caution, though, that environmental DNA concentration and persistence are themselves sensitive to temperature, pH and hydrological variability, meaning climate change introduces a confounding methodological challenge at the very moment it heightens the case for the technique's use.</w:t>
      </w:r>
      <w:r w:rsidR="008C5E8C">
        <w:rPr>
          <w:rFonts w:ascii="Times New Roman" w:eastAsia="Times New Roman" w:hAnsi="Times New Roman" w:cs="Times New Roman"/>
          <w:sz w:val="24"/>
          <w:szCs w:val="24"/>
          <w:lang w:eastAsia="en-GB"/>
        </w:rPr>
        <w:t xml:space="preserve"> </w:t>
      </w:r>
      <w:r w:rsidRPr="00C65699">
        <w:rPr>
          <w:rFonts w:ascii="Times New Roman" w:eastAsia="Times New Roman" w:hAnsi="Times New Roman" w:cs="Times New Roman"/>
          <w:sz w:val="24"/>
          <w:szCs w:val="24"/>
          <w:lang w:eastAsia="en-GB"/>
        </w:rPr>
        <w:t>Table 2 brings together these genetic and reproductive biotechnologies, setting out their core function, their specific relevance to climate-adaptive conservation, and an illustrative taxon or context for each.</w:t>
      </w:r>
    </w:p>
    <w:p w14:paraId="258BD803"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2. Selected genetic and reproductive biotechnologies relevant to climate-adaptive ex situ conservation</w:t>
      </w:r>
    </w:p>
    <w:tbl>
      <w:tblPr>
        <w:tblStyle w:val="TableGrid"/>
        <w:tblW w:w="0" w:type="auto"/>
        <w:tblLook w:val="04A0" w:firstRow="1" w:lastRow="0" w:firstColumn="1" w:lastColumn="0" w:noHBand="0" w:noVBand="1"/>
      </w:tblPr>
      <w:tblGrid>
        <w:gridCol w:w="1964"/>
        <w:gridCol w:w="2266"/>
        <w:gridCol w:w="2373"/>
        <w:gridCol w:w="2639"/>
      </w:tblGrid>
      <w:tr w:rsidR="00C65699" w:rsidRPr="00C65699" w14:paraId="03258D0E" w14:textId="77777777" w:rsidTr="008C5E8C">
        <w:tc>
          <w:tcPr>
            <w:tcW w:w="0" w:type="auto"/>
            <w:hideMark/>
          </w:tcPr>
          <w:p w14:paraId="00EAA191"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Technology</w:t>
            </w:r>
          </w:p>
        </w:tc>
        <w:tc>
          <w:tcPr>
            <w:tcW w:w="0" w:type="auto"/>
            <w:hideMark/>
          </w:tcPr>
          <w:p w14:paraId="4444ED2D"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Core function</w:t>
            </w:r>
          </w:p>
        </w:tc>
        <w:tc>
          <w:tcPr>
            <w:tcW w:w="0" w:type="auto"/>
            <w:hideMark/>
          </w:tcPr>
          <w:p w14:paraId="234BA55A"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Climate-change relevance</w:t>
            </w:r>
          </w:p>
        </w:tc>
        <w:tc>
          <w:tcPr>
            <w:tcW w:w="0" w:type="auto"/>
            <w:hideMark/>
          </w:tcPr>
          <w:p w14:paraId="28133002"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Illustrative context</w:t>
            </w:r>
          </w:p>
        </w:tc>
      </w:tr>
      <w:tr w:rsidR="00C65699" w:rsidRPr="00C65699" w14:paraId="5CFEA08F" w14:textId="77777777" w:rsidTr="008C5E8C">
        <w:tc>
          <w:tcPr>
            <w:tcW w:w="0" w:type="auto"/>
            <w:hideMark/>
          </w:tcPr>
          <w:p w14:paraId="52A0FAC5"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Cryobanking and genome resource banking</w:t>
            </w:r>
          </w:p>
        </w:tc>
        <w:tc>
          <w:tcPr>
            <w:tcW w:w="0" w:type="auto"/>
            <w:hideMark/>
          </w:tcPr>
          <w:p w14:paraId="04C1499D"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Long-term preservation of gametes, embryos and tissue</w:t>
            </w:r>
          </w:p>
        </w:tc>
        <w:tc>
          <w:tcPr>
            <w:tcW w:w="0" w:type="auto"/>
            <w:hideMark/>
          </w:tcPr>
          <w:p w14:paraId="0631C1B0"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Captures genetic diversity before climate-driven population loss forecloses the option</w:t>
            </w:r>
          </w:p>
        </w:tc>
        <w:tc>
          <w:tcPr>
            <w:tcW w:w="0" w:type="auto"/>
            <w:hideMark/>
          </w:tcPr>
          <w:p w14:paraId="3DE03283"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Multi-taxa biobank networks; Indian conservation breeding programmes</w:t>
            </w:r>
          </w:p>
        </w:tc>
      </w:tr>
      <w:tr w:rsidR="00C65699" w:rsidRPr="00C65699" w14:paraId="7367C6CA" w14:textId="77777777" w:rsidTr="008C5E8C">
        <w:tc>
          <w:tcPr>
            <w:tcW w:w="0" w:type="auto"/>
            <w:hideMark/>
          </w:tcPr>
          <w:p w14:paraId="2F62670A"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Assisted reproductive technologies</w:t>
            </w:r>
          </w:p>
        </w:tc>
        <w:tc>
          <w:tcPr>
            <w:tcW w:w="0" w:type="auto"/>
            <w:hideMark/>
          </w:tcPr>
          <w:p w14:paraId="6D17C358"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Artificial insemination, in vitro fertilisation, embryo transfer</w:t>
            </w:r>
          </w:p>
        </w:tc>
        <w:tc>
          <w:tcPr>
            <w:tcW w:w="0" w:type="auto"/>
            <w:hideMark/>
          </w:tcPr>
          <w:p w14:paraId="43AE099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Sustains reproduction in small, climate-stressed populations without live transport</w:t>
            </w:r>
          </w:p>
        </w:tc>
        <w:tc>
          <w:tcPr>
            <w:tcW w:w="0" w:type="auto"/>
            <w:hideMark/>
          </w:tcPr>
          <w:p w14:paraId="06B1F099"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Indian mouse deer breeding and reintroduction; species-specific limits seen in pangolin breeding</w:t>
            </w:r>
          </w:p>
        </w:tc>
      </w:tr>
      <w:tr w:rsidR="00C65699" w:rsidRPr="00C65699" w14:paraId="0C0A6FCE" w14:textId="77777777" w:rsidTr="008C5E8C">
        <w:tc>
          <w:tcPr>
            <w:tcW w:w="0" w:type="auto"/>
            <w:hideMark/>
          </w:tcPr>
          <w:p w14:paraId="6F422FD6"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Somatic cell nuclear transfer (cloning)</w:t>
            </w:r>
          </w:p>
        </w:tc>
        <w:tc>
          <w:tcPr>
            <w:tcW w:w="0" w:type="auto"/>
            <w:hideMark/>
          </w:tcPr>
          <w:p w14:paraId="593219B4"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Generation of individuals from preserved somatic cells</w:t>
            </w:r>
          </w:p>
        </w:tc>
        <w:tc>
          <w:tcPr>
            <w:tcW w:w="0" w:type="auto"/>
            <w:hideMark/>
          </w:tcPr>
          <w:p w14:paraId="7210FD0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Reintroduces genetic variation absent from extant managed populations</w:t>
            </w:r>
          </w:p>
        </w:tc>
        <w:tc>
          <w:tcPr>
            <w:tcW w:w="0" w:type="auto"/>
            <w:hideMark/>
          </w:tcPr>
          <w:p w14:paraId="10C90D28"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Endangered mammal genetic-diversity restoration</w:t>
            </w:r>
          </w:p>
        </w:tc>
      </w:tr>
      <w:tr w:rsidR="00C65699" w:rsidRPr="00C65699" w14:paraId="008337DF" w14:textId="77777777" w:rsidTr="008C5E8C">
        <w:tc>
          <w:tcPr>
            <w:tcW w:w="0" w:type="auto"/>
            <w:hideMark/>
          </w:tcPr>
          <w:p w14:paraId="076FF520"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Genome editing (CRISPR-Cas)</w:t>
            </w:r>
          </w:p>
        </w:tc>
        <w:tc>
          <w:tcPr>
            <w:tcW w:w="0" w:type="auto"/>
            <w:hideMark/>
          </w:tcPr>
          <w:p w14:paraId="6D1B847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Targeted correction or reintroduction of genetic variants</w:t>
            </w:r>
          </w:p>
        </w:tc>
        <w:tc>
          <w:tcPr>
            <w:tcW w:w="0" w:type="auto"/>
            <w:hideMark/>
          </w:tcPr>
          <w:p w14:paraId="53B4EF9E"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Offers genetic rescue once demographic threats are addressed</w:t>
            </w:r>
          </w:p>
        </w:tc>
        <w:tc>
          <w:tcPr>
            <w:tcW w:w="0" w:type="auto"/>
            <w:hideMark/>
          </w:tcPr>
          <w:p w14:paraId="5F5950F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Genetic load reduction in bottlenecked populations</w:t>
            </w:r>
          </w:p>
        </w:tc>
      </w:tr>
      <w:tr w:rsidR="00C65699" w:rsidRPr="00C65699" w14:paraId="5C979E52" w14:textId="77777777" w:rsidTr="008C5E8C">
        <w:tc>
          <w:tcPr>
            <w:tcW w:w="0" w:type="auto"/>
            <w:hideMark/>
          </w:tcPr>
          <w:p w14:paraId="45032553"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De-extinction-derived methodology</w:t>
            </w:r>
          </w:p>
        </w:tc>
        <w:tc>
          <w:tcPr>
            <w:tcW w:w="0" w:type="auto"/>
            <w:hideMark/>
          </w:tcPr>
          <w:p w14:paraId="24BBCDA7"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Genome sequencing, embryology and AI-supported reintroduction planning</w:t>
            </w:r>
          </w:p>
        </w:tc>
        <w:tc>
          <w:tcPr>
            <w:tcW w:w="0" w:type="auto"/>
            <w:hideMark/>
          </w:tcPr>
          <w:p w14:paraId="53CD3F35"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Generates transferable tools for de-endangerment of extant species</w:t>
            </w:r>
          </w:p>
        </w:tc>
        <w:tc>
          <w:tcPr>
            <w:tcW w:w="0" w:type="auto"/>
            <w:hideMark/>
          </w:tcPr>
          <w:p w14:paraId="03FEAF4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Methodological spillover to critically endangered taxa</w:t>
            </w:r>
          </w:p>
        </w:tc>
      </w:tr>
      <w:tr w:rsidR="00C65699" w:rsidRPr="00C65699" w14:paraId="40E98B10" w14:textId="77777777" w:rsidTr="008C5E8C">
        <w:tc>
          <w:tcPr>
            <w:tcW w:w="0" w:type="auto"/>
            <w:hideMark/>
          </w:tcPr>
          <w:p w14:paraId="3FA193F8"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Environmental DNA metabarcoding</w:t>
            </w:r>
          </w:p>
        </w:tc>
        <w:tc>
          <w:tcPr>
            <w:tcW w:w="0" w:type="auto"/>
            <w:hideMark/>
          </w:tcPr>
          <w:p w14:paraId="34B66550"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Non-invasive detection of species presence and activity</w:t>
            </w:r>
          </w:p>
        </w:tc>
        <w:tc>
          <w:tcPr>
            <w:tcW w:w="0" w:type="auto"/>
            <w:hideMark/>
          </w:tcPr>
          <w:p w14:paraId="54598E3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Provides early warning of climate-driven range contraction</w:t>
            </w:r>
          </w:p>
        </w:tc>
        <w:tc>
          <w:tcPr>
            <w:tcW w:w="0" w:type="auto"/>
            <w:hideMark/>
          </w:tcPr>
          <w:p w14:paraId="0AB0EFBB"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Aquatic and terrestrial biodiversity surveillance</w:t>
            </w:r>
          </w:p>
        </w:tc>
      </w:tr>
    </w:tbl>
    <w:p w14:paraId="5A88AC25"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t>Sources: Çevik and Çevik (2025); Comizzoli and Holt (2019); Cowl et al. (2024); Hua et al. (2015); Kumar and Umapathy (2023); Leberg and Firmin (2008); Turner et al. (2025).</w:t>
      </w:r>
    </w:p>
    <w:p w14:paraId="4840DE4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Read together, the techniques in Table 2 form less a toolkit of independent options than a graded sequence: biobanking and assisted reproduction buy time for populations already in difficulty, while cloning, genome editing and de-extinction-derived methods only become defensible once that time has been used to remove the underlying demographic and habitat threats — a sequencing logic this review revisits when it turns to questions of governance in Section 9.</w:t>
      </w:r>
    </w:p>
    <w:p w14:paraId="7B9C5DFF"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38CF0AC8"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5. Digital and Computational Technologies: Monitoring, Modelling and Visitor Engagement</w:t>
      </w:r>
    </w:p>
    <w:p w14:paraId="79DD59F8"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5.1 Artificial intelligence and automated monitoring</w:t>
      </w:r>
    </w:p>
    <w:p w14:paraId="3BD16B97"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Applying artificial intelligence to camera-trap imagery and behavioural video has transformed the scale at which zoos, aquariums and field conservation programmes can track animal welfare, behaviour and population status. A systematic evaluation of available artificial intelligence platforms for processing camera-trap data found substantial variation in precision and recall across species and taxonomic groups: detector models were generally good at telling animal presence from background, but performance grew far more uneven once the task shifted to fine-grained species classification, a finding with direct consequences for any institution hoping to deploy automated monitoring without sacrificing data quality (Vélez et al., 2023). Within zoo and aquarium settings specifically, a systematic review of computing technology applied to animal monitoring and interaction found that camera and video-based methods dominate the published literature, accounting for nearly half of all recorded technology instances across a decade of studies, while research attention remains heavily skewed toward mammalian taxa relative to the much broader range of species these institutions actually hold (Hassinger &amp; Nippert-Eng, 2025). That skew matters for climate-related monitoring in particular, because amphibians, reptiles and invertebrates — many of them acutely climate-sensitive — remain comparatively under-monitored by these emerging tools.</w:t>
      </w:r>
    </w:p>
    <w:p w14:paraId="6C195A4B"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related literature has looked more directly at the welfare applications of monitoring technology, concluding that sensor- and camera-based systems hold genuine potential to flag early signs of climate-related physiological stress, such as altered activity under heat load, while cautioning that implementation remains uneven across institutions and that there is still considerable room to ensure findings translate into actual husbandry adjustments rather than staying purely diagnostic (Diana et al., 2021). Taken together, these findings suggest artificial intelligence-assisted monitoring is a genuinely useful, if still maturing, instrument for climate-adaptive animal management, one whose value should grow as taxonomic and methodological coverage broadens.</w:t>
      </w:r>
    </w:p>
    <w:p w14:paraId="23A9D24E"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lastRenderedPageBreak/>
        <w:t>5.2 Immersive and digital visitor technologies</w:t>
      </w:r>
    </w:p>
    <w:p w14:paraId="44F5B2E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Virtual reality, augmented reality and mobile interactive applications have been trialled across a growing number of zoos and aquariums as a way of deepening visitor engagement with conservation content, climate-related messaging included. Early case-study evidence found that children exposed to a virtual reality encounter with threatened wildlife reported greater enjoyment and engagement than those who watched equivalent video content, suggesting immersive technology may sharpen the emotional pull of conservation messaging even where measurable attitude change is harder to pin down (Lugosi &amp; Lee, 2021). A qualitative evaluation of a stereoscopic virtual reality encounter with little penguins found much the same: the technology supported experiential discovery and emotional engagement, while also surfacing visitor unease about the relationship between digital encounters and direct experience of live animals (Carter et al., 2020). A recent systematic review combining bibliometric and qualitative methods across thirty-four studies of digital visitor technology in zoological parks identified four recurring thematic clusters — mobile and visitor-oriented digital tools, immersive augmented and virtual reality solutions, animal-computer interaction and welfare-focused technologies, and the more traditional conservation and education research — and concluded that while digital technologies show measurable short-term effects on engagement, empathy and knowledge retention, their long-term sustainability impact and integration across institutions remain limited, a gap the review terms the digital fragmentation problem (Gyurián Nagy, 2026). Earlier, foundational work on interactive technology and human-animal encounters made a similar point: thoughtful design, not technological sophistication for its own sake, determines whether digital tools deepen conservation-relevant engagement or simply distract from it (Webber et al., 2017).</w:t>
      </w:r>
    </w:p>
    <w:p w14:paraId="20DD4D71"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5.3 Climate communication, conservation psychology and behaviour change</w:t>
      </w:r>
    </w:p>
    <w:p w14:paraId="64F0B5C0"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Whether zoos and aquariums can turn visitor engagement into measurable pro-environmental attitudes and behaviour has been the subject of sustained empirical scrutiny, and the results are encouraging but qualified. A recent meta-analysis synthesising fifty-six primary studies of zoo-led interventions, framed through the Theory of Planned Behaviour, found a small-to-medium positive effect on conservation-relevant knowledge, beliefs and self-reported behaviour, with larger effects in single-institution studies and those using within-participant designs, while cautioning that the underlying primary literature remains uneven in design and outcome measurement (McNally et al., 2025). Complementary survey research on the relationship between visitors' sense of personal connection to animals and their self-reported engagement in climate-relevant pro-environmental behaviour found a significant, directional relationship that held regardless of political leaning — suggesting affective connection to charismatic and non-charismatic species alike may offer a sturdier foundation for climate communication than appeals built on abstract statistics alone (Grajal et al., 2017). A complementary pilot study examining the longitudinal relationship between childhood zoo visitation and adult sustainability behaviour and climate attitudes found that most respondents believed their zoo experiences had shaped their environmental views, even though comparatively few attributed specific sustainable behaviours directly to zoo-based learning — a gap between perceived and demonstrably attributable influence that future longitudinal research will need to close (</w:t>
      </w:r>
      <w:r w:rsidR="008C5E8C">
        <w:rPr>
          <w:rFonts w:ascii="Times New Roman" w:eastAsia="Times New Roman" w:hAnsi="Times New Roman" w:cs="Times New Roman"/>
          <w:sz w:val="24"/>
          <w:szCs w:val="24"/>
          <w:lang w:eastAsia="en-GB"/>
        </w:rPr>
        <w:t>Taylor &amp; Duram</w:t>
      </w:r>
      <w:r w:rsidRPr="00C65699">
        <w:rPr>
          <w:rFonts w:ascii="Times New Roman" w:eastAsia="Times New Roman" w:hAnsi="Times New Roman" w:cs="Times New Roman"/>
          <w:sz w:val="24"/>
          <w:szCs w:val="24"/>
          <w:lang w:eastAsia="en-GB"/>
        </w:rPr>
        <w:t>, 2021).</w:t>
      </w:r>
    </w:p>
    <w:p w14:paraId="01796E74"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Recent work has further argued that effective conservation communication need not lean exclusively on flagship species, with evidence suggesting that well-designed exhibits and interpretive framing can extend visitor affinity toward a broader range of less charismatic </w:t>
      </w:r>
      <w:r w:rsidRPr="00C65699">
        <w:rPr>
          <w:rFonts w:ascii="Times New Roman" w:eastAsia="Times New Roman" w:hAnsi="Times New Roman" w:cs="Times New Roman"/>
          <w:sz w:val="24"/>
          <w:szCs w:val="24"/>
          <w:lang w:eastAsia="en-GB"/>
        </w:rPr>
        <w:lastRenderedPageBreak/>
        <w:t>taxa — a finding with obvious implications for climate communication strategies that might otherwise default to polar bears and coral reefs as the standard visual shorthand for climate impact (Zhou et al., 2025). Institutional case studies of internal and external audience engagement strategies show, in turn, how zoo-based conservation messaging can be coordinated across staff, members and the wider public to keep climate and biodiversity framing consistent (Nageotte et al., 2024). At the same time, the persistence of negative visitor behaviours, including disruptive interactions with animals, documented across more than two hundred Southeast Asian zoos and aquariums, is a reminder that engagement quality varies considerably across institutional and regional contexts and cannot simply be assumed uniform across the global sector (Fourage et al., 2024).</w:t>
      </w:r>
      <w:r w:rsidR="008C5E8C">
        <w:rPr>
          <w:rFonts w:ascii="Times New Roman" w:eastAsia="Times New Roman" w:hAnsi="Times New Roman" w:cs="Times New Roman"/>
          <w:sz w:val="24"/>
          <w:szCs w:val="24"/>
          <w:lang w:eastAsia="en-GB"/>
        </w:rPr>
        <w:t xml:space="preserve"> </w:t>
      </w:r>
      <w:r w:rsidRPr="00C65699">
        <w:rPr>
          <w:rFonts w:ascii="Times New Roman" w:eastAsia="Times New Roman" w:hAnsi="Times New Roman" w:cs="Times New Roman"/>
          <w:sz w:val="24"/>
          <w:szCs w:val="24"/>
          <w:lang w:eastAsia="en-GB"/>
        </w:rPr>
        <w:t>Table 3 summarises the digital technology clusters discussed in this section, their representative tools and the balance of documented outcomes against constraints for each.</w:t>
      </w:r>
    </w:p>
    <w:p w14:paraId="2A8F1A9B"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3. Digital and computational technology clusters in zoos and aquariums</w:t>
      </w:r>
    </w:p>
    <w:tbl>
      <w:tblPr>
        <w:tblStyle w:val="TableGrid"/>
        <w:tblW w:w="0" w:type="auto"/>
        <w:tblLook w:val="04A0" w:firstRow="1" w:lastRow="0" w:firstColumn="1" w:lastColumn="0" w:noHBand="0" w:noVBand="1"/>
      </w:tblPr>
      <w:tblGrid>
        <w:gridCol w:w="2122"/>
        <w:gridCol w:w="2287"/>
        <w:gridCol w:w="2495"/>
        <w:gridCol w:w="2338"/>
      </w:tblGrid>
      <w:tr w:rsidR="00C65699" w:rsidRPr="00C65699" w14:paraId="54FF4FB6" w14:textId="77777777" w:rsidTr="008C5E8C">
        <w:tc>
          <w:tcPr>
            <w:tcW w:w="0" w:type="auto"/>
            <w:hideMark/>
          </w:tcPr>
          <w:p w14:paraId="4EFC6435"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Cluster</w:t>
            </w:r>
          </w:p>
        </w:tc>
        <w:tc>
          <w:tcPr>
            <w:tcW w:w="0" w:type="auto"/>
            <w:hideMark/>
          </w:tcPr>
          <w:p w14:paraId="439D1790"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Representative tools</w:t>
            </w:r>
          </w:p>
        </w:tc>
        <w:tc>
          <w:tcPr>
            <w:tcW w:w="0" w:type="auto"/>
            <w:hideMark/>
          </w:tcPr>
          <w:p w14:paraId="7C9DCA6C"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Documented outcome</w:t>
            </w:r>
          </w:p>
        </w:tc>
        <w:tc>
          <w:tcPr>
            <w:tcW w:w="0" w:type="auto"/>
            <w:hideMark/>
          </w:tcPr>
          <w:p w14:paraId="4C6B8CA4"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Key constraint</w:t>
            </w:r>
          </w:p>
        </w:tc>
      </w:tr>
      <w:tr w:rsidR="00C65699" w:rsidRPr="00C65699" w14:paraId="5AE57534" w14:textId="77777777" w:rsidTr="008C5E8C">
        <w:tc>
          <w:tcPr>
            <w:tcW w:w="0" w:type="auto"/>
            <w:hideMark/>
          </w:tcPr>
          <w:p w14:paraId="61A1D4AE"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AI-assisted monitoring</w:t>
            </w:r>
          </w:p>
        </w:tc>
        <w:tc>
          <w:tcPr>
            <w:tcW w:w="0" w:type="auto"/>
            <w:hideMark/>
          </w:tcPr>
          <w:p w14:paraId="1868EFB4"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Camera-trap detection and classification models</w:t>
            </w:r>
          </w:p>
        </w:tc>
        <w:tc>
          <w:tcPr>
            <w:tcW w:w="0" w:type="auto"/>
            <w:hideMark/>
          </w:tcPr>
          <w:p w14:paraId="0CC093BA"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High precision for common taxa; variable recall across species</w:t>
            </w:r>
          </w:p>
        </w:tc>
        <w:tc>
          <w:tcPr>
            <w:tcW w:w="0" w:type="auto"/>
            <w:hideMark/>
          </w:tcPr>
          <w:p w14:paraId="52EFF70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Taxonomic and methodological skew toward mammals</w:t>
            </w:r>
          </w:p>
        </w:tc>
      </w:tr>
      <w:tr w:rsidR="00C65699" w:rsidRPr="00C65699" w14:paraId="7D6A2D3C" w14:textId="77777777" w:rsidTr="008C5E8C">
        <w:tc>
          <w:tcPr>
            <w:tcW w:w="0" w:type="auto"/>
            <w:hideMark/>
          </w:tcPr>
          <w:p w14:paraId="2FCE30A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Welfare and behavioural sensing</w:t>
            </w:r>
          </w:p>
        </w:tc>
        <w:tc>
          <w:tcPr>
            <w:tcW w:w="0" w:type="auto"/>
            <w:hideMark/>
          </w:tcPr>
          <w:p w14:paraId="142DF5BA"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Activity sensors, behaviour-tracking cameras</w:t>
            </w:r>
          </w:p>
        </w:tc>
        <w:tc>
          <w:tcPr>
            <w:tcW w:w="0" w:type="auto"/>
            <w:hideMark/>
          </w:tcPr>
          <w:p w14:paraId="42389FB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Potential for early detection of climate-related stress</w:t>
            </w:r>
          </w:p>
        </w:tc>
        <w:tc>
          <w:tcPr>
            <w:tcW w:w="0" w:type="auto"/>
            <w:hideMark/>
          </w:tcPr>
          <w:p w14:paraId="1154CDD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Uneven translation into husbandry action</w:t>
            </w:r>
          </w:p>
        </w:tc>
      </w:tr>
      <w:tr w:rsidR="00C65699" w:rsidRPr="00C65699" w14:paraId="5C17D049" w14:textId="77777777" w:rsidTr="008C5E8C">
        <w:tc>
          <w:tcPr>
            <w:tcW w:w="0" w:type="auto"/>
            <w:hideMark/>
          </w:tcPr>
          <w:p w14:paraId="6D565F77"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Immersive visitor experiences</w:t>
            </w:r>
          </w:p>
        </w:tc>
        <w:tc>
          <w:tcPr>
            <w:tcW w:w="0" w:type="auto"/>
            <w:hideMark/>
          </w:tcPr>
          <w:p w14:paraId="25993E0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Virtual and augmented reality encounters</w:t>
            </w:r>
          </w:p>
        </w:tc>
        <w:tc>
          <w:tcPr>
            <w:tcW w:w="0" w:type="auto"/>
            <w:hideMark/>
          </w:tcPr>
          <w:p w14:paraId="02EE9999"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Enhanced emotional engagement and enjoyment</w:t>
            </w:r>
          </w:p>
        </w:tc>
        <w:tc>
          <w:tcPr>
            <w:tcW w:w="0" w:type="auto"/>
            <w:hideMark/>
          </w:tcPr>
          <w:p w14:paraId="16873563"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Limited evidence of durable attitude change</w:t>
            </w:r>
          </w:p>
        </w:tc>
      </w:tr>
      <w:tr w:rsidR="00C65699" w:rsidRPr="00C65699" w14:paraId="63E6049A" w14:textId="77777777" w:rsidTr="008C5E8C">
        <w:tc>
          <w:tcPr>
            <w:tcW w:w="0" w:type="auto"/>
            <w:hideMark/>
          </w:tcPr>
          <w:p w14:paraId="189E6FA4"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Mobile and location-based applications</w:t>
            </w:r>
          </w:p>
        </w:tc>
        <w:tc>
          <w:tcPr>
            <w:tcW w:w="0" w:type="auto"/>
            <w:hideMark/>
          </w:tcPr>
          <w:p w14:paraId="112DA85E"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Smartphone interpretive apps, gamified content</w:t>
            </w:r>
          </w:p>
        </w:tc>
        <w:tc>
          <w:tcPr>
            <w:tcW w:w="0" w:type="auto"/>
            <w:hideMark/>
          </w:tcPr>
          <w:p w14:paraId="1FA0E40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Supports structured, exploratory learning</w:t>
            </w:r>
          </w:p>
        </w:tc>
        <w:tc>
          <w:tcPr>
            <w:tcW w:w="0" w:type="auto"/>
            <w:hideMark/>
          </w:tcPr>
          <w:p w14:paraId="7A59D8FB"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Fragmented, non-integrated deployment</w:t>
            </w:r>
          </w:p>
        </w:tc>
      </w:tr>
      <w:tr w:rsidR="00C65699" w:rsidRPr="00C65699" w14:paraId="2A82C1FC" w14:textId="77777777" w:rsidTr="008C5E8C">
        <w:tc>
          <w:tcPr>
            <w:tcW w:w="0" w:type="auto"/>
            <w:hideMark/>
          </w:tcPr>
          <w:p w14:paraId="0A4B65A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Climate and conservation communication</w:t>
            </w:r>
          </w:p>
        </w:tc>
        <w:tc>
          <w:tcPr>
            <w:tcW w:w="0" w:type="auto"/>
            <w:hideMark/>
          </w:tcPr>
          <w:p w14:paraId="0988A6F8"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Interpretive messaging, connection-based framing</w:t>
            </w:r>
          </w:p>
        </w:tc>
        <w:tc>
          <w:tcPr>
            <w:tcW w:w="0" w:type="auto"/>
            <w:hideMark/>
          </w:tcPr>
          <w:p w14:paraId="5A7A3B01"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Significant association with self-reported pro-environmental behaviour</w:t>
            </w:r>
          </w:p>
        </w:tc>
        <w:tc>
          <w:tcPr>
            <w:tcW w:w="0" w:type="auto"/>
            <w:hideMark/>
          </w:tcPr>
          <w:p w14:paraId="1E36771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Heterogeneous primary evidence base</w:t>
            </w:r>
          </w:p>
        </w:tc>
      </w:tr>
    </w:tbl>
    <w:p w14:paraId="7558AF3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t xml:space="preserve">Sources: Carter et al. (2020); Diana et al. (2021); </w:t>
      </w:r>
      <w:r w:rsidR="008C5E8C" w:rsidRPr="008C5E8C">
        <w:rPr>
          <w:rFonts w:ascii="Times New Roman" w:eastAsia="Times New Roman" w:hAnsi="Times New Roman" w:cs="Times New Roman"/>
          <w:i/>
          <w:iCs/>
          <w:sz w:val="24"/>
          <w:szCs w:val="24"/>
          <w:lang w:eastAsia="en-GB"/>
        </w:rPr>
        <w:t xml:space="preserve">Taylor &amp; Duram </w:t>
      </w:r>
      <w:r w:rsidRPr="00C65699">
        <w:rPr>
          <w:rFonts w:ascii="Times New Roman" w:eastAsia="Times New Roman" w:hAnsi="Times New Roman" w:cs="Times New Roman"/>
          <w:i/>
          <w:iCs/>
          <w:sz w:val="24"/>
          <w:szCs w:val="24"/>
          <w:lang w:eastAsia="en-GB"/>
        </w:rPr>
        <w:t>(2021); Grajal et al. (2017); Gyurián Nagy (2026); Hassinger and Nippert-Eng (2025); Lugosi and Lee (2021); McNally et al. (2025); Vélez et al. (2023); Webber et al. (2017); Zhou et al. (2025).</w:t>
      </w:r>
    </w:p>
    <w:p w14:paraId="6646ECE7"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What stands out across the five clusters in Table 3 is a consistent pattern: the technical capability to monitor, immerse and communicate has advanced faster than the institutional and evaluative infrastructure needed to make full use of it, leaving most clusters with promising short-term results but a thinner evidence base on durability and cross-institutional integration.</w:t>
      </w:r>
    </w:p>
    <w:p w14:paraId="49FB59F8"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4AB76931"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6. Aquariums, Coral Biobanks and Marine Climate Refugia</w:t>
      </w:r>
    </w:p>
    <w:p w14:paraId="794B5E6E"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Public aquaria occupy a distinctive place in this sector because their signature exhibits, coral reef displays above all, depict an ecosystem whose degradation under ocean warming and </w:t>
      </w:r>
      <w:r w:rsidRPr="00C65699">
        <w:rPr>
          <w:rFonts w:ascii="Times New Roman" w:eastAsia="Times New Roman" w:hAnsi="Times New Roman" w:cs="Times New Roman"/>
          <w:sz w:val="24"/>
          <w:szCs w:val="24"/>
          <w:lang w:eastAsia="en-GB"/>
        </w:rPr>
        <w:lastRenderedPageBreak/>
        <w:t>acidification is among the most visible and scientifically unambiguous consequences of climate change. That visibility has translated into a substantive technological role, with aquaria increasingly involved in ex situ coral propagation and assisted evolution research aimed at building thermal resilience into the restoration stock destined for degraded reefs. Recent horizon-scanning work has catalogued the maturing suite of coral restoration innovations: assisted evolution approaches targeting the coral host and its associated microbial symbionts, biobanking of coral gametes and tissue, and scalable propagation and outplanting methods. The same work notes that aquarium and nursery-based ex situ culture, whether in flow-through aquaria or land-based facilities, provides an intermediate recovery phase before transplantation that improves the survival prospects of restoration stock relative to direct transplantation alone (Suggett &amp; van Oppen, 2022). This nursery function places public aquaria, and the specialised marine science facilities often attached to them, as practical contributors to a restoration pipeline whose ultimate goal is rebuilding degraded reef ecosystems under continuing climatic stress.</w:t>
      </w:r>
    </w:p>
    <w:p w14:paraId="5B7295CC"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strategic logic behind coral biobanking parallels what Section 4 already described for terrestrial species: cryopreservation and controlled propagation are used to preserve genetic material and thermally tolerant genotypes that might otherwise be lost before restoration interventions can be scaled up. Suggett and van Oppen (2022) are candid that cost remains a fundamental constraint on equitable global deployment, noting that restoration techniques refined in well-resourced research aquaria do not automatically transfer to the reef systems and institutional contexts of the Global South that bear a disproportionate share of climate-driven reef loss — a concern this review picks up again in the equity discussion in Section 9. Beyond direct restoration, aquaria also serve a sentinel role: the controlled conditions achievable in aquarium systems let researchers isolate the physiological effects of warming and acidification on coral and other marine taxa with a precision difficult to achieve in variable field conditions, building the mechanistic understanding that later feeds back into both restoration practice and broader climate impact assessment. Coral-focused programmes remain concentrated in a relatively small number of well-resourced institutions, but the underlying biobanking and propagation logic is, in principle, transferable to other climate-vulnerable marine taxa held in aquarium collections, pointing toward a trajectory of expansion as techniques mature and costs come down.</w:t>
      </w:r>
    </w:p>
    <w:p w14:paraId="55E9AC6B"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008861A3"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7. Operational Sustainability: Renewable Energy, Circular Resource Flows and Green Infrastructure</w:t>
      </w:r>
    </w:p>
    <w:p w14:paraId="0B1658C0"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7.1 Energy transition within zoo and aquarium operations</w:t>
      </w:r>
    </w:p>
    <w:p w14:paraId="73576982"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Beyond their conservation and educational work, zoos and aquariums are substantial consumers of energy and water, running climate-controlled enclosures, filtration systems and visitor facilities whose carbon footprint has come under growing institutional scrutiny. The adoption of rooftop solar generation, energy-efficient lighting and electrified or solar-powered visitor transport is the most visible and widely documented category of operational mitigation effort across the sector, part of a broader institutional push to cut emissions tied to facility operations. Any single institution's energy transition is modest in absolute global terms, but its cumulative and demonstrative value lies in its visibility: a visitor who sees a solar array, an electric visitor vehicle or a water-efficient exhibit encounters a tangible, </w:t>
      </w:r>
      <w:r w:rsidRPr="00C65699">
        <w:rPr>
          <w:rFonts w:ascii="Times New Roman" w:eastAsia="Times New Roman" w:hAnsi="Times New Roman" w:cs="Times New Roman"/>
          <w:sz w:val="24"/>
          <w:szCs w:val="24"/>
          <w:lang w:eastAsia="en-GB"/>
        </w:rPr>
        <w:lastRenderedPageBreak/>
        <w:t>legible model of decarbonised infrastructure that can reinforce the educational messaging discussed in Section 5.</w:t>
      </w:r>
    </w:p>
    <w:p w14:paraId="7B778890"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7.2 Circular resource flows and the waste-to-energy case of zoo-derived biogas</w:t>
      </w:r>
    </w:p>
    <w:p w14:paraId="33BEE6F0"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particularly instructive case of circular economy thinking in this sector is the anaerobic digestion of zoo-generated organic waste — uneaten food, bedding material, animal excreta — to produce biogas usable for heating, cooking or electricity. A recent comprehensive review of this practice found zoo-derived organic waste to be a viable, if still underexploited, substrate for anaerobic digestion, capable of feeding a sustainable on-site energy system while cutting the greenhouse gas emissions, methane above all, that would otherwise arise from this same waste stream decomposing uncontrolled (Tin et al., 2024). The review frames biogas capture explicitly as a mechanism through which zoological institutions can curb greenhouse gas emissions, raise resource efficiency and demonstrate environmental responsibility, while noting that getting it right requires careful attention to the operational, technical and maintenance demands of biogas plant installation in a setting with variable feedstock composition and a need to integrate digestate management with existing horticultural operations (Tin et al., 2024). This case captures the broader testbed function set out in this review's introduction rather neatly: a technology already established in agricultural and municipal waste management is adapted, tested and documented within the bounded setting of a zoo, producing operational knowledge that other urban green-space managers can borrow.</w:t>
      </w:r>
    </w:p>
    <w:p w14:paraId="3DAE4AF2"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7.3 Green infrastructure, urban biodiversity and microclimate regulation</w:t>
      </w:r>
    </w:p>
    <w:p w14:paraId="627E03DF"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further operational dimension is the substantial designated green area many zoos maintain, which delivers climate and biodiversity co-benefits well beyond the institution's conservation breeding remit. Urban green spaces of the kind found within zoo grounds have been shown, across a substantial empirical literature, to support measurable biodiversity gains, with meta-analytic evidence confirming that the spatial extent of urban green areas is among the strongest predictors of intra-urban biodiversity variation across taxa (Beninde et al., 2015). That relationship has been confirmed specifically within Indian zoos, where designated green area correlated significantly with the richness of free-ranging mammal and bird species observed on zoo grounds, even though the same relationship did not extend to reptiles, whose habitat needs are governed more by microhabitat features such as thermal refugia and structural complexity than by patch area alone (Gupta et al., 2025). The same taxon-specific pattern echoes findings from urban ecology more broadly, where reptile and amphibian diversity in fragmented landscapes has been shown to depend heavily on the conservation value of even small habitat patches, provided the right microhabitat conditions are present, rather than on patch size as such (Delaney et al., 2021). Comparable evidence from the United Kingdom indicates that zoo grounds can also function as functioning habitat for free-living native small mammal species, reinforcing the case that designated green space within zoos is ecologically active rather than merely ornamental (Elwell et al., 2021). Foundational work examining the value of urban and peri-urban parks for wildlife had already shown that park size can override the negative effects of habitat isolation in shaping vertebrate community composition, lending broader empirical support to the minimum green-area requirements written into zoo design standards (Sorace, 2001).</w:t>
      </w:r>
    </w:p>
    <w:p w14:paraId="176779AD"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Beyond their direct biodiversity contribution, these green spaces deliver recognised climate mitigation and adaptation services, including carbon sequestration in woody vegetation and </w:t>
      </w:r>
      <w:r w:rsidRPr="00C65699">
        <w:rPr>
          <w:rFonts w:ascii="Times New Roman" w:eastAsia="Times New Roman" w:hAnsi="Times New Roman" w:cs="Times New Roman"/>
          <w:sz w:val="24"/>
          <w:szCs w:val="24"/>
          <w:lang w:eastAsia="en-GB"/>
        </w:rPr>
        <w:lastRenderedPageBreak/>
        <w:t>soil, evapotranspirative cooling that softens the urban heat island, and stormwater attenuation — services extensively documented in the urban green infrastructure literature and increasingly treated as essential, not incidental, components of sustainable urban planning (Davies &amp; Lafortezza, 2017; Godoi et al., 2025). The conservation literature has long insisted that meaningful biodiversity outcomes depend on attention to the places people actually live and work, rather than being confined to remote protected areas, a principle that gives particular weight to the role zoos can play as accessible urban green infrastructure embedded within dense metropolitan settings (Miller &amp; Hobbs, 2002). Within the Indian regulatory context specifically, mandated minimum green-area thresholds for recognised zoos institutionalise this function, requiring that a substantial share of total zoo land be kept as ecologically functional green space rather than purely ornamental or built infrastructure (Gupta et al., 2025).</w:t>
      </w:r>
    </w:p>
    <w:p w14:paraId="77B39864"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Table 4 brings together the operational mitigation interventions discussed in this section, alongside the primary climate-benefit mechanism and the type of evidence available for each.</w:t>
      </w:r>
    </w:p>
    <w:p w14:paraId="3FEA3D86"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b/>
          <w:bCs/>
          <w:sz w:val="24"/>
          <w:szCs w:val="24"/>
          <w:lang w:eastAsia="en-GB"/>
        </w:rPr>
        <w:t>Table 4. Operational sustainability interventions in zoos and aquariums with mitigation relevance</w:t>
      </w:r>
    </w:p>
    <w:tbl>
      <w:tblPr>
        <w:tblStyle w:val="TableGrid"/>
        <w:tblW w:w="0" w:type="auto"/>
        <w:tblLook w:val="04A0" w:firstRow="1" w:lastRow="0" w:firstColumn="1" w:lastColumn="0" w:noHBand="0" w:noVBand="1"/>
      </w:tblPr>
      <w:tblGrid>
        <w:gridCol w:w="2110"/>
        <w:gridCol w:w="2380"/>
        <w:gridCol w:w="2348"/>
        <w:gridCol w:w="2404"/>
      </w:tblGrid>
      <w:tr w:rsidR="00C65699" w:rsidRPr="00C65699" w14:paraId="3AC58AED" w14:textId="77777777" w:rsidTr="008C5E8C">
        <w:tc>
          <w:tcPr>
            <w:tcW w:w="0" w:type="auto"/>
            <w:hideMark/>
          </w:tcPr>
          <w:p w14:paraId="184707A3"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Intervention</w:t>
            </w:r>
          </w:p>
        </w:tc>
        <w:tc>
          <w:tcPr>
            <w:tcW w:w="0" w:type="auto"/>
            <w:hideMark/>
          </w:tcPr>
          <w:p w14:paraId="77FCB667"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Mechanism of climate benefit</w:t>
            </w:r>
          </w:p>
        </w:tc>
        <w:tc>
          <w:tcPr>
            <w:tcW w:w="0" w:type="auto"/>
            <w:hideMark/>
          </w:tcPr>
          <w:p w14:paraId="34EE847B"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Documented co-benefit</w:t>
            </w:r>
          </w:p>
        </w:tc>
        <w:tc>
          <w:tcPr>
            <w:tcW w:w="0" w:type="auto"/>
            <w:hideMark/>
          </w:tcPr>
          <w:p w14:paraId="3D5D2E49" w14:textId="77777777" w:rsidR="00C65699" w:rsidRPr="00C65699" w:rsidRDefault="00C65699" w:rsidP="00C65699">
            <w:pPr>
              <w:jc w:val="center"/>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Evidentiary basis</w:t>
            </w:r>
          </w:p>
        </w:tc>
      </w:tr>
      <w:tr w:rsidR="00C65699" w:rsidRPr="00C65699" w14:paraId="4B5233FC" w14:textId="77777777" w:rsidTr="008C5E8C">
        <w:tc>
          <w:tcPr>
            <w:tcW w:w="0" w:type="auto"/>
            <w:hideMark/>
          </w:tcPr>
          <w:p w14:paraId="476F68D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Renewable electricity generation (solar)</w:t>
            </w:r>
          </w:p>
        </w:tc>
        <w:tc>
          <w:tcPr>
            <w:tcW w:w="0" w:type="auto"/>
            <w:hideMark/>
          </w:tcPr>
          <w:p w14:paraId="181693B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Displacement of grid-supplied fossil generation</w:t>
            </w:r>
          </w:p>
        </w:tc>
        <w:tc>
          <w:tcPr>
            <w:tcW w:w="0" w:type="auto"/>
            <w:hideMark/>
          </w:tcPr>
          <w:p w14:paraId="352CC9FD"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Visible demonstration effect for visitors</w:t>
            </w:r>
          </w:p>
        </w:tc>
        <w:tc>
          <w:tcPr>
            <w:tcW w:w="0" w:type="auto"/>
            <w:hideMark/>
          </w:tcPr>
          <w:p w14:paraId="124DBCD7"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Institutional case documentation</w:t>
            </w:r>
          </w:p>
        </w:tc>
      </w:tr>
      <w:tr w:rsidR="00C65699" w:rsidRPr="00C65699" w14:paraId="02644A71" w14:textId="77777777" w:rsidTr="008C5E8C">
        <w:tc>
          <w:tcPr>
            <w:tcW w:w="0" w:type="auto"/>
            <w:hideMark/>
          </w:tcPr>
          <w:p w14:paraId="2BA12703"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Anaerobic digestion of organic waste (biogas)</w:t>
            </w:r>
          </w:p>
        </w:tc>
        <w:tc>
          <w:tcPr>
            <w:tcW w:w="0" w:type="auto"/>
            <w:hideMark/>
          </w:tcPr>
          <w:p w14:paraId="6062571C"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Methane capture and substitution of fossil fuel use</w:t>
            </w:r>
          </w:p>
        </w:tc>
        <w:tc>
          <w:tcPr>
            <w:tcW w:w="0" w:type="auto"/>
            <w:hideMark/>
          </w:tcPr>
          <w:p w14:paraId="37B4AFC7"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Reduced waste disposal burden; nutrient-rich digestate</w:t>
            </w:r>
          </w:p>
        </w:tc>
        <w:tc>
          <w:tcPr>
            <w:tcW w:w="0" w:type="auto"/>
            <w:hideMark/>
          </w:tcPr>
          <w:p w14:paraId="29C840A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Sector-wide review of biogas implementation</w:t>
            </w:r>
          </w:p>
        </w:tc>
      </w:tr>
      <w:tr w:rsidR="00C65699" w:rsidRPr="00C65699" w14:paraId="346C91E8" w14:textId="77777777" w:rsidTr="008C5E8C">
        <w:tc>
          <w:tcPr>
            <w:tcW w:w="0" w:type="auto"/>
            <w:hideMark/>
          </w:tcPr>
          <w:p w14:paraId="5C887E6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Designated green area expansion</w:t>
            </w:r>
          </w:p>
        </w:tc>
        <w:tc>
          <w:tcPr>
            <w:tcW w:w="0" w:type="auto"/>
            <w:hideMark/>
          </w:tcPr>
          <w:p w14:paraId="7B654B5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Carbon sequestration; urban heat moderation</w:t>
            </w:r>
          </w:p>
        </w:tc>
        <w:tc>
          <w:tcPr>
            <w:tcW w:w="0" w:type="auto"/>
            <w:hideMark/>
          </w:tcPr>
          <w:p w14:paraId="780771D6"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Habitat for free-ranging native fauna</w:t>
            </w:r>
          </w:p>
        </w:tc>
        <w:tc>
          <w:tcPr>
            <w:tcW w:w="0" w:type="auto"/>
            <w:hideMark/>
          </w:tcPr>
          <w:p w14:paraId="50A7120E"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Meta-analytic and India-specific empirical evidence</w:t>
            </w:r>
          </w:p>
        </w:tc>
      </w:tr>
      <w:tr w:rsidR="00C65699" w:rsidRPr="00C65699" w14:paraId="5778D638" w14:textId="77777777" w:rsidTr="008C5E8C">
        <w:tc>
          <w:tcPr>
            <w:tcW w:w="0" w:type="auto"/>
            <w:hideMark/>
          </w:tcPr>
          <w:p w14:paraId="44263D8F"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Water-efficient and recirculating systems</w:t>
            </w:r>
          </w:p>
        </w:tc>
        <w:tc>
          <w:tcPr>
            <w:tcW w:w="0" w:type="auto"/>
            <w:hideMark/>
          </w:tcPr>
          <w:p w14:paraId="0A146D58"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Reduced energy demand for water treatment and pumping</w:t>
            </w:r>
          </w:p>
        </w:tc>
        <w:tc>
          <w:tcPr>
            <w:tcW w:w="0" w:type="auto"/>
            <w:hideMark/>
          </w:tcPr>
          <w:p w14:paraId="4CB38D01"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Resilience to drought and water stress</w:t>
            </w:r>
          </w:p>
        </w:tc>
        <w:tc>
          <w:tcPr>
            <w:tcW w:w="0" w:type="auto"/>
            <w:hideMark/>
          </w:tcPr>
          <w:p w14:paraId="1F353682"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Cross-sector aquaculture and facility studies</w:t>
            </w:r>
          </w:p>
        </w:tc>
      </w:tr>
      <w:tr w:rsidR="00C65699" w:rsidRPr="00C65699" w14:paraId="4F98D8C3" w14:textId="77777777" w:rsidTr="008C5E8C">
        <w:tc>
          <w:tcPr>
            <w:tcW w:w="0" w:type="auto"/>
            <w:hideMark/>
          </w:tcPr>
          <w:p w14:paraId="51BEF6A3"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Sustainable visitor transport</w:t>
            </w:r>
          </w:p>
        </w:tc>
        <w:tc>
          <w:tcPr>
            <w:tcW w:w="0" w:type="auto"/>
            <w:hideMark/>
          </w:tcPr>
          <w:p w14:paraId="2608B251"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Reduced on-site and access-related emissions</w:t>
            </w:r>
          </w:p>
        </w:tc>
        <w:tc>
          <w:tcPr>
            <w:tcW w:w="0" w:type="auto"/>
            <w:hideMark/>
          </w:tcPr>
          <w:p w14:paraId="36ADA4DE"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Improved air quality within visitor areas</w:t>
            </w:r>
          </w:p>
        </w:tc>
        <w:tc>
          <w:tcPr>
            <w:tcW w:w="0" w:type="auto"/>
            <w:hideMark/>
          </w:tcPr>
          <w:p w14:paraId="3E9AB184" w14:textId="77777777" w:rsidR="00C65699" w:rsidRPr="00C65699" w:rsidRDefault="00C65699" w:rsidP="00C65699">
            <w:pPr>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Institutional sustainability reporting</w:t>
            </w:r>
          </w:p>
        </w:tc>
      </w:tr>
    </w:tbl>
    <w:p w14:paraId="35C09971"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i/>
          <w:iCs/>
          <w:sz w:val="24"/>
          <w:szCs w:val="24"/>
          <w:lang w:eastAsia="en-GB"/>
        </w:rPr>
        <w:t>Sources: Beninde et al. (2015); Davies and Lafortezza (2017); Delaney et al. (2021); Elwell et al. (2021); Godoi et al. (2025); Gupta et al. (2025); Miller and Hobbs (2002); Sorace (2001); Tin et al. (2024).</w:t>
      </w:r>
    </w:p>
    <w:p w14:paraId="38CB4D6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five interventions in Table 4 differ considerably in evidentiary maturity: renewable energy and biogas capture rest on documented engineering and waste-management practice, whereas the biodiversity co-benefits of green-space expansion are now supported by directly comparable Indian and international data, making this category arguably the most rigorously evidenced operational pathway examined in the review.</w:t>
      </w:r>
    </w:p>
    <w:p w14:paraId="6A6561F3"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4E6B98F1"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lastRenderedPageBreak/>
        <w:t>8. The Indian Context: Institutional Architecture, Conservation Breeding and Technological Uptake</w:t>
      </w:r>
    </w:p>
    <w:p w14:paraId="10D74473"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8.1 Regulatory architecture and the Central Zoo Authority</w:t>
      </w:r>
    </w:p>
    <w:p w14:paraId="2D699CA9"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India's zoo sector stands out internationally for its comparatively centralised regulatory architecture, built around the Central Zoo Authority, a statutory body established to oversee the recognition, monitoring and conservation contribution of zoos nationwide. This model imposes standardised minimum requirements on green space allocation, conservation breeding participation and visitor infrastructure across a categorised system of large, medium, small and mini zoos — administratively demanding, but it produces an unusually consistent evidentiary basis for cross-institutional comparison (Gupta et al., 2025). A recent empirical assessment of twenty-three Central Zoo Authority-recognised zoos, selected to represent the full spread of institutional scale across India's biogeographic zones, found a statistically significant association between participation in conservation breeding programmes and the proportion of threatened species held under protection, alongside a positive correlation between designated green area and the richness of free-ranging mammal and bird species observed on zoo grounds (Gupta et al., 2025). These findings provide some of the most direct quantitative evidence available anywhere in the global literature for a claim made throughout this review: that zoo institutional characteristics translate into measurable biodiversity and conservation outcomes. The same study also flags an important caveat, finding no significant relationship between green area and plant species diversity — a result its authors attribute to variation in habitat management practice and plant species selection across institutions, rather than to any inherent limit on what green-area provision can achieve.</w:t>
      </w:r>
    </w:p>
    <w:p w14:paraId="47ABD1AA"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8.2 Conservation breeding case studies and their technological dimensions</w:t>
      </w:r>
    </w:p>
    <w:p w14:paraId="2597518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Several Indian conservation breeding programmes show how the biotechnological pathways discussed in Section 4 play out in practice within a developing-country institutional context. The captive breeding and subsequent reintroduction of the Indian gharial (</w:t>
      </w:r>
      <w:r w:rsidRPr="00C65699">
        <w:rPr>
          <w:rFonts w:ascii="Times New Roman" w:eastAsia="Times New Roman" w:hAnsi="Times New Roman" w:cs="Times New Roman"/>
          <w:i/>
          <w:iCs/>
          <w:sz w:val="24"/>
          <w:szCs w:val="24"/>
          <w:lang w:eastAsia="en-GB"/>
        </w:rPr>
        <w:t>Gavialis gangeticus</w:t>
      </w:r>
      <w:r w:rsidRPr="00C65699">
        <w:rPr>
          <w:rFonts w:ascii="Times New Roman" w:eastAsia="Times New Roman" w:hAnsi="Times New Roman" w:cs="Times New Roman"/>
          <w:sz w:val="24"/>
          <w:szCs w:val="24"/>
          <w:lang w:eastAsia="en-GB"/>
        </w:rPr>
        <w:t>), pursued through coordinated programmes including those at Nandankanan Zoological Park and the Madras Crocodile Bank Trust, has substantially increased population numbers since the 1970s, though the programme's long-term success has been tempered by post-release survival challenges and continuing pressure on riverine nesting habitat. The lesson here is a recurring one in this review: ex situ technological success does not automatically translate into self-sustaining wild populations without parallel in situ habitat protection (Stevenson, 2015). Indeed, the broader argument that ex situ and in situ data management need to be integrated, rather than run as parallel but disconnected efforts, applies directly to gharial and other crocodilian conservation, where breeding records held by zoos are of limited use unless linked systematically to field monitoring of nesting success and habitat condition (Schwartz et al., 2017). Genetic assessment of the mugger crocodile (</w:t>
      </w:r>
      <w:r w:rsidRPr="00C65699">
        <w:rPr>
          <w:rFonts w:ascii="Times New Roman" w:eastAsia="Times New Roman" w:hAnsi="Times New Roman" w:cs="Times New Roman"/>
          <w:i/>
          <w:iCs/>
          <w:sz w:val="24"/>
          <w:szCs w:val="24"/>
          <w:lang w:eastAsia="en-GB"/>
        </w:rPr>
        <w:t>Crocodylus palustris</w:t>
      </w:r>
      <w:r w:rsidRPr="00C65699">
        <w:rPr>
          <w:rFonts w:ascii="Times New Roman" w:eastAsia="Times New Roman" w:hAnsi="Times New Roman" w:cs="Times New Roman"/>
          <w:sz w:val="24"/>
          <w:szCs w:val="24"/>
          <w:lang w:eastAsia="en-GB"/>
        </w:rPr>
        <w:t xml:space="preserve">) population within a regulated stretch of a North Indian river system shows a related point in action: population genetic monitoring, itself reliant on molecular techniques closely related to the environmental DNA approaches discussed in Section 4.4, can inform conservation management for a species whose riverine habitat is increasingly subject to both anthropogenic regulation and climate-driven hydrological variability (Sharma et al., 2024). The Indian mouse deer breeding and reintroduction programme has likewise generated practical insights into genetic management and reproductive biology that feed directly into broader regional conservation strategy for a poorly studied species (Kumar &amp; Umapathy, 2023). Across these case studies, a consistent pattern emerges: Indian institutions </w:t>
      </w:r>
      <w:r w:rsidRPr="00C65699">
        <w:rPr>
          <w:rFonts w:ascii="Times New Roman" w:eastAsia="Times New Roman" w:hAnsi="Times New Roman" w:cs="Times New Roman"/>
          <w:sz w:val="24"/>
          <w:szCs w:val="24"/>
          <w:lang w:eastAsia="en-GB"/>
        </w:rPr>
        <w:lastRenderedPageBreak/>
        <w:t>have successfully adopted core conservation breeding methodology, but continue to face genetic bottleneck management challenges in small founder populations, as the documented concerns around limited gene flow within the Asiatic lion breeding programme at Sakkarbaug Zoo make clear (Gupta et al., 2025).</w:t>
      </w:r>
    </w:p>
    <w:p w14:paraId="391FA207"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8.3 Barriers and opportunities for technological scaling</w:t>
      </w:r>
    </w:p>
    <w:p w14:paraId="0D97B54C"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Indian experience illustrates both the opportunities and the structural constraints attached to technological scaling within a large, biodiversity-rich but resource-constrained zoo network. On the opportunity side, a unified national regulatory authority, standardised reporting requirements and a national studbook programme together provide an institutional infrastructure through which technological innovations, once validated, could in principle be disseminated systematically across the recognised zoo network — a capacity not uniformly available even in higher-income jurisdictions, where zoo governance is often fragmented across independent accrediting bodies. That same centralisation, though, concentrates technical capacity, particularly for advanced biotechnologies such as cryobanking infrastructure and genomic analysis, within a small number of better-resourced coordinating institutions, leaving many recognised zoos dependent on technical support that is not always accessible across a geographically dispersed national network. The self-reported and methodologically variable nature of biodiversity documentation across institutions, itself an acknowledged limitation of the existing empirical literature on Indian zoos, further constrains the rigorous, comparable evaluation that would be needed to identify which technological interventions merit priority investment (Gupta et al., 2025). Digital and computational technologies of the kind discussed in Section 5, while increasingly common in well-resourced international institutions, remain comparatively underdocumented in the published Indian zoo literature, which could mean either a genuine gap in adoption or a publication gap in which practice has simply outpaced the peer-reviewed record — a distinction the existing literature does not yet allow this review to resolve with confidence.</w:t>
      </w:r>
    </w:p>
    <w:p w14:paraId="1012D46B"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3D6BBC00"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9. Governance, Ethics and Critical Perspectives</w:t>
      </w:r>
    </w:p>
    <w:p w14:paraId="69182F81"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9.1 Equity and the uneven geography of technological capacity</w:t>
      </w:r>
    </w:p>
    <w:p w14:paraId="5FE34A1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A concern that runs through several of the technological domains examined in this review is the markedly uneven global distribution of the capacity needed to develop, validate and deploy advanced conservation technologies. Coral restoration research using assisted evolution and biobanking techniques has been explicitly flagged as facing a fundamental cost constraint, one that risks concentrating restoration capacity in well-resourced research institutions while leaving the reef systems of the Global South, which bear a disproportionate share of climate-driven degradation, comparatively underserved unless deliberate investment in distributed restoration infrastructure becomes a priority (Suggett &amp; van Oppen, 2022). A parallel concern applies to advanced genomic and reproductive biotechnologies more broadly, where cryobanking and genome-editing infrastructure remain concentrated in a small number of specialised laboratories, mostly located in higher-income countries — raising a fair question about whether the genetic material and benefits derived from biodiversity-rich but lower-income regions actually return, in equal measure, to the institutions and communities the founder populations came from. The Indian experience, in which a national regulatory authority has sought to build domestic biobanking and studbook </w:t>
      </w:r>
      <w:r w:rsidRPr="00C65699">
        <w:rPr>
          <w:rFonts w:ascii="Times New Roman" w:eastAsia="Times New Roman" w:hAnsi="Times New Roman" w:cs="Times New Roman"/>
          <w:sz w:val="24"/>
          <w:szCs w:val="24"/>
          <w:lang w:eastAsia="en-GB"/>
        </w:rPr>
        <w:lastRenderedPageBreak/>
        <w:t>infrastructure rather than relying solely on external technical partnership, offers one institutional model for narrowing this gap, though the country's own internal disparities in technical capacity across its zoo network suggest that equity concerns operate at several nested scales, not only at the international level.</w:t>
      </w:r>
    </w:p>
    <w:p w14:paraId="2D9E5994"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9.2 Animal welfare and the limits of technological solutionism</w:t>
      </w:r>
    </w:p>
    <w:p w14:paraId="2EDF5AF5"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second critical perspective concerns the relationship between technological deployment and animal welfare, and here the literature counsels real caution. Systematic review evidence indicates that the welfare benefits of monitoring technology depend heavily on whether the resulting data feed back into concrete husbandry change, rather than remaining a diagnostic exercise disconnected from management practice, and there is considerable room for improvement on this front across the existing literature (Diana et al., 2021). The proliferation of digital and immersive visitor technologies raises a related ethical question about the right balance between technologically mediated and direct encounters with live animals, with some evidence suggesting that excessive or poorly designed technological mediation can distract from, rather than reinforce, the conservation messaging such technologies are meant to support (Webber et al., 2017). More fundamentally, the persistence of negative and welfare-compromising visitor behaviours documented across a substantial sample of Southeast Asian zoos and aquariums is a useful corrective: institutional technological sophistication does not, by itself, guarantee better welfare outcomes at the level of the individual animal-visitor interaction, and governance, staff training and enforcement remain at least as important as technological capability (Fourage et al., 2024).</w:t>
      </w:r>
    </w:p>
    <w:p w14:paraId="49B13AD3" w14:textId="77777777" w:rsidR="00C65699" w:rsidRPr="00C65699" w:rsidRDefault="00C65699" w:rsidP="00C6569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65699">
        <w:rPr>
          <w:rFonts w:ascii="Times New Roman" w:eastAsia="Times New Roman" w:hAnsi="Times New Roman" w:cs="Times New Roman"/>
          <w:b/>
          <w:bCs/>
          <w:sz w:val="24"/>
          <w:szCs w:val="24"/>
          <w:lang w:eastAsia="en-GB"/>
        </w:rPr>
        <w:t>9.3 Effectiveness debates and the limits of evidence</w:t>
      </w:r>
    </w:p>
    <w:p w14:paraId="2F2A97FB"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A third, and perhaps the most consequential, critical perspective concerns how strong the evidence really is that zoo-based interventions — technological or otherwise — produce durable, conservation-relevant behaviour change in visitors. The most recent and methodologically rigorous meta-analytic synthesis available does find a genuine, if modest, positive effect of zoo-led interventions on conservation knowledge, beliefs and self-reported behaviour, but is explicit that effect sizes are heterogeneous, that the underlying primary literature varies considerably in design quality, and that the larger effects tend to come from single-institution studies whose generalisability to the sector as a whole is uncertain (McNally et al., 2025). Pilot research on the long-term relationship between childhood zoo visitation and adult sustainability behaviour points in a similar direction: while most respondents perceived zoos as having shaped their environmental attitudes, comparatively few could attribute specific present-day sustainable behaviours directly to zoo-based learning, a gap between perceived influence and demonstrable causal attribution that complicates any straightforward claim about the climate-behavioural impact of zoo education (</w:t>
      </w:r>
      <w:r w:rsidR="008C5E8C">
        <w:rPr>
          <w:rFonts w:ascii="Times New Roman" w:eastAsia="Times New Roman" w:hAnsi="Times New Roman" w:cs="Times New Roman"/>
          <w:sz w:val="24"/>
          <w:szCs w:val="24"/>
          <w:lang w:eastAsia="en-GB"/>
        </w:rPr>
        <w:t>Taylor &amp; Duram</w:t>
      </w:r>
      <w:r w:rsidRPr="00C65699">
        <w:rPr>
          <w:rFonts w:ascii="Times New Roman" w:eastAsia="Times New Roman" w:hAnsi="Times New Roman" w:cs="Times New Roman"/>
          <w:sz w:val="24"/>
          <w:szCs w:val="24"/>
          <w:lang w:eastAsia="en-GB"/>
        </w:rPr>
        <w:t>, 2021). Together, these findings suggest the technological pathways examined throughout this review should be understood as contributing probabilistically and incrementally to climate-relevant outcomes, not as guaranteed mechanisms of behaviour change, and that continued investment in rigorous, longitudinal, cross-institutional evaluation remains essential if the sector's claims to mitigation and sustainable development relevance are to hold up under closer scrutiny.</w:t>
      </w:r>
    </w:p>
    <w:p w14:paraId="10153E2B"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19FEC420"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10. Towards an Integrated Socio-Ecological Testbed Framework</w:t>
      </w:r>
    </w:p>
    <w:p w14:paraId="5DB6C48F"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lastRenderedPageBreak/>
        <w:t>The preceding sections, taken together, support a framework in which zoos and aquariums function as bounded socio-ecological testbeds operating across at least three interacting layers. The biological layer covers the genetic and reproductive biotechnologies examined in Section 4, through which institutions trial and refine techniques for preserving and managing genetic diversity under mounting climatic and demographic pressure. The informational layer covers the digital and computational technologies examined in Section 5, through which institutions generate evidence about animal status and visitor psychology while doubling as a communication infrastructure for climate science. The infrastructural layer covers the operational sustainability measures examined in Section 7, through which institutions model decarbonised energy systems, circular resource flows and biodiversity-supportive green infrastructure in a visible, publicly accessible setting. These three layers reinforce one another rather than operating in isolation: monitoring technologies generate the data that justify and refine genetic management decisions; sustainable infrastructure provides the physical and financial stability that allows long-term conservation breeding programmes to be sustained; and visitor-facing communication translates work that would otherwise be invisible within the biological and infrastructural layers into public understanding and, potentially, broader behavioural and political support for climate action.</w:t>
      </w:r>
    </w:p>
    <w:p w14:paraId="479F7FFC"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Indian case examined in Section 8 shows this integrated framework is not contingent on the resource levels typical of the best-funded institutions in higher-income countries. Centralised regulatory coordination, standardised reporting and a national studbook system have produced meaningful conservation breeding and green infrastructure outcomes even where advanced digital and genomic technologies remain comparatively underdeployed. The testbed function of zoos and aquariums is therefore best understood as a continuum of technological sophistication rather than a simple presence-or-absence of advanced capability, with institutions across that continuum still capable of generating real, if varying, contributions to climate mitigation and sustainable development objectives. The critical perspectives raised in Section 9 — equity, welfare, the limits of behavioural evidence — are not objections to the testbed concept itself but the governance conditions that determine whether its outputs are equitably distributed, ethically sound and rigorously validated before being scaled up or replicated elsewhere.</w:t>
      </w:r>
    </w:p>
    <w:p w14:paraId="4CFDBED0"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3D8E0A5A"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11. Conclusions</w:t>
      </w:r>
    </w:p>
    <w:p w14:paraId="0D3001E7"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This review set out to test the proposition that zoos and aquariums function as socio-ecological testbeds whose technological activity carries meaningful, if uneven, relevance to climate change mitigation and sustainable development. The evidence assembled across genetic and reproductive biotechnology, digital and computational monitoring, marine and coral-focused restoration science, and operational sustainability practice supports a measured but genuinely affirmative answer. Cryobanking, assisted reproduction and emerging genome-editing capability extend the temporal and genetic reach of conservation breeding precisely as climate-driven habitat loss compresses the window within which in situ intervention alone remains sufficient. Artificial intelligence-assisted monitoring, immersive visitor technologies and increasingly sophisticated climate communication strengthen both the scientific and the public-engagement sides of institutional practice, even though the durability of resulting behaviour change is only partly established. Aquarium-based coral propagation and assisted evolution research places public aquaria within an active global restoration pipeline for one of the ecosystems most visibly imperilled by warming and acidification. Operational </w:t>
      </w:r>
      <w:r w:rsidRPr="00C65699">
        <w:rPr>
          <w:rFonts w:ascii="Times New Roman" w:eastAsia="Times New Roman" w:hAnsi="Times New Roman" w:cs="Times New Roman"/>
          <w:sz w:val="24"/>
          <w:szCs w:val="24"/>
          <w:lang w:eastAsia="en-GB"/>
        </w:rPr>
        <w:lastRenderedPageBreak/>
        <w:t>measures spanning renewable energy adoption, circular waste-to-energy systems and green infrastructure deliver direct mitigation and biodiversity co-benefits while modelling decarbonised practice for a broad visiting public.</w:t>
      </w:r>
    </w:p>
    <w:p w14:paraId="05C5C148"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The Indian context examined here shows that meaningful contributions along each of these pathways are achievable outside the highest-resource institutional settings usually associated with sector-leading technological innovation, provided coordinated regulatory architecture, standardised reporting and sustained investment in conservation breeding infrastructure are in place. At the same time, this review has tried to be honest about what qualifies enthusiasm for any of these pathways taken alone: persistent global inequity in access to advanced biotechnological and restoration capacity, unresolved questions about whether monitoring data actually improve welfare practice, and a primary evidence base on visitor behaviour change that, while encouragingly positive in aggregate, remains heterogeneous and only partially generalisable. Zoos and aquariums are not, and should not be presented as, a substitute for systemic decarbonisation, habitat protection or international climate policy. They are, instead, a distinctive and currently underappreciated node within the broader sustainability infrastructure — one whose testbed function, properly governed and rigorously evaluated, deserves closer integration into national biodiversity action plans and climate strategies, including, with particular relevance to this review's comparative focus, the continuing evolution of India's zoo governance architecture as it tries to align an already substantial conservation breeding and green infrastructure base with an expanding technological frontier.</w:t>
      </w:r>
    </w:p>
    <w:p w14:paraId="0E9489C7" w14:textId="77777777" w:rsidR="00C65699" w:rsidRP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12. Limitations</w:t>
      </w:r>
    </w:p>
    <w:p w14:paraId="7376479E" w14:textId="77777777" w:rsidR="00C65699" w:rsidRPr="00C65699" w:rsidRDefault="00C65699" w:rsidP="00C65699">
      <w:pPr>
        <w:spacing w:before="100" w:beforeAutospacing="1" w:after="100" w:afterAutospacing="1" w:line="240" w:lineRule="auto"/>
        <w:rPr>
          <w:rFonts w:ascii="Times New Roman" w:eastAsia="Times New Roman" w:hAnsi="Times New Roman" w:cs="Times New Roman"/>
          <w:sz w:val="24"/>
          <w:szCs w:val="24"/>
          <w:lang w:eastAsia="en-GB"/>
        </w:rPr>
      </w:pPr>
      <w:r w:rsidRPr="00C65699">
        <w:rPr>
          <w:rFonts w:ascii="Times New Roman" w:eastAsia="Times New Roman" w:hAnsi="Times New Roman" w:cs="Times New Roman"/>
          <w:sz w:val="24"/>
          <w:szCs w:val="24"/>
          <w:lang w:eastAsia="en-GB"/>
        </w:rPr>
        <w:t xml:space="preserve">Several limitations qualify the conclusions drawn here. The narrative methodology, while well suited to the interdisciplinary breadth of the subject, does not allow the systematic risk-of-bias assessment or quantitative effect-size pooling available to formal systematic reviews and meta-analyses, so the synthesis offered is an interpretive integration of the literature rather than a statistically aggregated estimate of technological impact. The search, though extensive, was restricted to English-language publications, and almost certainly </w:t>
      </w:r>
      <w:r w:rsidR="008C5E8C" w:rsidRPr="00C65699">
        <w:rPr>
          <w:rFonts w:ascii="Times New Roman" w:eastAsia="Times New Roman" w:hAnsi="Times New Roman" w:cs="Times New Roman"/>
          <w:sz w:val="24"/>
          <w:szCs w:val="24"/>
          <w:lang w:eastAsia="en-GB"/>
        </w:rPr>
        <w:t>under represents</w:t>
      </w:r>
      <w:r w:rsidRPr="00C65699">
        <w:rPr>
          <w:rFonts w:ascii="Times New Roman" w:eastAsia="Times New Roman" w:hAnsi="Times New Roman" w:cs="Times New Roman"/>
          <w:sz w:val="24"/>
          <w:szCs w:val="24"/>
          <w:lang w:eastAsia="en-GB"/>
        </w:rPr>
        <w:t xml:space="preserve"> relevant work in other languages, including potentially significant Indian regional-language literature on zoo management and conservation breeding that falls outside the major international databases searched. The evidence base itself is uneven across the technological domains covered: digital visitor technologies and artificial intelligence-assisted monitoring rest on a comparatively recent and still-maturing literature, while assisted reproductive technology and biobanking draw on a longer but taxonomically uneven foundation concentrated in a relatively small number of well-studied species and institutions. Much of the empirical literature on visitor behaviour change relies on self-reported measures collected shortly after an intervention, with longitudinal follow-up data still scarce, which limits confidence in claims about durable, climate-relevant behavioural impact. The Indian case material drawn on here, while based on the most comprehensive currently available empirical assessment of the national zoo network, rests on a sample of twenty-three institutions and itself acknowledges self-reported and methodologically inconsistent biodiversity documentation across zoos — a constraint this review necessarily inherits wherever it draws on that source. Finally, several of the technologies discussed, genome editing, de-extinction-derived methodology and digital visitor engagement platforms in particular, are evolving quickly enough that specific findings reported here may be superseded relatively soon, which underscores the value of periodic re-review as this literature continues to mature.</w:t>
      </w:r>
    </w:p>
    <w:p w14:paraId="1507D50E" w14:textId="77777777" w:rsidR="00076B33" w:rsidRPr="000839CE" w:rsidRDefault="00076B33" w:rsidP="00076B33">
      <w:pPr>
        <w:spacing w:after="0" w:line="240" w:lineRule="auto"/>
        <w:rPr>
          <w:rFonts w:ascii="Times New Roman" w:hAnsi="Times New Roman" w:cs="Times New Roman"/>
          <w:b/>
        </w:rPr>
      </w:pPr>
      <w:r w:rsidRPr="000839CE">
        <w:rPr>
          <w:rFonts w:ascii="Times New Roman" w:hAnsi="Times New Roman" w:cs="Times New Roman"/>
          <w:b/>
        </w:rPr>
        <w:lastRenderedPageBreak/>
        <w:t>Declaration of AI Use</w:t>
      </w:r>
    </w:p>
    <w:p w14:paraId="68854769" w14:textId="77777777" w:rsidR="00076B33" w:rsidRPr="000839CE" w:rsidRDefault="00076B33" w:rsidP="00076B33">
      <w:pPr>
        <w:spacing w:after="0" w:line="240" w:lineRule="auto"/>
        <w:rPr>
          <w:rFonts w:ascii="Times New Roman" w:hAnsi="Times New Roman" w:cs="Times New Roman"/>
        </w:rPr>
      </w:pPr>
    </w:p>
    <w:p w14:paraId="5C11725E" w14:textId="77777777" w:rsidR="00076B33" w:rsidRPr="000839CE" w:rsidRDefault="00076B33" w:rsidP="00076B3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BA67EAC" w14:textId="77777777" w:rsidR="00C65699" w:rsidRPr="00C65699" w:rsidRDefault="00C65699" w:rsidP="00C65699">
      <w:pPr>
        <w:spacing w:after="0" w:line="240" w:lineRule="auto"/>
        <w:rPr>
          <w:rFonts w:ascii="Times New Roman" w:eastAsia="Times New Roman" w:hAnsi="Times New Roman" w:cs="Times New Roman"/>
          <w:sz w:val="24"/>
          <w:szCs w:val="24"/>
          <w:lang w:eastAsia="en-GB"/>
        </w:rPr>
      </w:pPr>
    </w:p>
    <w:p w14:paraId="5D565324" w14:textId="77777777" w:rsidR="00C65699" w:rsidRDefault="00C65699" w:rsidP="00C6569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65699">
        <w:rPr>
          <w:rFonts w:ascii="Times New Roman" w:eastAsia="Times New Roman" w:hAnsi="Times New Roman" w:cs="Times New Roman"/>
          <w:b/>
          <w:bCs/>
          <w:sz w:val="27"/>
          <w:szCs w:val="27"/>
          <w:lang w:eastAsia="en-GB"/>
        </w:rPr>
        <w:t>References</w:t>
      </w:r>
    </w:p>
    <w:p w14:paraId="53C070EE"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Beer, H. N., Shrader, T. C., Schmidt, T. B., &amp; Yates, D. T. (2023). The evolution of zoos as conservation institutions: A summary of the transition from menageries to zoological gardens and parallel improvement of mammalian welfare management. Journal of Zoological and Botanical Gardens, 4(4), 648–664. https://doi.org/10.3390/jzbg4040046</w:t>
      </w:r>
    </w:p>
    <w:p w14:paraId="18B94709"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Beninde, J., Veith, M., &amp; Hochkirch, A. (2015). Biodiversity in cities needs space: A meta-analysis of factors determining intra-urban biodiversity variation. Ecology Letters, 18(6), 581–592. https://doi.org/10.1111/ele.12427</w:t>
      </w:r>
    </w:p>
    <w:p w14:paraId="16E6DF51"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Carter, M., Webber, S., Rawson, S., Smith, W., Purdam, J., &amp; McLeod, E. (2020). Virtual reality in the zoo: A qualitative evaluation of a stereoscopic virtual reality video encounter with little penguins (Eudyptula minor). Journal of Zoo and Aquarium Research, 8(4), 239–245. https://doi.org/10.19227/jzar.v8i4.500</w:t>
      </w:r>
    </w:p>
    <w:p w14:paraId="3211DEFF"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Çevik, T., &amp; Çevik, N. (2025). Environmental DNA (eDNA): A review of ecosystem biodiversity detection and applications. Biodiversity and Conservation, 34(9), 2999–3035. https://doi.org/10.1007/s10531-025-03112-y</w:t>
      </w:r>
    </w:p>
    <w:p w14:paraId="72A4BBCB"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Comizzoli, P., &amp; Holt, W. V. (2019). Breakthroughs and new horizons in reproductive biology of rare and endangered animal species. Biology of Reproduction, 101(3), 514–525. https://doi.org/10.1093/biolre/ioz031</w:t>
      </w:r>
    </w:p>
    <w:p w14:paraId="34C54ED0"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Conde, D. A., Flesness, N., Colchero, F., Jones, O. R., &amp; Scheuerlein, A. (2011). An emerging role of zoos to conserve biodiversity. Science, 331(6023), 1390–1391. https://doi.org/10.1126/science.1200674</w:t>
      </w:r>
    </w:p>
    <w:p w14:paraId="106D42FA"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Convention on Biological Diversity. (2022). Decision adopted by the Conference of the Parties to the Convention on Biological Diversity: 15/4. Kunming-Montreal Global Biodiversity Framework (CBD/COP/DEC/15/4). Secretariat of the Convention on Biological Diversity. https://www.cbd.int/doc/decisions/cop-15/cop-15-dec-04-en.pdf</w:t>
      </w:r>
    </w:p>
    <w:p w14:paraId="4AAF3A40"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Cowl, V. B., Comizzoli, P., Appeltant, R., Bolton, R. L., Browne, R. K., Holt, W. V., Penfold, L. M., Swegen, A., Walker, S. L., &amp; Williams, S. A. (2024). Cloning for the twenty-first century and its place in endangered species conservation. Annual Review of Animal Biosciences, 12, 91–112. https://doi.org/10.1146/annurev-animal-071423-093523</w:t>
      </w:r>
    </w:p>
    <w:p w14:paraId="3F5A8364"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lastRenderedPageBreak/>
        <w:t>Davies, C., &amp; Lafortezza, R. (2017). Urban green infrastructure in Europe: Is greenspace planning and policy compliant? Land Use Policy, 69, 93–101. https://doi.org/10.1016/j.landusepol.2017.08.018</w:t>
      </w:r>
    </w:p>
    <w:p w14:paraId="0E6F5A83"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Delaney, K. S., Busteed, G., Fisher, R. N., &amp; Riley, S. P. D. (2021). Reptile and amphibian diversity and abundance in an urban landscape: Impacts of fragmentation and the conservation value of small patches. Ichthyology &amp; Herpetology, 109(2), 424–435. https://doi.org/10.1643/h2019261</w:t>
      </w:r>
    </w:p>
    <w:p w14:paraId="60F01C7E"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Diana, A., Salas, M., Pereboom, Z., Mendl, M., &amp; Norton, T. (2021). A systematic review of the use of technology to monitor welfare in zoo animals: Is there space for improvement? Animals, 11(11), 3048. https://doi.org/10.3390/ani11113048</w:t>
      </w:r>
    </w:p>
    <w:p w14:paraId="768203DB"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 xml:space="preserve">Taylor, J. A., &amp; Duram, L. A. (2021). Linking personal experience to global concern: How zoo visits affect sustainability behavior and views of climate change. Sustainability, 13(13), 7117. https://doi.org/10.3390/su13137117 </w:t>
      </w:r>
    </w:p>
    <w:p w14:paraId="74DAF2F3"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Elwell, E., Leeson, C., &amp; Vaglio, S. (2021). The effects of a zoo environment on free-living, native small mammal species. Zoo Biology, 40(4), 263–272. https://doi.org/10.1002/zoo.21603</w:t>
      </w:r>
    </w:p>
    <w:p w14:paraId="0EA74100"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Fourage, A., Erzinclioglu, T., Fairey, A., Campera, M., Nekaris, K. A.-I., &amp; Nijman, V. (2024). High prevalence of dysfunctional animal–visitor interactions in 225 Southeast Asian zoos and aquariums. Animals, 14(22), 3167. https://doi.org/10.3390/ani14223167</w:t>
      </w:r>
    </w:p>
    <w:p w14:paraId="4175660E"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Godoi, N. M. I., Gomes, R. C., &amp; Longo, R. M. (2025). Contributions of urban green spaces to cities: A literature review. Sustainable Environment, 11(1), 2464418. https://doi.org/10.1080/27658511.2025.2464418</w:t>
      </w:r>
    </w:p>
    <w:p w14:paraId="4FD904BF"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Grajal, A., Luebke, J. F., Kelly, L.-A. D., Matiasek, J., Clayton, S., Karazsia, B. T., Saunders, C. D., Goldman, S. R., Mann, M. E., &amp; Stanoss, R. (2017). The complex relationship between personal sense of connection to animals and self-reported proenvironmental behaviors by zoo visitors. Conservation Biology, 31(2), 322–330. https://doi.org/10.1111/cobi.12780</w:t>
      </w:r>
    </w:p>
    <w:p w14:paraId="5397EF2C"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Greenwell, P. J., Riley, L. M., Lemos de Figueiredo, R., Brereton, J. E., Mooney, A., &amp; Rose, P. E. (2023). The societal value of the modern zoo: A commentary on how zoos can positively impact on human populations locally and globally. Journal of Zoological and Botanical Gardens, 4(1), 53–69. https://doi.org/10.3390/jzbg4010006</w:t>
      </w:r>
    </w:p>
    <w:p w14:paraId="06BF5862"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Gupta, B. K., Gnanaolivu, S. D., &amp; Shukla, S. K. (2025). Assessing the contribution of Indian zoos to achieving international biodiversity conservation goals. Discover Conservation, 2(1), Article 41. https://doi.org/10.1007/s44353-025-00063-x</w:t>
      </w:r>
    </w:p>
    <w:p w14:paraId="75AE6291"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Gyurián Nagy, N. (2026). Digital transformation and sustainable visitor engagement in zoological parks: A systematic review and conceptual framework. Sustainability, 18(9), 4336. https://doi.org/10.3390/su18094336</w:t>
      </w:r>
    </w:p>
    <w:p w14:paraId="3E085301"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lastRenderedPageBreak/>
        <w:t>Hassinger, L., &amp; Nippert-Eng, C. (2025). Beyond the camera trap: A systematic review of computing technology used to monitor and interact with (more) varied taxa in zoos and aquariums. Animals, 15(12), 1721. https://doi.org/10.3390/ani15121721</w:t>
      </w:r>
    </w:p>
    <w:p w14:paraId="606530CB"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Hua, L., Gong, S., Wang, F., Li, W., Ge, Y., Li, X., &amp; Hou, F. (2015). Captive breeding of pangolins: Current status, problems and future prospects. ZooKeys, 507, 99–114. https://doi.org/10.3897/zookeys.507.6970</w:t>
      </w:r>
    </w:p>
    <w:p w14:paraId="250DB703"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Intergovernmental Panel on Climate Change. (2023). Climate change 2023: Synthesis report. Contribution of Working Groups I, II and III to the Sixth Assessment Report of the Intergovernmental Panel on Climate Change (Core Writing Team, H. Lee, &amp; J. Romero, Eds.). IPCC. https://doi.org/10.59327/IPCC/AR6-9789291691647</w:t>
      </w:r>
    </w:p>
    <w:p w14:paraId="1A32AAB6"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Kumar, V., &amp; Umapathy, G. (2023). From captivity to conservation success: A review on the mouse deer breeding program and its implications for biodiversity preservation. Journal of Endocrinology and Reproduction, 27(3), 179–185. https://doi.org/10.18311/jer/2023/34990</w:t>
      </w:r>
    </w:p>
    <w:p w14:paraId="24CBB992"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Leberg, P. L., &amp; Firmin, B. D. (2008). Role of inbreeding depression and purging in captive breeding and restoration programmes. Molecular Ecology, 17(1), 334–343. https://doi.org/10.1111/j.1365-294X.2007.03433.x</w:t>
      </w:r>
    </w:p>
    <w:p w14:paraId="369AEB62"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Lugosi, Z., &amp; Lee, P. C. (2021). A case study exploring the use of virtual reality in the zoo context. Animal Behavior and Cognition, 8(4), 576–588. https://doi.org/10.26451/abc.08.04.09.2021</w:t>
      </w:r>
    </w:p>
    <w:p w14:paraId="7044E42B"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McNally, X., Webb, T. L., Smith, C., Moss, A., &amp; Gibson-Miller, J. (2025). A meta-analysis of the effect of visiting zoos and aquariums on visitors’ conservation knowledge, beliefs, and behavior. Conservation Biology, 39(1), e14237. https://doi.org/10.1111/cobi.14237</w:t>
      </w:r>
    </w:p>
    <w:p w14:paraId="1DF23019"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Miller, J. R., &amp; Hobbs, R. J. (2002). Conservation where people live and work. Conservation Biology, 16(2), 330–337. https://doi.org/10.1046/j.1523-1739.2002.00420.x</w:t>
      </w:r>
    </w:p>
    <w:p w14:paraId="6F2BE6E7"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 xml:space="preserve">Miranda, R., Escribano, N., Casas, M., Pino-del-Carpio, A., &amp; Villarroya, A. (2023). The role of zoos and aquariums in a changing world. Annual Review of Animal Biosciences, 11, 287–306. https://doi.org/10.1146/annurev-animal-050622-104306 </w:t>
      </w:r>
    </w:p>
    <w:p w14:paraId="02461220"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Mooney, A., Conde, D. A., Healy, K., &amp; Buckley, Y. M. (2020). A system wide approach to managing zoo collections for visitor attendance and in situ conservation. Nature Communications, 11, Article 584. https://doi.org/10.1038/s41467-020-14303-2</w:t>
      </w:r>
    </w:p>
    <w:p w14:paraId="5531FFCF"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Moss, A., Jensen, E., &amp; Gusset, M. (2017). Impact of a global biodiversity education campaign on zoo and aquarium visitors. Frontiers in Ecology and the Environment, 15(5), 243–247. https://doi.org/10.1002/fee.1493</w:t>
      </w:r>
    </w:p>
    <w:p w14:paraId="7A2F8C27"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Nageotte, N. L., Steele-Inama, M., Frederick, B., Elvove, E., &amp; McDonald, S. E. (2024). Engaging internal and external audiences to develop and promote zoo-based conservation efforts. PLOS ONE, 19(4), e0298813. https://doi.org/10.1371/journal.pone.0298813</w:t>
      </w:r>
    </w:p>
    <w:p w14:paraId="0D20B0DA"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lastRenderedPageBreak/>
        <w:t>Pritchard, D. J., Fa, J. E., Oldfield, S., &amp; Harrop, S. R. (2012). Bring the captive closer to the wild: Redefining the role of ex situ conservation. Oryx, 46(1), 18–23. https://doi.org/10.1017/S0030605310001766</w:t>
      </w:r>
    </w:p>
    <w:p w14:paraId="3A2D5843"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Rose, P. E., &amp; Riley, L. M. (2022). Expanding the role of the future zoo: Wellbeing should become the fifth aim for modern zoos. Frontiers in Psychology, 13, Article 1018722. https://doi.org/10.3389/fpsyg.2022.1018722</w:t>
      </w:r>
    </w:p>
    <w:p w14:paraId="789FDD99"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Schwartz, K. R., Parsons, E. C. M., Rockwood, L., &amp; Wood, T. C. (2017). Integrating in-situ and ex-situ data management processes for biodiversity conservation. Frontiers in Ecology and Evolution, 5, Article 120. https://doi.org/10.3389/fevo.2017.00120</w:t>
      </w:r>
    </w:p>
    <w:p w14:paraId="28053FED"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Sharma, S. P., Ghazi, M. G., Katdare, S., Badola, R., &amp; Hussain, S. A. (2024). Population status and genetic assessment of mugger (Crocodylus palustris) in a tropical regulated river system in North India. Scientific Reports, 14, Article 7438. https://doi.org/10.1038/s41598-024-57983-2</w:t>
      </w:r>
    </w:p>
    <w:p w14:paraId="6C723EFC"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Snyder, H. (2019). Literature review as a research methodology: An overview and guidelines. Journal of Business Research, 104, 333–339. https://doi.org/10.1016/j.jbusres.2019.07.039</w:t>
      </w:r>
    </w:p>
    <w:p w14:paraId="75E74C38"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Sorace, A. (2001). Value to wildlife of urban-agricultural parks: A case study from Rome urban area. Environmental Management, 28(4), 547–560. https://doi.org/10.1007/s002670010243</w:t>
      </w:r>
    </w:p>
    <w:p w14:paraId="4563F827"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Spooner, S. L., Walker, S. L., Dowell, S., &amp; Moss, A. (2023). The value of zoos for species and society: The need for a new model. Biological Conservation, 279, Article 109925. https://doi.org/10.1016/j.biocon.2023.109925</w:t>
      </w:r>
    </w:p>
    <w:p w14:paraId="2733DB18"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Stevenson, C. J. (2015). Conservation of the Indian gharial Gavialis gangeticus: Successes and failures. International Zoo Yearbook, 49(1), 150–161. https://doi.org/10.1111/izy.12066</w:t>
      </w:r>
    </w:p>
    <w:p w14:paraId="0B68E2EA"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Suggett, D. J., &amp; van Oppen, M. J. H. (2022). Horizon scan of rapidly advancing coral restoration approaches for 21st century reef management. Emerging Topics in Life Sciences, 6(1), 125–136. https://doi.org/10.1042/ETLS20210240</w:t>
      </w:r>
    </w:p>
    <w:p w14:paraId="51D5F184"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Tin, K. K., Taweepreda, W., Agrahari, N., Singh, A., &amp; Kumar, A. (2024). Exploring possibilities for capturing and utilizing biogas derived from zoo waste. Environment, Development and Sustainability. https://doi.org/10.1007/s10668-024-05462-z</w:t>
      </w:r>
    </w:p>
    <w:p w14:paraId="179F2BDF"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Turner, S. D., Keyte, A., Pask, A., &amp; Shapiro, B. (2025). De-extinction technology and its application to conservation. Journal of Heredity, esaf069. https://doi.org/10.1093/jhered/esaf069</w:t>
      </w:r>
    </w:p>
    <w:p w14:paraId="5062D876"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Vélez, J., McShea, W., Shamon, H., Castiblanco-Camacho, P. J., Tabak, M. A., Chalmers, C., Fergus, P., &amp; Fieberg, J. (2023). An evaluation of platforms for processing camera-trap data using artificial intelligence. Methods in Ecology and Evolution, 14(2), 459–477. https://doi.org/10.1111/2041-210X.14044</w:t>
      </w:r>
    </w:p>
    <w:p w14:paraId="7B170785"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lastRenderedPageBreak/>
        <w:t>Webber, S., Carter, M., Smith, W., &amp; Vetere, F. (2017). Interactive technology and human–animal encounters at the zoo. International Journal of Human-Computer Studies, 98, 150–168. https://doi.org/10.1016/j.ijhcs.2016.05.003</w:t>
      </w:r>
    </w:p>
    <w:p w14:paraId="3D8885A8" w14:textId="77777777" w:rsidR="008C5E8C" w:rsidRPr="008C5E8C" w:rsidRDefault="008C5E8C" w:rsidP="008C5E8C">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8C5E8C">
        <w:rPr>
          <w:rFonts w:ascii="Times New Roman" w:eastAsia="Times New Roman" w:hAnsi="Times New Roman" w:cs="Times New Roman"/>
          <w:bCs/>
          <w:sz w:val="24"/>
          <w:szCs w:val="27"/>
          <w:lang w:eastAsia="en-GB"/>
        </w:rPr>
        <w:t>Zhou, K., Xu, J., Chen, Z., Williams, K., Liang, Z., Lin, W., Lee, T., &amp; Hu, S. (2025). From iconic species to biodiversity: The role of zoos in inspiring visitors’ affinity for a broader range of wild animals. Integrative Conservation, 4, 205–217. https://doi.org/10.1002/inc3.70012</w:t>
      </w:r>
    </w:p>
    <w:p w14:paraId="397C601D" w14:textId="77777777" w:rsidR="008C5E8C" w:rsidRPr="008C5E8C" w:rsidRDefault="008C5E8C" w:rsidP="00C65699">
      <w:pPr>
        <w:spacing w:before="100" w:beforeAutospacing="1" w:after="100" w:afterAutospacing="1" w:line="240" w:lineRule="auto"/>
        <w:outlineLvl w:val="2"/>
        <w:rPr>
          <w:rFonts w:ascii="Times New Roman" w:eastAsia="Times New Roman" w:hAnsi="Times New Roman" w:cs="Times New Roman"/>
          <w:bCs/>
          <w:sz w:val="24"/>
          <w:szCs w:val="27"/>
          <w:lang w:eastAsia="en-GB"/>
        </w:rPr>
      </w:pPr>
    </w:p>
    <w:sectPr w:rsidR="008C5E8C" w:rsidRPr="008C5E8C"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4E2B" w14:textId="77777777" w:rsidR="00AC2381" w:rsidRDefault="00AC2381" w:rsidP="00FB7ECB">
      <w:pPr>
        <w:spacing w:after="0" w:line="240" w:lineRule="auto"/>
      </w:pPr>
      <w:r>
        <w:separator/>
      </w:r>
    </w:p>
  </w:endnote>
  <w:endnote w:type="continuationSeparator" w:id="0">
    <w:p w14:paraId="0D91C9C1" w14:textId="77777777" w:rsidR="00AC2381" w:rsidRDefault="00AC2381" w:rsidP="00FB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7372" w14:textId="77777777" w:rsidR="00FB7ECB" w:rsidRDefault="00FB7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BBD4" w14:textId="77777777" w:rsidR="00FB7ECB" w:rsidRDefault="00FB7E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B38C" w14:textId="77777777" w:rsidR="00FB7ECB" w:rsidRDefault="00FB7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80E91" w14:textId="77777777" w:rsidR="00AC2381" w:rsidRDefault="00AC2381" w:rsidP="00FB7ECB">
      <w:pPr>
        <w:spacing w:after="0" w:line="240" w:lineRule="auto"/>
      </w:pPr>
      <w:r>
        <w:separator/>
      </w:r>
    </w:p>
  </w:footnote>
  <w:footnote w:type="continuationSeparator" w:id="0">
    <w:p w14:paraId="35C7B2B4" w14:textId="77777777" w:rsidR="00AC2381" w:rsidRDefault="00AC2381" w:rsidP="00FB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488A" w14:textId="48C1E0E8" w:rsidR="00FB7ECB" w:rsidRDefault="00FB7ECB">
    <w:pPr>
      <w:pStyle w:val="Header"/>
    </w:pPr>
    <w:r>
      <w:rPr>
        <w:noProof/>
      </w:rPr>
      <w:pict w14:anchorId="502F7C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17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F114" w14:textId="6B247A0C" w:rsidR="00FB7ECB" w:rsidRDefault="00FB7ECB">
    <w:pPr>
      <w:pStyle w:val="Header"/>
    </w:pPr>
    <w:r>
      <w:rPr>
        <w:noProof/>
      </w:rPr>
      <w:pict w14:anchorId="42E52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17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DE3F" w14:textId="0E1C8AE7" w:rsidR="00FB7ECB" w:rsidRDefault="00FB7ECB">
    <w:pPr>
      <w:pStyle w:val="Header"/>
    </w:pPr>
    <w:r>
      <w:rPr>
        <w:noProof/>
      </w:rPr>
      <w:pict w14:anchorId="767F5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17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44FA6"/>
    <w:multiLevelType w:val="hybridMultilevel"/>
    <w:tmpl w:val="A824D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54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5699"/>
    <w:rsid w:val="00057BD9"/>
    <w:rsid w:val="00076B33"/>
    <w:rsid w:val="0023316B"/>
    <w:rsid w:val="002E5CAB"/>
    <w:rsid w:val="004841B3"/>
    <w:rsid w:val="006A292D"/>
    <w:rsid w:val="00746472"/>
    <w:rsid w:val="008C5E8C"/>
    <w:rsid w:val="00AC2381"/>
    <w:rsid w:val="00C65699"/>
    <w:rsid w:val="00F06F05"/>
    <w:rsid w:val="00F50BA5"/>
    <w:rsid w:val="00FB7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22F37"/>
  <w15:docId w15:val="{5E2517DC-828F-4E74-B29B-C731A602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C6569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6569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6569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569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65699"/>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65699"/>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656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5699"/>
    <w:rPr>
      <w:b/>
      <w:bCs/>
    </w:rPr>
  </w:style>
  <w:style w:type="character" w:styleId="Emphasis">
    <w:name w:val="Emphasis"/>
    <w:basedOn w:val="DefaultParagraphFont"/>
    <w:uiPriority w:val="20"/>
    <w:qFormat/>
    <w:rsid w:val="00C65699"/>
    <w:rPr>
      <w:i/>
      <w:iCs/>
    </w:rPr>
  </w:style>
  <w:style w:type="character" w:styleId="Hyperlink">
    <w:name w:val="Hyperlink"/>
    <w:basedOn w:val="DefaultParagraphFont"/>
    <w:uiPriority w:val="99"/>
    <w:semiHidden/>
    <w:unhideWhenUsed/>
    <w:rsid w:val="00C65699"/>
    <w:rPr>
      <w:color w:val="0000FF"/>
      <w:u w:val="single"/>
    </w:rPr>
  </w:style>
  <w:style w:type="paragraph" w:styleId="ListParagraph">
    <w:name w:val="List Paragraph"/>
    <w:basedOn w:val="Normal"/>
    <w:uiPriority w:val="34"/>
    <w:qFormat/>
    <w:rsid w:val="00F06F05"/>
    <w:pPr>
      <w:ind w:left="720"/>
      <w:contextualSpacing/>
    </w:pPr>
  </w:style>
  <w:style w:type="paragraph" w:customStyle="1" w:styleId="pdq2pgselectionanchorcontainer">
    <w:name w:val="pdq2pg_selectionanchorcontainer"/>
    <w:basedOn w:val="Normal"/>
    <w:rsid w:val="002331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3316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C5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7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ECB"/>
  </w:style>
  <w:style w:type="paragraph" w:styleId="Footer">
    <w:name w:val="footer"/>
    <w:basedOn w:val="Normal"/>
    <w:link w:val="FooterChar"/>
    <w:uiPriority w:val="99"/>
    <w:unhideWhenUsed/>
    <w:rsid w:val="00FB7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959944">
      <w:bodyDiv w:val="1"/>
      <w:marLeft w:val="0"/>
      <w:marRight w:val="0"/>
      <w:marTop w:val="0"/>
      <w:marBottom w:val="0"/>
      <w:divBdr>
        <w:top w:val="none" w:sz="0" w:space="0" w:color="auto"/>
        <w:left w:val="none" w:sz="0" w:space="0" w:color="auto"/>
        <w:bottom w:val="none" w:sz="0" w:space="0" w:color="auto"/>
        <w:right w:val="none" w:sz="0" w:space="0" w:color="auto"/>
      </w:divBdr>
    </w:div>
    <w:div w:id="1680695862">
      <w:bodyDiv w:val="1"/>
      <w:marLeft w:val="0"/>
      <w:marRight w:val="0"/>
      <w:marTop w:val="0"/>
      <w:marBottom w:val="0"/>
      <w:divBdr>
        <w:top w:val="none" w:sz="0" w:space="0" w:color="auto"/>
        <w:left w:val="none" w:sz="0" w:space="0" w:color="auto"/>
        <w:bottom w:val="none" w:sz="0" w:space="0" w:color="auto"/>
        <w:right w:val="none" w:sz="0" w:space="0" w:color="auto"/>
      </w:divBdr>
      <w:divsChild>
        <w:div w:id="1892618931">
          <w:marLeft w:val="0"/>
          <w:marRight w:val="0"/>
          <w:marTop w:val="0"/>
          <w:marBottom w:val="0"/>
          <w:divBdr>
            <w:top w:val="none" w:sz="0" w:space="0" w:color="auto"/>
            <w:left w:val="none" w:sz="0" w:space="0" w:color="auto"/>
            <w:bottom w:val="none" w:sz="0" w:space="0" w:color="auto"/>
            <w:right w:val="none" w:sz="0" w:space="0" w:color="auto"/>
          </w:divBdr>
        </w:div>
        <w:div w:id="1949701433">
          <w:marLeft w:val="0"/>
          <w:marRight w:val="0"/>
          <w:marTop w:val="0"/>
          <w:marBottom w:val="0"/>
          <w:divBdr>
            <w:top w:val="none" w:sz="0" w:space="0" w:color="auto"/>
            <w:left w:val="none" w:sz="0" w:space="0" w:color="auto"/>
            <w:bottom w:val="none" w:sz="0" w:space="0" w:color="auto"/>
            <w:right w:val="none" w:sz="0" w:space="0" w:color="auto"/>
          </w:divBdr>
        </w:div>
        <w:div w:id="1047991269">
          <w:marLeft w:val="0"/>
          <w:marRight w:val="0"/>
          <w:marTop w:val="0"/>
          <w:marBottom w:val="0"/>
          <w:divBdr>
            <w:top w:val="none" w:sz="0" w:space="0" w:color="auto"/>
            <w:left w:val="none" w:sz="0" w:space="0" w:color="auto"/>
            <w:bottom w:val="none" w:sz="0" w:space="0" w:color="auto"/>
            <w:right w:val="none" w:sz="0" w:space="0" w:color="auto"/>
          </w:divBdr>
        </w:div>
        <w:div w:id="1118915031">
          <w:marLeft w:val="0"/>
          <w:marRight w:val="0"/>
          <w:marTop w:val="0"/>
          <w:marBottom w:val="0"/>
          <w:divBdr>
            <w:top w:val="none" w:sz="0" w:space="0" w:color="auto"/>
            <w:left w:val="none" w:sz="0" w:space="0" w:color="auto"/>
            <w:bottom w:val="none" w:sz="0" w:space="0" w:color="auto"/>
            <w:right w:val="none" w:sz="0" w:space="0" w:color="auto"/>
          </w:divBdr>
        </w:div>
      </w:divsChild>
    </w:div>
    <w:div w:id="2010786157">
      <w:bodyDiv w:val="1"/>
      <w:marLeft w:val="0"/>
      <w:marRight w:val="0"/>
      <w:marTop w:val="0"/>
      <w:marBottom w:val="0"/>
      <w:divBdr>
        <w:top w:val="none" w:sz="0" w:space="0" w:color="auto"/>
        <w:left w:val="none" w:sz="0" w:space="0" w:color="auto"/>
        <w:bottom w:val="none" w:sz="0" w:space="0" w:color="auto"/>
        <w:right w:val="none" w:sz="0" w:space="0" w:color="auto"/>
      </w:divBdr>
      <w:divsChild>
        <w:div w:id="1299989335">
          <w:marLeft w:val="0"/>
          <w:marRight w:val="0"/>
          <w:marTop w:val="0"/>
          <w:marBottom w:val="0"/>
          <w:divBdr>
            <w:top w:val="none" w:sz="0" w:space="0" w:color="auto"/>
            <w:left w:val="none" w:sz="0" w:space="0" w:color="auto"/>
            <w:bottom w:val="none" w:sz="0" w:space="0" w:color="auto"/>
            <w:right w:val="none" w:sz="0" w:space="0" w:color="auto"/>
          </w:divBdr>
          <w:divsChild>
            <w:div w:id="69888580">
              <w:marLeft w:val="0"/>
              <w:marRight w:val="0"/>
              <w:marTop w:val="0"/>
              <w:marBottom w:val="0"/>
              <w:divBdr>
                <w:top w:val="none" w:sz="0" w:space="0" w:color="auto"/>
                <w:left w:val="none" w:sz="0" w:space="0" w:color="auto"/>
                <w:bottom w:val="none" w:sz="0" w:space="0" w:color="auto"/>
                <w:right w:val="none" w:sz="0" w:space="0" w:color="auto"/>
              </w:divBdr>
              <w:divsChild>
                <w:div w:id="238562100">
                  <w:marLeft w:val="0"/>
                  <w:marRight w:val="0"/>
                  <w:marTop w:val="0"/>
                  <w:marBottom w:val="0"/>
                  <w:divBdr>
                    <w:top w:val="none" w:sz="0" w:space="0" w:color="auto"/>
                    <w:left w:val="none" w:sz="0" w:space="0" w:color="auto"/>
                    <w:bottom w:val="none" w:sz="0" w:space="0" w:color="auto"/>
                    <w:right w:val="none" w:sz="0" w:space="0" w:color="auto"/>
                  </w:divBdr>
                  <w:divsChild>
                    <w:div w:id="13647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24</Pages>
  <Words>11908</Words>
  <Characters>67879</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7</cp:revision>
  <dcterms:created xsi:type="dcterms:W3CDTF">2026-06-22T12:01:00Z</dcterms:created>
  <dcterms:modified xsi:type="dcterms:W3CDTF">2026-06-24T12:05:00Z</dcterms:modified>
</cp:coreProperties>
</file>