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2DB41" w14:textId="77777777" w:rsidR="006D34FD" w:rsidRPr="006D34FD" w:rsidRDefault="006D34FD" w:rsidP="006D34FD">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6D34FD">
        <w:rPr>
          <w:rFonts w:ascii="Times New Roman" w:eastAsia="Times New Roman" w:hAnsi="Times New Roman" w:cs="Times New Roman"/>
          <w:b/>
          <w:bCs/>
          <w:i/>
          <w:iCs/>
          <w:sz w:val="36"/>
          <w:szCs w:val="36"/>
          <w:u w:val="single"/>
          <w:lang w:val="en-US" w:eastAsia="en-GB"/>
        </w:rPr>
        <w:t>Review Article</w:t>
      </w:r>
    </w:p>
    <w:p w14:paraId="0BA06BFE" w14:textId="77777777" w:rsidR="00276377" w:rsidRPr="00276377" w:rsidRDefault="00276377" w:rsidP="00276377">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276377">
        <w:rPr>
          <w:rFonts w:ascii="Times New Roman" w:eastAsia="Times New Roman" w:hAnsi="Times New Roman" w:cs="Times New Roman"/>
          <w:b/>
          <w:bCs/>
          <w:sz w:val="36"/>
          <w:szCs w:val="36"/>
          <w:lang w:eastAsia="en-GB"/>
        </w:rPr>
        <w:t>Climate-Driven Range Shifts in Insect Pests: Redrawing the Global Map of Crop Vulnerability</w:t>
      </w:r>
    </w:p>
    <w:p w14:paraId="245BA706"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Abstract</w:t>
      </w:r>
    </w:p>
    <w:p w14:paraId="6B234A0C"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Rising global temperatures, shifting precipitation regimes, and elevated atmospheric carbon dioxide are altering the geographic ranges, phenology, and population dynamics of insect pests that damage the world's major food crops. This review synthesises evidence on the physiological mechanisms, observed range shifts, and projected redistribution of agriculturally important insect species under contemporary and future climate scenarios. Poleward and altitudinal expansions have already been documented across multiple pest taxa, with average latitudinal displacement rates in the low single-digit kilometres per year, and modelling studies project further acceleration under mid- and high-emission trajectories. Case evidence from fall armyworm, cotton leafworm, maize stemborers, and several rice pests illustrates how thermal tolerance, developmental plasticity, and host-plant availability jointly determine the pace and direction of range change. Elevated carbon dioxide modifies host-plant nutritional and defensive chemistry in ways that can either suppress or, in some circumstances, enhance herbivore performance, complicating simple temperature-based forecasts. Economic assessments indicate that warming-driven increases in insect-mediated crop losses could reach double-digit percentage increases per degree Celsius for staple cereals, disproportionately affecting temperate breadbasket regions, while invasive insects already impose costs exceeding tens of billions of US dollars annually worldwide. Species distribution modelling, mechanistic niche models, and hybrid approaches are increasingly used to anticipate these shifts, though model uncertainty, incomplete occurrence data, and neglect of biotic interactions remain persistent limitations. The review closes by identifying priority research directions, drawing overall conclusions for policy and practice, and acknowledging the methodological limitations inherent to a narrative synthesis of a rapidly evolving evidence base.</w:t>
      </w:r>
    </w:p>
    <w:p w14:paraId="43DCA964"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b/>
          <w:bCs/>
          <w:sz w:val="24"/>
          <w:szCs w:val="24"/>
          <w:lang w:eastAsia="en-GB"/>
        </w:rPr>
        <w:t>Keywords:</w:t>
      </w:r>
      <w:r w:rsidRPr="00276377">
        <w:rPr>
          <w:rFonts w:ascii="Times New Roman" w:eastAsia="Times New Roman" w:hAnsi="Times New Roman" w:cs="Times New Roman"/>
          <w:sz w:val="24"/>
          <w:szCs w:val="24"/>
          <w:lang w:eastAsia="en-GB"/>
        </w:rPr>
        <w:t xml:space="preserve"> insect pests; climate change; range shift; crop vulnerability; species distribution modelling; food security</w:t>
      </w:r>
    </w:p>
    <w:p w14:paraId="035B4510"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1. Introduction</w:t>
      </w:r>
    </w:p>
    <w:p w14:paraId="5F752138"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Insect herbivores already consume a substantial share of the world's staple grain output before it reaches harvest, and the spatial pattern of that damage is no longer fixed. As mean surface temperatures climb and precipitation regimes reorganise, the climatic envelopes that historically confined particular pest species to particular latitudes and elevations are being redrawn (Bale et al., 2002; Parmesan &amp; Yohe, 2003). Because insects are ectotherms, their development, survival, and reproduction respond directly to ambient temperature, and even modest warming can translate into faster generation turnover, expanded overwintering success, and colonisation of previously unsuitable territory (Deutsch et al., 2018). For agriculture, the consequence is not simply "more pests" in absolute terms but a geographic reshuffling of risk: regions that once enjoyed a degree of climatic protection from a given pest may lose that protection, while regions at the historical thermal margin of a species' range may become unsuitable as conditions exceed physiological optima.</w:t>
      </w:r>
    </w:p>
    <w:p w14:paraId="2B885A34"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lastRenderedPageBreak/>
        <w:t>1.1 The scale of the underlying threat</w:t>
      </w:r>
    </w:p>
    <w:p w14:paraId="28F95635"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surveys of crop pest and pathogen distributions have documented a consistent poleward drift over the past six decades, with average latitudinal shifts on the order of a few kilometres per year (Bebber et al., 2013). This movement is not uniform across taxa; some groups shift rapidly while others show negligible or even equatorward trends, reflecting differences in dispersal capacity, thermal tolerance breadth, and reliance on human-mediated transport. Superimposed on this observational record are process-based projections showing that insect metabolic and population growth rates respond to warming in a manner that will materially increase crop losses in some of the world's most productive temperate agricultural zones (Deutsch et al., 2018).</w:t>
      </w:r>
    </w:p>
    <w:p w14:paraId="006CF684"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1.2 Complexity beyond a simple temperature signal</w:t>
      </w:r>
    </w:p>
    <w:p w14:paraId="6F39CF76"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Range shift is rarely governed by temperature alone. Atmospheric carbon dioxide enrichment alters host-plant nitrogen content, secondary metabolite production, and defensive signalling pathways, with downstream consequences for herbivore growth and fecundity that are not always negative for the insect (Zavala et al., 2013; Johnson et al., 2020). Precipitation anomalies, land-use change, and the erosion of natural enemy communities interact with thermal drivers to either dampen or amplify realised pest pressure (Ma et al., 2025). Phenological decoupling between pests, their host plants, and their natural enemies adds a further layer of uncertainty, since climate-driven shifts in emergence timing do not necessarily proceed at the same pace across trophic levels (Thackeray et al., 2016).</w:t>
      </w:r>
    </w:p>
    <w:p w14:paraId="17D8D3D6"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1.3 Scope, research gap, and objectives</w:t>
      </w:r>
    </w:p>
    <w:p w14:paraId="74438265"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Despite an expanding body of species-specific and regional literature, no recent synthesis has drawn together the physiological, biogeographic, economic, and modelling strands of evidence into a single account of how climate-driven range shift is redrawing the global map of crop vulnerability. Much of the existing literature is fragmented by taxon, by crop system, or by geographic region, and reviews addressing insect responses to climate change have tended to emphasise either mechanistic thermal biology or applied pest-management concerns, rarely both in the same treatment. This creates a gap in understanding how mechanistic drivers translate into observed and projected biogeographic change, and how that change in turn propagates into measurable agricultural and economic outcomes.</w:t>
      </w:r>
    </w:p>
    <w:p w14:paraId="5CEE4BBC"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This review addresses that gap through a narrative synthesis structured around four linked objectives: first, to characterise the physiological and ecological mechanisms by which warming, altered precipitation, and elevated carbon dioxide drive insect pest range change; second, to summarise documented and projected shifts across a representative set of globally significant pest species and crop systems; third, to evaluate the economic and food-security implications of this redistribution, together with the modelling tools used to anticipate it; and fourth, to identify the principal gaps in current knowledge that constrain confident forecasting of future crop vulnerability. The review is confined to insect pests of field and horticultural crops and does not address plant pathogens, weeds, or vertebrate pests except where their dynamics are inseparable from insect vector biology.</w:t>
      </w:r>
    </w:p>
    <w:p w14:paraId="3CDC4CA1"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2. Methods for Literature Selection</w:t>
      </w:r>
    </w:p>
    <w:p w14:paraId="6A749474"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2.1 Databases searched</w:t>
      </w:r>
    </w:p>
    <w:p w14:paraId="1570096C"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lastRenderedPageBreak/>
        <w:t xml:space="preserve">Literature was identified through structured searches of four general bibliographic databases—Web of Science, Scopus, Google Scholar, and PubMed—supplemented by six field-specific indexing resources relevant to entomology, agriculture, and environmental change: CAB Abstracts, AGRICOLA, BIOSIS Citation Index, </w:t>
      </w:r>
      <w:proofErr w:type="spellStart"/>
      <w:r w:rsidRPr="00276377">
        <w:rPr>
          <w:rFonts w:ascii="Times New Roman" w:eastAsia="Times New Roman" w:hAnsi="Times New Roman" w:cs="Times New Roman"/>
          <w:sz w:val="24"/>
          <w:szCs w:val="24"/>
          <w:lang w:eastAsia="en-GB"/>
        </w:rPr>
        <w:t>GreenFILE</w:t>
      </w:r>
      <w:proofErr w:type="spellEnd"/>
      <w:r w:rsidRPr="00276377">
        <w:rPr>
          <w:rFonts w:ascii="Times New Roman" w:eastAsia="Times New Roman" w:hAnsi="Times New Roman" w:cs="Times New Roman"/>
          <w:sz w:val="24"/>
          <w:szCs w:val="24"/>
          <w:lang w:eastAsia="en-GB"/>
        </w:rPr>
        <w:t>, Zoological Record, and the Directory of Open Access Journals subject index for agricultural and biological sciences.</w:t>
      </w:r>
    </w:p>
    <w:p w14:paraId="06264190"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2.2 Search strings and date range</w:t>
      </w:r>
    </w:p>
    <w:p w14:paraId="04ADF62D"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Search strings combined controlled vocabulary and free-text terms using Boolean operators, structured around three concept blocks: insect pest terminology (for example "insect pest*" OR "crop pest*" OR "herbivorous insect*"), climate terminology ("climate change" OR "global warming" OR "climatic warming" OR "elevated CO2"), and distributional terminology ("range shift*" OR "range expansion*" OR "geographic distribution" OR "species distribution model*" OR "poleward shift*"). These three blocks were combined with the AND operator. Searches were restricted to peer-reviewed journal articles published between January 2000 and 26 March 2026, a window chosen to capture both the foundational mechanistic literature on insect thermal biology that emerged in the early 2000s and the substantial acceleration of climate-pest research over the past decade.</w:t>
      </w:r>
    </w:p>
    <w:p w14:paraId="20C9CD0E"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2.3 Inclusion and exclusion criteria</w:t>
      </w:r>
    </w:p>
    <w:p w14:paraId="78CC481B"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Articles were included if they reported primary empirical data, modelling outputs, or quantitative synthesis concerning the effects of climate variables on the geographic distribution, phenology, or population dynamics of insect pests affecting cultivated crops, and if they were published in English in a peer-reviewed journal. Articles were excluded if they concerned exclusively non-agricultural insect taxa, addressed plant pathogens or weeds without an insect vector component, were published as books, conference proceedings, theses, preprints, patents, or trade publications, or lacked verifiable bibliographic metadata.</w:t>
      </w:r>
    </w:p>
    <w:p w14:paraId="4FF73296"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2.4 Rationale for a narrative review approach</w:t>
      </w:r>
    </w:p>
    <w:p w14:paraId="595C8B38"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 narrative rather than systematic review approach was adopted because the subject matter spans physiological, biogeographic, agronomic, and economic literatures that use markedly different methodologies, outcome measures, and reporting conventions, making formal meta-analytic pooling impractical without losing interpretive nuance. Narrative reviews suit synthesis and contextualisation of a heterogeneous evidence base rather than pooled effect-size estimation, particularly where the aim includes identifying research gaps and future directions rather than testing a single quantitative hypothesis (Ferrari, 2015). This approach allowed integration of case-specific findings from individual pest species alongside broader biogeographic and economic syntheses, which a strictly systematic protocol focused on a single outcome measure would not readily accommodate.</w:t>
      </w:r>
    </w:p>
    <w:p w14:paraId="4E55BE4E"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2.5 Screening workflow, duplicate handling, and study selection</w:t>
      </w:r>
    </w:p>
    <w:p w14:paraId="4A72A3CE"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Records retrieved from each database were exported and screened first by title and abstract for topical relevance, then by full text for compliance with the inclusion criteria described above. Duplicate records arising from overlapping database coverage were identified through reference-manager deduplication based on digital object identifiers and bibliographic matching, and removed prior to full-text screening. The search was restricted to English-</w:t>
      </w:r>
      <w:r w:rsidRPr="00276377">
        <w:rPr>
          <w:rFonts w:ascii="Times New Roman" w:eastAsia="Times New Roman" w:hAnsi="Times New Roman" w:cs="Times New Roman"/>
          <w:sz w:val="24"/>
          <w:szCs w:val="24"/>
          <w:lang w:eastAsia="en-GB"/>
        </w:rPr>
        <w:lastRenderedPageBreak/>
        <w:t>language publications; this restriction, common in narrative reviews of this scope, may exclude regionally important non-English literature, a limitation acknowledged in Section 13. Priority was given to studies published in high-impact entomological, ecological, and environmental science journals, to studies with large geographic or taxonomic scope, and to frequently cited works establishing key mechanistic or biogeographic principles, on the basis that such studies are more likely to represent influential contributions to the field's current understanding.</w:t>
      </w:r>
    </w:p>
    <w:p w14:paraId="2B02FE23"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2.6 Summary of search strategy</w:t>
      </w:r>
    </w:p>
    <w:p w14:paraId="2CDC5890"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Table 1 summarises the overall search architecture, including the databases consulted, the structure of the search string, and the criteria applied at each stage of selection. The table is intended as a compact reference point rather than an exhaustive protocol, consistent with the narrative rather than systematic nature of this review.</w:t>
      </w:r>
    </w:p>
    <w:p w14:paraId="1C3E499B"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b/>
          <w:bCs/>
          <w:sz w:val="24"/>
          <w:szCs w:val="24"/>
          <w:lang w:eastAsia="en-GB"/>
        </w:rPr>
        <w:t>Table 1. Summary of the literature search strategy</w:t>
      </w:r>
    </w:p>
    <w:tbl>
      <w:tblPr>
        <w:tblStyle w:val="TableGrid"/>
        <w:tblW w:w="0" w:type="auto"/>
        <w:tblLook w:val="04A0" w:firstRow="1" w:lastRow="0" w:firstColumn="1" w:lastColumn="0" w:noHBand="0" w:noVBand="1"/>
      </w:tblPr>
      <w:tblGrid>
        <w:gridCol w:w="2069"/>
        <w:gridCol w:w="7173"/>
      </w:tblGrid>
      <w:tr w:rsidR="00276377" w:rsidRPr="00276377" w14:paraId="40C5551C" w14:textId="77777777" w:rsidTr="00276377">
        <w:tc>
          <w:tcPr>
            <w:tcW w:w="0" w:type="auto"/>
            <w:hideMark/>
          </w:tcPr>
          <w:p w14:paraId="1C9A891E"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Element</w:t>
            </w:r>
          </w:p>
        </w:tc>
        <w:tc>
          <w:tcPr>
            <w:tcW w:w="0" w:type="auto"/>
            <w:hideMark/>
          </w:tcPr>
          <w:p w14:paraId="6F8AF426"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Specification</w:t>
            </w:r>
          </w:p>
        </w:tc>
      </w:tr>
      <w:tr w:rsidR="00276377" w:rsidRPr="00276377" w14:paraId="07922140" w14:textId="77777777" w:rsidTr="00276377">
        <w:tc>
          <w:tcPr>
            <w:tcW w:w="0" w:type="auto"/>
            <w:hideMark/>
          </w:tcPr>
          <w:p w14:paraId="6D5EDE06"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General databases</w:t>
            </w:r>
          </w:p>
        </w:tc>
        <w:tc>
          <w:tcPr>
            <w:tcW w:w="0" w:type="auto"/>
            <w:hideMark/>
          </w:tcPr>
          <w:p w14:paraId="6B7877A0"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Web of Science, Scopus, Google Scholar, PubMed</w:t>
            </w:r>
          </w:p>
        </w:tc>
      </w:tr>
      <w:tr w:rsidR="00276377" w:rsidRPr="00276377" w14:paraId="145059CB" w14:textId="77777777" w:rsidTr="00276377">
        <w:tc>
          <w:tcPr>
            <w:tcW w:w="0" w:type="auto"/>
            <w:hideMark/>
          </w:tcPr>
          <w:p w14:paraId="0C124BED"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Field-specific databases</w:t>
            </w:r>
          </w:p>
        </w:tc>
        <w:tc>
          <w:tcPr>
            <w:tcW w:w="0" w:type="auto"/>
            <w:hideMark/>
          </w:tcPr>
          <w:p w14:paraId="34F77500"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CAB Abstracts, AGRICOLA, BIOSIS Citation Index, </w:t>
            </w:r>
            <w:proofErr w:type="spellStart"/>
            <w:r w:rsidRPr="00276377">
              <w:rPr>
                <w:rFonts w:ascii="Times New Roman" w:eastAsia="Times New Roman" w:hAnsi="Times New Roman" w:cs="Times New Roman"/>
                <w:sz w:val="24"/>
                <w:szCs w:val="24"/>
                <w:lang w:eastAsia="en-GB"/>
              </w:rPr>
              <w:t>GreenFILE</w:t>
            </w:r>
            <w:proofErr w:type="spellEnd"/>
            <w:r w:rsidRPr="00276377">
              <w:rPr>
                <w:rFonts w:ascii="Times New Roman" w:eastAsia="Times New Roman" w:hAnsi="Times New Roman" w:cs="Times New Roman"/>
                <w:sz w:val="24"/>
                <w:szCs w:val="24"/>
                <w:lang w:eastAsia="en-GB"/>
              </w:rPr>
              <w:t>, Zoological Record, DOAJ (agricultural sciences)</w:t>
            </w:r>
          </w:p>
        </w:tc>
      </w:tr>
      <w:tr w:rsidR="00276377" w:rsidRPr="00276377" w14:paraId="47BF96F6" w14:textId="77777777" w:rsidTr="00276377">
        <w:tc>
          <w:tcPr>
            <w:tcW w:w="0" w:type="auto"/>
            <w:hideMark/>
          </w:tcPr>
          <w:p w14:paraId="69917D96"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Core search concepts</w:t>
            </w:r>
          </w:p>
        </w:tc>
        <w:tc>
          <w:tcPr>
            <w:tcW w:w="0" w:type="auto"/>
            <w:hideMark/>
          </w:tcPr>
          <w:p w14:paraId="0D8BD037"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Insect pest terminology; climate terminology; distributional terminology</w:t>
            </w:r>
          </w:p>
        </w:tc>
      </w:tr>
      <w:tr w:rsidR="00276377" w:rsidRPr="00276377" w14:paraId="3C0B1514" w14:textId="77777777" w:rsidTr="00276377">
        <w:tc>
          <w:tcPr>
            <w:tcW w:w="0" w:type="auto"/>
            <w:hideMark/>
          </w:tcPr>
          <w:p w14:paraId="1C0F3210"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Boolean structure</w:t>
            </w:r>
          </w:p>
        </w:tc>
        <w:tc>
          <w:tcPr>
            <w:tcW w:w="0" w:type="auto"/>
            <w:hideMark/>
          </w:tcPr>
          <w:p w14:paraId="0E00495C"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(Pest terms) AND (Climate terms) AND (Distribution terms)</w:t>
            </w:r>
          </w:p>
        </w:tc>
      </w:tr>
      <w:tr w:rsidR="00276377" w:rsidRPr="00276377" w14:paraId="40C22900" w14:textId="77777777" w:rsidTr="00276377">
        <w:tc>
          <w:tcPr>
            <w:tcW w:w="0" w:type="auto"/>
            <w:hideMark/>
          </w:tcPr>
          <w:p w14:paraId="1034851F"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Date range</w:t>
            </w:r>
          </w:p>
        </w:tc>
        <w:tc>
          <w:tcPr>
            <w:tcW w:w="0" w:type="auto"/>
            <w:hideMark/>
          </w:tcPr>
          <w:p w14:paraId="49E3BC78"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January 2000 – 26 March 2026</w:t>
            </w:r>
          </w:p>
        </w:tc>
      </w:tr>
      <w:tr w:rsidR="00276377" w:rsidRPr="00276377" w14:paraId="53AF3F66" w14:textId="77777777" w:rsidTr="00276377">
        <w:tc>
          <w:tcPr>
            <w:tcW w:w="0" w:type="auto"/>
            <w:hideMark/>
          </w:tcPr>
          <w:p w14:paraId="73ABC3EE"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Language</w:t>
            </w:r>
          </w:p>
        </w:tc>
        <w:tc>
          <w:tcPr>
            <w:tcW w:w="0" w:type="auto"/>
            <w:hideMark/>
          </w:tcPr>
          <w:p w14:paraId="1F8886FC"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English only</w:t>
            </w:r>
          </w:p>
        </w:tc>
      </w:tr>
      <w:tr w:rsidR="00276377" w:rsidRPr="00276377" w14:paraId="2265EC18" w14:textId="77777777" w:rsidTr="00276377">
        <w:tc>
          <w:tcPr>
            <w:tcW w:w="0" w:type="auto"/>
            <w:hideMark/>
          </w:tcPr>
          <w:p w14:paraId="051FFB55"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Document types included</w:t>
            </w:r>
          </w:p>
        </w:tc>
        <w:tc>
          <w:tcPr>
            <w:tcW w:w="0" w:type="auto"/>
            <w:hideMark/>
          </w:tcPr>
          <w:p w14:paraId="36F9A619"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Peer-reviewed journal articles</w:t>
            </w:r>
          </w:p>
        </w:tc>
      </w:tr>
      <w:tr w:rsidR="00276377" w:rsidRPr="00276377" w14:paraId="66A8BC33" w14:textId="77777777" w:rsidTr="00276377">
        <w:tc>
          <w:tcPr>
            <w:tcW w:w="0" w:type="auto"/>
            <w:hideMark/>
          </w:tcPr>
          <w:p w14:paraId="3B1F147C"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Document types excluded</w:t>
            </w:r>
          </w:p>
        </w:tc>
        <w:tc>
          <w:tcPr>
            <w:tcW w:w="0" w:type="auto"/>
            <w:hideMark/>
          </w:tcPr>
          <w:p w14:paraId="3261A2A1"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Books, conference proceedings, theses, preprints, patents, trade literature</w:t>
            </w:r>
          </w:p>
        </w:tc>
      </w:tr>
      <w:tr w:rsidR="00276377" w:rsidRPr="00276377" w14:paraId="089A2007" w14:textId="77777777" w:rsidTr="00276377">
        <w:tc>
          <w:tcPr>
            <w:tcW w:w="0" w:type="auto"/>
            <w:hideMark/>
          </w:tcPr>
          <w:p w14:paraId="7248D5D4"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Review type</w:t>
            </w:r>
          </w:p>
        </w:tc>
        <w:tc>
          <w:tcPr>
            <w:tcW w:w="0" w:type="auto"/>
            <w:hideMark/>
          </w:tcPr>
          <w:p w14:paraId="6F401608"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Narrative, following Ferrari (2015)</w:t>
            </w:r>
          </w:p>
        </w:tc>
      </w:tr>
    </w:tbl>
    <w:p w14:paraId="1BCB6E68"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i/>
          <w:iCs/>
          <w:sz w:val="24"/>
          <w:szCs w:val="24"/>
          <w:lang w:eastAsia="en-GB"/>
        </w:rPr>
        <w:t>Source: compiled by the author for this review; methodological rationale drawn from Ferrari (2015).</w:t>
      </w:r>
    </w:p>
    <w:p w14:paraId="665758A8"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3. Thermal Biology and Physiological Drivers of Range Shift</w:t>
      </w:r>
    </w:p>
    <w:p w14:paraId="3FF10CCF"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Insects are ectothermic, meaning that body temperature, and with it the rate of nearly every physiological process, tracks ambient conditions rather than being held constant through internal regulation. This basic biological fact underlies much of what follows in this review. Warming accelerates larval and nymphal development, shortens generation time, and, within limits, increases the number of generations a population can complete within a growing season (Bale et al., 2002). It also affects overwintering survival, since many temperate pest populations are limited less by summer conditions than by their ability to survive cold winters; milder winters allow a larger proportion of the overwintering population to persist into the following season, raising baseline population size before the growing season even begins.</w:t>
      </w:r>
    </w:p>
    <w:p w14:paraId="1D852AA2"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lastRenderedPageBreak/>
        <w:t>Thermal performance in insects does not scale linearly across the full range of temperatures a species might encounter. Performance typically rises from a lower developmental threshold to an optimum, beyond which further warming becomes detrimental, and the width and asymmetry of this thermal performance curve differs substantially between species, and even between populations of the same species adapted to different climatic zones (Sinclair et al., 2016). This nonlinearity carries an important consequence for the geography of vulnerability. Populations already living close to their upper thermal limit, disproportionately concentrated in tropical and subtropical regions, may experience reduced performance or local extirpation under further warming, whereas populations in cooler temperate zones, which typically sit well below their thermal optimum, tend to benefit from moderate warming through faster development and expanded seasonal activity (Deutsch et al., 2018). This asymmetry helps explain why some of the most consequential projected increases in crop damage are expected not in the tropics, where pest pressure is already high, but in temperate breadbasket regions where insect population growth has historically been temperature-limited.</w:t>
      </w:r>
    </w:p>
    <w:p w14:paraId="18C13CA1"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Precipitation exerts an influence that is less uniform in direction than temperature. Moderate drought stress can increase pest damage, as insects feed more intensively on available moisture-bearing plant tissue while plant defensive responses and natural enemy activity are simultaneously weakened, whereas heavy rainfall can physically dislodge small-bodied pests such as aphids and mites from foliage, reducing their numbers in the short term even as it creates favourable breeding conditions for other taxa, such as desert locusts, whose reproduction depends on moist soil for oviposition (Ma et al., 2025). The interaction between temperature and moisture is therefore central to any attempt to forecast pest response, and models built on temperature alone risk systematic error in regions where precipitation change is the dominant driver.</w:t>
      </w:r>
    </w:p>
    <w:p w14:paraId="483FB3AC"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4. Observed and Projected Range Shifts: Global Patterns</w:t>
      </w:r>
    </w:p>
    <w:p w14:paraId="4EDC9664"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4.1 Documented poleward and altitudinal movement</w:t>
      </w:r>
    </w:p>
    <w:p w14:paraId="7F824A0C"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The most comprehensive observational evidence for climate-driven pest movement comes from a global compilation of documented latitudinal shifts among crop pests and pathogens since 1960, which found an average poleward displacement in the low single-digit kilometres per year, with substantial variation among taxonomic groups and some evidence that this rate has itself accelerated in more recent decades (Bebber et al., 2013). This pattern broadly matches the wider ecological literature on climate-driven range shifts across plant and animal taxa, which established that biological systems worldwide show a coherent fingerprint of poleward and upward movement, consistent in direction and, in aggregate, in magnitude with twentieth-century warming (Parmesan &amp; Yohe, 2003). Altitudinal shifts follow a parallel logic to latitudinal ones, since temperature declines with elevation much as it declines with latitude, and montane agricultural systems in East Africa, Latin America, and parts of Asia have documented upward movement of stemborer and other pest populations into previously cooler highland zones as those zones warm (</w:t>
      </w:r>
      <w:proofErr w:type="spellStart"/>
      <w:r w:rsidRPr="00276377">
        <w:rPr>
          <w:rFonts w:ascii="Times New Roman" w:eastAsia="Times New Roman" w:hAnsi="Times New Roman" w:cs="Times New Roman"/>
          <w:sz w:val="24"/>
          <w:szCs w:val="24"/>
          <w:lang w:eastAsia="en-GB"/>
        </w:rPr>
        <w:t>Mwalusepo</w:t>
      </w:r>
      <w:proofErr w:type="spellEnd"/>
      <w:r w:rsidRPr="00276377">
        <w:rPr>
          <w:rFonts w:ascii="Times New Roman" w:eastAsia="Times New Roman" w:hAnsi="Times New Roman" w:cs="Times New Roman"/>
          <w:sz w:val="24"/>
          <w:szCs w:val="24"/>
          <w:lang w:eastAsia="en-GB"/>
        </w:rPr>
        <w:t xml:space="preserve"> et al., 2015).</w:t>
      </w:r>
    </w:p>
    <w:p w14:paraId="445FB8C1"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4.2 Divergence between mid-high latitude and tropical responses</w:t>
      </w:r>
    </w:p>
    <w:p w14:paraId="273F8A79"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A recurring theme across the recent literature is that pests occupying mid- to high-latitude agricultural zones tend to respond more positively to warming, in terms of both range expansion and population growth, than pests already established in the tropics, where many species sit closer to their upper thermal tolerance limits (Ma et al., 2025). Projections </w:t>
      </w:r>
      <w:r w:rsidRPr="00276377">
        <w:rPr>
          <w:rFonts w:ascii="Times New Roman" w:eastAsia="Times New Roman" w:hAnsi="Times New Roman" w:cs="Times New Roman"/>
          <w:sz w:val="24"/>
          <w:szCs w:val="24"/>
          <w:lang w:eastAsia="en-GB"/>
        </w:rPr>
        <w:lastRenderedPageBreak/>
        <w:t>combining insect metabolic and demographic responses with global climate models indicate that under two degrees Celsius of warming relative to pre-industrial conditions, insect-mediated yield losses could increase substantially for wheat, rice, and maize, with the largest proportional increases concentrated in temperate production regions rather than in the tropics (Deutsch et al., 2018). This finding sits somewhat against intuitive expectations that warming would simply intensify existing tropical pest pressure, and instead points to a redistribution of risk toward regions, including much of Europe, North America, and northern China, that have historically enjoyed a degree of climatic buffering against major insect pests.</w:t>
      </w:r>
    </w:p>
    <w:p w14:paraId="4BB00CF0"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4.3 Phenological and generational change accompanying range shift</w:t>
      </w:r>
    </w:p>
    <w:p w14:paraId="3BED29E1"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Range expansion is frequently accompanied by phenological advancement and an increase in the number of generations completed annually, changes that compound the effect of simple geographic spread by increasing the intensity of pest pressure within newly or already occupied territory (Lehmann et al., 2020). Long-term phenological monitoring across a wide range of taxa and trophic levels has demonstrated that different components of an ecosystem shift their seasonal timing at different rates, creating scope for mismatch between pest emergence, host-plant phenological stage, and natural enemy activity (Thackeray et al., 2016). Evidence from moth populations undergoing sustained range expansion over multi-decade timescales indicates that the pace of this expansion is itself sensitive to interannual temperature variability, with warmer years associated with stronger population growth at the expanding range margin (</w:t>
      </w:r>
      <w:proofErr w:type="spellStart"/>
      <w:r w:rsidRPr="00276377">
        <w:rPr>
          <w:rFonts w:ascii="Times New Roman" w:eastAsia="Times New Roman" w:hAnsi="Times New Roman" w:cs="Times New Roman"/>
          <w:sz w:val="24"/>
          <w:szCs w:val="24"/>
          <w:lang w:eastAsia="en-GB"/>
        </w:rPr>
        <w:t>Betzholtz</w:t>
      </w:r>
      <w:proofErr w:type="spellEnd"/>
      <w:r w:rsidRPr="00276377">
        <w:rPr>
          <w:rFonts w:ascii="Times New Roman" w:eastAsia="Times New Roman" w:hAnsi="Times New Roman" w:cs="Times New Roman"/>
          <w:sz w:val="24"/>
          <w:szCs w:val="24"/>
          <w:lang w:eastAsia="en-GB"/>
        </w:rPr>
        <w:t xml:space="preserve"> et al., 2023).</w:t>
      </w:r>
    </w:p>
    <w:p w14:paraId="146C7CA6"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4.4 Summary of documented shifts</w:t>
      </w:r>
    </w:p>
    <w:p w14:paraId="20F6B2F7"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Table 2 draws together representative examples of documented and projected range shift discussed in this section, spanning aggregate multi-taxon evidence through to individual pest species, and illustrates the diversity of mechanisms, from latitudinal to altitudinal displacement, that underlie the broader pattern described above.</w:t>
      </w:r>
    </w:p>
    <w:p w14:paraId="333C6C39"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b/>
          <w:bCs/>
          <w:sz w:val="24"/>
          <w:szCs w:val="24"/>
          <w:lang w:eastAsia="en-GB"/>
        </w:rPr>
        <w:t>Table 2. Representative documented and projected range shifts among agriculturally important insect taxa</w:t>
      </w:r>
    </w:p>
    <w:tbl>
      <w:tblPr>
        <w:tblStyle w:val="TableGrid"/>
        <w:tblW w:w="0" w:type="auto"/>
        <w:tblLook w:val="04A0" w:firstRow="1" w:lastRow="0" w:firstColumn="1" w:lastColumn="0" w:noHBand="0" w:noVBand="1"/>
      </w:tblPr>
      <w:tblGrid>
        <w:gridCol w:w="2024"/>
        <w:gridCol w:w="3231"/>
        <w:gridCol w:w="2100"/>
        <w:gridCol w:w="1887"/>
      </w:tblGrid>
      <w:tr w:rsidR="00276377" w:rsidRPr="00276377" w14:paraId="3D634A52" w14:textId="77777777" w:rsidTr="00276377">
        <w:tc>
          <w:tcPr>
            <w:tcW w:w="0" w:type="auto"/>
            <w:hideMark/>
          </w:tcPr>
          <w:p w14:paraId="30108CEB"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Taxon / pest group</w:t>
            </w:r>
          </w:p>
        </w:tc>
        <w:tc>
          <w:tcPr>
            <w:tcW w:w="0" w:type="auto"/>
            <w:hideMark/>
          </w:tcPr>
          <w:p w14:paraId="05FACE6B"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Type of shift reported</w:t>
            </w:r>
          </w:p>
        </w:tc>
        <w:tc>
          <w:tcPr>
            <w:tcW w:w="0" w:type="auto"/>
            <w:hideMark/>
          </w:tcPr>
          <w:p w14:paraId="01CD9772"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Approximate driver</w:t>
            </w:r>
          </w:p>
        </w:tc>
        <w:tc>
          <w:tcPr>
            <w:tcW w:w="0" w:type="auto"/>
            <w:hideMark/>
          </w:tcPr>
          <w:p w14:paraId="4737A936"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Key reference</w:t>
            </w:r>
          </w:p>
        </w:tc>
      </w:tr>
      <w:tr w:rsidR="00276377" w:rsidRPr="00276377" w14:paraId="4082DAC2" w14:textId="77777777" w:rsidTr="00276377">
        <w:tc>
          <w:tcPr>
            <w:tcW w:w="0" w:type="auto"/>
            <w:hideMark/>
          </w:tcPr>
          <w:p w14:paraId="25270422"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Aggregate crop pests and pathogens (multiple taxa)</w:t>
            </w:r>
          </w:p>
        </w:tc>
        <w:tc>
          <w:tcPr>
            <w:tcW w:w="0" w:type="auto"/>
            <w:hideMark/>
          </w:tcPr>
          <w:p w14:paraId="64D645BF"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Poleward shift, several km per year since 1960</w:t>
            </w:r>
          </w:p>
        </w:tc>
        <w:tc>
          <w:tcPr>
            <w:tcW w:w="0" w:type="auto"/>
            <w:hideMark/>
          </w:tcPr>
          <w:p w14:paraId="0B3E8F79"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Warming-driven latitudinal expansion</w:t>
            </w:r>
          </w:p>
        </w:tc>
        <w:tc>
          <w:tcPr>
            <w:tcW w:w="0" w:type="auto"/>
            <w:hideMark/>
          </w:tcPr>
          <w:p w14:paraId="7A12DBB0"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Bebber et al. (2013)</w:t>
            </w:r>
          </w:p>
        </w:tc>
      </w:tr>
      <w:tr w:rsidR="00276377" w:rsidRPr="00276377" w14:paraId="63305DEE" w14:textId="77777777" w:rsidTr="00276377">
        <w:tc>
          <w:tcPr>
            <w:tcW w:w="0" w:type="auto"/>
            <w:hideMark/>
          </w:tcPr>
          <w:p w14:paraId="770F2D00"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Fall armyworm (</w:t>
            </w:r>
            <w:r w:rsidRPr="00276377">
              <w:rPr>
                <w:rFonts w:ascii="Times New Roman" w:eastAsia="Times New Roman" w:hAnsi="Times New Roman" w:cs="Times New Roman"/>
                <w:i/>
                <w:iCs/>
                <w:sz w:val="24"/>
                <w:szCs w:val="24"/>
                <w:lang w:eastAsia="en-GB"/>
              </w:rPr>
              <w:t xml:space="preserve">Spodoptera </w:t>
            </w:r>
            <w:proofErr w:type="spellStart"/>
            <w:r w:rsidRPr="00276377">
              <w:rPr>
                <w:rFonts w:ascii="Times New Roman" w:eastAsia="Times New Roman" w:hAnsi="Times New Roman" w:cs="Times New Roman"/>
                <w:i/>
                <w:iCs/>
                <w:sz w:val="24"/>
                <w:szCs w:val="24"/>
                <w:lang w:eastAsia="en-GB"/>
              </w:rPr>
              <w:t>frugiperda</w:t>
            </w:r>
            <w:proofErr w:type="spellEnd"/>
            <w:r w:rsidRPr="00276377">
              <w:rPr>
                <w:rFonts w:ascii="Times New Roman" w:eastAsia="Times New Roman" w:hAnsi="Times New Roman" w:cs="Times New Roman"/>
                <w:sz w:val="24"/>
                <w:szCs w:val="24"/>
                <w:lang w:eastAsia="en-GB"/>
              </w:rPr>
              <w:t>)</w:t>
            </w:r>
          </w:p>
        </w:tc>
        <w:tc>
          <w:tcPr>
            <w:tcW w:w="0" w:type="auto"/>
            <w:hideMark/>
          </w:tcPr>
          <w:p w14:paraId="1C3E41C1"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range expansion from the Americas into Africa, Asia, Oceania</w:t>
            </w:r>
          </w:p>
        </w:tc>
        <w:tc>
          <w:tcPr>
            <w:tcW w:w="0" w:type="auto"/>
            <w:hideMark/>
          </w:tcPr>
          <w:p w14:paraId="1B6D3A32"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Thermal tolerance and </w:t>
            </w:r>
            <w:proofErr w:type="spellStart"/>
            <w:r w:rsidRPr="00276377">
              <w:rPr>
                <w:rFonts w:ascii="Times New Roman" w:eastAsia="Times New Roman" w:hAnsi="Times New Roman" w:cs="Times New Roman"/>
                <w:sz w:val="24"/>
                <w:szCs w:val="24"/>
                <w:lang w:eastAsia="en-GB"/>
              </w:rPr>
              <w:t>multivoltinism</w:t>
            </w:r>
            <w:proofErr w:type="spellEnd"/>
          </w:p>
        </w:tc>
        <w:tc>
          <w:tcPr>
            <w:tcW w:w="0" w:type="auto"/>
            <w:hideMark/>
          </w:tcPr>
          <w:p w14:paraId="485E42AA"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Zacarias (2020); Yan et al. (2022)</w:t>
            </w:r>
          </w:p>
        </w:tc>
      </w:tr>
      <w:tr w:rsidR="00276377" w:rsidRPr="00276377" w14:paraId="68232153" w14:textId="77777777" w:rsidTr="00276377">
        <w:tc>
          <w:tcPr>
            <w:tcW w:w="0" w:type="auto"/>
            <w:hideMark/>
          </w:tcPr>
          <w:p w14:paraId="51905C0F"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Cotton leafworm (</w:t>
            </w:r>
            <w:r w:rsidRPr="00276377">
              <w:rPr>
                <w:rFonts w:ascii="Times New Roman" w:eastAsia="Times New Roman" w:hAnsi="Times New Roman" w:cs="Times New Roman"/>
                <w:i/>
                <w:iCs/>
                <w:sz w:val="24"/>
                <w:szCs w:val="24"/>
                <w:lang w:eastAsia="en-GB"/>
              </w:rPr>
              <w:t>Spodoptera littoralis</w:t>
            </w:r>
            <w:r w:rsidRPr="00276377">
              <w:rPr>
                <w:rFonts w:ascii="Times New Roman" w:eastAsia="Times New Roman" w:hAnsi="Times New Roman" w:cs="Times New Roman"/>
                <w:sz w:val="24"/>
                <w:szCs w:val="24"/>
                <w:lang w:eastAsia="en-GB"/>
              </w:rPr>
              <w:t>)</w:t>
            </w:r>
          </w:p>
        </w:tc>
        <w:tc>
          <w:tcPr>
            <w:tcW w:w="0" w:type="auto"/>
            <w:hideMark/>
          </w:tcPr>
          <w:p w14:paraId="2A289B2B"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Projected expansion into northern Europe and the Americas</w:t>
            </w:r>
          </w:p>
        </w:tc>
        <w:tc>
          <w:tcPr>
            <w:tcW w:w="0" w:type="auto"/>
            <w:hideMark/>
          </w:tcPr>
          <w:p w14:paraId="72D593CA"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Bioclimatic niche shift under RCP scenarios</w:t>
            </w:r>
          </w:p>
        </w:tc>
        <w:tc>
          <w:tcPr>
            <w:tcW w:w="0" w:type="auto"/>
            <w:hideMark/>
          </w:tcPr>
          <w:p w14:paraId="06939E0E" w14:textId="77777777" w:rsidR="00276377" w:rsidRPr="00276377" w:rsidRDefault="00276377" w:rsidP="00276377">
            <w:pPr>
              <w:rPr>
                <w:rFonts w:ascii="Times New Roman" w:eastAsia="Times New Roman" w:hAnsi="Times New Roman" w:cs="Times New Roman"/>
                <w:sz w:val="24"/>
                <w:szCs w:val="24"/>
                <w:lang w:eastAsia="en-GB"/>
              </w:rPr>
            </w:pPr>
            <w:proofErr w:type="spellStart"/>
            <w:r w:rsidRPr="00276377">
              <w:rPr>
                <w:rFonts w:ascii="Times New Roman" w:eastAsia="Times New Roman" w:hAnsi="Times New Roman" w:cs="Times New Roman"/>
                <w:sz w:val="24"/>
                <w:szCs w:val="24"/>
                <w:lang w:eastAsia="en-GB"/>
              </w:rPr>
              <w:t>ElShahed</w:t>
            </w:r>
            <w:proofErr w:type="spellEnd"/>
            <w:r w:rsidRPr="00276377">
              <w:rPr>
                <w:rFonts w:ascii="Times New Roman" w:eastAsia="Times New Roman" w:hAnsi="Times New Roman" w:cs="Times New Roman"/>
                <w:sz w:val="24"/>
                <w:szCs w:val="24"/>
                <w:lang w:eastAsia="en-GB"/>
              </w:rPr>
              <w:t xml:space="preserve"> et al. (2023)</w:t>
            </w:r>
          </w:p>
        </w:tc>
      </w:tr>
      <w:tr w:rsidR="00276377" w:rsidRPr="00276377" w14:paraId="011367D7" w14:textId="77777777" w:rsidTr="00276377">
        <w:tc>
          <w:tcPr>
            <w:tcW w:w="0" w:type="auto"/>
            <w:hideMark/>
          </w:tcPr>
          <w:p w14:paraId="26C26DBB"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Maize stemborers (multiple species)</w:t>
            </w:r>
          </w:p>
        </w:tc>
        <w:tc>
          <w:tcPr>
            <w:tcW w:w="0" w:type="auto"/>
            <w:hideMark/>
          </w:tcPr>
          <w:p w14:paraId="0BF86D16"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Altitudinal shift into East African highlands; developmental divergence between temperate and tropical populations</w:t>
            </w:r>
          </w:p>
        </w:tc>
        <w:tc>
          <w:tcPr>
            <w:tcW w:w="0" w:type="auto"/>
            <w:hideMark/>
          </w:tcPr>
          <w:p w14:paraId="547DA9C7"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Warming of previously cool highland zones</w:t>
            </w:r>
          </w:p>
        </w:tc>
        <w:tc>
          <w:tcPr>
            <w:tcW w:w="0" w:type="auto"/>
            <w:hideMark/>
          </w:tcPr>
          <w:p w14:paraId="73E70763" w14:textId="77777777" w:rsidR="00276377" w:rsidRPr="00276377" w:rsidRDefault="00276377" w:rsidP="00276377">
            <w:pPr>
              <w:rPr>
                <w:rFonts w:ascii="Times New Roman" w:eastAsia="Times New Roman" w:hAnsi="Times New Roman" w:cs="Times New Roman"/>
                <w:sz w:val="24"/>
                <w:szCs w:val="24"/>
                <w:lang w:eastAsia="en-GB"/>
              </w:rPr>
            </w:pPr>
            <w:proofErr w:type="spellStart"/>
            <w:r w:rsidRPr="00276377">
              <w:rPr>
                <w:rFonts w:ascii="Times New Roman" w:eastAsia="Times New Roman" w:hAnsi="Times New Roman" w:cs="Times New Roman"/>
                <w:sz w:val="24"/>
                <w:szCs w:val="24"/>
                <w:lang w:eastAsia="en-GB"/>
              </w:rPr>
              <w:t>Mwalusepo</w:t>
            </w:r>
            <w:proofErr w:type="spellEnd"/>
            <w:r w:rsidRPr="00276377">
              <w:rPr>
                <w:rFonts w:ascii="Times New Roman" w:eastAsia="Times New Roman" w:hAnsi="Times New Roman" w:cs="Times New Roman"/>
                <w:sz w:val="24"/>
                <w:szCs w:val="24"/>
                <w:lang w:eastAsia="en-GB"/>
              </w:rPr>
              <w:t xml:space="preserve"> et al. (2015); Régnier et al. (2023)</w:t>
            </w:r>
          </w:p>
        </w:tc>
      </w:tr>
      <w:tr w:rsidR="00276377" w:rsidRPr="00276377" w14:paraId="218509C3" w14:textId="77777777" w:rsidTr="00276377">
        <w:tc>
          <w:tcPr>
            <w:tcW w:w="0" w:type="auto"/>
            <w:hideMark/>
          </w:tcPr>
          <w:p w14:paraId="608354C8"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lastRenderedPageBreak/>
              <w:t>Range-expanding moths (multiple species)</w:t>
            </w:r>
          </w:p>
        </w:tc>
        <w:tc>
          <w:tcPr>
            <w:tcW w:w="0" w:type="auto"/>
            <w:hideMark/>
          </w:tcPr>
          <w:p w14:paraId="295866E8"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Sustained multi-decade poleward expansion</w:t>
            </w:r>
          </w:p>
        </w:tc>
        <w:tc>
          <w:tcPr>
            <w:tcW w:w="0" w:type="auto"/>
            <w:hideMark/>
          </w:tcPr>
          <w:p w14:paraId="3F70A6F3"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Interannual temperature variability</w:t>
            </w:r>
          </w:p>
        </w:tc>
        <w:tc>
          <w:tcPr>
            <w:tcW w:w="0" w:type="auto"/>
            <w:hideMark/>
          </w:tcPr>
          <w:p w14:paraId="5FC19BDB" w14:textId="77777777" w:rsidR="00276377" w:rsidRPr="00276377" w:rsidRDefault="00276377" w:rsidP="00276377">
            <w:pPr>
              <w:rPr>
                <w:rFonts w:ascii="Times New Roman" w:eastAsia="Times New Roman" w:hAnsi="Times New Roman" w:cs="Times New Roman"/>
                <w:sz w:val="24"/>
                <w:szCs w:val="24"/>
                <w:lang w:eastAsia="en-GB"/>
              </w:rPr>
            </w:pPr>
            <w:proofErr w:type="spellStart"/>
            <w:r w:rsidRPr="00276377">
              <w:rPr>
                <w:rFonts w:ascii="Times New Roman" w:eastAsia="Times New Roman" w:hAnsi="Times New Roman" w:cs="Times New Roman"/>
                <w:sz w:val="24"/>
                <w:szCs w:val="24"/>
                <w:lang w:eastAsia="en-GB"/>
              </w:rPr>
              <w:t>Betzholtz</w:t>
            </w:r>
            <w:proofErr w:type="spellEnd"/>
            <w:r w:rsidRPr="00276377">
              <w:rPr>
                <w:rFonts w:ascii="Times New Roman" w:eastAsia="Times New Roman" w:hAnsi="Times New Roman" w:cs="Times New Roman"/>
                <w:sz w:val="24"/>
                <w:szCs w:val="24"/>
                <w:lang w:eastAsia="en-GB"/>
              </w:rPr>
              <w:t xml:space="preserve"> et al. (2023)</w:t>
            </w:r>
          </w:p>
        </w:tc>
      </w:tr>
      <w:tr w:rsidR="00276377" w:rsidRPr="00276377" w14:paraId="1E952121" w14:textId="77777777" w:rsidTr="00276377">
        <w:tc>
          <w:tcPr>
            <w:tcW w:w="0" w:type="auto"/>
            <w:hideMark/>
          </w:tcPr>
          <w:p w14:paraId="07D43238"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Rice stem borers and </w:t>
            </w:r>
            <w:proofErr w:type="spellStart"/>
            <w:r w:rsidRPr="00276377">
              <w:rPr>
                <w:rFonts w:ascii="Times New Roman" w:eastAsia="Times New Roman" w:hAnsi="Times New Roman" w:cs="Times New Roman"/>
                <w:sz w:val="24"/>
                <w:szCs w:val="24"/>
                <w:lang w:eastAsia="en-GB"/>
              </w:rPr>
              <w:t>leaffolders</w:t>
            </w:r>
            <w:proofErr w:type="spellEnd"/>
          </w:p>
        </w:tc>
        <w:tc>
          <w:tcPr>
            <w:tcW w:w="0" w:type="auto"/>
            <w:hideMark/>
          </w:tcPr>
          <w:p w14:paraId="7297408B"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Altered outbreak timing and intensity</w:t>
            </w:r>
          </w:p>
        </w:tc>
        <w:tc>
          <w:tcPr>
            <w:tcW w:w="0" w:type="auto"/>
            <w:hideMark/>
          </w:tcPr>
          <w:p w14:paraId="2F940929"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Warming-driven phenological advance</w:t>
            </w:r>
          </w:p>
        </w:tc>
        <w:tc>
          <w:tcPr>
            <w:tcW w:w="0" w:type="auto"/>
            <w:hideMark/>
          </w:tcPr>
          <w:p w14:paraId="5D303CB0"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Krishnan &amp; Chander (2015); Ali et al. (2019)</w:t>
            </w:r>
          </w:p>
        </w:tc>
      </w:tr>
    </w:tbl>
    <w:p w14:paraId="5A24A5C2"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5. Case Studies of Redrawn Crop Vulnerability</w:t>
      </w:r>
    </w:p>
    <w:p w14:paraId="4AF7FB36"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5.1 Fall armyworm and the reshaping of maize vulnerability</w:t>
      </w:r>
    </w:p>
    <w:p w14:paraId="266D2A80"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The fall armyworm, native to the tropical and subtropical Americas, has become one of the most widely studied examples of climate-associated pest redistribution following its rapid spread across Africa, Asia, and Oceania over the past decade. Bioclimatic suitability modelling projects further increases in the area climatically suitable for the species under future emission scenarios, with the largest gains concentrated at the current climatic margins of its range, including border areas of North America, sub-Saharan Africa, and parts of central Europe (Zacarias, 2020). Because the species lacks an obligate diapause mechanism, its population dynamics are strongly temperature-dependent, and warming is expected to influence not only where the pest can establish but also the number of generations it completes and the intensity of the damage it inflicts on maize once established (Yan et al., 2022). The fall armyworm case illustrates a broader pattern in this literature: species with high thermal tolerance, strong dispersal ability, and a broad host range are disproportionately likely to be the ones whose ranges expand fastest under warming, making them useful bellwethers for the wider phenomenon of climate-driven crop vulnerability redistribution.</w:t>
      </w:r>
    </w:p>
    <w:p w14:paraId="450428D9"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5.2 Cotton leafworm and Mediterranean-to-temperate spread</w:t>
      </w:r>
    </w:p>
    <w:p w14:paraId="4B9FD716"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The Egyptian cotton leafworm, currently concentrated across Africa, the Middle East, and southern Europe, offers a further illustration of poleward bioclimatic expansion. Maximum entropy modelling under multiple representative concentration pathways projects a shift of suitable habitat toward northern Europe and into the Americas, alongside emerging suitability in parts of China, with implications for trade flows in host crops given the pest's broad </w:t>
      </w:r>
      <w:proofErr w:type="spellStart"/>
      <w:r w:rsidRPr="00276377">
        <w:rPr>
          <w:rFonts w:ascii="Times New Roman" w:eastAsia="Times New Roman" w:hAnsi="Times New Roman" w:cs="Times New Roman"/>
          <w:sz w:val="24"/>
          <w:szCs w:val="24"/>
          <w:lang w:eastAsia="en-GB"/>
        </w:rPr>
        <w:t>polyphagy</w:t>
      </w:r>
      <w:proofErr w:type="spellEnd"/>
      <w:r w:rsidRPr="00276377">
        <w:rPr>
          <w:rFonts w:ascii="Times New Roman" w:eastAsia="Times New Roman" w:hAnsi="Times New Roman" w:cs="Times New Roman"/>
          <w:sz w:val="24"/>
          <w:szCs w:val="24"/>
          <w:lang w:eastAsia="en-GB"/>
        </w:rPr>
        <w:t xml:space="preserve"> (</w:t>
      </w:r>
      <w:proofErr w:type="spellStart"/>
      <w:r w:rsidRPr="00276377">
        <w:rPr>
          <w:rFonts w:ascii="Times New Roman" w:eastAsia="Times New Roman" w:hAnsi="Times New Roman" w:cs="Times New Roman"/>
          <w:sz w:val="24"/>
          <w:szCs w:val="24"/>
          <w:lang w:eastAsia="en-GB"/>
        </w:rPr>
        <w:t>ElShahed</w:t>
      </w:r>
      <w:proofErr w:type="spellEnd"/>
      <w:r w:rsidRPr="00276377">
        <w:rPr>
          <w:rFonts w:ascii="Times New Roman" w:eastAsia="Times New Roman" w:hAnsi="Times New Roman" w:cs="Times New Roman"/>
          <w:sz w:val="24"/>
          <w:szCs w:val="24"/>
          <w:lang w:eastAsia="en-GB"/>
        </w:rPr>
        <w:t xml:space="preserve"> et al., 2023). This case underscores that range-shift modelling outputs have practical relevance beyond ecological interest, since shifts in pest suitability feed directly into biosecurity risk assessment and the design of phytosanitary trade measures.</w:t>
      </w:r>
    </w:p>
    <w:p w14:paraId="4E0B410E"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5.3 Maize stemborers and altitudinal redistribution in East Africa</w:t>
      </w:r>
    </w:p>
    <w:p w14:paraId="20CB9CAA"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Montane maize-growing systems in East Africa present a distinct manifestation of climate-driven vulnerability redistribution, in which the relevant gradient is altitudinal rather than latitudinal. Phenology-based modelling along East African mountain gradients projects that warming will shift the potential distribution of major stemborer species upward into previously cooler highland zones that have historically supported lower pest pressure, while simultaneously altering the spatial overlap between these pests and their natural enemies (</w:t>
      </w:r>
      <w:proofErr w:type="spellStart"/>
      <w:r w:rsidRPr="00276377">
        <w:rPr>
          <w:rFonts w:ascii="Times New Roman" w:eastAsia="Times New Roman" w:hAnsi="Times New Roman" w:cs="Times New Roman"/>
          <w:sz w:val="24"/>
          <w:szCs w:val="24"/>
          <w:lang w:eastAsia="en-GB"/>
        </w:rPr>
        <w:t>Mwalusepo</w:t>
      </w:r>
      <w:proofErr w:type="spellEnd"/>
      <w:r w:rsidRPr="00276377">
        <w:rPr>
          <w:rFonts w:ascii="Times New Roman" w:eastAsia="Times New Roman" w:hAnsi="Times New Roman" w:cs="Times New Roman"/>
          <w:sz w:val="24"/>
          <w:szCs w:val="24"/>
          <w:lang w:eastAsia="en-GB"/>
        </w:rPr>
        <w:t xml:space="preserve"> et al., 2015). This decoupling between pest and natural enemy distributions is a recurring theme, since biological control efficacy depends on continued spatial and temporal coincidence between control agents and their targets, and climate change does not necessarily preserve that coincidence (</w:t>
      </w:r>
      <w:proofErr w:type="spellStart"/>
      <w:r w:rsidRPr="00276377">
        <w:rPr>
          <w:rFonts w:ascii="Times New Roman" w:eastAsia="Times New Roman" w:hAnsi="Times New Roman" w:cs="Times New Roman"/>
          <w:b/>
          <w:bCs/>
          <w:sz w:val="24"/>
          <w:szCs w:val="24"/>
          <w:lang w:eastAsia="en-GB"/>
        </w:rPr>
        <w:t>Jendritzki</w:t>
      </w:r>
      <w:proofErr w:type="spellEnd"/>
      <w:r w:rsidRPr="00276377">
        <w:rPr>
          <w:rFonts w:ascii="Times New Roman" w:eastAsia="Times New Roman" w:hAnsi="Times New Roman" w:cs="Times New Roman"/>
          <w:b/>
          <w:bCs/>
          <w:sz w:val="24"/>
          <w:szCs w:val="24"/>
          <w:lang w:eastAsia="en-GB"/>
        </w:rPr>
        <w:t xml:space="preserve"> et al., 2023</w:t>
      </w:r>
      <w:r w:rsidRPr="00276377">
        <w:rPr>
          <w:rFonts w:ascii="Times New Roman" w:eastAsia="Times New Roman" w:hAnsi="Times New Roman" w:cs="Times New Roman"/>
          <w:sz w:val="24"/>
          <w:szCs w:val="24"/>
          <w:lang w:eastAsia="en-GB"/>
        </w:rPr>
        <w:t xml:space="preserve">). Comparative studies of stemborer development under temperate versus tropical thermal regimes further show that populations </w:t>
      </w:r>
      <w:r w:rsidRPr="00276377">
        <w:rPr>
          <w:rFonts w:ascii="Times New Roman" w:eastAsia="Times New Roman" w:hAnsi="Times New Roman" w:cs="Times New Roman"/>
          <w:sz w:val="24"/>
          <w:szCs w:val="24"/>
          <w:lang w:eastAsia="en-GB"/>
        </w:rPr>
        <w:lastRenderedPageBreak/>
        <w:t>in different climatic zones follow distinct developmental trajectories under warming, complicating the assumption that a single climate-response function can be applied uniformly across a species' entire range (Régnier et al., 2023).</w:t>
      </w:r>
    </w:p>
    <w:p w14:paraId="3E45F2C9"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5.4 Rice pests and phenological reorganisation in Asian cropping systems</w:t>
      </w:r>
    </w:p>
    <w:p w14:paraId="1C7FD85F"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Rice production systems illustrate how climate-driven change need not always take the form of large-scale geographic redistribution but can instead manifest primarily as altered timing and intensity of existing pest pressure. Simulation modelling of rice pink stem borer dynamics under climate change scenarios in South Asia projects shifts in the timing and severity of outbreak periods relative to the crop's developmental stages (Krishnan &amp; Chander, 2015). Field and experimental evidence on rice </w:t>
      </w:r>
      <w:proofErr w:type="spellStart"/>
      <w:r w:rsidRPr="00276377">
        <w:rPr>
          <w:rFonts w:ascii="Times New Roman" w:eastAsia="Times New Roman" w:hAnsi="Times New Roman" w:cs="Times New Roman"/>
          <w:sz w:val="24"/>
          <w:szCs w:val="24"/>
          <w:lang w:eastAsia="en-GB"/>
        </w:rPr>
        <w:t>leaffolder</w:t>
      </w:r>
      <w:proofErr w:type="spellEnd"/>
      <w:r w:rsidRPr="00276377">
        <w:rPr>
          <w:rFonts w:ascii="Times New Roman" w:eastAsia="Times New Roman" w:hAnsi="Times New Roman" w:cs="Times New Roman"/>
          <w:sz w:val="24"/>
          <w:szCs w:val="24"/>
          <w:lang w:eastAsia="en-GB"/>
        </w:rPr>
        <w:t xml:space="preserve"> populations similarly indicates that elevated temperatures are associated with earlier and more intense outbreak events (</w:t>
      </w:r>
      <w:r w:rsidRPr="00276377">
        <w:rPr>
          <w:rFonts w:ascii="Times New Roman" w:eastAsia="Times New Roman" w:hAnsi="Times New Roman" w:cs="Times New Roman"/>
          <w:b/>
          <w:bCs/>
          <w:sz w:val="24"/>
          <w:szCs w:val="24"/>
          <w:lang w:eastAsia="en-GB"/>
        </w:rPr>
        <w:t>Ali et al., 2019</w:t>
      </w:r>
      <w:r w:rsidRPr="00276377">
        <w:rPr>
          <w:rFonts w:ascii="Times New Roman" w:eastAsia="Times New Roman" w:hAnsi="Times New Roman" w:cs="Times New Roman"/>
          <w:sz w:val="24"/>
          <w:szCs w:val="24"/>
          <w:lang w:eastAsia="en-GB"/>
        </w:rPr>
        <w:t>), while comparable warming-driven changes have been documented for the yellow stem borer, a major pest of paddy rice across South and Southeast Asia (</w:t>
      </w:r>
      <w:r w:rsidRPr="00276377">
        <w:rPr>
          <w:rFonts w:ascii="Times New Roman" w:eastAsia="Times New Roman" w:hAnsi="Times New Roman" w:cs="Times New Roman"/>
          <w:b/>
          <w:bCs/>
          <w:sz w:val="24"/>
          <w:szCs w:val="24"/>
          <w:lang w:eastAsia="en-GB"/>
        </w:rPr>
        <w:t>Ali et al., 2020</w:t>
      </w:r>
      <w:r w:rsidRPr="00276377">
        <w:rPr>
          <w:rFonts w:ascii="Times New Roman" w:eastAsia="Times New Roman" w:hAnsi="Times New Roman" w:cs="Times New Roman"/>
          <w:sz w:val="24"/>
          <w:szCs w:val="24"/>
          <w:lang w:eastAsia="en-GB"/>
        </w:rPr>
        <w:t>). Collectively, these rice-system studies demonstrate that redrawing the map of crop vulnerability is not solely a matter of where a pest can survive, but also of when within the cropping calendar its pressure is concentrated relative to the vulnerable developmental stages of the host crop.</w:t>
      </w:r>
    </w:p>
    <w:p w14:paraId="6F9C75B2"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5.5 Summary of case study evidence</w:t>
      </w:r>
    </w:p>
    <w:p w14:paraId="605C2EEA"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Table 3 brings together the five case studies discussed above, allowing direct comparison of the type of vulnerability change each represents, whether primarily geographic, altitudinal, or temporal, and the crop system affected.</w:t>
      </w:r>
    </w:p>
    <w:p w14:paraId="4B80AD96"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b/>
          <w:bCs/>
          <w:sz w:val="24"/>
          <w:szCs w:val="24"/>
          <w:lang w:eastAsia="en-GB"/>
        </w:rPr>
        <w:t>Table 3. Comparative summary of case study evidence on climate-driven crop vulnerability</w:t>
      </w:r>
    </w:p>
    <w:tbl>
      <w:tblPr>
        <w:tblStyle w:val="TableGrid"/>
        <w:tblW w:w="0" w:type="auto"/>
        <w:tblLook w:val="04A0" w:firstRow="1" w:lastRow="0" w:firstColumn="1" w:lastColumn="0" w:noHBand="0" w:noVBand="1"/>
      </w:tblPr>
      <w:tblGrid>
        <w:gridCol w:w="1917"/>
        <w:gridCol w:w="1459"/>
        <w:gridCol w:w="3086"/>
        <w:gridCol w:w="2780"/>
      </w:tblGrid>
      <w:tr w:rsidR="00276377" w:rsidRPr="00276377" w14:paraId="39F6A7FF" w14:textId="77777777" w:rsidTr="00276377">
        <w:tc>
          <w:tcPr>
            <w:tcW w:w="0" w:type="auto"/>
            <w:hideMark/>
          </w:tcPr>
          <w:p w14:paraId="22902085"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Case study system</w:t>
            </w:r>
          </w:p>
        </w:tc>
        <w:tc>
          <w:tcPr>
            <w:tcW w:w="0" w:type="auto"/>
            <w:hideMark/>
          </w:tcPr>
          <w:p w14:paraId="0E3C5DAB"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Primary crop affected</w:t>
            </w:r>
          </w:p>
        </w:tc>
        <w:tc>
          <w:tcPr>
            <w:tcW w:w="0" w:type="auto"/>
            <w:hideMark/>
          </w:tcPr>
          <w:p w14:paraId="3CE22A4F"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Nature of vulnerability change</w:t>
            </w:r>
          </w:p>
        </w:tc>
        <w:tc>
          <w:tcPr>
            <w:tcW w:w="0" w:type="auto"/>
            <w:hideMark/>
          </w:tcPr>
          <w:p w14:paraId="4B7DF396"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Supporting evidence</w:t>
            </w:r>
          </w:p>
        </w:tc>
      </w:tr>
      <w:tr w:rsidR="00276377" w:rsidRPr="00276377" w14:paraId="150459E3" w14:textId="77777777" w:rsidTr="00276377">
        <w:tc>
          <w:tcPr>
            <w:tcW w:w="0" w:type="auto"/>
            <w:hideMark/>
          </w:tcPr>
          <w:p w14:paraId="4697A7B2"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Fall armyworm</w:t>
            </w:r>
          </w:p>
        </w:tc>
        <w:tc>
          <w:tcPr>
            <w:tcW w:w="0" w:type="auto"/>
            <w:hideMark/>
          </w:tcPr>
          <w:p w14:paraId="43092B22"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Maize</w:t>
            </w:r>
          </w:p>
        </w:tc>
        <w:tc>
          <w:tcPr>
            <w:tcW w:w="0" w:type="auto"/>
            <w:hideMark/>
          </w:tcPr>
          <w:p w14:paraId="51C89E87"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Continental-scale range expansion; increased generations per year</w:t>
            </w:r>
          </w:p>
        </w:tc>
        <w:tc>
          <w:tcPr>
            <w:tcW w:w="0" w:type="auto"/>
            <w:hideMark/>
          </w:tcPr>
          <w:p w14:paraId="18767F75"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Zacarias (2020); Yan et al. (2022)</w:t>
            </w:r>
          </w:p>
        </w:tc>
      </w:tr>
      <w:tr w:rsidR="00276377" w:rsidRPr="00276377" w14:paraId="169871BE" w14:textId="77777777" w:rsidTr="00276377">
        <w:tc>
          <w:tcPr>
            <w:tcW w:w="0" w:type="auto"/>
            <w:hideMark/>
          </w:tcPr>
          <w:p w14:paraId="62F91DA6"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Cotton leafworm</w:t>
            </w:r>
          </w:p>
        </w:tc>
        <w:tc>
          <w:tcPr>
            <w:tcW w:w="0" w:type="auto"/>
            <w:hideMark/>
          </w:tcPr>
          <w:p w14:paraId="09F34E63"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Cotton and diverse hosts</w:t>
            </w:r>
          </w:p>
        </w:tc>
        <w:tc>
          <w:tcPr>
            <w:tcW w:w="0" w:type="auto"/>
            <w:hideMark/>
          </w:tcPr>
          <w:p w14:paraId="5612E0B7"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Poleward bioclimatic suitability shift; trade-relevant biosecurity implications</w:t>
            </w:r>
          </w:p>
        </w:tc>
        <w:tc>
          <w:tcPr>
            <w:tcW w:w="0" w:type="auto"/>
            <w:hideMark/>
          </w:tcPr>
          <w:p w14:paraId="2D43A187" w14:textId="77777777" w:rsidR="00276377" w:rsidRPr="00276377" w:rsidRDefault="00276377" w:rsidP="00276377">
            <w:pPr>
              <w:rPr>
                <w:rFonts w:ascii="Times New Roman" w:eastAsia="Times New Roman" w:hAnsi="Times New Roman" w:cs="Times New Roman"/>
                <w:sz w:val="24"/>
                <w:szCs w:val="24"/>
                <w:lang w:eastAsia="en-GB"/>
              </w:rPr>
            </w:pPr>
            <w:proofErr w:type="spellStart"/>
            <w:r w:rsidRPr="00276377">
              <w:rPr>
                <w:rFonts w:ascii="Times New Roman" w:eastAsia="Times New Roman" w:hAnsi="Times New Roman" w:cs="Times New Roman"/>
                <w:sz w:val="24"/>
                <w:szCs w:val="24"/>
                <w:lang w:eastAsia="en-GB"/>
              </w:rPr>
              <w:t>ElShahed</w:t>
            </w:r>
            <w:proofErr w:type="spellEnd"/>
            <w:r w:rsidRPr="00276377">
              <w:rPr>
                <w:rFonts w:ascii="Times New Roman" w:eastAsia="Times New Roman" w:hAnsi="Times New Roman" w:cs="Times New Roman"/>
                <w:sz w:val="24"/>
                <w:szCs w:val="24"/>
                <w:lang w:eastAsia="en-GB"/>
              </w:rPr>
              <w:t xml:space="preserve"> et al. (2023)</w:t>
            </w:r>
          </w:p>
        </w:tc>
      </w:tr>
      <w:tr w:rsidR="00276377" w:rsidRPr="00276377" w14:paraId="09FADC5F" w14:textId="77777777" w:rsidTr="00276377">
        <w:tc>
          <w:tcPr>
            <w:tcW w:w="0" w:type="auto"/>
            <w:hideMark/>
          </w:tcPr>
          <w:p w14:paraId="71503440"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Maize stemborers</w:t>
            </w:r>
          </w:p>
        </w:tc>
        <w:tc>
          <w:tcPr>
            <w:tcW w:w="0" w:type="auto"/>
            <w:hideMark/>
          </w:tcPr>
          <w:p w14:paraId="2CF17E3A"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Maize</w:t>
            </w:r>
          </w:p>
        </w:tc>
        <w:tc>
          <w:tcPr>
            <w:tcW w:w="0" w:type="auto"/>
            <w:hideMark/>
          </w:tcPr>
          <w:p w14:paraId="47843E07"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Altitudinal redistribution; pest–natural enemy decoupling</w:t>
            </w:r>
          </w:p>
        </w:tc>
        <w:tc>
          <w:tcPr>
            <w:tcW w:w="0" w:type="auto"/>
            <w:hideMark/>
          </w:tcPr>
          <w:p w14:paraId="374C6CE8" w14:textId="77777777" w:rsidR="00276377" w:rsidRPr="00276377" w:rsidRDefault="00276377" w:rsidP="00276377">
            <w:pPr>
              <w:rPr>
                <w:rFonts w:ascii="Times New Roman" w:eastAsia="Times New Roman" w:hAnsi="Times New Roman" w:cs="Times New Roman"/>
                <w:sz w:val="24"/>
                <w:szCs w:val="24"/>
                <w:lang w:eastAsia="en-GB"/>
              </w:rPr>
            </w:pPr>
            <w:proofErr w:type="spellStart"/>
            <w:r w:rsidRPr="00276377">
              <w:rPr>
                <w:rFonts w:ascii="Times New Roman" w:eastAsia="Times New Roman" w:hAnsi="Times New Roman" w:cs="Times New Roman"/>
                <w:sz w:val="24"/>
                <w:szCs w:val="24"/>
                <w:lang w:eastAsia="en-GB"/>
              </w:rPr>
              <w:t>Mwalusepo</w:t>
            </w:r>
            <w:proofErr w:type="spellEnd"/>
            <w:r w:rsidRPr="00276377">
              <w:rPr>
                <w:rFonts w:ascii="Times New Roman" w:eastAsia="Times New Roman" w:hAnsi="Times New Roman" w:cs="Times New Roman"/>
                <w:sz w:val="24"/>
                <w:szCs w:val="24"/>
                <w:lang w:eastAsia="en-GB"/>
              </w:rPr>
              <w:t xml:space="preserve"> et al. (2015); </w:t>
            </w:r>
            <w:proofErr w:type="spellStart"/>
            <w:r w:rsidRPr="00276377">
              <w:rPr>
                <w:rFonts w:ascii="Times New Roman" w:eastAsia="Times New Roman" w:hAnsi="Times New Roman" w:cs="Times New Roman"/>
                <w:sz w:val="24"/>
                <w:szCs w:val="24"/>
                <w:lang w:eastAsia="en-GB"/>
              </w:rPr>
              <w:t>Jendritzki</w:t>
            </w:r>
            <w:proofErr w:type="spellEnd"/>
            <w:r w:rsidRPr="00276377">
              <w:rPr>
                <w:rFonts w:ascii="Times New Roman" w:eastAsia="Times New Roman" w:hAnsi="Times New Roman" w:cs="Times New Roman"/>
                <w:sz w:val="24"/>
                <w:szCs w:val="24"/>
                <w:lang w:eastAsia="en-GB"/>
              </w:rPr>
              <w:t xml:space="preserve"> et al. (2023); Régnier et al. (2023)</w:t>
            </w:r>
          </w:p>
        </w:tc>
      </w:tr>
      <w:tr w:rsidR="00276377" w:rsidRPr="00276377" w14:paraId="5D1AE8C9" w14:textId="77777777" w:rsidTr="00276377">
        <w:tc>
          <w:tcPr>
            <w:tcW w:w="0" w:type="auto"/>
            <w:hideMark/>
          </w:tcPr>
          <w:p w14:paraId="77E4E50D"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Rice pink stem borer</w:t>
            </w:r>
          </w:p>
        </w:tc>
        <w:tc>
          <w:tcPr>
            <w:tcW w:w="0" w:type="auto"/>
            <w:hideMark/>
          </w:tcPr>
          <w:p w14:paraId="23341AF0"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Rice</w:t>
            </w:r>
          </w:p>
        </w:tc>
        <w:tc>
          <w:tcPr>
            <w:tcW w:w="0" w:type="auto"/>
            <w:hideMark/>
          </w:tcPr>
          <w:p w14:paraId="20FA1C5E"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Altered outbreak timing relative to crop growth stage</w:t>
            </w:r>
          </w:p>
        </w:tc>
        <w:tc>
          <w:tcPr>
            <w:tcW w:w="0" w:type="auto"/>
            <w:hideMark/>
          </w:tcPr>
          <w:p w14:paraId="361EF7F3"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Krishnan &amp; Chander (2015)</w:t>
            </w:r>
          </w:p>
        </w:tc>
      </w:tr>
      <w:tr w:rsidR="00276377" w:rsidRPr="00276377" w14:paraId="0E57936C" w14:textId="77777777" w:rsidTr="00276377">
        <w:tc>
          <w:tcPr>
            <w:tcW w:w="0" w:type="auto"/>
            <w:hideMark/>
          </w:tcPr>
          <w:p w14:paraId="6C615A1B"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Rice </w:t>
            </w:r>
            <w:proofErr w:type="spellStart"/>
            <w:r w:rsidRPr="00276377">
              <w:rPr>
                <w:rFonts w:ascii="Times New Roman" w:eastAsia="Times New Roman" w:hAnsi="Times New Roman" w:cs="Times New Roman"/>
                <w:sz w:val="24"/>
                <w:szCs w:val="24"/>
                <w:lang w:eastAsia="en-GB"/>
              </w:rPr>
              <w:t>leaffolder</w:t>
            </w:r>
            <w:proofErr w:type="spellEnd"/>
            <w:r w:rsidRPr="00276377">
              <w:rPr>
                <w:rFonts w:ascii="Times New Roman" w:eastAsia="Times New Roman" w:hAnsi="Times New Roman" w:cs="Times New Roman"/>
                <w:sz w:val="24"/>
                <w:szCs w:val="24"/>
                <w:lang w:eastAsia="en-GB"/>
              </w:rPr>
              <w:t xml:space="preserve"> and yellow stem borer</w:t>
            </w:r>
          </w:p>
        </w:tc>
        <w:tc>
          <w:tcPr>
            <w:tcW w:w="0" w:type="auto"/>
            <w:hideMark/>
          </w:tcPr>
          <w:p w14:paraId="6DCABE02"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Rice</w:t>
            </w:r>
          </w:p>
        </w:tc>
        <w:tc>
          <w:tcPr>
            <w:tcW w:w="0" w:type="auto"/>
            <w:hideMark/>
          </w:tcPr>
          <w:p w14:paraId="15E84AD7"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Earlier, more intense outbreaks under warming</w:t>
            </w:r>
          </w:p>
        </w:tc>
        <w:tc>
          <w:tcPr>
            <w:tcW w:w="0" w:type="auto"/>
            <w:hideMark/>
          </w:tcPr>
          <w:p w14:paraId="0B8BD42E"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Ali et al. (2019); Ali et al. (2020)</w:t>
            </w:r>
          </w:p>
        </w:tc>
      </w:tr>
    </w:tbl>
    <w:p w14:paraId="50BF5E3D"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6. Elevated Carbon Dioxide, Host-Plant Chemistry, and Indirect Effects</w:t>
      </w:r>
    </w:p>
    <w:p w14:paraId="588F395A"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lastRenderedPageBreak/>
        <w:t xml:space="preserve">Temperature is the dominant abiotic driver of insect range shift, but rising atmospheric carbon dioxide concentration introduces an additional, indirect pathway of influence that operates through changes in host-plant physiology rather than through direct effects on insect metabolism. Plants grown under elevated carbon dioxide typically show reduced foliar nitrogen concentration and altered carbon-to-nitrogen ratios, and earlier research found that chewing herbivores reared on such foliage often experience longer developmental times, reduced survivorship, and lower fecundity, consistent with a general nutritional dilution effect (Robinson et al., 2012). This relationship, however, is not universal. Experimental work on cotton bollworm feeding on lucerne grown under elevated carbon dioxide found that reduced </w:t>
      </w:r>
      <w:proofErr w:type="spellStart"/>
      <w:r w:rsidRPr="00276377">
        <w:rPr>
          <w:rFonts w:ascii="Times New Roman" w:eastAsia="Times New Roman" w:hAnsi="Times New Roman" w:cs="Times New Roman"/>
          <w:sz w:val="24"/>
          <w:szCs w:val="24"/>
          <w:lang w:eastAsia="en-GB"/>
        </w:rPr>
        <w:t>jasmonate</w:t>
      </w:r>
      <w:proofErr w:type="spellEnd"/>
      <w:r w:rsidRPr="00276377">
        <w:rPr>
          <w:rFonts w:ascii="Times New Roman" w:eastAsia="Times New Roman" w:hAnsi="Times New Roman" w:cs="Times New Roman"/>
          <w:sz w:val="24"/>
          <w:szCs w:val="24"/>
          <w:lang w:eastAsia="en-GB"/>
        </w:rPr>
        <w:t>-mediated defensive signalling in the host plant more than offset the modest decline in nutritional quality, resulting in increased rather than decreased herbivore growth rate, a finding that runs directly against the assumption that elevated carbon dioxide is uniformly detrimental to herbivore performance (Johnson et al., 2020). Broader mechanistic reviews of insect herbivory under elevated carbon dioxide likewise emphasise that outcomes depend on the specific combination of host-plant species, herbivore feeding guild, and the balance between nutritional and defensive chemical changes, rather than following a single predictable direction (Zavala et al., 2013).</w:t>
      </w:r>
    </w:p>
    <w:p w14:paraId="099820D1"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This complexity has direct implications for range-shift forecasting. Models that project pest distribution primarily on the basis of temperature-driven thermal suitability risk omitting a pathway through which carbon dioxide enrichment could independently increase herbivore performance and, by extension, damage potential, even in regions where temperature change alone would not obviously favour the pest. Conversely, in host-plant systems where nutritional dilution dominates over defence suppression, elevated carbon dioxide could partially offset temperature-driven increases in pest pressure by reducing food quality. The net effect is therefore host-plant-specific and cannot be reliably generalised across crop systems without species-level experimental data, and this remains one of the more persistent sources of uncertainty in projecting future crop vulnerability under combined climate change.</w:t>
      </w:r>
    </w:p>
    <w:p w14:paraId="2C2FB3B7"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7. Phenological Shifts, Voltinism, and Trophic Mismatch</w:t>
      </w:r>
    </w:p>
    <w:p w14:paraId="3D0E3964"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Beyond geographic redistribution, a second major consequence of climate change for insect pests is a reorganisation of seasonal timing. Warmer springs advance the onset of insect activity, and warmer summers extend the period over which development can occur, frequently permitting an additional generation to be completed within a single growing season, a phenomenon sometimes termed voltinism shift (</w:t>
      </w:r>
      <w:proofErr w:type="spellStart"/>
      <w:r w:rsidRPr="00276377">
        <w:rPr>
          <w:rFonts w:ascii="Times New Roman" w:eastAsia="Times New Roman" w:hAnsi="Times New Roman" w:cs="Times New Roman"/>
          <w:sz w:val="24"/>
          <w:szCs w:val="24"/>
          <w:lang w:eastAsia="en-GB"/>
        </w:rPr>
        <w:t>Betzholtz</w:t>
      </w:r>
      <w:proofErr w:type="spellEnd"/>
      <w:r w:rsidRPr="00276377">
        <w:rPr>
          <w:rFonts w:ascii="Times New Roman" w:eastAsia="Times New Roman" w:hAnsi="Times New Roman" w:cs="Times New Roman"/>
          <w:sz w:val="24"/>
          <w:szCs w:val="24"/>
          <w:lang w:eastAsia="en-GB"/>
        </w:rPr>
        <w:t xml:space="preserve"> et al., 2023). Long-term monitoring across multiple taxa and trophic levels shows that this phenological advancement is not occurring at a uniform rate across all components of an ecosystem, opening the door to temporal mismatch between insect pests, the developmental stages of their host plants, and the activity periods of their natural enemies (Thackeray et al., 2016). Where such mismatch favours the pest, for example when natural enemy emergence lags behind that of the pest under warming, the result can be an effective release from top-down biological control even in the absence of any change in pest range or abundance driven directly by climate.</w:t>
      </w:r>
    </w:p>
    <w:p w14:paraId="65BC76DC"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Evidence from Lepidoptera populations across multiple regions indicates that species are adapting their annual life cycles to remain active across a longer proportion of the calendar year as warming proceeds, with some previously </w:t>
      </w:r>
      <w:proofErr w:type="spellStart"/>
      <w:r w:rsidRPr="00276377">
        <w:rPr>
          <w:rFonts w:ascii="Times New Roman" w:eastAsia="Times New Roman" w:hAnsi="Times New Roman" w:cs="Times New Roman"/>
          <w:sz w:val="24"/>
          <w:szCs w:val="24"/>
          <w:lang w:eastAsia="en-GB"/>
        </w:rPr>
        <w:t>univoltine</w:t>
      </w:r>
      <w:proofErr w:type="spellEnd"/>
      <w:r w:rsidRPr="00276377">
        <w:rPr>
          <w:rFonts w:ascii="Times New Roman" w:eastAsia="Times New Roman" w:hAnsi="Times New Roman" w:cs="Times New Roman"/>
          <w:sz w:val="24"/>
          <w:szCs w:val="24"/>
          <w:lang w:eastAsia="en-GB"/>
        </w:rPr>
        <w:t xml:space="preserve"> species shifting toward multivoltine life histories (Habel et al., 2024). This shift in generation number compounds the effect of range expansion: a pest that both expands into new territory and completes more generations per year within that territory poses a substantially greater cumulative threat than </w:t>
      </w:r>
      <w:r w:rsidRPr="00276377">
        <w:rPr>
          <w:rFonts w:ascii="Times New Roman" w:eastAsia="Times New Roman" w:hAnsi="Times New Roman" w:cs="Times New Roman"/>
          <w:sz w:val="24"/>
          <w:szCs w:val="24"/>
          <w:lang w:eastAsia="en-GB"/>
        </w:rPr>
        <w:lastRenderedPageBreak/>
        <w:t>either change would produce in isolation. The interaction between voltinism shift and range shift is therefore not simply additive but likely synergistic in many pest systems, a consideration that simple range-shift maps based on single-generation suitability thresholds may understate.</w:t>
      </w:r>
    </w:p>
    <w:p w14:paraId="0A28C558"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8. Economic and Food Security Consequences</w:t>
      </w:r>
    </w:p>
    <w:p w14:paraId="59277844"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The agricultural and economic stakes of climate-driven insect pest redistribution are substantial. Process-based modelling combining insect metabolic theory with global climate projections estimates that insect-mediated yield losses in wheat, rice, and maize will increase materially per degree Celsius of warming, with the largest absolute and proportional increases concentrated in temperate production regions that currently experience comparatively low insect pressure (Deutsch et al., 2018). A more recent synthesis integrating climate and land-use drivers similarly projects substantial increases in insect-related yield losses for these same staple crops under a moderate warming scenario, while noting that pest damage responses differ systematically between tropical and mid- to high-latitude production zones (Ma et al., 2025).</w:t>
      </w:r>
    </w:p>
    <w:p w14:paraId="5A3DA47D"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Independent of these projected future losses, the economic costs already attributable to invasive insects are considerable. A comprehensive global database of invasion-related costs estimated that invasive insects impose a minimum of tens of billions of US dollars annually in direct goods and services losses, alongside several billion dollars in associated human health costs, with the caveat that reporting gaps mean these figures likely understate the true global burden (Bradshaw et al., 2016). Climate change is expected to compound these costs both by facilitating the establishment of invasive species in new territory and by increasing the baseline productivity and reproductive output of pests already present. Related work on temperature-dependent infection risk for major crop pathogens demonstrates that yield and disease pressure are likely to increase concurrently at high latitudes under warming, implying that the burden of both insect pests and pathogen pressure may rise together in some of the very regions currently gaining agricultural productivity from a longer growing season (Chaloner et al., 2021).</w:t>
      </w:r>
    </w:p>
    <w:p w14:paraId="09DC3CCF"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8.1 Summary of economic evidence</w:t>
      </w:r>
    </w:p>
    <w:p w14:paraId="61158C2B"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Table 4 draws these quantitative findings together, allowing the magnitude of projected future losses to be set alongside the costs already documented from established invasive pests.</w:t>
      </w:r>
    </w:p>
    <w:p w14:paraId="12AF2597"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b/>
          <w:bCs/>
          <w:sz w:val="24"/>
          <w:szCs w:val="24"/>
          <w:lang w:eastAsia="en-GB"/>
        </w:rPr>
        <w:t>Table 4. Summary of quantified economic and yield impacts associated with climate-driven insect pest change</w:t>
      </w:r>
    </w:p>
    <w:tbl>
      <w:tblPr>
        <w:tblStyle w:val="TableGrid"/>
        <w:tblW w:w="0" w:type="auto"/>
        <w:tblLook w:val="04A0" w:firstRow="1" w:lastRow="0" w:firstColumn="1" w:lastColumn="0" w:noHBand="0" w:noVBand="1"/>
      </w:tblPr>
      <w:tblGrid>
        <w:gridCol w:w="2497"/>
        <w:gridCol w:w="3187"/>
        <w:gridCol w:w="2120"/>
        <w:gridCol w:w="1438"/>
      </w:tblGrid>
      <w:tr w:rsidR="00276377" w:rsidRPr="00276377" w14:paraId="00B59C97" w14:textId="77777777" w:rsidTr="00276377">
        <w:tc>
          <w:tcPr>
            <w:tcW w:w="0" w:type="auto"/>
            <w:hideMark/>
          </w:tcPr>
          <w:p w14:paraId="6441CEC5"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Impact category</w:t>
            </w:r>
          </w:p>
        </w:tc>
        <w:tc>
          <w:tcPr>
            <w:tcW w:w="0" w:type="auto"/>
            <w:hideMark/>
          </w:tcPr>
          <w:p w14:paraId="4BA64F41"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Approximate magnitude reported</w:t>
            </w:r>
          </w:p>
        </w:tc>
        <w:tc>
          <w:tcPr>
            <w:tcW w:w="0" w:type="auto"/>
            <w:hideMark/>
          </w:tcPr>
          <w:p w14:paraId="463B5BD6"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Context / crop system</w:t>
            </w:r>
          </w:p>
        </w:tc>
        <w:tc>
          <w:tcPr>
            <w:tcW w:w="0" w:type="auto"/>
            <w:hideMark/>
          </w:tcPr>
          <w:p w14:paraId="6E3EF7CE"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Source</w:t>
            </w:r>
          </w:p>
        </w:tc>
      </w:tr>
      <w:tr w:rsidR="00276377" w:rsidRPr="00276377" w14:paraId="2BB1EBB9" w14:textId="77777777" w:rsidTr="00276377">
        <w:tc>
          <w:tcPr>
            <w:tcW w:w="0" w:type="auto"/>
            <w:hideMark/>
          </w:tcPr>
          <w:p w14:paraId="5244FEFB"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Increase in insect-mediated crop losses per degree Celsius of warming</w:t>
            </w:r>
          </w:p>
        </w:tc>
        <w:tc>
          <w:tcPr>
            <w:tcW w:w="0" w:type="auto"/>
            <w:hideMark/>
          </w:tcPr>
          <w:p w14:paraId="3BF6D0E1"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Double-digit percentage increase for wheat, rice, and maize combined</w:t>
            </w:r>
          </w:p>
        </w:tc>
        <w:tc>
          <w:tcPr>
            <w:tcW w:w="0" w:type="auto"/>
            <w:hideMark/>
          </w:tcPr>
          <w:p w14:paraId="06B82A0C"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staple cereal production</w:t>
            </w:r>
          </w:p>
        </w:tc>
        <w:tc>
          <w:tcPr>
            <w:tcW w:w="0" w:type="auto"/>
            <w:hideMark/>
          </w:tcPr>
          <w:p w14:paraId="6231CDD2"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Deutsch et al. (2018)</w:t>
            </w:r>
          </w:p>
        </w:tc>
      </w:tr>
      <w:tr w:rsidR="00276377" w:rsidRPr="00276377" w14:paraId="5955CEBA" w14:textId="77777777" w:rsidTr="00276377">
        <w:tc>
          <w:tcPr>
            <w:tcW w:w="0" w:type="auto"/>
            <w:hideMark/>
          </w:tcPr>
          <w:p w14:paraId="63ACEA67"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annual cost of invasive insects (goods and services)</w:t>
            </w:r>
          </w:p>
        </w:tc>
        <w:tc>
          <w:tcPr>
            <w:tcW w:w="0" w:type="auto"/>
            <w:hideMark/>
          </w:tcPr>
          <w:p w14:paraId="7BA95538"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Tens of billions of US dollars per year</w:t>
            </w:r>
          </w:p>
        </w:tc>
        <w:tc>
          <w:tcPr>
            <w:tcW w:w="0" w:type="auto"/>
            <w:hideMark/>
          </w:tcPr>
          <w:p w14:paraId="2A374373"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cross-sector</w:t>
            </w:r>
          </w:p>
        </w:tc>
        <w:tc>
          <w:tcPr>
            <w:tcW w:w="0" w:type="auto"/>
            <w:hideMark/>
          </w:tcPr>
          <w:p w14:paraId="2523613B"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Bradshaw et al. (2016)</w:t>
            </w:r>
          </w:p>
        </w:tc>
      </w:tr>
      <w:tr w:rsidR="00276377" w:rsidRPr="00276377" w14:paraId="564CEC59" w14:textId="77777777" w:rsidTr="00276377">
        <w:tc>
          <w:tcPr>
            <w:tcW w:w="0" w:type="auto"/>
            <w:hideMark/>
          </w:tcPr>
          <w:p w14:paraId="4BE89B8C"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lastRenderedPageBreak/>
              <w:t>Global annual health costs of invasive insects</w:t>
            </w:r>
          </w:p>
        </w:tc>
        <w:tc>
          <w:tcPr>
            <w:tcW w:w="0" w:type="auto"/>
            <w:hideMark/>
          </w:tcPr>
          <w:p w14:paraId="35A42BDE"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Several billion US dollars per year</w:t>
            </w:r>
          </w:p>
        </w:tc>
        <w:tc>
          <w:tcPr>
            <w:tcW w:w="0" w:type="auto"/>
            <w:hideMark/>
          </w:tcPr>
          <w:p w14:paraId="7633AD9A"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human health sector</w:t>
            </w:r>
          </w:p>
        </w:tc>
        <w:tc>
          <w:tcPr>
            <w:tcW w:w="0" w:type="auto"/>
            <w:hideMark/>
          </w:tcPr>
          <w:p w14:paraId="3797D180"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Bradshaw et al. (2016)</w:t>
            </w:r>
          </w:p>
        </w:tc>
      </w:tr>
      <w:tr w:rsidR="00276377" w:rsidRPr="00276377" w14:paraId="2EF99DC7" w14:textId="77777777" w:rsidTr="00276377">
        <w:tc>
          <w:tcPr>
            <w:tcW w:w="0" w:type="auto"/>
            <w:hideMark/>
          </w:tcPr>
          <w:p w14:paraId="6013EBCB"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Yield loss projections under 2°C warming</w:t>
            </w:r>
          </w:p>
        </w:tc>
        <w:tc>
          <w:tcPr>
            <w:tcW w:w="0" w:type="auto"/>
            <w:hideMark/>
          </w:tcPr>
          <w:p w14:paraId="7749C64D"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Substantial percentage increases, greatest for wheat, intermediate for maize, smallest for rice</w:t>
            </w:r>
          </w:p>
        </w:tc>
        <w:tc>
          <w:tcPr>
            <w:tcW w:w="0" w:type="auto"/>
            <w:hideMark/>
          </w:tcPr>
          <w:p w14:paraId="644965F7"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Global staple cereals</w:t>
            </w:r>
          </w:p>
        </w:tc>
        <w:tc>
          <w:tcPr>
            <w:tcW w:w="0" w:type="auto"/>
            <w:hideMark/>
          </w:tcPr>
          <w:p w14:paraId="6ED9A771"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Ma et al. (2025)</w:t>
            </w:r>
          </w:p>
        </w:tc>
      </w:tr>
      <w:tr w:rsidR="00276377" w:rsidRPr="00276377" w14:paraId="58ED7685" w14:textId="77777777" w:rsidTr="00276377">
        <w:tc>
          <w:tcPr>
            <w:tcW w:w="0" w:type="auto"/>
            <w:hideMark/>
          </w:tcPr>
          <w:p w14:paraId="39269B5B"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Pathogen infection risk trend at high latitude</w:t>
            </w:r>
          </w:p>
        </w:tc>
        <w:tc>
          <w:tcPr>
            <w:tcW w:w="0" w:type="auto"/>
            <w:hideMark/>
          </w:tcPr>
          <w:p w14:paraId="1922D784"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Concurrent rise with projected yield gains</w:t>
            </w:r>
          </w:p>
        </w:tc>
        <w:tc>
          <w:tcPr>
            <w:tcW w:w="0" w:type="auto"/>
            <w:hideMark/>
          </w:tcPr>
          <w:p w14:paraId="68B2942E"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Twelve major crops, fungal and oomycete pathogens</w:t>
            </w:r>
          </w:p>
        </w:tc>
        <w:tc>
          <w:tcPr>
            <w:tcW w:w="0" w:type="auto"/>
            <w:hideMark/>
          </w:tcPr>
          <w:p w14:paraId="25EB8F84"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Chaloner et al. (2021)</w:t>
            </w:r>
          </w:p>
        </w:tc>
      </w:tr>
    </w:tbl>
    <w:p w14:paraId="28E8B5AB"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i/>
          <w:iCs/>
          <w:sz w:val="24"/>
          <w:szCs w:val="24"/>
          <w:lang w:eastAsia="en-GB"/>
        </w:rPr>
        <w:t>Sources listed beneath each row as cited in the table above.</w:t>
      </w:r>
    </w:p>
    <w:p w14:paraId="028E2370"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9. Modelling Tools and Predictive Frameworks for Redrawing Vulnerability Maps</w:t>
      </w:r>
    </w:p>
    <w:p w14:paraId="21F229A6"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Anticipating where insect pests will establish and thrive under future climate conditions relies heavily on species distribution modelling, a family of approaches that use current occurrence records and environmental covariates to project climatic suitability under alternative future scenarios. Correlative approaches, most commonly maximum entropy modelling, have been widely applied to agriculturally important pests, including projections of shifting suitability for the honeybee pest </w:t>
      </w:r>
      <w:r w:rsidRPr="00276377">
        <w:rPr>
          <w:rFonts w:ascii="Times New Roman" w:eastAsia="Times New Roman" w:hAnsi="Times New Roman" w:cs="Times New Roman"/>
          <w:i/>
          <w:iCs/>
          <w:sz w:val="24"/>
          <w:szCs w:val="24"/>
          <w:lang w:eastAsia="en-GB"/>
        </w:rPr>
        <w:t>Galleria mellonella</w:t>
      </w:r>
      <w:r w:rsidRPr="00276377">
        <w:rPr>
          <w:rFonts w:ascii="Times New Roman" w:eastAsia="Times New Roman" w:hAnsi="Times New Roman" w:cs="Times New Roman"/>
          <w:sz w:val="24"/>
          <w:szCs w:val="24"/>
          <w:lang w:eastAsia="en-GB"/>
        </w:rPr>
        <w:t xml:space="preserve"> under changing climate that identified substantial range expansion potential linked to warming winter temperatures (Hosni et al., 2022). These correlative methods are computationally efficient and require relatively modest input data, but they assume that a species' realised current distribution reflects its full climatic tolerance, an assumption that may not hold where dispersal limitation, biotic interactions, or human intervention currently constrain the observed range short of the fundamental thermal niche.</w:t>
      </w:r>
    </w:p>
    <w:p w14:paraId="6234945B"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Mechanistic or process-based models, by contrast, derive projected suitability from experimentally determined physiological thresholds, such as developmental zero temperatures and upper lethal limits, and are increasingly recommended as complements to correlative approaches within formal pest risk assessment frameworks, particularly where the objective is to anticipate establishment in regions with no current occurrence records against which to calibrate a correlative model (Kriticos et al., 2024). Neither modelling family is without limitation. Both depend on climate projections that carry their own uncertainty across emission scenarios and general circulation models, and both typically simplify or omit biotic interactions such as competition, predation, and parasitism. </w:t>
      </w:r>
      <w:r w:rsidRPr="00276377">
        <w:rPr>
          <w:rFonts w:ascii="Times New Roman" w:eastAsia="Times New Roman" w:hAnsi="Times New Roman" w:cs="Times New Roman"/>
          <w:bCs/>
          <w:sz w:val="24"/>
          <w:szCs w:val="24"/>
          <w:lang w:eastAsia="en-GB"/>
        </w:rPr>
        <w:t>Broader biodiversity research reinforces the case for caution here: analyses of how species respond to combined land-use and climatic pressure show that sensitivity varies markedly by biome, with tropical and Mediterranean systems showing disproportionately negative responses linked to low climatic seasonality and a longer history of human disturbance (Newbold et al., 2020) — a reminder that pest range projections calibrated on temperate occurrence data may transfer poorly to tropical settings where the underlying ecological dynamics differ.</w:t>
      </w:r>
      <w:r w:rsidRPr="00276377">
        <w:rPr>
          <w:rFonts w:ascii="Times New Roman" w:eastAsia="Times New Roman" w:hAnsi="Times New Roman" w:cs="Times New Roman"/>
          <w:sz w:val="24"/>
          <w:szCs w:val="24"/>
          <w:lang w:eastAsia="en-GB"/>
        </w:rPr>
        <w:t xml:space="preserve"> A further complication specific to agricultural pest modelling is that host-plant distribution itself is subject to land-use and climate-driven change, meaning that a pest's future range is contingent not only on its own climatic tolerance but on the future distribution of the crops it depends on, a dependency that static single-species models frequently fail to capture (Schneider et al., 2022).</w:t>
      </w:r>
    </w:p>
    <w:p w14:paraId="162C49BE" w14:textId="77777777" w:rsidR="00276377" w:rsidRPr="00276377" w:rsidRDefault="00276377" w:rsidP="00276377">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9.1 Summary of modelling approaches</w:t>
      </w:r>
    </w:p>
    <w:p w14:paraId="3C15B9F7"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lastRenderedPageBreak/>
        <w:t>Table 5 sets out the main features, strengths, and limitations of the modelling approaches discussed in this section, and is intended to help readers weigh which approach, or combination of approaches, best fits a given pest risk question.</w:t>
      </w:r>
    </w:p>
    <w:p w14:paraId="288C1E8F"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b/>
          <w:bCs/>
          <w:sz w:val="24"/>
          <w:szCs w:val="24"/>
          <w:lang w:eastAsia="en-GB"/>
        </w:rPr>
        <w:t>Table 5. Comparison of principal modelling approaches used to project insect pest range shift</w:t>
      </w:r>
    </w:p>
    <w:tbl>
      <w:tblPr>
        <w:tblStyle w:val="TableGrid"/>
        <w:tblW w:w="0" w:type="auto"/>
        <w:tblLook w:val="04A0" w:firstRow="1" w:lastRow="0" w:firstColumn="1" w:lastColumn="0" w:noHBand="0" w:noVBand="1"/>
      </w:tblPr>
      <w:tblGrid>
        <w:gridCol w:w="2287"/>
        <w:gridCol w:w="2518"/>
        <w:gridCol w:w="2159"/>
        <w:gridCol w:w="2278"/>
      </w:tblGrid>
      <w:tr w:rsidR="00276377" w:rsidRPr="00276377" w14:paraId="35D22F33" w14:textId="77777777" w:rsidTr="00276377">
        <w:tc>
          <w:tcPr>
            <w:tcW w:w="0" w:type="auto"/>
            <w:hideMark/>
          </w:tcPr>
          <w:p w14:paraId="227D2805"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Modelling approach</w:t>
            </w:r>
          </w:p>
        </w:tc>
        <w:tc>
          <w:tcPr>
            <w:tcW w:w="0" w:type="auto"/>
            <w:hideMark/>
          </w:tcPr>
          <w:p w14:paraId="36751A03"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Underlying basis</w:t>
            </w:r>
          </w:p>
        </w:tc>
        <w:tc>
          <w:tcPr>
            <w:tcW w:w="0" w:type="auto"/>
            <w:hideMark/>
          </w:tcPr>
          <w:p w14:paraId="4573C8E5"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Typical strength</w:t>
            </w:r>
          </w:p>
        </w:tc>
        <w:tc>
          <w:tcPr>
            <w:tcW w:w="0" w:type="auto"/>
            <w:hideMark/>
          </w:tcPr>
          <w:p w14:paraId="05EED0F0" w14:textId="77777777" w:rsidR="00276377" w:rsidRPr="00276377" w:rsidRDefault="00276377" w:rsidP="00276377">
            <w:pPr>
              <w:jc w:val="center"/>
              <w:rPr>
                <w:rFonts w:ascii="Times New Roman" w:eastAsia="Times New Roman" w:hAnsi="Times New Roman" w:cs="Times New Roman"/>
                <w:b/>
                <w:bCs/>
                <w:sz w:val="24"/>
                <w:szCs w:val="24"/>
                <w:lang w:eastAsia="en-GB"/>
              </w:rPr>
            </w:pPr>
            <w:r w:rsidRPr="00276377">
              <w:rPr>
                <w:rFonts w:ascii="Times New Roman" w:eastAsia="Times New Roman" w:hAnsi="Times New Roman" w:cs="Times New Roman"/>
                <w:b/>
                <w:bCs/>
                <w:sz w:val="24"/>
                <w:szCs w:val="24"/>
                <w:lang w:eastAsia="en-GB"/>
              </w:rPr>
              <w:t>Typical limitation</w:t>
            </w:r>
          </w:p>
        </w:tc>
      </w:tr>
      <w:tr w:rsidR="00276377" w:rsidRPr="00276377" w14:paraId="5881FFA5" w14:textId="77777777" w:rsidTr="00276377">
        <w:tc>
          <w:tcPr>
            <w:tcW w:w="0" w:type="auto"/>
            <w:hideMark/>
          </w:tcPr>
          <w:p w14:paraId="5B699137"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Correlative niche modelling (for example maximum entropy)</w:t>
            </w:r>
          </w:p>
        </w:tc>
        <w:tc>
          <w:tcPr>
            <w:tcW w:w="0" w:type="auto"/>
            <w:hideMark/>
          </w:tcPr>
          <w:p w14:paraId="7BF4D513"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Statistical association between current occurrence and environmental variables</w:t>
            </w:r>
          </w:p>
        </w:tc>
        <w:tc>
          <w:tcPr>
            <w:tcW w:w="0" w:type="auto"/>
            <w:hideMark/>
          </w:tcPr>
          <w:p w14:paraId="7A9F41E5"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Efficient with limited data; widely validated</w:t>
            </w:r>
          </w:p>
        </w:tc>
        <w:tc>
          <w:tcPr>
            <w:tcW w:w="0" w:type="auto"/>
            <w:hideMark/>
          </w:tcPr>
          <w:p w14:paraId="4AAFE21B"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Assumes realised range reflects full climatic tolerance</w:t>
            </w:r>
          </w:p>
        </w:tc>
      </w:tr>
      <w:tr w:rsidR="00276377" w:rsidRPr="00276377" w14:paraId="2E4789B0" w14:textId="77777777" w:rsidTr="00276377">
        <w:tc>
          <w:tcPr>
            <w:tcW w:w="0" w:type="auto"/>
            <w:hideMark/>
          </w:tcPr>
          <w:p w14:paraId="0E3954FB"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Mechanistic / process-based modelling</w:t>
            </w:r>
          </w:p>
        </w:tc>
        <w:tc>
          <w:tcPr>
            <w:tcW w:w="0" w:type="auto"/>
            <w:hideMark/>
          </w:tcPr>
          <w:p w14:paraId="487DD436"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Experimentally derived physiological thresholds</w:t>
            </w:r>
          </w:p>
        </w:tc>
        <w:tc>
          <w:tcPr>
            <w:tcW w:w="0" w:type="auto"/>
            <w:hideMark/>
          </w:tcPr>
          <w:p w14:paraId="1E42E9D8"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Extrapolates beyond current range with stronger biological grounding</w:t>
            </w:r>
          </w:p>
        </w:tc>
        <w:tc>
          <w:tcPr>
            <w:tcW w:w="0" w:type="auto"/>
            <w:hideMark/>
          </w:tcPr>
          <w:p w14:paraId="0811CF3A"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Requires extensive species-specific physiological data</w:t>
            </w:r>
          </w:p>
        </w:tc>
      </w:tr>
      <w:tr w:rsidR="00276377" w:rsidRPr="00276377" w14:paraId="042FB7ED" w14:textId="77777777" w:rsidTr="00276377">
        <w:tc>
          <w:tcPr>
            <w:tcW w:w="0" w:type="auto"/>
            <w:hideMark/>
          </w:tcPr>
          <w:p w14:paraId="0979DF76"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Hybrid correlative-mechanistic frameworks</w:t>
            </w:r>
          </w:p>
        </w:tc>
        <w:tc>
          <w:tcPr>
            <w:tcW w:w="0" w:type="auto"/>
            <w:hideMark/>
          </w:tcPr>
          <w:p w14:paraId="237E6006"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Combination of occurrence data and trait-based constraints</w:t>
            </w:r>
          </w:p>
        </w:tc>
        <w:tc>
          <w:tcPr>
            <w:tcW w:w="0" w:type="auto"/>
            <w:hideMark/>
          </w:tcPr>
          <w:p w14:paraId="42369BD3"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Balances data efficiency with mechanistic realism</w:t>
            </w:r>
          </w:p>
        </w:tc>
        <w:tc>
          <w:tcPr>
            <w:tcW w:w="0" w:type="auto"/>
            <w:hideMark/>
          </w:tcPr>
          <w:p w14:paraId="4404B8BB"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Still typically omits biotic interactions and host distribution change</w:t>
            </w:r>
          </w:p>
        </w:tc>
      </w:tr>
      <w:tr w:rsidR="00276377" w:rsidRPr="00276377" w14:paraId="07DF0533" w14:textId="77777777" w:rsidTr="00276377">
        <w:tc>
          <w:tcPr>
            <w:tcW w:w="0" w:type="auto"/>
            <w:hideMark/>
          </w:tcPr>
          <w:p w14:paraId="35AFB858"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Formal pest risk assessment frameworks incorporating climate modelling</w:t>
            </w:r>
          </w:p>
        </w:tc>
        <w:tc>
          <w:tcPr>
            <w:tcW w:w="0" w:type="auto"/>
            <w:hideMark/>
          </w:tcPr>
          <w:p w14:paraId="313FD91E"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Structured integration of climate projections into biosecurity decision-making</w:t>
            </w:r>
          </w:p>
        </w:tc>
        <w:tc>
          <w:tcPr>
            <w:tcW w:w="0" w:type="auto"/>
            <w:hideMark/>
          </w:tcPr>
          <w:p w14:paraId="797922DF"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Directly applicable to policy and trade</w:t>
            </w:r>
          </w:p>
        </w:tc>
        <w:tc>
          <w:tcPr>
            <w:tcW w:w="0" w:type="auto"/>
            <w:hideMark/>
          </w:tcPr>
          <w:p w14:paraId="373BB016" w14:textId="77777777" w:rsidR="00276377" w:rsidRPr="00276377" w:rsidRDefault="00276377" w:rsidP="00276377">
            <w:pPr>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Sensitive to underlying climate model and emission scenario uncertainty</w:t>
            </w:r>
          </w:p>
        </w:tc>
      </w:tr>
    </w:tbl>
    <w:p w14:paraId="11D73AC4"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i/>
          <w:iCs/>
          <w:sz w:val="24"/>
          <w:szCs w:val="24"/>
          <w:lang w:eastAsia="en-GB"/>
        </w:rPr>
        <w:t>Sources: Hosni et al. (2022); Kriticos et al. (2024); Newbold et al. (2020); Schneider et al. (2022).</w:t>
      </w:r>
    </w:p>
    <w:p w14:paraId="08F61E63"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10. Adaptive Management: Biological Control, Pesticide Efficacy, and Cropping System Responses</w:t>
      </w:r>
    </w:p>
    <w:p w14:paraId="64F883BF"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Climate-driven range shift and phenological change have direct implications for the tools used to manage insect pests. Biological control programmes depend on continued spatial and temporal overlap between pest populations and their natural enemies, and modelling of stemborer–natural enemy dynamics under alternative climate scenarios in East Africa demonstrates substantial uncertainty in whether this overlap will be preserved as both pest and control agent ranges shift, with some scenarios projecting a widening spatial gap between the two (</w:t>
      </w:r>
      <w:proofErr w:type="spellStart"/>
      <w:r w:rsidRPr="00276377">
        <w:rPr>
          <w:rFonts w:ascii="Times New Roman" w:eastAsia="Times New Roman" w:hAnsi="Times New Roman" w:cs="Times New Roman"/>
          <w:sz w:val="24"/>
          <w:szCs w:val="24"/>
          <w:lang w:eastAsia="en-GB"/>
        </w:rPr>
        <w:t>Jendritzki</w:t>
      </w:r>
      <w:proofErr w:type="spellEnd"/>
      <w:r w:rsidRPr="00276377">
        <w:rPr>
          <w:rFonts w:ascii="Times New Roman" w:eastAsia="Times New Roman" w:hAnsi="Times New Roman" w:cs="Times New Roman"/>
          <w:sz w:val="24"/>
          <w:szCs w:val="24"/>
          <w:lang w:eastAsia="en-GB"/>
        </w:rPr>
        <w:t xml:space="preserve"> et al., 2023). Chemical control faces a related challenge, since warming can reduce the efficacy and persistence of insecticide residues on treated foliage while shortening pest generation time at the same time, a combination that increases both the frequency of required applications and the selective pressure favouring resistance evolution (Matzrafi, 2019).</w:t>
      </w:r>
    </w:p>
    <w:p w14:paraId="2CE310AD"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Cropping system diversification has been proposed as a complementary strategy less dependent on precisely tracking pest distribution shifts. Evidence from large-scale European farm data indicates that temporal diversification of crop rotations is associated with reduced </w:t>
      </w:r>
      <w:r w:rsidRPr="00276377">
        <w:rPr>
          <w:rFonts w:ascii="Times New Roman" w:eastAsia="Times New Roman" w:hAnsi="Times New Roman" w:cs="Times New Roman"/>
          <w:sz w:val="24"/>
          <w:szCs w:val="24"/>
          <w:lang w:eastAsia="en-GB"/>
        </w:rPr>
        <w:lastRenderedPageBreak/>
        <w:t>pesticide reliance, offering a management lever that increases agroecosystem resilience without requiring continuous recalibration to a moving pest distribution (</w:t>
      </w:r>
      <w:proofErr w:type="spellStart"/>
      <w:r w:rsidRPr="00276377">
        <w:rPr>
          <w:rFonts w:ascii="Times New Roman" w:eastAsia="Times New Roman" w:hAnsi="Times New Roman" w:cs="Times New Roman"/>
          <w:sz w:val="24"/>
          <w:szCs w:val="24"/>
          <w:lang w:eastAsia="en-GB"/>
        </w:rPr>
        <w:t>Guinet</w:t>
      </w:r>
      <w:proofErr w:type="spellEnd"/>
      <w:r w:rsidRPr="00276377">
        <w:rPr>
          <w:rFonts w:ascii="Times New Roman" w:eastAsia="Times New Roman" w:hAnsi="Times New Roman" w:cs="Times New Roman"/>
          <w:sz w:val="24"/>
          <w:szCs w:val="24"/>
          <w:lang w:eastAsia="en-GB"/>
        </w:rPr>
        <w:t xml:space="preserve"> et al., 2023). Taken together, this evidence suggests that adaptive management under climate-driven range shift will likely need a combination of improved predictive monitoring, structural changes to cropping systems that reduce dependence on any single control tactic, and continued investment in biological control programmes designed with an awareness that natural enemy and pest ranges may not shift in lockstep.</w:t>
      </w:r>
    </w:p>
    <w:p w14:paraId="1E0391F8"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11. Future Directions</w:t>
      </w:r>
    </w:p>
    <w:p w14:paraId="0A0397C3"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Priority should be given to closing several specific evidence gaps identified across the preceding sections. There is a clear need for expanded experimental work on combined temperature and elevated carbon dioxide effects across a wider range of crop-pest combinations, since current evidence suggests host-plant-specific and even direction-reversing outcomes that cannot yet be generalised into predictive rules suitable for large-scale modelling. Greater integration of biotic interaction data, particularly natural enemy distribution and host-plant range projections, into species distribution modelling frameworks would improve the realism of range-shift forecasts that currently treat pest species largely in isolation. Systematic long-term monitoring networks spanning tropical and subtropical regions remain comparatively sparse relative to temperate zones, limiting the ability to detect and attribute range shifts in precisely the regions where pest populations are closest to upper thermal limits, and where detection of contraction, as opposed to expansion, would be most policy-relevant. Closer coupling between climate-pest modelling and agricultural economic assessment would help translate biogeographic projections into the kind of quantified, regionally specific risk estimates that inform investment in adaptive breeding, monitoring infrastructure, and biosecurity policy. Finally, greater attention to the interaction between phenological mismatch and biological control efficacy, an area currently addressed by only a small number of regionally specific studies, would strengthen the evidence base needed to design climate-resilient integrated pest management programmes.</w:t>
      </w:r>
    </w:p>
    <w:p w14:paraId="46E1BDF3"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12. Conclusions</w:t>
      </w:r>
    </w:p>
    <w:p w14:paraId="5D40F043"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Climate change is measurably and demonstrably redrawing the geographic and seasonal pattern of insect pest pressure on the world's major food crops. Warming drives faster development, expanded overwintering survival, and poleward and altitudinal range expansion across a broad range of agriculturally important taxa, while elevated carbon dioxide introduces an additional and less predictable pathway of influence through changes in host-plant chemistry. The net effect of these combined drivers is a redistribution of crop vulnerability that disproportionately increases risk in temperate production regions previously buffered by cooler climates, even as some tropical pest populations approach or exceed their thermal tolerance limits. Economic assessments indicate that the costs of this redistribution, both from established invasive pests and from projected future increases in crop losses, are already substantial and likely to grow under continued warming. Species distribution modelling and mechanistic niche approaches provide useful, if imperfect, tools for anticipating where this redistribution will occur, but their reliability remains constrained by incomplete treatment of biotic interactions, host-plant range dynamics, and regional data gaps. Effective adaptation will require management strategies, from biological control to cropping system diversification, that are designed with explicit recognition that pest ranges, natural enemy ranges, and host-plant distributions are all in simultaneous motion rather than shifting predictably in tandem.</w:t>
      </w:r>
    </w:p>
    <w:p w14:paraId="1F4E2424"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lastRenderedPageBreak/>
        <w:t>13. Limitations</w:t>
      </w:r>
    </w:p>
    <w:p w14:paraId="13CD3ED7" w14:textId="77777777" w:rsid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This review is subject to several methodological limitations inherent to its narrative design. The literature search, while structured and multi-database, was restricted to English-language, peer-reviewed journal publications, which may exclude relevant regional literature published in other languages or in grey literature sources, particularly from regions where much of the applied pest-monitoring work occurs. The narrative approach, chosen deliberately for its capacity to integrate heterogeneous evidence types, does not permit formal quantitative pooling of effect sizes and is therefore more susceptible to selection emphasis than a systematic review with predefined inclusion weighting. The evidence base itself is unevenly distributed across taxa and regions, with substantially denser coverage of a small number of high-profile pest species, such as fall armyworm, relative to many other economically important but less-studied pests, limiting the generalisability of case-study conclusions. Finally, because the underlying science of climate-pest interaction is advancing rapidly, with new modelling studies and empirical observations published continually, any synthesis of this kind represents a snapshot that will require periodic revisiting as further evidence accumulates.</w:t>
      </w:r>
    </w:p>
    <w:p w14:paraId="6E765341" w14:textId="77777777" w:rsidR="002E00E0" w:rsidRPr="000839CE" w:rsidRDefault="002E00E0" w:rsidP="002E00E0">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C64C472" w14:textId="77777777" w:rsidR="002E00E0" w:rsidRPr="000839CE" w:rsidRDefault="002E00E0" w:rsidP="002E00E0">
      <w:pPr>
        <w:spacing w:after="0" w:line="240" w:lineRule="auto"/>
        <w:rPr>
          <w:rFonts w:ascii="Times New Roman" w:hAnsi="Times New Roman" w:cs="Times New Roman"/>
        </w:rPr>
      </w:pPr>
    </w:p>
    <w:p w14:paraId="50D12F8A" w14:textId="77777777" w:rsidR="002E00E0" w:rsidRPr="000839CE" w:rsidRDefault="002E00E0" w:rsidP="002E00E0">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BE294E0" w14:textId="77777777" w:rsidR="002E00E0" w:rsidRPr="00276377" w:rsidRDefault="002E00E0" w:rsidP="00276377">
      <w:pPr>
        <w:spacing w:before="100" w:beforeAutospacing="1" w:after="100" w:afterAutospacing="1" w:line="240" w:lineRule="auto"/>
        <w:rPr>
          <w:rFonts w:ascii="Times New Roman" w:eastAsia="Times New Roman" w:hAnsi="Times New Roman" w:cs="Times New Roman"/>
          <w:sz w:val="24"/>
          <w:szCs w:val="24"/>
          <w:lang w:eastAsia="en-GB"/>
        </w:rPr>
      </w:pPr>
    </w:p>
    <w:p w14:paraId="43F075B4" w14:textId="77777777" w:rsidR="00276377" w:rsidRPr="00276377" w:rsidRDefault="00276377" w:rsidP="00276377">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6377">
        <w:rPr>
          <w:rFonts w:ascii="Times New Roman" w:eastAsia="Times New Roman" w:hAnsi="Times New Roman" w:cs="Times New Roman"/>
          <w:b/>
          <w:bCs/>
          <w:sz w:val="27"/>
          <w:szCs w:val="27"/>
          <w:lang w:eastAsia="en-GB"/>
        </w:rPr>
        <w:t>References</w:t>
      </w:r>
    </w:p>
    <w:p w14:paraId="7AE04BAF"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bCs/>
          <w:sz w:val="24"/>
          <w:szCs w:val="24"/>
          <w:lang w:eastAsia="en-GB"/>
        </w:rPr>
        <w:t xml:space="preserve">Ali, M. P., Kabir, M. M. M., Afrin, S., </w:t>
      </w:r>
      <w:proofErr w:type="spellStart"/>
      <w:r w:rsidRPr="00276377">
        <w:rPr>
          <w:rFonts w:ascii="Times New Roman" w:eastAsia="Times New Roman" w:hAnsi="Times New Roman" w:cs="Times New Roman"/>
          <w:bCs/>
          <w:sz w:val="24"/>
          <w:szCs w:val="24"/>
          <w:lang w:eastAsia="en-GB"/>
        </w:rPr>
        <w:t>Nowrin</w:t>
      </w:r>
      <w:proofErr w:type="spellEnd"/>
      <w:r w:rsidRPr="00276377">
        <w:rPr>
          <w:rFonts w:ascii="Times New Roman" w:eastAsia="Times New Roman" w:hAnsi="Times New Roman" w:cs="Times New Roman"/>
          <w:bCs/>
          <w:sz w:val="24"/>
          <w:szCs w:val="24"/>
          <w:lang w:eastAsia="en-GB"/>
        </w:rPr>
        <w:t xml:space="preserve">, F., Haque, S. S., Haque, M. M., Hashem, A., Tabassum, B., </w:t>
      </w:r>
      <w:proofErr w:type="spellStart"/>
      <w:r w:rsidRPr="00276377">
        <w:rPr>
          <w:rFonts w:ascii="Times New Roman" w:eastAsia="Times New Roman" w:hAnsi="Times New Roman" w:cs="Times New Roman"/>
          <w:bCs/>
          <w:sz w:val="24"/>
          <w:szCs w:val="24"/>
          <w:lang w:eastAsia="en-GB"/>
        </w:rPr>
        <w:t>Abd_Allah</w:t>
      </w:r>
      <w:proofErr w:type="spellEnd"/>
      <w:r w:rsidRPr="00276377">
        <w:rPr>
          <w:rFonts w:ascii="Times New Roman" w:eastAsia="Times New Roman" w:hAnsi="Times New Roman" w:cs="Times New Roman"/>
          <w:bCs/>
          <w:sz w:val="24"/>
          <w:szCs w:val="24"/>
          <w:lang w:eastAsia="en-GB"/>
        </w:rPr>
        <w:t>, E. F., &amp; Pittendrigh, B. R. (2019).</w:t>
      </w:r>
      <w:r w:rsidRPr="00276377">
        <w:rPr>
          <w:rFonts w:ascii="Times New Roman" w:eastAsia="Times New Roman" w:hAnsi="Times New Roman" w:cs="Times New Roman"/>
          <w:sz w:val="24"/>
          <w:szCs w:val="24"/>
          <w:lang w:eastAsia="en-GB"/>
        </w:rPr>
        <w:t xml:space="preserve"> Increased temperature induces </w:t>
      </w:r>
      <w:proofErr w:type="spellStart"/>
      <w:r w:rsidRPr="00276377">
        <w:rPr>
          <w:rFonts w:ascii="Times New Roman" w:eastAsia="Times New Roman" w:hAnsi="Times New Roman" w:cs="Times New Roman"/>
          <w:sz w:val="24"/>
          <w:szCs w:val="24"/>
          <w:lang w:eastAsia="en-GB"/>
        </w:rPr>
        <w:t>leaffolder</w:t>
      </w:r>
      <w:proofErr w:type="spellEnd"/>
      <w:r w:rsidRPr="00276377">
        <w:rPr>
          <w:rFonts w:ascii="Times New Roman" w:eastAsia="Times New Roman" w:hAnsi="Times New Roman" w:cs="Times New Roman"/>
          <w:sz w:val="24"/>
          <w:szCs w:val="24"/>
          <w:lang w:eastAsia="en-GB"/>
        </w:rPr>
        <w:t xml:space="preserve"> outbreak in rice field. </w:t>
      </w:r>
      <w:r w:rsidRPr="00276377">
        <w:rPr>
          <w:rFonts w:ascii="Times New Roman" w:eastAsia="Times New Roman" w:hAnsi="Times New Roman" w:cs="Times New Roman"/>
          <w:i/>
          <w:iCs/>
          <w:sz w:val="24"/>
          <w:szCs w:val="24"/>
          <w:lang w:eastAsia="en-GB"/>
        </w:rPr>
        <w:t>Journal of Applied Entomology</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143</w:t>
      </w:r>
      <w:r w:rsidRPr="00276377">
        <w:rPr>
          <w:rFonts w:ascii="Times New Roman" w:eastAsia="Times New Roman" w:hAnsi="Times New Roman" w:cs="Times New Roman"/>
          <w:sz w:val="24"/>
          <w:szCs w:val="24"/>
          <w:lang w:eastAsia="en-GB"/>
        </w:rPr>
        <w:t xml:space="preserve">(8), 867–874. </w:t>
      </w:r>
      <w:r w:rsidRPr="00276377">
        <w:rPr>
          <w:rFonts w:ascii="Times New Roman" w:eastAsia="Times New Roman" w:hAnsi="Times New Roman" w:cs="Times New Roman"/>
          <w:color w:val="0000FF"/>
          <w:sz w:val="24"/>
          <w:szCs w:val="24"/>
          <w:u w:val="single"/>
          <w:lang w:eastAsia="en-GB"/>
        </w:rPr>
        <w:t>https://doi.org/10.1111/jen.12652</w:t>
      </w:r>
    </w:p>
    <w:p w14:paraId="09C47BDA"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bCs/>
          <w:sz w:val="24"/>
          <w:szCs w:val="24"/>
          <w:lang w:eastAsia="en-GB"/>
        </w:rPr>
        <w:t xml:space="preserve">Ali, M. P., Bari, M. N., Haque, S. S., Kabir, M. M. M., </w:t>
      </w:r>
      <w:proofErr w:type="spellStart"/>
      <w:r w:rsidRPr="00276377">
        <w:rPr>
          <w:rFonts w:ascii="Times New Roman" w:eastAsia="Times New Roman" w:hAnsi="Times New Roman" w:cs="Times New Roman"/>
          <w:bCs/>
          <w:sz w:val="24"/>
          <w:szCs w:val="24"/>
          <w:lang w:eastAsia="en-GB"/>
        </w:rPr>
        <w:t>Nowrin</w:t>
      </w:r>
      <w:proofErr w:type="spellEnd"/>
      <w:r w:rsidRPr="00276377">
        <w:rPr>
          <w:rFonts w:ascii="Times New Roman" w:eastAsia="Times New Roman" w:hAnsi="Times New Roman" w:cs="Times New Roman"/>
          <w:bCs/>
          <w:sz w:val="24"/>
          <w:szCs w:val="24"/>
          <w:lang w:eastAsia="en-GB"/>
        </w:rPr>
        <w:t>, F., Choudhury, T. R., Mankin, R. W., &amp; Ahmed, N. (2020).</w:t>
      </w:r>
      <w:r w:rsidRPr="00276377">
        <w:rPr>
          <w:rFonts w:ascii="Times New Roman" w:eastAsia="Times New Roman" w:hAnsi="Times New Roman" w:cs="Times New Roman"/>
          <w:sz w:val="24"/>
          <w:szCs w:val="24"/>
          <w:lang w:eastAsia="en-GB"/>
        </w:rPr>
        <w:t xml:space="preserve"> Response of a rice insect pest, </w:t>
      </w:r>
      <w:proofErr w:type="spellStart"/>
      <w:r w:rsidRPr="00276377">
        <w:rPr>
          <w:rFonts w:ascii="Times New Roman" w:eastAsia="Times New Roman" w:hAnsi="Times New Roman" w:cs="Times New Roman"/>
          <w:i/>
          <w:iCs/>
          <w:sz w:val="24"/>
          <w:szCs w:val="24"/>
          <w:lang w:eastAsia="en-GB"/>
        </w:rPr>
        <w:t>Scirpophaga</w:t>
      </w:r>
      <w:proofErr w:type="spellEnd"/>
      <w:r w:rsidRPr="00276377">
        <w:rPr>
          <w:rFonts w:ascii="Times New Roman" w:eastAsia="Times New Roman" w:hAnsi="Times New Roman" w:cs="Times New Roman"/>
          <w:i/>
          <w:iCs/>
          <w:sz w:val="24"/>
          <w:szCs w:val="24"/>
          <w:lang w:eastAsia="en-GB"/>
        </w:rPr>
        <w:t xml:space="preserve"> </w:t>
      </w:r>
      <w:proofErr w:type="spellStart"/>
      <w:r w:rsidRPr="00276377">
        <w:rPr>
          <w:rFonts w:ascii="Times New Roman" w:eastAsia="Times New Roman" w:hAnsi="Times New Roman" w:cs="Times New Roman"/>
          <w:i/>
          <w:iCs/>
          <w:sz w:val="24"/>
          <w:szCs w:val="24"/>
          <w:lang w:eastAsia="en-GB"/>
        </w:rPr>
        <w:t>incertulas</w:t>
      </w:r>
      <w:proofErr w:type="spellEnd"/>
      <w:r w:rsidRPr="00276377">
        <w:rPr>
          <w:rFonts w:ascii="Times New Roman" w:eastAsia="Times New Roman" w:hAnsi="Times New Roman" w:cs="Times New Roman"/>
          <w:sz w:val="24"/>
          <w:szCs w:val="24"/>
          <w:lang w:eastAsia="en-GB"/>
        </w:rPr>
        <w:t xml:space="preserve"> (Lepidoptera: </w:t>
      </w:r>
      <w:proofErr w:type="spellStart"/>
      <w:r w:rsidRPr="00276377">
        <w:rPr>
          <w:rFonts w:ascii="Times New Roman" w:eastAsia="Times New Roman" w:hAnsi="Times New Roman" w:cs="Times New Roman"/>
          <w:sz w:val="24"/>
          <w:szCs w:val="24"/>
          <w:lang w:eastAsia="en-GB"/>
        </w:rPr>
        <w:t>Pyralidae</w:t>
      </w:r>
      <w:proofErr w:type="spellEnd"/>
      <w:r w:rsidRPr="00276377">
        <w:rPr>
          <w:rFonts w:ascii="Times New Roman" w:eastAsia="Times New Roman" w:hAnsi="Times New Roman" w:cs="Times New Roman"/>
          <w:sz w:val="24"/>
          <w:szCs w:val="24"/>
          <w:lang w:eastAsia="en-GB"/>
        </w:rPr>
        <w:t xml:space="preserve">) in warmer world. </w:t>
      </w:r>
      <w:r w:rsidRPr="00276377">
        <w:rPr>
          <w:rFonts w:ascii="Times New Roman" w:eastAsia="Times New Roman" w:hAnsi="Times New Roman" w:cs="Times New Roman"/>
          <w:i/>
          <w:iCs/>
          <w:sz w:val="24"/>
          <w:szCs w:val="24"/>
          <w:lang w:eastAsia="en-GB"/>
        </w:rPr>
        <w:t>BMC Zoology</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5</w:t>
      </w:r>
      <w:r w:rsidRPr="00276377">
        <w:rPr>
          <w:rFonts w:ascii="Times New Roman" w:eastAsia="Times New Roman" w:hAnsi="Times New Roman" w:cs="Times New Roman"/>
          <w:sz w:val="24"/>
          <w:szCs w:val="24"/>
          <w:lang w:eastAsia="en-GB"/>
        </w:rPr>
        <w:t xml:space="preserve">, Article 6. </w:t>
      </w:r>
      <w:r w:rsidRPr="00276377">
        <w:rPr>
          <w:rFonts w:ascii="Times New Roman" w:eastAsia="Times New Roman" w:hAnsi="Times New Roman" w:cs="Times New Roman"/>
          <w:color w:val="0000FF"/>
          <w:sz w:val="24"/>
          <w:szCs w:val="24"/>
          <w:u w:val="single"/>
          <w:lang w:eastAsia="en-GB"/>
        </w:rPr>
        <w:t>https://doi.org/10.1186/s40850-020-00055-5</w:t>
      </w:r>
    </w:p>
    <w:p w14:paraId="51D016A9"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Bale, J. S., Masters, G. J., Hodkinson, I. D., Awmack, C., Bezemer, T. M., Brown, V. K., Butterfield, J., Buse, A., Coulson, J. C., Farrar, J., Good, J. E. G., Harrington, R., Hartley, S., Jones, T. H., Lindroth, R. L., Press, M. C., Symrnioudis, I., Watt, A. D., &amp; Whittaker, J. B. (2002). Herbivory in global climate change research: Direct effects of rising temperature on insect herbivores. </w:t>
      </w:r>
      <w:r w:rsidRPr="00276377">
        <w:rPr>
          <w:rFonts w:ascii="Times New Roman" w:eastAsia="Times New Roman" w:hAnsi="Times New Roman" w:cs="Times New Roman"/>
          <w:i/>
          <w:iCs/>
          <w:sz w:val="24"/>
          <w:szCs w:val="24"/>
          <w:lang w:eastAsia="en-GB"/>
        </w:rPr>
        <w:t>Global Change Biology</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8</w:t>
      </w:r>
      <w:r w:rsidRPr="00276377">
        <w:rPr>
          <w:rFonts w:ascii="Times New Roman" w:eastAsia="Times New Roman" w:hAnsi="Times New Roman" w:cs="Times New Roman"/>
          <w:sz w:val="24"/>
          <w:szCs w:val="24"/>
          <w:lang w:eastAsia="en-GB"/>
        </w:rPr>
        <w:t xml:space="preserve">(1), 1–16. </w:t>
      </w:r>
      <w:r w:rsidRPr="00276377">
        <w:rPr>
          <w:rFonts w:ascii="Times New Roman" w:eastAsia="Times New Roman" w:hAnsi="Times New Roman" w:cs="Times New Roman"/>
          <w:color w:val="0000FF"/>
          <w:sz w:val="24"/>
          <w:szCs w:val="24"/>
          <w:u w:val="single"/>
          <w:lang w:eastAsia="en-GB"/>
        </w:rPr>
        <w:t>https://doi.org/10.1046/j.1365-2486.2002.00451.x</w:t>
      </w:r>
    </w:p>
    <w:p w14:paraId="370241A3"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lastRenderedPageBreak/>
        <w:t xml:space="preserve">Bebber, D. P., Ramotowski, M. A. T., &amp; Gurr, S. J. (2013). Crop pests and pathogens move polewards in a warming world. </w:t>
      </w:r>
      <w:r w:rsidRPr="00276377">
        <w:rPr>
          <w:rFonts w:ascii="Times New Roman" w:eastAsia="Times New Roman" w:hAnsi="Times New Roman" w:cs="Times New Roman"/>
          <w:i/>
          <w:iCs/>
          <w:sz w:val="24"/>
          <w:szCs w:val="24"/>
          <w:lang w:eastAsia="en-GB"/>
        </w:rPr>
        <w:t>Nature Climate Change</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3</w:t>
      </w:r>
      <w:r w:rsidRPr="00276377">
        <w:rPr>
          <w:rFonts w:ascii="Times New Roman" w:eastAsia="Times New Roman" w:hAnsi="Times New Roman" w:cs="Times New Roman"/>
          <w:sz w:val="24"/>
          <w:szCs w:val="24"/>
          <w:lang w:eastAsia="en-GB"/>
        </w:rPr>
        <w:t xml:space="preserve">, 985–988. </w:t>
      </w:r>
      <w:r w:rsidRPr="00276377">
        <w:rPr>
          <w:rFonts w:ascii="Times New Roman" w:eastAsia="Times New Roman" w:hAnsi="Times New Roman" w:cs="Times New Roman"/>
          <w:color w:val="0000FF"/>
          <w:sz w:val="24"/>
          <w:szCs w:val="24"/>
          <w:u w:val="single"/>
          <w:lang w:eastAsia="en-GB"/>
        </w:rPr>
        <w:t>https://doi.org/10.1038/nclimate1990</w:t>
      </w:r>
    </w:p>
    <w:p w14:paraId="6C9CE7CC"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Betzholtz, P.-E., Forsman, A., &amp; Franzén, M. (2023). Associations of 16-year population dynamics in range-expanding moths with temperature and years since establishment. </w:t>
      </w:r>
      <w:r w:rsidRPr="00276377">
        <w:rPr>
          <w:rFonts w:ascii="Times New Roman" w:eastAsia="Times New Roman" w:hAnsi="Times New Roman" w:cs="Times New Roman"/>
          <w:i/>
          <w:iCs/>
          <w:sz w:val="24"/>
          <w:szCs w:val="24"/>
          <w:lang w:eastAsia="en-GB"/>
        </w:rPr>
        <w:t>Insects</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14</w:t>
      </w:r>
      <w:r w:rsidRPr="00276377">
        <w:rPr>
          <w:rFonts w:ascii="Times New Roman" w:eastAsia="Times New Roman" w:hAnsi="Times New Roman" w:cs="Times New Roman"/>
          <w:sz w:val="24"/>
          <w:szCs w:val="24"/>
          <w:lang w:eastAsia="en-GB"/>
        </w:rPr>
        <w:t xml:space="preserve">(1), 55. </w:t>
      </w:r>
      <w:r w:rsidRPr="00276377">
        <w:rPr>
          <w:rFonts w:ascii="Times New Roman" w:eastAsia="Times New Roman" w:hAnsi="Times New Roman" w:cs="Times New Roman"/>
          <w:color w:val="0000FF"/>
          <w:sz w:val="24"/>
          <w:szCs w:val="24"/>
          <w:u w:val="single"/>
          <w:lang w:eastAsia="en-GB"/>
        </w:rPr>
        <w:t>https://doi.org/10.3390/insects14010055</w:t>
      </w:r>
    </w:p>
    <w:p w14:paraId="5A75784A"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Bradshaw, C. J. A., Leroy, B., Bellard, C., Roiz, D., Albert, C., Fournier, A., Barbet-Massin, M., Salles, J.-M., Simard, F., &amp; </w:t>
      </w:r>
      <w:proofErr w:type="spellStart"/>
      <w:r w:rsidRPr="00276377">
        <w:rPr>
          <w:rFonts w:ascii="Times New Roman" w:eastAsia="Times New Roman" w:hAnsi="Times New Roman" w:cs="Times New Roman"/>
          <w:sz w:val="24"/>
          <w:szCs w:val="24"/>
          <w:lang w:eastAsia="en-GB"/>
        </w:rPr>
        <w:t>Courchamp</w:t>
      </w:r>
      <w:proofErr w:type="spellEnd"/>
      <w:r w:rsidRPr="00276377">
        <w:rPr>
          <w:rFonts w:ascii="Times New Roman" w:eastAsia="Times New Roman" w:hAnsi="Times New Roman" w:cs="Times New Roman"/>
          <w:sz w:val="24"/>
          <w:szCs w:val="24"/>
          <w:lang w:eastAsia="en-GB"/>
        </w:rPr>
        <w:t xml:space="preserve">, F. (2016). Massive yet grossly underestimated global costs of invasive insects. </w:t>
      </w:r>
      <w:r w:rsidRPr="00276377">
        <w:rPr>
          <w:rFonts w:ascii="Times New Roman" w:eastAsia="Times New Roman" w:hAnsi="Times New Roman" w:cs="Times New Roman"/>
          <w:i/>
          <w:iCs/>
          <w:sz w:val="24"/>
          <w:szCs w:val="24"/>
          <w:lang w:eastAsia="en-GB"/>
        </w:rPr>
        <w:t>Nature Communications</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7</w:t>
      </w:r>
      <w:r w:rsidRPr="00276377">
        <w:rPr>
          <w:rFonts w:ascii="Times New Roman" w:eastAsia="Times New Roman" w:hAnsi="Times New Roman" w:cs="Times New Roman"/>
          <w:sz w:val="24"/>
          <w:szCs w:val="24"/>
          <w:lang w:eastAsia="en-GB"/>
        </w:rPr>
        <w:t xml:space="preserve">, 12986. </w:t>
      </w:r>
      <w:r w:rsidRPr="00276377">
        <w:rPr>
          <w:rFonts w:ascii="Times New Roman" w:eastAsia="Times New Roman" w:hAnsi="Times New Roman" w:cs="Times New Roman"/>
          <w:color w:val="0000FF"/>
          <w:sz w:val="24"/>
          <w:szCs w:val="24"/>
          <w:u w:val="single"/>
          <w:lang w:eastAsia="en-GB"/>
        </w:rPr>
        <w:t>https://doi.org/10.1038/ncomms12986</w:t>
      </w:r>
    </w:p>
    <w:p w14:paraId="6794A066"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Chaloner, T. M., Gurr, S. J., &amp; Bebber, D. P. (2021). Plant pathogen infection risk tracks global crop yields under climate change. </w:t>
      </w:r>
      <w:r w:rsidRPr="00276377">
        <w:rPr>
          <w:rFonts w:ascii="Times New Roman" w:eastAsia="Times New Roman" w:hAnsi="Times New Roman" w:cs="Times New Roman"/>
          <w:i/>
          <w:iCs/>
          <w:sz w:val="24"/>
          <w:szCs w:val="24"/>
          <w:lang w:eastAsia="en-GB"/>
        </w:rPr>
        <w:t>Nature Climate Change</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11</w:t>
      </w:r>
      <w:r w:rsidRPr="00276377">
        <w:rPr>
          <w:rFonts w:ascii="Times New Roman" w:eastAsia="Times New Roman" w:hAnsi="Times New Roman" w:cs="Times New Roman"/>
          <w:sz w:val="24"/>
          <w:szCs w:val="24"/>
          <w:lang w:eastAsia="en-GB"/>
        </w:rPr>
        <w:t xml:space="preserve">, 710–715. </w:t>
      </w:r>
      <w:r w:rsidRPr="00276377">
        <w:rPr>
          <w:rFonts w:ascii="Times New Roman" w:eastAsia="Times New Roman" w:hAnsi="Times New Roman" w:cs="Times New Roman"/>
          <w:color w:val="0000FF"/>
          <w:sz w:val="24"/>
          <w:szCs w:val="24"/>
          <w:u w:val="single"/>
          <w:lang w:eastAsia="en-GB"/>
        </w:rPr>
        <w:t>https://doi.org/10.1038/s41558-021-01104-8</w:t>
      </w:r>
    </w:p>
    <w:p w14:paraId="4BDA4A03"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Deutsch, C. A., Tewksbury, J. J., </w:t>
      </w:r>
      <w:proofErr w:type="spellStart"/>
      <w:r w:rsidRPr="00276377">
        <w:rPr>
          <w:rFonts w:ascii="Times New Roman" w:eastAsia="Times New Roman" w:hAnsi="Times New Roman" w:cs="Times New Roman"/>
          <w:sz w:val="24"/>
          <w:szCs w:val="24"/>
          <w:lang w:eastAsia="en-GB"/>
        </w:rPr>
        <w:t>Tigchelaar</w:t>
      </w:r>
      <w:proofErr w:type="spellEnd"/>
      <w:r w:rsidRPr="00276377">
        <w:rPr>
          <w:rFonts w:ascii="Times New Roman" w:eastAsia="Times New Roman" w:hAnsi="Times New Roman" w:cs="Times New Roman"/>
          <w:sz w:val="24"/>
          <w:szCs w:val="24"/>
          <w:lang w:eastAsia="en-GB"/>
        </w:rPr>
        <w:t xml:space="preserve">, M., Battisti, D. S., Merrill, S. C., Huey, R. B., &amp; Naylor, R. L. (2018). Increase in crop losses to insect pests in a warming climate. </w:t>
      </w:r>
      <w:r w:rsidRPr="00276377">
        <w:rPr>
          <w:rFonts w:ascii="Times New Roman" w:eastAsia="Times New Roman" w:hAnsi="Times New Roman" w:cs="Times New Roman"/>
          <w:i/>
          <w:iCs/>
          <w:sz w:val="24"/>
          <w:szCs w:val="24"/>
          <w:lang w:eastAsia="en-GB"/>
        </w:rPr>
        <w:t>Science</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361</w:t>
      </w:r>
      <w:r w:rsidRPr="00276377">
        <w:rPr>
          <w:rFonts w:ascii="Times New Roman" w:eastAsia="Times New Roman" w:hAnsi="Times New Roman" w:cs="Times New Roman"/>
          <w:sz w:val="24"/>
          <w:szCs w:val="24"/>
          <w:lang w:eastAsia="en-GB"/>
        </w:rPr>
        <w:t xml:space="preserve">(6405), 916–919. </w:t>
      </w:r>
      <w:r w:rsidRPr="00276377">
        <w:rPr>
          <w:rFonts w:ascii="Times New Roman" w:eastAsia="Times New Roman" w:hAnsi="Times New Roman" w:cs="Times New Roman"/>
          <w:color w:val="0000FF"/>
          <w:sz w:val="24"/>
          <w:szCs w:val="24"/>
          <w:u w:val="single"/>
          <w:lang w:eastAsia="en-GB"/>
        </w:rPr>
        <w:t>https://doi.org/10.1126/science.aat3466</w:t>
      </w:r>
    </w:p>
    <w:p w14:paraId="10563095"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76377">
        <w:rPr>
          <w:rFonts w:ascii="Times New Roman" w:eastAsia="Times New Roman" w:hAnsi="Times New Roman" w:cs="Times New Roman"/>
          <w:sz w:val="24"/>
          <w:szCs w:val="24"/>
          <w:lang w:eastAsia="en-GB"/>
        </w:rPr>
        <w:t>ElShahed</w:t>
      </w:r>
      <w:proofErr w:type="spellEnd"/>
      <w:r w:rsidRPr="00276377">
        <w:rPr>
          <w:rFonts w:ascii="Times New Roman" w:eastAsia="Times New Roman" w:hAnsi="Times New Roman" w:cs="Times New Roman"/>
          <w:sz w:val="24"/>
          <w:szCs w:val="24"/>
          <w:lang w:eastAsia="en-GB"/>
        </w:rPr>
        <w:t xml:space="preserve">, S. M., Mostafa, Z. K., Radwan, M. H., &amp; Hosni, E. M. (2023). </w:t>
      </w:r>
      <w:proofErr w:type="spellStart"/>
      <w:r w:rsidRPr="00276377">
        <w:rPr>
          <w:rFonts w:ascii="Times New Roman" w:eastAsia="Times New Roman" w:hAnsi="Times New Roman" w:cs="Times New Roman"/>
          <w:sz w:val="24"/>
          <w:szCs w:val="24"/>
          <w:lang w:eastAsia="en-GB"/>
        </w:rPr>
        <w:t>Modeling</w:t>
      </w:r>
      <w:proofErr w:type="spellEnd"/>
      <w:r w:rsidRPr="00276377">
        <w:rPr>
          <w:rFonts w:ascii="Times New Roman" w:eastAsia="Times New Roman" w:hAnsi="Times New Roman" w:cs="Times New Roman"/>
          <w:sz w:val="24"/>
          <w:szCs w:val="24"/>
          <w:lang w:eastAsia="en-GB"/>
        </w:rPr>
        <w:t xml:space="preserve"> the potential global distribution of the Egyptian cotton leafworm, </w:t>
      </w:r>
      <w:r w:rsidRPr="00276377">
        <w:rPr>
          <w:rFonts w:ascii="Times New Roman" w:eastAsia="Times New Roman" w:hAnsi="Times New Roman" w:cs="Times New Roman"/>
          <w:i/>
          <w:iCs/>
          <w:sz w:val="24"/>
          <w:szCs w:val="24"/>
          <w:lang w:eastAsia="en-GB"/>
        </w:rPr>
        <w:t>Spodoptera littoralis</w:t>
      </w:r>
      <w:r w:rsidRPr="00276377">
        <w:rPr>
          <w:rFonts w:ascii="Times New Roman" w:eastAsia="Times New Roman" w:hAnsi="Times New Roman" w:cs="Times New Roman"/>
          <w:sz w:val="24"/>
          <w:szCs w:val="24"/>
          <w:lang w:eastAsia="en-GB"/>
        </w:rPr>
        <w:t xml:space="preserve"> under climate change. </w:t>
      </w:r>
      <w:r w:rsidRPr="00276377">
        <w:rPr>
          <w:rFonts w:ascii="Times New Roman" w:eastAsia="Times New Roman" w:hAnsi="Times New Roman" w:cs="Times New Roman"/>
          <w:i/>
          <w:iCs/>
          <w:sz w:val="24"/>
          <w:szCs w:val="24"/>
          <w:lang w:eastAsia="en-GB"/>
        </w:rPr>
        <w:t>Scientific Reports</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13</w:t>
      </w:r>
      <w:r w:rsidRPr="00276377">
        <w:rPr>
          <w:rFonts w:ascii="Times New Roman" w:eastAsia="Times New Roman" w:hAnsi="Times New Roman" w:cs="Times New Roman"/>
          <w:sz w:val="24"/>
          <w:szCs w:val="24"/>
          <w:lang w:eastAsia="en-GB"/>
        </w:rPr>
        <w:t xml:space="preserve">, Article 17314. </w:t>
      </w:r>
      <w:r w:rsidRPr="00276377">
        <w:rPr>
          <w:rFonts w:ascii="Times New Roman" w:eastAsia="Times New Roman" w:hAnsi="Times New Roman" w:cs="Times New Roman"/>
          <w:color w:val="0000FF"/>
          <w:sz w:val="24"/>
          <w:szCs w:val="24"/>
          <w:u w:val="single"/>
          <w:lang w:eastAsia="en-GB"/>
        </w:rPr>
        <w:t>https://doi.org/10.1038/s41598-023-44441-8</w:t>
      </w:r>
    </w:p>
    <w:p w14:paraId="55926F49"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Ferrari, R. (2015). Writing narrative style literature reviews. </w:t>
      </w:r>
      <w:r w:rsidRPr="00276377">
        <w:rPr>
          <w:rFonts w:ascii="Times New Roman" w:eastAsia="Times New Roman" w:hAnsi="Times New Roman" w:cs="Times New Roman"/>
          <w:i/>
          <w:iCs/>
          <w:sz w:val="24"/>
          <w:szCs w:val="24"/>
          <w:lang w:eastAsia="en-GB"/>
        </w:rPr>
        <w:t>Medical Writing</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24</w:t>
      </w:r>
      <w:r w:rsidRPr="00276377">
        <w:rPr>
          <w:rFonts w:ascii="Times New Roman" w:eastAsia="Times New Roman" w:hAnsi="Times New Roman" w:cs="Times New Roman"/>
          <w:sz w:val="24"/>
          <w:szCs w:val="24"/>
          <w:lang w:eastAsia="en-GB"/>
        </w:rPr>
        <w:t xml:space="preserve">(4), 230–235. </w:t>
      </w:r>
      <w:r w:rsidRPr="00276377">
        <w:rPr>
          <w:rFonts w:ascii="Times New Roman" w:eastAsia="Times New Roman" w:hAnsi="Times New Roman" w:cs="Times New Roman"/>
          <w:color w:val="0000FF"/>
          <w:sz w:val="24"/>
          <w:szCs w:val="24"/>
          <w:u w:val="single"/>
          <w:lang w:eastAsia="en-GB"/>
        </w:rPr>
        <w:t>https://doi.org/10.1179/2047480615Z.000000000329</w:t>
      </w:r>
    </w:p>
    <w:p w14:paraId="6DC43555"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76377">
        <w:rPr>
          <w:rFonts w:ascii="Times New Roman" w:eastAsia="Times New Roman" w:hAnsi="Times New Roman" w:cs="Times New Roman"/>
          <w:bCs/>
          <w:sz w:val="24"/>
          <w:szCs w:val="24"/>
          <w:lang w:eastAsia="en-GB"/>
        </w:rPr>
        <w:t>Guinet</w:t>
      </w:r>
      <w:proofErr w:type="spellEnd"/>
      <w:r w:rsidRPr="00276377">
        <w:rPr>
          <w:rFonts w:ascii="Times New Roman" w:eastAsia="Times New Roman" w:hAnsi="Times New Roman" w:cs="Times New Roman"/>
          <w:bCs/>
          <w:sz w:val="24"/>
          <w:szCs w:val="24"/>
          <w:lang w:eastAsia="en-GB"/>
        </w:rPr>
        <w:t xml:space="preserve">, M., </w:t>
      </w:r>
      <w:proofErr w:type="spellStart"/>
      <w:r w:rsidRPr="00276377">
        <w:rPr>
          <w:rFonts w:ascii="Times New Roman" w:eastAsia="Times New Roman" w:hAnsi="Times New Roman" w:cs="Times New Roman"/>
          <w:bCs/>
          <w:sz w:val="24"/>
          <w:szCs w:val="24"/>
          <w:lang w:eastAsia="en-GB"/>
        </w:rPr>
        <w:t>Adeux</w:t>
      </w:r>
      <w:proofErr w:type="spellEnd"/>
      <w:r w:rsidRPr="00276377">
        <w:rPr>
          <w:rFonts w:ascii="Times New Roman" w:eastAsia="Times New Roman" w:hAnsi="Times New Roman" w:cs="Times New Roman"/>
          <w:bCs/>
          <w:sz w:val="24"/>
          <w:szCs w:val="24"/>
          <w:lang w:eastAsia="en-GB"/>
        </w:rPr>
        <w:t xml:space="preserve">, G., Cordeau, S., Courson, E., </w:t>
      </w:r>
      <w:proofErr w:type="spellStart"/>
      <w:r w:rsidRPr="00276377">
        <w:rPr>
          <w:rFonts w:ascii="Times New Roman" w:eastAsia="Times New Roman" w:hAnsi="Times New Roman" w:cs="Times New Roman"/>
          <w:bCs/>
          <w:sz w:val="24"/>
          <w:szCs w:val="24"/>
          <w:lang w:eastAsia="en-GB"/>
        </w:rPr>
        <w:t>Nandillon</w:t>
      </w:r>
      <w:proofErr w:type="spellEnd"/>
      <w:r w:rsidRPr="00276377">
        <w:rPr>
          <w:rFonts w:ascii="Times New Roman" w:eastAsia="Times New Roman" w:hAnsi="Times New Roman" w:cs="Times New Roman"/>
          <w:bCs/>
          <w:sz w:val="24"/>
          <w:szCs w:val="24"/>
          <w:lang w:eastAsia="en-GB"/>
        </w:rPr>
        <w:t>, R., Zhang, Y., &amp; Munier-Jolain, N. (2023).</w:t>
      </w:r>
      <w:r w:rsidRPr="00276377">
        <w:rPr>
          <w:rFonts w:ascii="Times New Roman" w:eastAsia="Times New Roman" w:hAnsi="Times New Roman" w:cs="Times New Roman"/>
          <w:sz w:val="24"/>
          <w:szCs w:val="24"/>
          <w:lang w:eastAsia="en-GB"/>
        </w:rPr>
        <w:t xml:space="preserve"> Fostering temporal crop diversification to reduce pesticide use. </w:t>
      </w:r>
      <w:r w:rsidRPr="00276377">
        <w:rPr>
          <w:rFonts w:ascii="Times New Roman" w:eastAsia="Times New Roman" w:hAnsi="Times New Roman" w:cs="Times New Roman"/>
          <w:i/>
          <w:iCs/>
          <w:sz w:val="24"/>
          <w:szCs w:val="24"/>
          <w:lang w:eastAsia="en-GB"/>
        </w:rPr>
        <w:t>Nature Communications</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14</w:t>
      </w:r>
      <w:r w:rsidRPr="00276377">
        <w:rPr>
          <w:rFonts w:ascii="Times New Roman" w:eastAsia="Times New Roman" w:hAnsi="Times New Roman" w:cs="Times New Roman"/>
          <w:sz w:val="24"/>
          <w:szCs w:val="24"/>
          <w:lang w:eastAsia="en-GB"/>
        </w:rPr>
        <w:t xml:space="preserve">, 7416. </w:t>
      </w:r>
      <w:r w:rsidRPr="00276377">
        <w:rPr>
          <w:rFonts w:ascii="Times New Roman" w:eastAsia="Times New Roman" w:hAnsi="Times New Roman" w:cs="Times New Roman"/>
          <w:color w:val="0000FF"/>
          <w:sz w:val="24"/>
          <w:szCs w:val="24"/>
          <w:u w:val="single"/>
          <w:lang w:eastAsia="en-GB"/>
        </w:rPr>
        <w:t>https://doi.org/10.1038/s41467-023-43234-x</w:t>
      </w:r>
    </w:p>
    <w:p w14:paraId="1B3EFAB6"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Habel, J. C., Schmitt, T., Gros, P., &amp; Ulrich, W. (2024). Active around the year: Butterflies and moths adapt their life cycles to a warming world. </w:t>
      </w:r>
      <w:r w:rsidRPr="00276377">
        <w:rPr>
          <w:rFonts w:ascii="Times New Roman" w:eastAsia="Times New Roman" w:hAnsi="Times New Roman" w:cs="Times New Roman"/>
          <w:i/>
          <w:iCs/>
          <w:sz w:val="24"/>
          <w:szCs w:val="24"/>
          <w:lang w:eastAsia="en-GB"/>
        </w:rPr>
        <w:t>Global Change Biology</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30</w:t>
      </w:r>
      <w:r w:rsidRPr="00276377">
        <w:rPr>
          <w:rFonts w:ascii="Times New Roman" w:eastAsia="Times New Roman" w:hAnsi="Times New Roman" w:cs="Times New Roman"/>
          <w:sz w:val="24"/>
          <w:szCs w:val="24"/>
          <w:lang w:eastAsia="en-GB"/>
        </w:rPr>
        <w:t xml:space="preserve">(1), e17103. </w:t>
      </w:r>
      <w:r w:rsidRPr="00276377">
        <w:rPr>
          <w:rFonts w:ascii="Times New Roman" w:eastAsia="Times New Roman" w:hAnsi="Times New Roman" w:cs="Times New Roman"/>
          <w:color w:val="0000FF"/>
          <w:sz w:val="24"/>
          <w:szCs w:val="24"/>
          <w:u w:val="single"/>
          <w:lang w:eastAsia="en-GB"/>
        </w:rPr>
        <w:t>https://doi.org/10.1111/gcb.17103</w:t>
      </w:r>
    </w:p>
    <w:p w14:paraId="5A24E345"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Hosni, E. M., Al-Khalaf, A. A., Nasser, M. G., Abou-Shaara, H. F., &amp; Radwan, M. H. (2022). </w:t>
      </w:r>
      <w:proofErr w:type="spellStart"/>
      <w:r w:rsidRPr="00276377">
        <w:rPr>
          <w:rFonts w:ascii="Times New Roman" w:eastAsia="Times New Roman" w:hAnsi="Times New Roman" w:cs="Times New Roman"/>
          <w:sz w:val="24"/>
          <w:szCs w:val="24"/>
          <w:lang w:eastAsia="en-GB"/>
        </w:rPr>
        <w:t>Modeling</w:t>
      </w:r>
      <w:proofErr w:type="spellEnd"/>
      <w:r w:rsidRPr="00276377">
        <w:rPr>
          <w:rFonts w:ascii="Times New Roman" w:eastAsia="Times New Roman" w:hAnsi="Times New Roman" w:cs="Times New Roman"/>
          <w:sz w:val="24"/>
          <w:szCs w:val="24"/>
          <w:lang w:eastAsia="en-GB"/>
        </w:rPr>
        <w:t xml:space="preserve"> the potential global distribution of honeybee pest, </w:t>
      </w:r>
      <w:r w:rsidRPr="00276377">
        <w:rPr>
          <w:rFonts w:ascii="Times New Roman" w:eastAsia="Times New Roman" w:hAnsi="Times New Roman" w:cs="Times New Roman"/>
          <w:i/>
          <w:iCs/>
          <w:sz w:val="24"/>
          <w:szCs w:val="24"/>
          <w:lang w:eastAsia="en-GB"/>
        </w:rPr>
        <w:t>Galleria mellonella</w:t>
      </w:r>
      <w:r w:rsidRPr="00276377">
        <w:rPr>
          <w:rFonts w:ascii="Times New Roman" w:eastAsia="Times New Roman" w:hAnsi="Times New Roman" w:cs="Times New Roman"/>
          <w:sz w:val="24"/>
          <w:szCs w:val="24"/>
          <w:lang w:eastAsia="en-GB"/>
        </w:rPr>
        <w:t xml:space="preserve"> under changing climate. </w:t>
      </w:r>
      <w:r w:rsidRPr="00276377">
        <w:rPr>
          <w:rFonts w:ascii="Times New Roman" w:eastAsia="Times New Roman" w:hAnsi="Times New Roman" w:cs="Times New Roman"/>
          <w:i/>
          <w:iCs/>
          <w:sz w:val="24"/>
          <w:szCs w:val="24"/>
          <w:lang w:eastAsia="en-GB"/>
        </w:rPr>
        <w:t>Insects</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13</w:t>
      </w:r>
      <w:r w:rsidRPr="00276377">
        <w:rPr>
          <w:rFonts w:ascii="Times New Roman" w:eastAsia="Times New Roman" w:hAnsi="Times New Roman" w:cs="Times New Roman"/>
          <w:sz w:val="24"/>
          <w:szCs w:val="24"/>
          <w:lang w:eastAsia="en-GB"/>
        </w:rPr>
        <w:t xml:space="preserve">(5), 484. </w:t>
      </w:r>
      <w:r w:rsidRPr="00276377">
        <w:rPr>
          <w:rFonts w:ascii="Times New Roman" w:eastAsia="Times New Roman" w:hAnsi="Times New Roman" w:cs="Times New Roman"/>
          <w:color w:val="0000FF"/>
          <w:sz w:val="24"/>
          <w:szCs w:val="24"/>
          <w:u w:val="single"/>
          <w:lang w:eastAsia="en-GB"/>
        </w:rPr>
        <w:t>https://doi.org/10.3390/insects13050484</w:t>
      </w:r>
    </w:p>
    <w:p w14:paraId="542FAF06"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bCs/>
          <w:sz w:val="24"/>
          <w:szCs w:val="24"/>
          <w:lang w:eastAsia="en-GB"/>
        </w:rPr>
        <w:t xml:space="preserve">Jendritzki, I., </w:t>
      </w:r>
      <w:proofErr w:type="spellStart"/>
      <w:r w:rsidRPr="00276377">
        <w:rPr>
          <w:rFonts w:ascii="Times New Roman" w:eastAsia="Times New Roman" w:hAnsi="Times New Roman" w:cs="Times New Roman"/>
          <w:bCs/>
          <w:sz w:val="24"/>
          <w:szCs w:val="24"/>
          <w:lang w:eastAsia="en-GB"/>
        </w:rPr>
        <w:t>Tonnang</w:t>
      </w:r>
      <w:proofErr w:type="spellEnd"/>
      <w:r w:rsidRPr="00276377">
        <w:rPr>
          <w:rFonts w:ascii="Times New Roman" w:eastAsia="Times New Roman" w:hAnsi="Times New Roman" w:cs="Times New Roman"/>
          <w:bCs/>
          <w:sz w:val="24"/>
          <w:szCs w:val="24"/>
          <w:lang w:eastAsia="en-GB"/>
        </w:rPr>
        <w:t xml:space="preserve">, H. E. Z., Calatayud, P.-A., </w:t>
      </w:r>
      <w:proofErr w:type="spellStart"/>
      <w:r w:rsidRPr="00276377">
        <w:rPr>
          <w:rFonts w:ascii="Times New Roman" w:eastAsia="Times New Roman" w:hAnsi="Times New Roman" w:cs="Times New Roman"/>
          <w:bCs/>
          <w:sz w:val="24"/>
          <w:szCs w:val="24"/>
          <w:lang w:eastAsia="en-GB"/>
        </w:rPr>
        <w:t>Borgemeister</w:t>
      </w:r>
      <w:proofErr w:type="spellEnd"/>
      <w:r w:rsidRPr="00276377">
        <w:rPr>
          <w:rFonts w:ascii="Times New Roman" w:eastAsia="Times New Roman" w:hAnsi="Times New Roman" w:cs="Times New Roman"/>
          <w:bCs/>
          <w:sz w:val="24"/>
          <w:szCs w:val="24"/>
          <w:lang w:eastAsia="en-GB"/>
        </w:rPr>
        <w:t>, C., Johansson, T., &amp; Biber-Freudenberger, L. (2023).</w:t>
      </w:r>
      <w:r w:rsidRPr="00276377">
        <w:rPr>
          <w:rFonts w:ascii="Times New Roman" w:eastAsia="Times New Roman" w:hAnsi="Times New Roman" w:cs="Times New Roman"/>
          <w:sz w:val="24"/>
          <w:szCs w:val="24"/>
          <w:lang w:eastAsia="en-GB"/>
        </w:rPr>
        <w:t xml:space="preserve"> Uncertainties in the effectiveness of biological control of stem borers under different climate change scenarios in Eastern Africa. </w:t>
      </w:r>
      <w:r w:rsidRPr="00276377">
        <w:rPr>
          <w:rFonts w:ascii="Times New Roman" w:eastAsia="Times New Roman" w:hAnsi="Times New Roman" w:cs="Times New Roman"/>
          <w:i/>
          <w:iCs/>
          <w:sz w:val="24"/>
          <w:szCs w:val="24"/>
          <w:lang w:eastAsia="en-GB"/>
        </w:rPr>
        <w:t>Climatic Change</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176</w:t>
      </w:r>
      <w:r w:rsidRPr="00276377">
        <w:rPr>
          <w:rFonts w:ascii="Times New Roman" w:eastAsia="Times New Roman" w:hAnsi="Times New Roman" w:cs="Times New Roman"/>
          <w:sz w:val="24"/>
          <w:szCs w:val="24"/>
          <w:lang w:eastAsia="en-GB"/>
        </w:rPr>
        <w:t xml:space="preserve">, Article 56. </w:t>
      </w:r>
      <w:r w:rsidRPr="00276377">
        <w:rPr>
          <w:rFonts w:ascii="Times New Roman" w:eastAsia="Times New Roman" w:hAnsi="Times New Roman" w:cs="Times New Roman"/>
          <w:color w:val="0000FF"/>
          <w:sz w:val="24"/>
          <w:szCs w:val="24"/>
          <w:u w:val="single"/>
          <w:lang w:eastAsia="en-GB"/>
        </w:rPr>
        <w:t>https://doi.org/10.1007/s10584-023-03514-3</w:t>
      </w:r>
    </w:p>
    <w:p w14:paraId="445A54AB"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Johnson, S. N., Waterman, J. M., &amp; Hall, C. R. (2020). Increased insect herbivore performance under elevated CO2 is associated with lower plant defence signalling and minimal declines in nutritional quality. </w:t>
      </w:r>
      <w:r w:rsidRPr="00276377">
        <w:rPr>
          <w:rFonts w:ascii="Times New Roman" w:eastAsia="Times New Roman" w:hAnsi="Times New Roman" w:cs="Times New Roman"/>
          <w:i/>
          <w:iCs/>
          <w:sz w:val="24"/>
          <w:szCs w:val="24"/>
          <w:lang w:eastAsia="en-GB"/>
        </w:rPr>
        <w:t>Scientific Reports</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10</w:t>
      </w:r>
      <w:r w:rsidRPr="00276377">
        <w:rPr>
          <w:rFonts w:ascii="Times New Roman" w:eastAsia="Times New Roman" w:hAnsi="Times New Roman" w:cs="Times New Roman"/>
          <w:sz w:val="24"/>
          <w:szCs w:val="24"/>
          <w:lang w:eastAsia="en-GB"/>
        </w:rPr>
        <w:t xml:space="preserve">, Article 14553. </w:t>
      </w:r>
      <w:r w:rsidRPr="00276377">
        <w:rPr>
          <w:rFonts w:ascii="Times New Roman" w:eastAsia="Times New Roman" w:hAnsi="Times New Roman" w:cs="Times New Roman"/>
          <w:color w:val="0000FF"/>
          <w:sz w:val="24"/>
          <w:szCs w:val="24"/>
          <w:u w:val="single"/>
          <w:lang w:eastAsia="en-GB"/>
        </w:rPr>
        <w:t>https://doi.org/10.1038/s41598-020-70823-3</w:t>
      </w:r>
    </w:p>
    <w:p w14:paraId="586EF5A4"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lastRenderedPageBreak/>
        <w:t xml:space="preserve">Krishnan, S., &amp; Chander, S. (2015). Simulation of climatic change impact on crop–pest interactions: A case study of rice pink stem borer </w:t>
      </w:r>
      <w:proofErr w:type="spellStart"/>
      <w:r w:rsidRPr="00276377">
        <w:rPr>
          <w:rFonts w:ascii="Times New Roman" w:eastAsia="Times New Roman" w:hAnsi="Times New Roman" w:cs="Times New Roman"/>
          <w:i/>
          <w:iCs/>
          <w:sz w:val="24"/>
          <w:szCs w:val="24"/>
          <w:lang w:eastAsia="en-GB"/>
        </w:rPr>
        <w:t>Sesamia</w:t>
      </w:r>
      <w:proofErr w:type="spellEnd"/>
      <w:r w:rsidRPr="00276377">
        <w:rPr>
          <w:rFonts w:ascii="Times New Roman" w:eastAsia="Times New Roman" w:hAnsi="Times New Roman" w:cs="Times New Roman"/>
          <w:i/>
          <w:iCs/>
          <w:sz w:val="24"/>
          <w:szCs w:val="24"/>
          <w:lang w:eastAsia="en-GB"/>
        </w:rPr>
        <w:t xml:space="preserve"> </w:t>
      </w:r>
      <w:proofErr w:type="spellStart"/>
      <w:r w:rsidRPr="00276377">
        <w:rPr>
          <w:rFonts w:ascii="Times New Roman" w:eastAsia="Times New Roman" w:hAnsi="Times New Roman" w:cs="Times New Roman"/>
          <w:i/>
          <w:iCs/>
          <w:sz w:val="24"/>
          <w:szCs w:val="24"/>
          <w:lang w:eastAsia="en-GB"/>
        </w:rPr>
        <w:t>inferens</w:t>
      </w:r>
      <w:proofErr w:type="spellEnd"/>
      <w:r w:rsidRPr="00276377">
        <w:rPr>
          <w:rFonts w:ascii="Times New Roman" w:eastAsia="Times New Roman" w:hAnsi="Times New Roman" w:cs="Times New Roman"/>
          <w:sz w:val="24"/>
          <w:szCs w:val="24"/>
          <w:lang w:eastAsia="en-GB"/>
        </w:rPr>
        <w:t xml:space="preserve"> (Walker). </w:t>
      </w:r>
      <w:r w:rsidRPr="00276377">
        <w:rPr>
          <w:rFonts w:ascii="Times New Roman" w:eastAsia="Times New Roman" w:hAnsi="Times New Roman" w:cs="Times New Roman"/>
          <w:i/>
          <w:iCs/>
          <w:sz w:val="24"/>
          <w:szCs w:val="24"/>
          <w:lang w:eastAsia="en-GB"/>
        </w:rPr>
        <w:t>Climatic Change</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131</w:t>
      </w:r>
      <w:r w:rsidRPr="00276377">
        <w:rPr>
          <w:rFonts w:ascii="Times New Roman" w:eastAsia="Times New Roman" w:hAnsi="Times New Roman" w:cs="Times New Roman"/>
          <w:sz w:val="24"/>
          <w:szCs w:val="24"/>
          <w:lang w:eastAsia="en-GB"/>
        </w:rPr>
        <w:t xml:space="preserve">(2), 259–272. </w:t>
      </w:r>
      <w:r w:rsidRPr="00276377">
        <w:rPr>
          <w:rFonts w:ascii="Times New Roman" w:eastAsia="Times New Roman" w:hAnsi="Times New Roman" w:cs="Times New Roman"/>
          <w:color w:val="0000FF"/>
          <w:sz w:val="24"/>
          <w:szCs w:val="24"/>
          <w:u w:val="single"/>
          <w:lang w:eastAsia="en-GB"/>
        </w:rPr>
        <w:t>https://doi.org/10.1007/s10584-015-1385-3</w:t>
      </w:r>
    </w:p>
    <w:p w14:paraId="33D28665"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bCs/>
          <w:sz w:val="24"/>
          <w:szCs w:val="24"/>
          <w:lang w:eastAsia="en-GB"/>
        </w:rPr>
        <w:t xml:space="preserve">Kriticos, D., </w:t>
      </w:r>
      <w:proofErr w:type="spellStart"/>
      <w:r w:rsidRPr="00276377">
        <w:rPr>
          <w:rFonts w:ascii="Times New Roman" w:eastAsia="Times New Roman" w:hAnsi="Times New Roman" w:cs="Times New Roman"/>
          <w:bCs/>
          <w:sz w:val="24"/>
          <w:szCs w:val="24"/>
          <w:lang w:eastAsia="en-GB"/>
        </w:rPr>
        <w:t>Szyniszewska</w:t>
      </w:r>
      <w:proofErr w:type="spellEnd"/>
      <w:r w:rsidRPr="00276377">
        <w:rPr>
          <w:rFonts w:ascii="Times New Roman" w:eastAsia="Times New Roman" w:hAnsi="Times New Roman" w:cs="Times New Roman"/>
          <w:bCs/>
          <w:sz w:val="24"/>
          <w:szCs w:val="24"/>
          <w:lang w:eastAsia="en-GB"/>
        </w:rPr>
        <w:t xml:space="preserve">, A., Bradshaw, C., Li, C., </w:t>
      </w:r>
      <w:proofErr w:type="spellStart"/>
      <w:r w:rsidRPr="00276377">
        <w:rPr>
          <w:rFonts w:ascii="Times New Roman" w:eastAsia="Times New Roman" w:hAnsi="Times New Roman" w:cs="Times New Roman"/>
          <w:bCs/>
          <w:sz w:val="24"/>
          <w:szCs w:val="24"/>
          <w:lang w:eastAsia="en-GB"/>
        </w:rPr>
        <w:t>Verykouki</w:t>
      </w:r>
      <w:proofErr w:type="spellEnd"/>
      <w:r w:rsidRPr="00276377">
        <w:rPr>
          <w:rFonts w:ascii="Times New Roman" w:eastAsia="Times New Roman" w:hAnsi="Times New Roman" w:cs="Times New Roman"/>
          <w:bCs/>
          <w:sz w:val="24"/>
          <w:szCs w:val="24"/>
          <w:lang w:eastAsia="en-GB"/>
        </w:rPr>
        <w:t xml:space="preserve">, E., </w:t>
      </w:r>
      <w:proofErr w:type="spellStart"/>
      <w:r w:rsidRPr="00276377">
        <w:rPr>
          <w:rFonts w:ascii="Times New Roman" w:eastAsia="Times New Roman" w:hAnsi="Times New Roman" w:cs="Times New Roman"/>
          <w:bCs/>
          <w:sz w:val="24"/>
          <w:szCs w:val="24"/>
          <w:lang w:eastAsia="en-GB"/>
        </w:rPr>
        <w:t>Yonow</w:t>
      </w:r>
      <w:proofErr w:type="spellEnd"/>
      <w:r w:rsidRPr="00276377">
        <w:rPr>
          <w:rFonts w:ascii="Times New Roman" w:eastAsia="Times New Roman" w:hAnsi="Times New Roman" w:cs="Times New Roman"/>
          <w:bCs/>
          <w:sz w:val="24"/>
          <w:szCs w:val="24"/>
          <w:lang w:eastAsia="en-GB"/>
        </w:rPr>
        <w:t>, T., &amp; Duffy, C. (2024).</w:t>
      </w:r>
      <w:r w:rsidRPr="00276377">
        <w:rPr>
          <w:rFonts w:ascii="Times New Roman" w:eastAsia="Times New Roman" w:hAnsi="Times New Roman" w:cs="Times New Roman"/>
          <w:sz w:val="24"/>
          <w:szCs w:val="24"/>
          <w:lang w:eastAsia="en-GB"/>
        </w:rPr>
        <w:t xml:space="preserve"> Modelling tools for including climate change in pest risk assessments. </w:t>
      </w:r>
      <w:r w:rsidRPr="00276377">
        <w:rPr>
          <w:rFonts w:ascii="Times New Roman" w:eastAsia="Times New Roman" w:hAnsi="Times New Roman" w:cs="Times New Roman"/>
          <w:i/>
          <w:iCs/>
          <w:sz w:val="24"/>
          <w:szCs w:val="24"/>
          <w:lang w:eastAsia="en-GB"/>
        </w:rPr>
        <w:t>EPPO Bulletin</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54</w:t>
      </w:r>
      <w:r w:rsidRPr="00276377">
        <w:rPr>
          <w:rFonts w:ascii="Times New Roman" w:eastAsia="Times New Roman" w:hAnsi="Times New Roman" w:cs="Times New Roman"/>
          <w:sz w:val="24"/>
          <w:szCs w:val="24"/>
          <w:lang w:eastAsia="en-GB"/>
        </w:rPr>
        <w:t xml:space="preserve">(Suppl. 1), 38–51. </w:t>
      </w:r>
      <w:r w:rsidRPr="00276377">
        <w:rPr>
          <w:rFonts w:ascii="Times New Roman" w:eastAsia="Times New Roman" w:hAnsi="Times New Roman" w:cs="Times New Roman"/>
          <w:color w:val="0000FF"/>
          <w:sz w:val="24"/>
          <w:szCs w:val="24"/>
          <w:u w:val="single"/>
          <w:lang w:eastAsia="en-GB"/>
        </w:rPr>
        <w:t>https://doi.org/10.1111/epp.12994</w:t>
      </w:r>
    </w:p>
    <w:p w14:paraId="2E7AA729"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Lehmann, P., </w:t>
      </w:r>
      <w:proofErr w:type="spellStart"/>
      <w:r w:rsidRPr="00276377">
        <w:rPr>
          <w:rFonts w:ascii="Times New Roman" w:eastAsia="Times New Roman" w:hAnsi="Times New Roman" w:cs="Times New Roman"/>
          <w:sz w:val="24"/>
          <w:szCs w:val="24"/>
          <w:lang w:eastAsia="en-GB"/>
        </w:rPr>
        <w:t>Ammunét</w:t>
      </w:r>
      <w:proofErr w:type="spellEnd"/>
      <w:r w:rsidRPr="00276377">
        <w:rPr>
          <w:rFonts w:ascii="Times New Roman" w:eastAsia="Times New Roman" w:hAnsi="Times New Roman" w:cs="Times New Roman"/>
          <w:sz w:val="24"/>
          <w:szCs w:val="24"/>
          <w:lang w:eastAsia="en-GB"/>
        </w:rPr>
        <w:t xml:space="preserve">, T., Barton, M., Battisti, A., Eigenbrode, S. D., Jepsen, J. U., </w:t>
      </w:r>
      <w:proofErr w:type="spellStart"/>
      <w:r w:rsidRPr="00276377">
        <w:rPr>
          <w:rFonts w:ascii="Times New Roman" w:eastAsia="Times New Roman" w:hAnsi="Times New Roman" w:cs="Times New Roman"/>
          <w:sz w:val="24"/>
          <w:szCs w:val="24"/>
          <w:lang w:eastAsia="en-GB"/>
        </w:rPr>
        <w:t>Kalinkat</w:t>
      </w:r>
      <w:proofErr w:type="spellEnd"/>
      <w:r w:rsidRPr="00276377">
        <w:rPr>
          <w:rFonts w:ascii="Times New Roman" w:eastAsia="Times New Roman" w:hAnsi="Times New Roman" w:cs="Times New Roman"/>
          <w:sz w:val="24"/>
          <w:szCs w:val="24"/>
          <w:lang w:eastAsia="en-GB"/>
        </w:rPr>
        <w:t xml:space="preserve">, G., Neuvonen, S., Niemelä, P., Terblanche, J. S., Økland, B., &amp; Björkman, C. (2020). Complex responses of global insect pests to climate warming. </w:t>
      </w:r>
      <w:r w:rsidRPr="00276377">
        <w:rPr>
          <w:rFonts w:ascii="Times New Roman" w:eastAsia="Times New Roman" w:hAnsi="Times New Roman" w:cs="Times New Roman"/>
          <w:i/>
          <w:iCs/>
          <w:sz w:val="24"/>
          <w:szCs w:val="24"/>
          <w:lang w:eastAsia="en-GB"/>
        </w:rPr>
        <w:t>Frontiers in Ecology and the Environment</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18</w:t>
      </w:r>
      <w:r w:rsidRPr="00276377">
        <w:rPr>
          <w:rFonts w:ascii="Times New Roman" w:eastAsia="Times New Roman" w:hAnsi="Times New Roman" w:cs="Times New Roman"/>
          <w:sz w:val="24"/>
          <w:szCs w:val="24"/>
          <w:lang w:eastAsia="en-GB"/>
        </w:rPr>
        <w:t xml:space="preserve">(3), 141–150. </w:t>
      </w:r>
      <w:r w:rsidRPr="00276377">
        <w:rPr>
          <w:rFonts w:ascii="Times New Roman" w:eastAsia="Times New Roman" w:hAnsi="Times New Roman" w:cs="Times New Roman"/>
          <w:color w:val="0000FF"/>
          <w:sz w:val="24"/>
          <w:szCs w:val="24"/>
          <w:u w:val="single"/>
          <w:lang w:eastAsia="en-GB"/>
        </w:rPr>
        <w:t>https://doi.org/10.1002/fee.2160</w:t>
      </w:r>
    </w:p>
    <w:p w14:paraId="326B9AE6"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Ma, C.-S., Wang, B.-X., Wang, X.-J., Lin, Q.-C., Zhang, W., Yang, X.-F., van Baaren, J., Bebber, D. P., Eigenbrode, S. D., Zalucki, M. P., Zeng, J., &amp; Ma, G. (2025). Crop pest responses to global changes in climate and land management. </w:t>
      </w:r>
      <w:r w:rsidRPr="00276377">
        <w:rPr>
          <w:rFonts w:ascii="Times New Roman" w:eastAsia="Times New Roman" w:hAnsi="Times New Roman" w:cs="Times New Roman"/>
          <w:i/>
          <w:iCs/>
          <w:sz w:val="24"/>
          <w:szCs w:val="24"/>
          <w:lang w:eastAsia="en-GB"/>
        </w:rPr>
        <w:t>Nature Reviews Earth &amp; Environment</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6</w:t>
      </w:r>
      <w:r w:rsidRPr="00276377">
        <w:rPr>
          <w:rFonts w:ascii="Times New Roman" w:eastAsia="Times New Roman" w:hAnsi="Times New Roman" w:cs="Times New Roman"/>
          <w:sz w:val="24"/>
          <w:szCs w:val="24"/>
          <w:lang w:eastAsia="en-GB"/>
        </w:rPr>
        <w:t xml:space="preserve">(4), 264–283. </w:t>
      </w:r>
      <w:r w:rsidRPr="00276377">
        <w:rPr>
          <w:rFonts w:ascii="Times New Roman" w:eastAsia="Times New Roman" w:hAnsi="Times New Roman" w:cs="Times New Roman"/>
          <w:color w:val="0000FF"/>
          <w:sz w:val="24"/>
          <w:szCs w:val="24"/>
          <w:u w:val="single"/>
          <w:lang w:eastAsia="en-GB"/>
        </w:rPr>
        <w:t>https://doi.org/10.1038/s43017-025-00652-3</w:t>
      </w:r>
    </w:p>
    <w:p w14:paraId="65223C93"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Matzrafi, M. (2019). Climate change exacerbates pest damage through reduced pesticide efficacy. </w:t>
      </w:r>
      <w:r w:rsidRPr="00276377">
        <w:rPr>
          <w:rFonts w:ascii="Times New Roman" w:eastAsia="Times New Roman" w:hAnsi="Times New Roman" w:cs="Times New Roman"/>
          <w:i/>
          <w:iCs/>
          <w:sz w:val="24"/>
          <w:szCs w:val="24"/>
          <w:lang w:eastAsia="en-GB"/>
        </w:rPr>
        <w:t>Pest Management Science</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75</w:t>
      </w:r>
      <w:r w:rsidRPr="00276377">
        <w:rPr>
          <w:rFonts w:ascii="Times New Roman" w:eastAsia="Times New Roman" w:hAnsi="Times New Roman" w:cs="Times New Roman"/>
          <w:sz w:val="24"/>
          <w:szCs w:val="24"/>
          <w:lang w:eastAsia="en-GB"/>
        </w:rPr>
        <w:t xml:space="preserve">(1), 9–13. </w:t>
      </w:r>
      <w:r w:rsidRPr="00276377">
        <w:rPr>
          <w:rFonts w:ascii="Times New Roman" w:eastAsia="Times New Roman" w:hAnsi="Times New Roman" w:cs="Times New Roman"/>
          <w:color w:val="0000FF"/>
          <w:sz w:val="24"/>
          <w:szCs w:val="24"/>
          <w:u w:val="single"/>
          <w:lang w:eastAsia="en-GB"/>
        </w:rPr>
        <w:t>https://doi.org/10.1002/ps.5121</w:t>
      </w:r>
    </w:p>
    <w:p w14:paraId="6D7AB721"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276377">
        <w:rPr>
          <w:rFonts w:ascii="Times New Roman" w:eastAsia="Times New Roman" w:hAnsi="Times New Roman" w:cs="Times New Roman"/>
          <w:sz w:val="24"/>
          <w:szCs w:val="24"/>
          <w:lang w:eastAsia="en-GB"/>
        </w:rPr>
        <w:t>Mwalusepo</w:t>
      </w:r>
      <w:proofErr w:type="spellEnd"/>
      <w:r w:rsidRPr="00276377">
        <w:rPr>
          <w:rFonts w:ascii="Times New Roman" w:eastAsia="Times New Roman" w:hAnsi="Times New Roman" w:cs="Times New Roman"/>
          <w:sz w:val="24"/>
          <w:szCs w:val="24"/>
          <w:lang w:eastAsia="en-GB"/>
        </w:rPr>
        <w:t xml:space="preserve">, S., </w:t>
      </w:r>
      <w:proofErr w:type="spellStart"/>
      <w:r w:rsidRPr="00276377">
        <w:rPr>
          <w:rFonts w:ascii="Times New Roman" w:eastAsia="Times New Roman" w:hAnsi="Times New Roman" w:cs="Times New Roman"/>
          <w:sz w:val="24"/>
          <w:szCs w:val="24"/>
          <w:lang w:eastAsia="en-GB"/>
        </w:rPr>
        <w:t>Tonnang</w:t>
      </w:r>
      <w:proofErr w:type="spellEnd"/>
      <w:r w:rsidRPr="00276377">
        <w:rPr>
          <w:rFonts w:ascii="Times New Roman" w:eastAsia="Times New Roman" w:hAnsi="Times New Roman" w:cs="Times New Roman"/>
          <w:sz w:val="24"/>
          <w:szCs w:val="24"/>
          <w:lang w:eastAsia="en-GB"/>
        </w:rPr>
        <w:t xml:space="preserve">, H. E. Z., </w:t>
      </w:r>
      <w:proofErr w:type="spellStart"/>
      <w:r w:rsidRPr="00276377">
        <w:rPr>
          <w:rFonts w:ascii="Times New Roman" w:eastAsia="Times New Roman" w:hAnsi="Times New Roman" w:cs="Times New Roman"/>
          <w:sz w:val="24"/>
          <w:szCs w:val="24"/>
          <w:lang w:eastAsia="en-GB"/>
        </w:rPr>
        <w:t>Massawe</w:t>
      </w:r>
      <w:proofErr w:type="spellEnd"/>
      <w:r w:rsidRPr="00276377">
        <w:rPr>
          <w:rFonts w:ascii="Times New Roman" w:eastAsia="Times New Roman" w:hAnsi="Times New Roman" w:cs="Times New Roman"/>
          <w:sz w:val="24"/>
          <w:szCs w:val="24"/>
          <w:lang w:eastAsia="en-GB"/>
        </w:rPr>
        <w:t xml:space="preserve">, E. S., Okuku, G. O., </w:t>
      </w:r>
      <w:proofErr w:type="spellStart"/>
      <w:r w:rsidRPr="00276377">
        <w:rPr>
          <w:rFonts w:ascii="Times New Roman" w:eastAsia="Times New Roman" w:hAnsi="Times New Roman" w:cs="Times New Roman"/>
          <w:sz w:val="24"/>
          <w:szCs w:val="24"/>
          <w:lang w:eastAsia="en-GB"/>
        </w:rPr>
        <w:t>Khadioli</w:t>
      </w:r>
      <w:proofErr w:type="spellEnd"/>
      <w:r w:rsidRPr="00276377">
        <w:rPr>
          <w:rFonts w:ascii="Times New Roman" w:eastAsia="Times New Roman" w:hAnsi="Times New Roman" w:cs="Times New Roman"/>
          <w:sz w:val="24"/>
          <w:szCs w:val="24"/>
          <w:lang w:eastAsia="en-GB"/>
        </w:rPr>
        <w:t xml:space="preserve">, N., Johansson, T., Calatayud, P.-A., &amp; Le Ru, B. P. (2015). Predicting the impact of temperature change on the future distribution of maize stem borers and their natural enemies along East African mountain gradients using phenology models. </w:t>
      </w:r>
      <w:proofErr w:type="spellStart"/>
      <w:r w:rsidRPr="00276377">
        <w:rPr>
          <w:rFonts w:ascii="Times New Roman" w:eastAsia="Times New Roman" w:hAnsi="Times New Roman" w:cs="Times New Roman"/>
          <w:i/>
          <w:iCs/>
          <w:sz w:val="24"/>
          <w:szCs w:val="24"/>
          <w:lang w:eastAsia="en-GB"/>
        </w:rPr>
        <w:t>PLoS</w:t>
      </w:r>
      <w:proofErr w:type="spellEnd"/>
      <w:r w:rsidRPr="00276377">
        <w:rPr>
          <w:rFonts w:ascii="Times New Roman" w:eastAsia="Times New Roman" w:hAnsi="Times New Roman" w:cs="Times New Roman"/>
          <w:i/>
          <w:iCs/>
          <w:sz w:val="24"/>
          <w:szCs w:val="24"/>
          <w:lang w:eastAsia="en-GB"/>
        </w:rPr>
        <w:t xml:space="preserve"> ONE</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10</w:t>
      </w:r>
      <w:r w:rsidRPr="00276377">
        <w:rPr>
          <w:rFonts w:ascii="Times New Roman" w:eastAsia="Times New Roman" w:hAnsi="Times New Roman" w:cs="Times New Roman"/>
          <w:sz w:val="24"/>
          <w:szCs w:val="24"/>
          <w:lang w:eastAsia="en-GB"/>
        </w:rPr>
        <w:t xml:space="preserve">(6), e0130427. </w:t>
      </w:r>
      <w:r w:rsidRPr="00276377">
        <w:rPr>
          <w:rFonts w:ascii="Times New Roman" w:eastAsia="Times New Roman" w:hAnsi="Times New Roman" w:cs="Times New Roman"/>
          <w:color w:val="0000FF"/>
          <w:sz w:val="24"/>
          <w:szCs w:val="24"/>
          <w:u w:val="single"/>
          <w:lang w:eastAsia="en-GB"/>
        </w:rPr>
        <w:t>https://doi.org/10.1371/journal.pone.0130427</w:t>
      </w:r>
    </w:p>
    <w:p w14:paraId="17D06421"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Newbold, T., Oppenheimer, P., </w:t>
      </w:r>
      <w:proofErr w:type="spellStart"/>
      <w:r w:rsidRPr="00276377">
        <w:rPr>
          <w:rFonts w:ascii="Times New Roman" w:eastAsia="Times New Roman" w:hAnsi="Times New Roman" w:cs="Times New Roman"/>
          <w:sz w:val="24"/>
          <w:szCs w:val="24"/>
          <w:lang w:eastAsia="en-GB"/>
        </w:rPr>
        <w:t>Etard</w:t>
      </w:r>
      <w:proofErr w:type="spellEnd"/>
      <w:r w:rsidRPr="00276377">
        <w:rPr>
          <w:rFonts w:ascii="Times New Roman" w:eastAsia="Times New Roman" w:hAnsi="Times New Roman" w:cs="Times New Roman"/>
          <w:sz w:val="24"/>
          <w:szCs w:val="24"/>
          <w:lang w:eastAsia="en-GB"/>
        </w:rPr>
        <w:t xml:space="preserve">, A., &amp; Williams, J. J. (2020). Tropical and Mediterranean biodiversity is disproportionately sensitive to land-use and climate change. </w:t>
      </w:r>
      <w:r w:rsidRPr="00276377">
        <w:rPr>
          <w:rFonts w:ascii="Times New Roman" w:eastAsia="Times New Roman" w:hAnsi="Times New Roman" w:cs="Times New Roman"/>
          <w:i/>
          <w:iCs/>
          <w:sz w:val="24"/>
          <w:szCs w:val="24"/>
          <w:lang w:eastAsia="en-GB"/>
        </w:rPr>
        <w:t>Nature Ecology &amp; Evolution</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4</w:t>
      </w:r>
      <w:r w:rsidRPr="00276377">
        <w:rPr>
          <w:rFonts w:ascii="Times New Roman" w:eastAsia="Times New Roman" w:hAnsi="Times New Roman" w:cs="Times New Roman"/>
          <w:sz w:val="24"/>
          <w:szCs w:val="24"/>
          <w:lang w:eastAsia="en-GB"/>
        </w:rPr>
        <w:t xml:space="preserve">, 1630–1638. </w:t>
      </w:r>
      <w:r w:rsidRPr="00276377">
        <w:rPr>
          <w:rFonts w:ascii="Times New Roman" w:eastAsia="Times New Roman" w:hAnsi="Times New Roman" w:cs="Times New Roman"/>
          <w:color w:val="0000FF"/>
          <w:sz w:val="24"/>
          <w:szCs w:val="24"/>
          <w:u w:val="single"/>
          <w:lang w:eastAsia="en-GB"/>
        </w:rPr>
        <w:t>https://doi.org/10.1038/s41559-020-01303-0</w:t>
      </w:r>
    </w:p>
    <w:p w14:paraId="309DF246"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Parmesan, C., &amp; Yohe, G. (2003). A globally coherent fingerprint of climate change impacts across natural systems. </w:t>
      </w:r>
      <w:r w:rsidRPr="00276377">
        <w:rPr>
          <w:rFonts w:ascii="Times New Roman" w:eastAsia="Times New Roman" w:hAnsi="Times New Roman" w:cs="Times New Roman"/>
          <w:i/>
          <w:iCs/>
          <w:sz w:val="24"/>
          <w:szCs w:val="24"/>
          <w:lang w:eastAsia="en-GB"/>
        </w:rPr>
        <w:t>Nature</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421</w:t>
      </w:r>
      <w:r w:rsidRPr="00276377">
        <w:rPr>
          <w:rFonts w:ascii="Times New Roman" w:eastAsia="Times New Roman" w:hAnsi="Times New Roman" w:cs="Times New Roman"/>
          <w:sz w:val="24"/>
          <w:szCs w:val="24"/>
          <w:lang w:eastAsia="en-GB"/>
        </w:rPr>
        <w:t xml:space="preserve">(6918), 37–42. </w:t>
      </w:r>
      <w:r w:rsidRPr="00276377">
        <w:rPr>
          <w:rFonts w:ascii="Times New Roman" w:eastAsia="Times New Roman" w:hAnsi="Times New Roman" w:cs="Times New Roman"/>
          <w:color w:val="0000FF"/>
          <w:sz w:val="24"/>
          <w:szCs w:val="24"/>
          <w:u w:val="single"/>
          <w:lang w:eastAsia="en-GB"/>
        </w:rPr>
        <w:t>https://doi.org/10.1038/nature01286</w:t>
      </w:r>
    </w:p>
    <w:p w14:paraId="36642852"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Régnier, B., Legrand, J., Calatayud, P.-A., &amp; </w:t>
      </w:r>
      <w:proofErr w:type="spellStart"/>
      <w:r w:rsidRPr="00276377">
        <w:rPr>
          <w:rFonts w:ascii="Times New Roman" w:eastAsia="Times New Roman" w:hAnsi="Times New Roman" w:cs="Times New Roman"/>
          <w:sz w:val="24"/>
          <w:szCs w:val="24"/>
          <w:lang w:eastAsia="en-GB"/>
        </w:rPr>
        <w:t>Rebaudo</w:t>
      </w:r>
      <w:proofErr w:type="spellEnd"/>
      <w:r w:rsidRPr="00276377">
        <w:rPr>
          <w:rFonts w:ascii="Times New Roman" w:eastAsia="Times New Roman" w:hAnsi="Times New Roman" w:cs="Times New Roman"/>
          <w:sz w:val="24"/>
          <w:szCs w:val="24"/>
          <w:lang w:eastAsia="en-GB"/>
        </w:rPr>
        <w:t xml:space="preserve">, F. (2023). Developmental differentiations of major maize stemborers due to global warming in temperate and tropical climates. </w:t>
      </w:r>
      <w:r w:rsidRPr="00276377">
        <w:rPr>
          <w:rFonts w:ascii="Times New Roman" w:eastAsia="Times New Roman" w:hAnsi="Times New Roman" w:cs="Times New Roman"/>
          <w:i/>
          <w:iCs/>
          <w:sz w:val="24"/>
          <w:szCs w:val="24"/>
          <w:lang w:eastAsia="en-GB"/>
        </w:rPr>
        <w:t>Insects</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14</w:t>
      </w:r>
      <w:r w:rsidRPr="00276377">
        <w:rPr>
          <w:rFonts w:ascii="Times New Roman" w:eastAsia="Times New Roman" w:hAnsi="Times New Roman" w:cs="Times New Roman"/>
          <w:sz w:val="24"/>
          <w:szCs w:val="24"/>
          <w:lang w:eastAsia="en-GB"/>
        </w:rPr>
        <w:t xml:space="preserve">(1), 51. </w:t>
      </w:r>
      <w:r w:rsidRPr="00276377">
        <w:rPr>
          <w:rFonts w:ascii="Times New Roman" w:eastAsia="Times New Roman" w:hAnsi="Times New Roman" w:cs="Times New Roman"/>
          <w:color w:val="0000FF"/>
          <w:sz w:val="24"/>
          <w:szCs w:val="24"/>
          <w:u w:val="single"/>
          <w:lang w:eastAsia="en-GB"/>
        </w:rPr>
        <w:t>https://doi.org/10.3390/insects14010051</w:t>
      </w:r>
    </w:p>
    <w:p w14:paraId="3B6B90CE"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Robinson, E. A., Ryan, G. D., &amp; Newman, J. A. (2012). A meta-analytical review of the effects of elevated CO2 on plant-arthropod interactions highlights the importance of interacting environmental and biological variables. </w:t>
      </w:r>
      <w:r w:rsidRPr="00276377">
        <w:rPr>
          <w:rFonts w:ascii="Times New Roman" w:eastAsia="Times New Roman" w:hAnsi="Times New Roman" w:cs="Times New Roman"/>
          <w:i/>
          <w:iCs/>
          <w:sz w:val="24"/>
          <w:szCs w:val="24"/>
          <w:lang w:eastAsia="en-GB"/>
        </w:rPr>
        <w:t>New Phytologist</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194</w:t>
      </w:r>
      <w:r w:rsidRPr="00276377">
        <w:rPr>
          <w:rFonts w:ascii="Times New Roman" w:eastAsia="Times New Roman" w:hAnsi="Times New Roman" w:cs="Times New Roman"/>
          <w:sz w:val="24"/>
          <w:szCs w:val="24"/>
          <w:lang w:eastAsia="en-GB"/>
        </w:rPr>
        <w:t xml:space="preserve">(2), 321–336. </w:t>
      </w:r>
      <w:r w:rsidRPr="00276377">
        <w:rPr>
          <w:rFonts w:ascii="Times New Roman" w:eastAsia="Times New Roman" w:hAnsi="Times New Roman" w:cs="Times New Roman"/>
          <w:color w:val="0000FF"/>
          <w:sz w:val="24"/>
          <w:szCs w:val="24"/>
          <w:u w:val="single"/>
          <w:lang w:eastAsia="en-GB"/>
        </w:rPr>
        <w:t>https://doi.org/10.1111/j.1469-8137.2012.04074.x</w:t>
      </w:r>
    </w:p>
    <w:p w14:paraId="289EFF76"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Schneider, L., </w:t>
      </w:r>
      <w:proofErr w:type="spellStart"/>
      <w:r w:rsidRPr="00276377">
        <w:rPr>
          <w:rFonts w:ascii="Times New Roman" w:eastAsia="Times New Roman" w:hAnsi="Times New Roman" w:cs="Times New Roman"/>
          <w:sz w:val="24"/>
          <w:szCs w:val="24"/>
          <w:lang w:eastAsia="en-GB"/>
        </w:rPr>
        <w:t>Rebetez</w:t>
      </w:r>
      <w:proofErr w:type="spellEnd"/>
      <w:r w:rsidRPr="00276377">
        <w:rPr>
          <w:rFonts w:ascii="Times New Roman" w:eastAsia="Times New Roman" w:hAnsi="Times New Roman" w:cs="Times New Roman"/>
          <w:sz w:val="24"/>
          <w:szCs w:val="24"/>
          <w:lang w:eastAsia="en-GB"/>
        </w:rPr>
        <w:t xml:space="preserve">, M., &amp; Rasmann, S. (2022). The effect of climate change on invasive crop pests across biomes. </w:t>
      </w:r>
      <w:r w:rsidRPr="00276377">
        <w:rPr>
          <w:rFonts w:ascii="Times New Roman" w:eastAsia="Times New Roman" w:hAnsi="Times New Roman" w:cs="Times New Roman"/>
          <w:i/>
          <w:iCs/>
          <w:sz w:val="24"/>
          <w:szCs w:val="24"/>
          <w:lang w:eastAsia="en-GB"/>
        </w:rPr>
        <w:t>Current Opinion in Insect Science</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50</w:t>
      </w:r>
      <w:r w:rsidRPr="00276377">
        <w:rPr>
          <w:rFonts w:ascii="Times New Roman" w:eastAsia="Times New Roman" w:hAnsi="Times New Roman" w:cs="Times New Roman"/>
          <w:sz w:val="24"/>
          <w:szCs w:val="24"/>
          <w:lang w:eastAsia="en-GB"/>
        </w:rPr>
        <w:t xml:space="preserve">, 100895. </w:t>
      </w:r>
      <w:r w:rsidRPr="00276377">
        <w:rPr>
          <w:rFonts w:ascii="Times New Roman" w:eastAsia="Times New Roman" w:hAnsi="Times New Roman" w:cs="Times New Roman"/>
          <w:color w:val="0000FF"/>
          <w:sz w:val="24"/>
          <w:szCs w:val="24"/>
          <w:u w:val="single"/>
          <w:lang w:eastAsia="en-GB"/>
        </w:rPr>
        <w:t>https://doi.org/10.1016/j.cois.2022.100895</w:t>
      </w:r>
    </w:p>
    <w:p w14:paraId="76BB166C"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Sinclair, B. J., Marshall, K. E., Sewell, M. A., Levesque, D. L., Willett, C. S., Slotsbo, S., Dong, Y., Harley, C. D. G., Marshall, D. J., Helmuth, B. S., &amp; Huey, R. B. (2016). Can we </w:t>
      </w:r>
      <w:r w:rsidRPr="00276377">
        <w:rPr>
          <w:rFonts w:ascii="Times New Roman" w:eastAsia="Times New Roman" w:hAnsi="Times New Roman" w:cs="Times New Roman"/>
          <w:sz w:val="24"/>
          <w:szCs w:val="24"/>
          <w:lang w:eastAsia="en-GB"/>
        </w:rPr>
        <w:lastRenderedPageBreak/>
        <w:t xml:space="preserve">predict ectotherm responses to climate change using thermal performance curves and body temperatures? </w:t>
      </w:r>
      <w:r w:rsidRPr="00276377">
        <w:rPr>
          <w:rFonts w:ascii="Times New Roman" w:eastAsia="Times New Roman" w:hAnsi="Times New Roman" w:cs="Times New Roman"/>
          <w:i/>
          <w:iCs/>
          <w:sz w:val="24"/>
          <w:szCs w:val="24"/>
          <w:lang w:eastAsia="en-GB"/>
        </w:rPr>
        <w:t>Ecology Letters</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19</w:t>
      </w:r>
      <w:r w:rsidRPr="00276377">
        <w:rPr>
          <w:rFonts w:ascii="Times New Roman" w:eastAsia="Times New Roman" w:hAnsi="Times New Roman" w:cs="Times New Roman"/>
          <w:sz w:val="24"/>
          <w:szCs w:val="24"/>
          <w:lang w:eastAsia="en-GB"/>
        </w:rPr>
        <w:t xml:space="preserve">(11), 1372–1385. </w:t>
      </w:r>
      <w:r w:rsidRPr="00276377">
        <w:rPr>
          <w:rFonts w:ascii="Times New Roman" w:eastAsia="Times New Roman" w:hAnsi="Times New Roman" w:cs="Times New Roman"/>
          <w:color w:val="0000FF"/>
          <w:sz w:val="24"/>
          <w:szCs w:val="24"/>
          <w:u w:val="single"/>
          <w:lang w:eastAsia="en-GB"/>
        </w:rPr>
        <w:t>https://doi.org/10.1111/ele.12686</w:t>
      </w:r>
    </w:p>
    <w:p w14:paraId="02583529"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bCs/>
          <w:sz w:val="24"/>
          <w:szCs w:val="24"/>
          <w:lang w:eastAsia="en-GB"/>
        </w:rPr>
        <w:t xml:space="preserve">Thackeray, S. J., Henrys, P. A., Hemming, D., Bell, J. R., Botham, M. S., </w:t>
      </w:r>
      <w:proofErr w:type="spellStart"/>
      <w:r w:rsidRPr="00276377">
        <w:rPr>
          <w:rFonts w:ascii="Times New Roman" w:eastAsia="Times New Roman" w:hAnsi="Times New Roman" w:cs="Times New Roman"/>
          <w:bCs/>
          <w:sz w:val="24"/>
          <w:szCs w:val="24"/>
          <w:lang w:eastAsia="en-GB"/>
        </w:rPr>
        <w:t>Burthe</w:t>
      </w:r>
      <w:proofErr w:type="spellEnd"/>
      <w:r w:rsidRPr="00276377">
        <w:rPr>
          <w:rFonts w:ascii="Times New Roman" w:eastAsia="Times New Roman" w:hAnsi="Times New Roman" w:cs="Times New Roman"/>
          <w:bCs/>
          <w:sz w:val="24"/>
          <w:szCs w:val="24"/>
          <w:lang w:eastAsia="en-GB"/>
        </w:rPr>
        <w:t xml:space="preserve">, S., </w:t>
      </w:r>
      <w:proofErr w:type="spellStart"/>
      <w:r w:rsidRPr="00276377">
        <w:rPr>
          <w:rFonts w:ascii="Times New Roman" w:eastAsia="Times New Roman" w:hAnsi="Times New Roman" w:cs="Times New Roman"/>
          <w:bCs/>
          <w:sz w:val="24"/>
          <w:szCs w:val="24"/>
          <w:lang w:eastAsia="en-GB"/>
        </w:rPr>
        <w:t>Helaouet</w:t>
      </w:r>
      <w:proofErr w:type="spellEnd"/>
      <w:r w:rsidRPr="00276377">
        <w:rPr>
          <w:rFonts w:ascii="Times New Roman" w:eastAsia="Times New Roman" w:hAnsi="Times New Roman" w:cs="Times New Roman"/>
          <w:bCs/>
          <w:sz w:val="24"/>
          <w:szCs w:val="24"/>
          <w:lang w:eastAsia="en-GB"/>
        </w:rPr>
        <w:t>, P., Johns, D. G., Jones, I. D., Leech, D. I., Mackay, E. B., Massimino, D., Atkinson, S., Bacon, P. J., Brereton, T. M., Carvalho, L., Clutton-Brock, T. H., Duck, C., Edwards, M., … Wanless, S. (2016).</w:t>
      </w:r>
      <w:r w:rsidRPr="00276377">
        <w:rPr>
          <w:rFonts w:ascii="Times New Roman" w:eastAsia="Times New Roman" w:hAnsi="Times New Roman" w:cs="Times New Roman"/>
          <w:sz w:val="24"/>
          <w:szCs w:val="24"/>
          <w:lang w:eastAsia="en-GB"/>
        </w:rPr>
        <w:t xml:space="preserve"> Phenological sensitivity to climate across taxa and trophic levels. </w:t>
      </w:r>
      <w:r w:rsidRPr="00276377">
        <w:rPr>
          <w:rFonts w:ascii="Times New Roman" w:eastAsia="Times New Roman" w:hAnsi="Times New Roman" w:cs="Times New Roman"/>
          <w:i/>
          <w:iCs/>
          <w:sz w:val="24"/>
          <w:szCs w:val="24"/>
          <w:lang w:eastAsia="en-GB"/>
        </w:rPr>
        <w:t>Nature</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535</w:t>
      </w:r>
      <w:r w:rsidRPr="00276377">
        <w:rPr>
          <w:rFonts w:ascii="Times New Roman" w:eastAsia="Times New Roman" w:hAnsi="Times New Roman" w:cs="Times New Roman"/>
          <w:sz w:val="24"/>
          <w:szCs w:val="24"/>
          <w:lang w:eastAsia="en-GB"/>
        </w:rPr>
        <w:t xml:space="preserve">(7611), 241–245. </w:t>
      </w:r>
      <w:r w:rsidRPr="00276377">
        <w:rPr>
          <w:rFonts w:ascii="Times New Roman" w:eastAsia="Times New Roman" w:hAnsi="Times New Roman" w:cs="Times New Roman"/>
          <w:color w:val="0000FF"/>
          <w:sz w:val="24"/>
          <w:szCs w:val="24"/>
          <w:u w:val="single"/>
          <w:lang w:eastAsia="en-GB"/>
        </w:rPr>
        <w:t>https://doi.org/10.1038/nature18608</w:t>
      </w:r>
    </w:p>
    <w:p w14:paraId="0CFC0631"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Yan, X.-R., Wang, Z.-Y., Feng, S.-Q., Zhao, Z.-H., &amp; Li, Z.-H. (2022). Impact of temperature change on the fall armyworm, </w:t>
      </w:r>
      <w:r w:rsidRPr="00276377">
        <w:rPr>
          <w:rFonts w:ascii="Times New Roman" w:eastAsia="Times New Roman" w:hAnsi="Times New Roman" w:cs="Times New Roman"/>
          <w:i/>
          <w:iCs/>
          <w:sz w:val="24"/>
          <w:szCs w:val="24"/>
          <w:lang w:eastAsia="en-GB"/>
        </w:rPr>
        <w:t xml:space="preserve">Spodoptera </w:t>
      </w:r>
      <w:proofErr w:type="spellStart"/>
      <w:r w:rsidRPr="00276377">
        <w:rPr>
          <w:rFonts w:ascii="Times New Roman" w:eastAsia="Times New Roman" w:hAnsi="Times New Roman" w:cs="Times New Roman"/>
          <w:i/>
          <w:iCs/>
          <w:sz w:val="24"/>
          <w:szCs w:val="24"/>
          <w:lang w:eastAsia="en-GB"/>
        </w:rPr>
        <w:t>frugiperda</w:t>
      </w:r>
      <w:proofErr w:type="spellEnd"/>
      <w:r w:rsidRPr="00276377">
        <w:rPr>
          <w:rFonts w:ascii="Times New Roman" w:eastAsia="Times New Roman" w:hAnsi="Times New Roman" w:cs="Times New Roman"/>
          <w:sz w:val="24"/>
          <w:szCs w:val="24"/>
          <w:lang w:eastAsia="en-GB"/>
        </w:rPr>
        <w:t xml:space="preserve"> under global climate change. </w:t>
      </w:r>
      <w:r w:rsidRPr="00276377">
        <w:rPr>
          <w:rFonts w:ascii="Times New Roman" w:eastAsia="Times New Roman" w:hAnsi="Times New Roman" w:cs="Times New Roman"/>
          <w:i/>
          <w:iCs/>
          <w:sz w:val="24"/>
          <w:szCs w:val="24"/>
          <w:lang w:eastAsia="en-GB"/>
        </w:rPr>
        <w:t>Insects</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13</w:t>
      </w:r>
      <w:r w:rsidRPr="00276377">
        <w:rPr>
          <w:rFonts w:ascii="Times New Roman" w:eastAsia="Times New Roman" w:hAnsi="Times New Roman" w:cs="Times New Roman"/>
          <w:sz w:val="24"/>
          <w:szCs w:val="24"/>
          <w:lang w:eastAsia="en-GB"/>
        </w:rPr>
        <w:t xml:space="preserve">(11), 981. </w:t>
      </w:r>
      <w:r w:rsidRPr="00276377">
        <w:rPr>
          <w:rFonts w:ascii="Times New Roman" w:eastAsia="Times New Roman" w:hAnsi="Times New Roman" w:cs="Times New Roman"/>
          <w:color w:val="0000FF"/>
          <w:sz w:val="24"/>
          <w:szCs w:val="24"/>
          <w:u w:val="single"/>
          <w:lang w:eastAsia="en-GB"/>
        </w:rPr>
        <w:t>https://doi.org/10.3390/insects13110981</w:t>
      </w:r>
    </w:p>
    <w:p w14:paraId="3B86444B"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Zacarias, D. A. (2020). Global bioclimatic suitability for the fall armyworm, </w:t>
      </w:r>
      <w:r w:rsidRPr="00276377">
        <w:rPr>
          <w:rFonts w:ascii="Times New Roman" w:eastAsia="Times New Roman" w:hAnsi="Times New Roman" w:cs="Times New Roman"/>
          <w:i/>
          <w:iCs/>
          <w:sz w:val="24"/>
          <w:szCs w:val="24"/>
          <w:lang w:eastAsia="en-GB"/>
        </w:rPr>
        <w:t xml:space="preserve">Spodoptera </w:t>
      </w:r>
      <w:proofErr w:type="spellStart"/>
      <w:r w:rsidRPr="00276377">
        <w:rPr>
          <w:rFonts w:ascii="Times New Roman" w:eastAsia="Times New Roman" w:hAnsi="Times New Roman" w:cs="Times New Roman"/>
          <w:i/>
          <w:iCs/>
          <w:sz w:val="24"/>
          <w:szCs w:val="24"/>
          <w:lang w:eastAsia="en-GB"/>
        </w:rPr>
        <w:t>frugiperda</w:t>
      </w:r>
      <w:proofErr w:type="spellEnd"/>
      <w:r w:rsidRPr="00276377">
        <w:rPr>
          <w:rFonts w:ascii="Times New Roman" w:eastAsia="Times New Roman" w:hAnsi="Times New Roman" w:cs="Times New Roman"/>
          <w:sz w:val="24"/>
          <w:szCs w:val="24"/>
          <w:lang w:eastAsia="en-GB"/>
        </w:rPr>
        <w:t xml:space="preserve"> (Lepidoptera: </w:t>
      </w:r>
      <w:proofErr w:type="spellStart"/>
      <w:r w:rsidRPr="00276377">
        <w:rPr>
          <w:rFonts w:ascii="Times New Roman" w:eastAsia="Times New Roman" w:hAnsi="Times New Roman" w:cs="Times New Roman"/>
          <w:sz w:val="24"/>
          <w:szCs w:val="24"/>
          <w:lang w:eastAsia="en-GB"/>
        </w:rPr>
        <w:t>Noctuidae</w:t>
      </w:r>
      <w:proofErr w:type="spellEnd"/>
      <w:r w:rsidRPr="00276377">
        <w:rPr>
          <w:rFonts w:ascii="Times New Roman" w:eastAsia="Times New Roman" w:hAnsi="Times New Roman" w:cs="Times New Roman"/>
          <w:sz w:val="24"/>
          <w:szCs w:val="24"/>
          <w:lang w:eastAsia="en-GB"/>
        </w:rPr>
        <w:t xml:space="preserve">), and potential co-occurrence with major host crops under climate change scenarios. </w:t>
      </w:r>
      <w:r w:rsidRPr="00276377">
        <w:rPr>
          <w:rFonts w:ascii="Times New Roman" w:eastAsia="Times New Roman" w:hAnsi="Times New Roman" w:cs="Times New Roman"/>
          <w:i/>
          <w:iCs/>
          <w:sz w:val="24"/>
          <w:szCs w:val="24"/>
          <w:lang w:eastAsia="en-GB"/>
        </w:rPr>
        <w:t>Climatic Change</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161</w:t>
      </w:r>
      <w:r w:rsidRPr="00276377">
        <w:rPr>
          <w:rFonts w:ascii="Times New Roman" w:eastAsia="Times New Roman" w:hAnsi="Times New Roman" w:cs="Times New Roman"/>
          <w:sz w:val="24"/>
          <w:szCs w:val="24"/>
          <w:lang w:eastAsia="en-GB"/>
        </w:rPr>
        <w:t xml:space="preserve">(4), 555–566. </w:t>
      </w:r>
      <w:r w:rsidRPr="00276377">
        <w:rPr>
          <w:rFonts w:ascii="Times New Roman" w:eastAsia="Times New Roman" w:hAnsi="Times New Roman" w:cs="Times New Roman"/>
          <w:color w:val="0000FF"/>
          <w:sz w:val="24"/>
          <w:szCs w:val="24"/>
          <w:u w:val="single"/>
          <w:lang w:eastAsia="en-GB"/>
        </w:rPr>
        <w:t>https://doi.org/10.1007/s10584-020-02722-5</w:t>
      </w:r>
    </w:p>
    <w:p w14:paraId="28F6CE73" w14:textId="77777777" w:rsidR="00276377" w:rsidRPr="00276377" w:rsidRDefault="00276377" w:rsidP="00276377">
      <w:pPr>
        <w:spacing w:before="100" w:beforeAutospacing="1" w:after="100" w:afterAutospacing="1" w:line="240" w:lineRule="auto"/>
        <w:rPr>
          <w:rFonts w:ascii="Times New Roman" w:eastAsia="Times New Roman" w:hAnsi="Times New Roman" w:cs="Times New Roman"/>
          <w:sz w:val="24"/>
          <w:szCs w:val="24"/>
          <w:lang w:eastAsia="en-GB"/>
        </w:rPr>
      </w:pPr>
      <w:r w:rsidRPr="00276377">
        <w:rPr>
          <w:rFonts w:ascii="Times New Roman" w:eastAsia="Times New Roman" w:hAnsi="Times New Roman" w:cs="Times New Roman"/>
          <w:sz w:val="24"/>
          <w:szCs w:val="24"/>
          <w:lang w:eastAsia="en-GB"/>
        </w:rPr>
        <w:t xml:space="preserve">Zavala, J. A., Nabity, P. D., &amp; DeLucia, E. H. (2013). An emerging understanding of mechanisms governing insect herbivory under elevated CO2. </w:t>
      </w:r>
      <w:r w:rsidRPr="00276377">
        <w:rPr>
          <w:rFonts w:ascii="Times New Roman" w:eastAsia="Times New Roman" w:hAnsi="Times New Roman" w:cs="Times New Roman"/>
          <w:i/>
          <w:iCs/>
          <w:sz w:val="24"/>
          <w:szCs w:val="24"/>
          <w:lang w:eastAsia="en-GB"/>
        </w:rPr>
        <w:t>Annual Review of Entomology</w:t>
      </w:r>
      <w:r w:rsidRPr="00276377">
        <w:rPr>
          <w:rFonts w:ascii="Times New Roman" w:eastAsia="Times New Roman" w:hAnsi="Times New Roman" w:cs="Times New Roman"/>
          <w:sz w:val="24"/>
          <w:szCs w:val="24"/>
          <w:lang w:eastAsia="en-GB"/>
        </w:rPr>
        <w:t xml:space="preserve">, </w:t>
      </w:r>
      <w:r w:rsidRPr="00276377">
        <w:rPr>
          <w:rFonts w:ascii="Times New Roman" w:eastAsia="Times New Roman" w:hAnsi="Times New Roman" w:cs="Times New Roman"/>
          <w:i/>
          <w:iCs/>
          <w:sz w:val="24"/>
          <w:szCs w:val="24"/>
          <w:lang w:eastAsia="en-GB"/>
        </w:rPr>
        <w:t>58</w:t>
      </w:r>
      <w:r w:rsidRPr="00276377">
        <w:rPr>
          <w:rFonts w:ascii="Times New Roman" w:eastAsia="Times New Roman" w:hAnsi="Times New Roman" w:cs="Times New Roman"/>
          <w:sz w:val="24"/>
          <w:szCs w:val="24"/>
          <w:lang w:eastAsia="en-GB"/>
        </w:rPr>
        <w:t xml:space="preserve">, 79–97. </w:t>
      </w:r>
      <w:r w:rsidRPr="00276377">
        <w:rPr>
          <w:rFonts w:ascii="Times New Roman" w:eastAsia="Times New Roman" w:hAnsi="Times New Roman" w:cs="Times New Roman"/>
          <w:color w:val="0000FF"/>
          <w:sz w:val="24"/>
          <w:szCs w:val="24"/>
          <w:u w:val="single"/>
          <w:lang w:eastAsia="en-GB"/>
        </w:rPr>
        <w:t>https://doi.org/10.1146/annurev-ento-120811-153544</w:t>
      </w:r>
    </w:p>
    <w:p w14:paraId="1F5ADAD6" w14:textId="77777777" w:rsidR="004841B3" w:rsidRDefault="004841B3"/>
    <w:sectPr w:rsidR="004841B3" w:rsidSect="004841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9BF69" w14:textId="77777777" w:rsidR="00E361D4" w:rsidRDefault="00E361D4" w:rsidP="006065D1">
      <w:pPr>
        <w:spacing w:after="0" w:line="240" w:lineRule="auto"/>
      </w:pPr>
      <w:r>
        <w:separator/>
      </w:r>
    </w:p>
  </w:endnote>
  <w:endnote w:type="continuationSeparator" w:id="0">
    <w:p w14:paraId="563211B0" w14:textId="77777777" w:rsidR="00E361D4" w:rsidRDefault="00E361D4" w:rsidP="00606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036A" w14:textId="77777777" w:rsidR="006065D1" w:rsidRDefault="006065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BD546" w14:textId="77777777" w:rsidR="006065D1" w:rsidRDefault="006065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4CFB" w14:textId="77777777" w:rsidR="006065D1" w:rsidRDefault="006065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17A7D" w14:textId="77777777" w:rsidR="00E361D4" w:rsidRDefault="00E361D4" w:rsidP="006065D1">
      <w:pPr>
        <w:spacing w:after="0" w:line="240" w:lineRule="auto"/>
      </w:pPr>
      <w:r>
        <w:separator/>
      </w:r>
    </w:p>
  </w:footnote>
  <w:footnote w:type="continuationSeparator" w:id="0">
    <w:p w14:paraId="31420119" w14:textId="77777777" w:rsidR="00E361D4" w:rsidRDefault="00E361D4" w:rsidP="00606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FAEB" w14:textId="26E5A018" w:rsidR="006065D1" w:rsidRDefault="006065D1">
    <w:pPr>
      <w:pStyle w:val="Header"/>
    </w:pPr>
    <w:r>
      <w:rPr>
        <w:noProof/>
      </w:rPr>
      <w:pict w14:anchorId="3C7671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693438"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DCB9" w14:textId="3BA7A805" w:rsidR="006065D1" w:rsidRDefault="006065D1">
    <w:pPr>
      <w:pStyle w:val="Header"/>
    </w:pPr>
    <w:r>
      <w:rPr>
        <w:noProof/>
      </w:rPr>
      <w:pict w14:anchorId="416E33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693439"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E1C8F" w14:textId="63B11A01" w:rsidR="006065D1" w:rsidRDefault="006065D1">
    <w:pPr>
      <w:pStyle w:val="Header"/>
    </w:pPr>
    <w:r>
      <w:rPr>
        <w:noProof/>
      </w:rPr>
      <w:pict w14:anchorId="777878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693437"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6377"/>
    <w:rsid w:val="00276377"/>
    <w:rsid w:val="002E00E0"/>
    <w:rsid w:val="00345F3B"/>
    <w:rsid w:val="004841B3"/>
    <w:rsid w:val="006065D1"/>
    <w:rsid w:val="006D34FD"/>
    <w:rsid w:val="00824882"/>
    <w:rsid w:val="008551F7"/>
    <w:rsid w:val="00B30FFC"/>
    <w:rsid w:val="00C446DC"/>
    <w:rsid w:val="00E36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1A9FC"/>
  <w15:docId w15:val="{D4A3BD27-15DE-4CB8-ADCE-4707F74B8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27637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27637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7637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Shading1-Accent1">
    <w:name w:val="Medium Shading 1 Accent 1"/>
    <w:basedOn w:val="TableNormal"/>
    <w:uiPriority w:val="63"/>
    <w:rsid w:val="0082488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27637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276377"/>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76377"/>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2763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76377"/>
    <w:rPr>
      <w:b/>
      <w:bCs/>
    </w:rPr>
  </w:style>
  <w:style w:type="character" w:styleId="Emphasis">
    <w:name w:val="Emphasis"/>
    <w:basedOn w:val="DefaultParagraphFont"/>
    <w:uiPriority w:val="20"/>
    <w:qFormat/>
    <w:rsid w:val="00276377"/>
    <w:rPr>
      <w:i/>
      <w:iCs/>
    </w:rPr>
  </w:style>
  <w:style w:type="character" w:styleId="Hyperlink">
    <w:name w:val="Hyperlink"/>
    <w:basedOn w:val="DefaultParagraphFont"/>
    <w:uiPriority w:val="99"/>
    <w:semiHidden/>
    <w:unhideWhenUsed/>
    <w:rsid w:val="00276377"/>
    <w:rPr>
      <w:color w:val="0000FF"/>
      <w:u w:val="single"/>
    </w:rPr>
  </w:style>
  <w:style w:type="table" w:styleId="TableGrid">
    <w:name w:val="Table Grid"/>
    <w:basedOn w:val="TableNormal"/>
    <w:uiPriority w:val="59"/>
    <w:rsid w:val="00276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65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5D1"/>
  </w:style>
  <w:style w:type="paragraph" w:styleId="Footer">
    <w:name w:val="footer"/>
    <w:basedOn w:val="Normal"/>
    <w:link w:val="FooterChar"/>
    <w:uiPriority w:val="99"/>
    <w:unhideWhenUsed/>
    <w:rsid w:val="006065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432839">
      <w:bodyDiv w:val="1"/>
      <w:marLeft w:val="0"/>
      <w:marRight w:val="0"/>
      <w:marTop w:val="0"/>
      <w:marBottom w:val="0"/>
      <w:divBdr>
        <w:top w:val="none" w:sz="0" w:space="0" w:color="auto"/>
        <w:left w:val="none" w:sz="0" w:space="0" w:color="auto"/>
        <w:bottom w:val="none" w:sz="0" w:space="0" w:color="auto"/>
        <w:right w:val="none" w:sz="0" w:space="0" w:color="auto"/>
      </w:divBdr>
      <w:divsChild>
        <w:div w:id="889805885">
          <w:marLeft w:val="0"/>
          <w:marRight w:val="0"/>
          <w:marTop w:val="0"/>
          <w:marBottom w:val="0"/>
          <w:divBdr>
            <w:top w:val="none" w:sz="0" w:space="0" w:color="auto"/>
            <w:left w:val="none" w:sz="0" w:space="0" w:color="auto"/>
            <w:bottom w:val="none" w:sz="0" w:space="0" w:color="auto"/>
            <w:right w:val="none" w:sz="0" w:space="0" w:color="auto"/>
          </w:divBdr>
        </w:div>
        <w:div w:id="715743787">
          <w:marLeft w:val="0"/>
          <w:marRight w:val="0"/>
          <w:marTop w:val="0"/>
          <w:marBottom w:val="0"/>
          <w:divBdr>
            <w:top w:val="none" w:sz="0" w:space="0" w:color="auto"/>
            <w:left w:val="none" w:sz="0" w:space="0" w:color="auto"/>
            <w:bottom w:val="none" w:sz="0" w:space="0" w:color="auto"/>
            <w:right w:val="none" w:sz="0" w:space="0" w:color="auto"/>
          </w:divBdr>
        </w:div>
        <w:div w:id="723525945">
          <w:marLeft w:val="0"/>
          <w:marRight w:val="0"/>
          <w:marTop w:val="0"/>
          <w:marBottom w:val="0"/>
          <w:divBdr>
            <w:top w:val="none" w:sz="0" w:space="0" w:color="auto"/>
            <w:left w:val="none" w:sz="0" w:space="0" w:color="auto"/>
            <w:bottom w:val="none" w:sz="0" w:space="0" w:color="auto"/>
            <w:right w:val="none" w:sz="0" w:space="0" w:color="auto"/>
          </w:divBdr>
        </w:div>
        <w:div w:id="495532635">
          <w:marLeft w:val="0"/>
          <w:marRight w:val="0"/>
          <w:marTop w:val="0"/>
          <w:marBottom w:val="0"/>
          <w:divBdr>
            <w:top w:val="none" w:sz="0" w:space="0" w:color="auto"/>
            <w:left w:val="none" w:sz="0" w:space="0" w:color="auto"/>
            <w:bottom w:val="none" w:sz="0" w:space="0" w:color="auto"/>
            <w:right w:val="none" w:sz="0" w:space="0" w:color="auto"/>
          </w:divBdr>
        </w:div>
        <w:div w:id="10155748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7965</Words>
  <Characters>45405</Characters>
  <Application>Microsoft Office Word</Application>
  <DocSecurity>0</DocSecurity>
  <Lines>378</Lines>
  <Paragraphs>106</Paragraphs>
  <ScaleCrop>false</ScaleCrop>
  <Company>HP</Company>
  <LinksUpToDate>false</LinksUpToDate>
  <CharactersWithSpaces>53264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1084</cp:lastModifiedBy>
  <cp:revision>6</cp:revision>
  <dcterms:created xsi:type="dcterms:W3CDTF">2026-07-04T10:01:00Z</dcterms:created>
  <dcterms:modified xsi:type="dcterms:W3CDTF">2026-07-04T13:57:00Z</dcterms:modified>
</cp:coreProperties>
</file>