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673D" w14:textId="77777777" w:rsidR="007A6B09" w:rsidRPr="00C25EB7" w:rsidRDefault="00E720F9">
      <w:pPr>
        <w:pStyle w:val="NoSpacing"/>
        <w:jc w:val="center"/>
        <w:rPr>
          <w:rFonts w:ascii="Times New Roman" w:eastAsia="Times New Roman" w:hAnsi="Times New Roman" w:cs="Times New Roman"/>
          <w:b/>
          <w:bCs/>
          <w:sz w:val="28"/>
          <w:szCs w:val="28"/>
        </w:rPr>
      </w:pPr>
      <w:r w:rsidRPr="00C25EB7">
        <w:rPr>
          <w:rFonts w:ascii="Times New Roman" w:eastAsia="Times New Roman" w:hAnsi="Times New Roman" w:cs="Times New Roman"/>
          <w:b/>
          <w:bCs/>
          <w:sz w:val="28"/>
          <w:szCs w:val="28"/>
        </w:rPr>
        <w:t>Evaluation of Cytoplasmic and Stromal Components of Diseased Skin Tissue with Annatto Seed-Pigment Crude Extract</w:t>
      </w:r>
    </w:p>
    <w:p w14:paraId="68496D31" w14:textId="77777777" w:rsidR="007A6B09" w:rsidRPr="00C25EB7" w:rsidRDefault="007A6B09">
      <w:pPr>
        <w:pStyle w:val="NoSpacing"/>
        <w:jc w:val="both"/>
        <w:rPr>
          <w:rFonts w:ascii="Times New Roman" w:eastAsia="Times New Roman" w:hAnsi="Times New Roman" w:cs="Times New Roman"/>
          <w:b/>
          <w:bCs/>
          <w:sz w:val="24"/>
          <w:szCs w:val="24"/>
        </w:rPr>
      </w:pPr>
    </w:p>
    <w:p w14:paraId="63EEEF6D" w14:textId="77777777" w:rsidR="007A6B09" w:rsidRPr="00C25EB7" w:rsidRDefault="007A6B09">
      <w:pPr>
        <w:jc w:val="both"/>
        <w:rPr>
          <w:rFonts w:ascii="Times New Roman" w:hAnsi="Times New Roman" w:cs="Times New Roman"/>
          <w:sz w:val="2"/>
          <w:szCs w:val="24"/>
        </w:rPr>
      </w:pPr>
    </w:p>
    <w:p w14:paraId="73A415FB" w14:textId="77777777" w:rsidR="007A6B09" w:rsidRPr="00C25EB7" w:rsidRDefault="007A6B09">
      <w:pPr>
        <w:jc w:val="both"/>
        <w:rPr>
          <w:rFonts w:ascii="Times New Roman" w:hAnsi="Times New Roman" w:cs="Times New Roman"/>
          <w:sz w:val="24"/>
          <w:szCs w:val="24"/>
        </w:rPr>
      </w:pPr>
    </w:p>
    <w:p w14:paraId="78EC353E" w14:textId="77777777" w:rsidR="007A6B09" w:rsidRPr="00C25EB7" w:rsidRDefault="00E720F9">
      <w:p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ABSTRACT</w:t>
      </w:r>
    </w:p>
    <w:p w14:paraId="18C37D7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t>Background:</w:t>
      </w:r>
      <w:r w:rsidRPr="00C25EB7">
        <w:rPr>
          <w:rFonts w:ascii="Times New Roman" w:hAnsi="Times New Roman" w:cs="Times New Roman"/>
          <w:sz w:val="24"/>
          <w:szCs w:val="24"/>
        </w:rPr>
        <w:t xml:space="preserve"> Interest in natural dyes has expanded because of their biodegradability, low toxicity and widespread availability. Some components of natural dyes such as polyphenol which </w:t>
      </w:r>
      <w:r w:rsidRPr="00C25EB7">
        <w:rPr>
          <w:rFonts w:ascii="Times New Roman" w:hAnsi="Times New Roman" w:cs="Times New Roman"/>
          <w:i/>
          <w:iCs/>
          <w:sz w:val="24"/>
          <w:szCs w:val="24"/>
        </w:rPr>
        <w:t>Bixa orellana</w:t>
      </w:r>
      <w:r w:rsidRPr="00C25EB7">
        <w:rPr>
          <w:rFonts w:ascii="Times New Roman" w:hAnsi="Times New Roman" w:cs="Times New Roman"/>
          <w:sz w:val="24"/>
          <w:szCs w:val="24"/>
        </w:rPr>
        <w:t xml:space="preserve"> (Annatto) has, exhibit high affinity for denatured and inflammatory proteins, a characteristic that enhances their binding in diseased tissues.</w:t>
      </w:r>
    </w:p>
    <w:p w14:paraId="1EB208E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t xml:space="preserve">Aim: </w:t>
      </w:r>
      <w:r w:rsidRPr="00C25EB7">
        <w:rPr>
          <w:rFonts w:ascii="Times New Roman" w:hAnsi="Times New Roman" w:cs="Times New Roman"/>
          <w:sz w:val="24"/>
          <w:szCs w:val="24"/>
        </w:rPr>
        <w:t>The research aimed to evaluate cytoplasmic and stromal components of diseased skin tissues with annatto seed-pigment crude extract.</w:t>
      </w:r>
    </w:p>
    <w:p w14:paraId="2F0BDC8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t xml:space="preserve">Study Design: </w:t>
      </w:r>
      <w:r w:rsidRPr="00C25EB7">
        <w:rPr>
          <w:rFonts w:ascii="Times New Roman" w:hAnsi="Times New Roman" w:cs="Times New Roman"/>
          <w:sz w:val="24"/>
          <w:szCs w:val="24"/>
        </w:rPr>
        <w:t>This was experimental research. The crude extracts prepared using 95% ethanol and</w:t>
      </w:r>
      <w:r w:rsidRPr="00C25EB7">
        <w:rPr>
          <w:rFonts w:ascii="Times New Roman" w:hAnsi="Times New Roman" w:cs="Times New Roman"/>
          <w:b/>
          <w:bCs/>
          <w:sz w:val="24"/>
          <w:szCs w:val="24"/>
        </w:rPr>
        <w:t xml:space="preserve"> </w:t>
      </w:r>
      <w:r w:rsidRPr="00C25EB7">
        <w:rPr>
          <w:rFonts w:ascii="Times New Roman" w:hAnsi="Times New Roman" w:cs="Times New Roman"/>
          <w:sz w:val="24"/>
          <w:szCs w:val="24"/>
        </w:rPr>
        <w:t>acetone as solvents were compared with the conventional eosin counterstain. They were applied on skin tissue sections with established three histopathological diagnoses such as chronic granulomatous inflammation, lichen planus, and chronic spongiotic dermatitis.</w:t>
      </w:r>
    </w:p>
    <w:p w14:paraId="7519299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t xml:space="preserve">Methodology:  </w:t>
      </w:r>
      <w:r w:rsidRPr="00C25EB7">
        <w:rPr>
          <w:rFonts w:ascii="Times New Roman" w:hAnsi="Times New Roman" w:cs="Times New Roman"/>
          <w:sz w:val="24"/>
          <w:szCs w:val="24"/>
        </w:rPr>
        <w:t xml:space="preserve">Pigment of </w:t>
      </w:r>
      <w:r w:rsidRPr="00C25EB7">
        <w:rPr>
          <w:rFonts w:ascii="Times New Roman" w:hAnsi="Times New Roman" w:cs="Times New Roman"/>
          <w:i/>
          <w:iCs/>
          <w:sz w:val="24"/>
          <w:szCs w:val="24"/>
        </w:rPr>
        <w:t>Bixa orellana</w:t>
      </w:r>
      <w:r w:rsidRPr="00C25EB7">
        <w:rPr>
          <w:rFonts w:ascii="Times New Roman" w:hAnsi="Times New Roman" w:cs="Times New Roman"/>
          <w:sz w:val="24"/>
          <w:szCs w:val="24"/>
        </w:rPr>
        <w:t xml:space="preserve"> was extracted in 95% ethanol and acetone using maceration method, 100g of the seeds were soaked in 200ml of 95% ethanol and another 100g soaked in 200ml of acetone at 25</w:t>
      </w:r>
      <w:r w:rsidRPr="00C25EB7">
        <w:rPr>
          <w:rFonts w:ascii="Times New Roman" w:hAnsi="Times New Roman" w:cs="Times New Roman"/>
          <w:sz w:val="24"/>
          <w:szCs w:val="24"/>
          <w:vertAlign w:val="superscript"/>
        </w:rPr>
        <w:t>o</w:t>
      </w:r>
      <w:r w:rsidRPr="00C25EB7">
        <w:rPr>
          <w:rFonts w:ascii="Times New Roman" w:hAnsi="Times New Roman" w:cs="Times New Roman"/>
          <w:sz w:val="24"/>
          <w:szCs w:val="24"/>
        </w:rPr>
        <w:t>C for 72 hours. Total of 90 archived skin tissue blocks were used-30 of chronic granulomatous inflammation, 30 of lichen planus, 30 of chronic spongiotic dermatitis. Phytochemicals of interest were determined using UV visible spectrophotometer and also stability of the extracts was conducted. The extracts were used to stain the tissues in comparison with standard eosin counterstain.</w:t>
      </w:r>
    </w:p>
    <w:p w14:paraId="615DAFA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t xml:space="preserve">Results: </w:t>
      </w:r>
      <w:r w:rsidRPr="00C25EB7">
        <w:rPr>
          <w:rFonts w:ascii="Times New Roman" w:hAnsi="Times New Roman" w:cs="Times New Roman"/>
          <w:sz w:val="24"/>
          <w:szCs w:val="24"/>
        </w:rPr>
        <w:t xml:space="preserve">Quantitative screening revealed polyphenol and carotenoids as two major components at the average of 67mg/ml and 27mg/ml respectively. Both 95% ethanol and acetone extracts were stable for a minimum of 8 weeks. Staining interaction showed that 95% ethanol extract performed better than acetone extract as counterstain but both are inferior to standard eosin. However, both extracts were able to demonstrate all the parameters. Comparative staining ability of Hematoxylin and Eosin (H&amp;E), Hematoxylin with 95% Ethanol, and Hematoxylin with Acetone in chronic granulomatous inflammation, lichen planus and chronic spongiotic dermatitis using the Kruskal-Wallis test expressed in mean rank ± standard deviation and corresponding </w:t>
      </w:r>
      <w:r w:rsidRPr="00C25EB7">
        <w:rPr>
          <w:rFonts w:ascii="Times New Roman" w:hAnsi="Times New Roman" w:cs="Times New Roman"/>
          <w:i/>
          <w:iCs/>
          <w:sz w:val="24"/>
          <w:szCs w:val="24"/>
        </w:rPr>
        <w:t xml:space="preserve">p </w:t>
      </w:r>
      <w:r w:rsidRPr="00C25EB7">
        <w:rPr>
          <w:rFonts w:ascii="Times New Roman" w:hAnsi="Times New Roman" w:cs="Times New Roman"/>
          <w:sz w:val="24"/>
          <w:szCs w:val="24"/>
        </w:rPr>
        <w:t>values showed that H&amp;E had the highest rank of 10.5, followed by hematoxylin and 95% ethanol at 6.5 and then hematoxylin and acetone at 3.5 with p˂0.05 which is statistically significant.</w:t>
      </w:r>
    </w:p>
    <w:p w14:paraId="6228177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t xml:space="preserve">Conclusion: </w:t>
      </w:r>
      <w:r w:rsidRPr="00C25EB7">
        <w:rPr>
          <w:rFonts w:ascii="Times New Roman" w:hAnsi="Times New Roman" w:cs="Times New Roman"/>
          <w:sz w:val="24"/>
          <w:szCs w:val="24"/>
        </w:rPr>
        <w:t>A new staining approach known as Hematoxylin and Annatto Seed Pigment Extract (ASPE) staining technique for use on skin diseases has been established. It only requires little modification. Its plant origin makes it environmentally friendly, and reduces dependence on imported synthetic dyes.</w:t>
      </w:r>
    </w:p>
    <w:p w14:paraId="371A32B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lastRenderedPageBreak/>
        <w:t>Keywords</w:t>
      </w:r>
      <w:r w:rsidRPr="00C25EB7">
        <w:rPr>
          <w:rFonts w:ascii="Times New Roman" w:hAnsi="Times New Roman" w:cs="Times New Roman"/>
          <w:sz w:val="24"/>
          <w:szCs w:val="24"/>
        </w:rPr>
        <w:t xml:space="preserve">: Cytoplasm, stroma, skin, disease, counterstain, annatto, eosin, extract, crude  </w:t>
      </w:r>
    </w:p>
    <w:p w14:paraId="03184637" w14:textId="77777777" w:rsidR="007A6B09" w:rsidRPr="00C25EB7" w:rsidRDefault="007A6B09">
      <w:pPr>
        <w:jc w:val="both"/>
        <w:rPr>
          <w:rFonts w:ascii="Times New Roman" w:hAnsi="Times New Roman" w:cs="Times New Roman"/>
          <w:sz w:val="8"/>
          <w:szCs w:val="24"/>
        </w:rPr>
      </w:pPr>
    </w:p>
    <w:p w14:paraId="554A5424" w14:textId="77777777" w:rsidR="007A6B09" w:rsidRPr="00C25EB7" w:rsidRDefault="00E720F9">
      <w:pPr>
        <w:pStyle w:val="ListParagraph"/>
        <w:numPr>
          <w:ilvl w:val="0"/>
          <w:numId w:val="1"/>
        </w:num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INTRODUCTION</w:t>
      </w:r>
    </w:p>
    <w:p w14:paraId="1F8AD0B5"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The skin is the largest organ of the integumentary system in human (Gaikwad </w:t>
      </w:r>
      <w:r w:rsidRPr="00C25EB7">
        <w:rPr>
          <w:rFonts w:ascii="Times New Roman" w:hAnsi="Times New Roman" w:cs="Times New Roman"/>
          <w:i/>
          <w:sz w:val="24"/>
          <w:szCs w:val="24"/>
        </w:rPr>
        <w:t>et al.,</w:t>
      </w:r>
      <w:r w:rsidRPr="00C25EB7">
        <w:rPr>
          <w:rFonts w:ascii="Times New Roman" w:hAnsi="Times New Roman" w:cs="Times New Roman"/>
          <w:sz w:val="24"/>
          <w:szCs w:val="24"/>
        </w:rPr>
        <w:t xml:space="preserve"> 2016) and has a surface area of 1.5–2 m</w:t>
      </w:r>
      <w:r w:rsidRPr="00C25EB7">
        <w:rPr>
          <w:rFonts w:ascii="Times New Roman" w:hAnsi="Times New Roman" w:cs="Times New Roman"/>
          <w:sz w:val="24"/>
          <w:szCs w:val="24"/>
          <w:vertAlign w:val="superscript"/>
        </w:rPr>
        <w:t>2</w:t>
      </w:r>
      <w:r w:rsidRPr="00C25EB7">
        <w:rPr>
          <w:rFonts w:ascii="Times New Roman" w:hAnsi="Times New Roman" w:cs="Times New Roman"/>
          <w:sz w:val="24"/>
          <w:szCs w:val="24"/>
        </w:rPr>
        <w:t>, covering the surface of the human body. It is in direct contact with the external environment and protects us from environmental factors (Chambers &amp; Vulmanovic-Stejic, 2020).</w:t>
      </w:r>
    </w:p>
    <w:p w14:paraId="2B758240" w14:textId="77777777" w:rsidR="007A6B09" w:rsidRPr="00C25EB7" w:rsidRDefault="00E720F9">
      <w:pPr>
        <w:spacing w:after="0" w:line="240" w:lineRule="auto"/>
        <w:jc w:val="both"/>
        <w:outlineLvl w:val="1"/>
        <w:rPr>
          <w:rFonts w:ascii="Times New Roman" w:hAnsi="Times New Roman" w:cs="Times New Roman"/>
          <w:sz w:val="24"/>
          <w:szCs w:val="24"/>
        </w:rPr>
      </w:pPr>
      <w:r w:rsidRPr="00C25EB7">
        <w:rPr>
          <w:rFonts w:ascii="Times New Roman" w:hAnsi="Times New Roman" w:cs="Times New Roman"/>
          <w:color w:val="000000"/>
          <w:sz w:val="24"/>
          <w:szCs w:val="24"/>
        </w:rPr>
        <w:t xml:space="preserve">Though </w:t>
      </w:r>
      <w:r w:rsidRPr="00C25EB7">
        <w:rPr>
          <w:rFonts w:ascii="Times New Roman" w:hAnsi="Times New Roman" w:cs="Times New Roman"/>
          <w:sz w:val="24"/>
          <w:szCs w:val="24"/>
        </w:rPr>
        <w:t xml:space="preserve">skin diseases are among the most frequently occurring illnesses of human, the specialized layers and the histochemical components adjourn greatly to support immune resilience for possible intendant approach to health within short time frame. Consequently, the histomorphology of the skin that covers any region contributes majorly against disease development as is said of cervix (Ndubuka </w:t>
      </w:r>
      <w:r w:rsidRPr="00C25EB7">
        <w:rPr>
          <w:rFonts w:ascii="Times New Roman" w:hAnsi="Times New Roman" w:cs="Times New Roman"/>
          <w:i/>
          <w:sz w:val="24"/>
          <w:szCs w:val="24"/>
        </w:rPr>
        <w:t>et al.,</w:t>
      </w:r>
      <w:r w:rsidRPr="00C25EB7">
        <w:rPr>
          <w:rFonts w:ascii="Times New Roman" w:hAnsi="Times New Roman" w:cs="Times New Roman"/>
          <w:sz w:val="24"/>
          <w:szCs w:val="24"/>
        </w:rPr>
        <w:t xml:space="preserve"> 2019a). The microscopic revelation of skin tissue constituents by mere staining with biological dyes establishes, confirms and gives supportive evidential characteristics of disease identification, development, differentiation, and possible prognosis to advice treatment and management (Ndubuka </w:t>
      </w:r>
      <w:r w:rsidRPr="00C25EB7">
        <w:rPr>
          <w:rFonts w:ascii="Times New Roman" w:hAnsi="Times New Roman" w:cs="Times New Roman"/>
          <w:i/>
          <w:sz w:val="24"/>
          <w:szCs w:val="24"/>
        </w:rPr>
        <w:t>et al.,</w:t>
      </w:r>
      <w:r w:rsidRPr="00C25EB7">
        <w:rPr>
          <w:rFonts w:ascii="Times New Roman" w:hAnsi="Times New Roman" w:cs="Times New Roman"/>
          <w:sz w:val="24"/>
          <w:szCs w:val="24"/>
        </w:rPr>
        <w:t xml:space="preserve"> 2019b) </w:t>
      </w:r>
    </w:p>
    <w:p w14:paraId="5612AA90" w14:textId="77777777" w:rsidR="007A6B09" w:rsidRPr="00C25EB7" w:rsidRDefault="007A6B09">
      <w:pPr>
        <w:spacing w:after="0" w:line="240" w:lineRule="auto"/>
        <w:jc w:val="both"/>
        <w:outlineLvl w:val="1"/>
        <w:rPr>
          <w:rFonts w:ascii="Times New Roman" w:eastAsia="Times New Roman" w:hAnsi="Times New Roman" w:cs="Times New Roman"/>
          <w:b/>
          <w:bCs/>
          <w:sz w:val="24"/>
          <w:szCs w:val="24"/>
        </w:rPr>
      </w:pPr>
    </w:p>
    <w:p w14:paraId="252643EF"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Skin and subcutaneous disorders were the fourth leading cause of non-fatal disease burden worldwide in the last decade (Hay </w:t>
      </w:r>
      <w:r w:rsidRPr="00C25EB7">
        <w:rPr>
          <w:rFonts w:ascii="Times New Roman" w:hAnsi="Times New Roman" w:cs="Times New Roman"/>
          <w:i/>
          <w:sz w:val="24"/>
          <w:szCs w:val="24"/>
        </w:rPr>
        <w:t>et al.,</w:t>
      </w:r>
      <w:r w:rsidRPr="00C25EB7">
        <w:rPr>
          <w:rFonts w:ascii="Times New Roman" w:hAnsi="Times New Roman" w:cs="Times New Roman"/>
          <w:sz w:val="24"/>
          <w:szCs w:val="24"/>
        </w:rPr>
        <w:t xml:space="preserve"> 2010) with increasing prevalence (Verhoeven </w:t>
      </w:r>
      <w:r w:rsidRPr="00C25EB7">
        <w:rPr>
          <w:rFonts w:ascii="Times New Roman" w:hAnsi="Times New Roman" w:cs="Times New Roman"/>
          <w:i/>
          <w:sz w:val="24"/>
          <w:szCs w:val="24"/>
        </w:rPr>
        <w:t>et al.,</w:t>
      </w:r>
      <w:r w:rsidRPr="00C25EB7">
        <w:rPr>
          <w:rFonts w:ascii="Times New Roman" w:hAnsi="Times New Roman" w:cs="Times New Roman"/>
          <w:sz w:val="24"/>
          <w:szCs w:val="24"/>
        </w:rPr>
        <w:t xml:space="preserve"> 2008). Furthermore, studies have shown that a high proportion of skin lesions remain undiagnosed or incorrectly classified even after clinical and histological evaluation, reflecting significant clinicopathological discordance in dermatology (Tomislava </w:t>
      </w:r>
      <w:r w:rsidRPr="00C25EB7">
        <w:rPr>
          <w:rFonts w:ascii="Times New Roman" w:hAnsi="Times New Roman" w:cs="Times New Roman"/>
          <w:i/>
          <w:iCs/>
          <w:sz w:val="24"/>
          <w:szCs w:val="24"/>
        </w:rPr>
        <w:t>et al</w:t>
      </w:r>
      <w:r w:rsidRPr="00C25EB7">
        <w:rPr>
          <w:rFonts w:ascii="Times New Roman" w:hAnsi="Times New Roman" w:cs="Times New Roman"/>
          <w:sz w:val="24"/>
          <w:szCs w:val="24"/>
        </w:rPr>
        <w:t>., 2022; Patterson, 2016).</w:t>
      </w:r>
    </w:p>
    <w:p w14:paraId="4808F7B3"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Histological stains are substances or biological dyes which colour tissue in order to aid optical differentiation of tissue component (Avwioro, 2010). Dyes are coloured substances which impact colour on materials such as textile, cosmetic, food, drugs, rubber plastics, hair, fur and tissues. There are two types of dyes, natural dyes and synthetic (Bhuyan &amp; Salkia, 2005). Stains are prepared from dyes which have been manufactured to rigid specification or have been subjected to rigid quality assurance procedures to ensure that they are suitable for this specialized purpose.</w:t>
      </w:r>
    </w:p>
    <w:p w14:paraId="1B1359A2"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i/>
          <w:sz w:val="24"/>
          <w:szCs w:val="24"/>
        </w:rPr>
        <w:t>Bixa orellana</w:t>
      </w:r>
      <w:r w:rsidRPr="00C25EB7">
        <w:rPr>
          <w:rFonts w:ascii="Times New Roman" w:hAnsi="Times New Roman" w:cs="Times New Roman"/>
          <w:sz w:val="24"/>
          <w:szCs w:val="24"/>
        </w:rPr>
        <w:t xml:space="preserve"> (Annatto) plant is popularly known as Achiote or lipstick tree. The Igbo in South Eastern Nigeria discovered it during Nigeria-Biafra war and used it then for cosmetic reasons and today, it has formed part of ornamental shrubs in the region. Central and South American populations used the seeds to colour their bodies and lips.). </w:t>
      </w:r>
    </w:p>
    <w:p w14:paraId="506259E4"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Conventional hematoxylin and eosin (H&amp;E) staining remains the standard technique for histopathological evaluation of skin tissues; however, eosin is synthetic, relatively costly, and environmentally hazardous (Suvarna </w:t>
      </w:r>
      <w:r w:rsidRPr="00C25EB7">
        <w:rPr>
          <w:rFonts w:ascii="Times New Roman" w:hAnsi="Times New Roman" w:cs="Times New Roman"/>
          <w:i/>
          <w:iCs/>
          <w:sz w:val="24"/>
          <w:szCs w:val="24"/>
        </w:rPr>
        <w:t>et al</w:t>
      </w:r>
      <w:r w:rsidRPr="00C25EB7">
        <w:rPr>
          <w:rFonts w:ascii="Times New Roman" w:hAnsi="Times New Roman" w:cs="Times New Roman"/>
          <w:sz w:val="24"/>
          <w:szCs w:val="24"/>
        </w:rPr>
        <w:t xml:space="preserve">., 2019). There is therefore an increasing need to explore safe, cost-effective, eco-friendly, and locally available alternatives that can provide comparable or improved cytoplasmic contrast for dermatopathological diagnosis (Yadav </w:t>
      </w:r>
      <w:r w:rsidRPr="00C25EB7">
        <w:rPr>
          <w:rFonts w:ascii="Times New Roman" w:hAnsi="Times New Roman" w:cs="Times New Roman"/>
          <w:i/>
          <w:iCs/>
          <w:sz w:val="24"/>
          <w:szCs w:val="24"/>
        </w:rPr>
        <w:t>et al</w:t>
      </w:r>
      <w:r w:rsidRPr="00C25EB7">
        <w:rPr>
          <w:rFonts w:ascii="Times New Roman" w:hAnsi="Times New Roman" w:cs="Times New Roman"/>
          <w:sz w:val="24"/>
          <w:szCs w:val="24"/>
        </w:rPr>
        <w:t>., 2020).</w:t>
      </w:r>
    </w:p>
    <w:p w14:paraId="681F68F3" w14:textId="77777777" w:rsidR="007A6B09" w:rsidRPr="00C25EB7" w:rsidRDefault="00E720F9">
      <w:pPr>
        <w:pStyle w:val="ListParagraph"/>
        <w:numPr>
          <w:ilvl w:val="0"/>
          <w:numId w:val="1"/>
        </w:num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MATERIALS AND METHODS</w:t>
      </w:r>
    </w:p>
    <w:p w14:paraId="180A2C6A" w14:textId="77777777" w:rsidR="007A6B09" w:rsidRPr="00C25EB7" w:rsidRDefault="007A6B09">
      <w:pPr>
        <w:spacing w:after="0" w:line="240" w:lineRule="auto"/>
        <w:jc w:val="both"/>
        <w:rPr>
          <w:rFonts w:ascii="Times New Roman" w:hAnsi="Times New Roman" w:cs="Times New Roman"/>
          <w:b/>
          <w:sz w:val="12"/>
          <w:szCs w:val="24"/>
        </w:rPr>
      </w:pPr>
    </w:p>
    <w:p w14:paraId="595694D4" w14:textId="77777777" w:rsidR="007A6B09" w:rsidRPr="00C25EB7" w:rsidRDefault="00E720F9">
      <w:pPr>
        <w:spacing w:after="0" w:line="240" w:lineRule="auto"/>
        <w:ind w:left="720"/>
        <w:jc w:val="both"/>
        <w:rPr>
          <w:rFonts w:ascii="Times New Roman" w:hAnsi="Times New Roman" w:cs="Times New Roman"/>
          <w:b/>
          <w:sz w:val="24"/>
          <w:szCs w:val="24"/>
        </w:rPr>
      </w:pPr>
      <w:r w:rsidRPr="00C25EB7">
        <w:rPr>
          <w:rFonts w:ascii="Times New Roman" w:hAnsi="Times New Roman" w:cs="Times New Roman"/>
          <w:b/>
          <w:sz w:val="24"/>
          <w:szCs w:val="24"/>
        </w:rPr>
        <w:t>2.1 Study Area</w:t>
      </w:r>
    </w:p>
    <w:p w14:paraId="69987D4D" w14:textId="77777777" w:rsidR="007A6B09" w:rsidRPr="00C25EB7" w:rsidRDefault="00E720F9">
      <w:pPr>
        <w:spacing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lastRenderedPageBreak/>
        <w:t xml:space="preserve">The study was conducted at Anatomic Pathology Laboratory of University of Port Harcourt Teaching Hospital, Port Harcourt (UPTH), located in Alakahia, Rivers State, Nigeria. </w:t>
      </w:r>
    </w:p>
    <w:p w14:paraId="1A0BEF95" w14:textId="77777777" w:rsidR="007A6B09" w:rsidRPr="00C25EB7" w:rsidRDefault="00E720F9">
      <w:pPr>
        <w:spacing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t>Rivers State is bounded on the south by Atlantic Ocean, to the north by Imo and Abia states, to the east by Akwa Ibom and to the west by Bayelsa and Delta States.</w:t>
      </w:r>
    </w:p>
    <w:p w14:paraId="56F2DD3A" w14:textId="77777777" w:rsidR="007A6B09" w:rsidRPr="00C25EB7" w:rsidRDefault="00E720F9">
      <w:pPr>
        <w:spacing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t>The state lies on coordinates 4</w:t>
      </w:r>
      <w:r w:rsidRPr="00C25EB7">
        <w:rPr>
          <w:rFonts w:ascii="Times New Roman" w:eastAsia="Times New Roman" w:hAnsi="Times New Roman" w:cs="Times New Roman"/>
          <w:sz w:val="24"/>
          <w:szCs w:val="24"/>
          <w:vertAlign w:val="superscript"/>
        </w:rPr>
        <w:t xml:space="preserve">o </w:t>
      </w:r>
      <w:r w:rsidRPr="00C25EB7">
        <w:rPr>
          <w:rFonts w:ascii="Times New Roman" w:eastAsia="Times New Roman" w:hAnsi="Times New Roman" w:cs="Times New Roman"/>
          <w:sz w:val="24"/>
          <w:szCs w:val="24"/>
        </w:rPr>
        <w:t>45’N 6</w:t>
      </w:r>
      <w:r w:rsidRPr="00C25EB7">
        <w:rPr>
          <w:rFonts w:ascii="Times New Roman" w:eastAsia="Times New Roman" w:hAnsi="Times New Roman" w:cs="Times New Roman"/>
          <w:sz w:val="24"/>
          <w:szCs w:val="24"/>
          <w:vertAlign w:val="superscript"/>
        </w:rPr>
        <w:t xml:space="preserve"> o </w:t>
      </w:r>
      <w:r w:rsidRPr="00C25EB7">
        <w:rPr>
          <w:rFonts w:ascii="Times New Roman" w:eastAsia="Times New Roman" w:hAnsi="Times New Roman" w:cs="Times New Roman"/>
          <w:sz w:val="24"/>
          <w:szCs w:val="24"/>
        </w:rPr>
        <w:t>50’E. It covers a land mass of 11,077 square kilometers and has a population of 635 people per square kilometer.</w:t>
      </w:r>
    </w:p>
    <w:p w14:paraId="3E1DD974" w14:textId="77777777" w:rsidR="007A6B09" w:rsidRPr="00C25EB7" w:rsidRDefault="00E720F9">
      <w:pPr>
        <w:spacing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t>UPTH is a tertiary healthcare facility that performs multiple functions in education, diagnosis, clinical treatment, research, referral of medical and health-related cases. Its host communities include Aluu, Alakahia, and Choba, situated within Ikwerre and Obio/Akpor Local Government Areas of Rivers State, with their administrative headquarters in Isiokpo and Rumuodomaya respectively.</w:t>
      </w:r>
    </w:p>
    <w:p w14:paraId="1A2C19C0" w14:textId="77777777" w:rsidR="007A6B09" w:rsidRPr="00C25EB7" w:rsidRDefault="007A6B09">
      <w:pPr>
        <w:spacing w:after="0" w:line="240" w:lineRule="auto"/>
        <w:jc w:val="both"/>
        <w:rPr>
          <w:rFonts w:ascii="Times New Roman" w:eastAsia="Times New Roman" w:hAnsi="Times New Roman" w:cs="Times New Roman"/>
          <w:sz w:val="12"/>
          <w:szCs w:val="24"/>
        </w:rPr>
      </w:pPr>
    </w:p>
    <w:p w14:paraId="28E48FBA" w14:textId="77777777" w:rsidR="007A6B09" w:rsidRPr="00C25EB7" w:rsidRDefault="00E720F9">
      <w:pPr>
        <w:spacing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t>The teaching hospital is a 1000-bed multi-specialist center dedicated to treatment, teaching, research and healthcare management. The hospital functions under its parent institution, University of Port Harcourt.</w:t>
      </w:r>
    </w:p>
    <w:p w14:paraId="636A9627" w14:textId="77777777" w:rsidR="007A6B09" w:rsidRPr="00C25EB7" w:rsidRDefault="007A6B09">
      <w:pPr>
        <w:spacing w:after="0" w:line="240" w:lineRule="auto"/>
        <w:jc w:val="both"/>
        <w:rPr>
          <w:rFonts w:ascii="Times New Roman" w:eastAsia="Times New Roman" w:hAnsi="Times New Roman" w:cs="Times New Roman"/>
          <w:sz w:val="24"/>
          <w:szCs w:val="24"/>
        </w:rPr>
      </w:pPr>
    </w:p>
    <w:p w14:paraId="0B0F503B"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r w:rsidRPr="00C25EB7">
        <w:rPr>
          <w:rFonts w:ascii="Times New Roman" w:hAnsi="Times New Roman" w:cs="Times New Roman"/>
          <w:b/>
          <w:sz w:val="24"/>
          <w:szCs w:val="24"/>
        </w:rPr>
        <w:tab/>
        <w:t xml:space="preserve">2.2 Study Design </w:t>
      </w:r>
    </w:p>
    <w:p w14:paraId="658596C9"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t>This was as an experimental study. It was designed as to evaluate the staining performance of annatto (</w:t>
      </w:r>
      <w:r w:rsidRPr="00C25EB7">
        <w:rPr>
          <w:rFonts w:ascii="Times New Roman" w:hAnsi="Times New Roman" w:cs="Times New Roman"/>
          <w:i/>
          <w:iCs/>
          <w:sz w:val="24"/>
          <w:szCs w:val="24"/>
        </w:rPr>
        <w:t>Bixa orellana</w:t>
      </w:r>
      <w:r w:rsidRPr="00C25EB7">
        <w:rPr>
          <w:rFonts w:ascii="Times New Roman" w:hAnsi="Times New Roman" w:cs="Times New Roman"/>
          <w:sz w:val="24"/>
          <w:szCs w:val="24"/>
        </w:rPr>
        <w:t>) seed extracts prepared using 95% ethanol and</w:t>
      </w:r>
      <w:r w:rsidRPr="00C25EB7">
        <w:rPr>
          <w:rFonts w:ascii="Times New Roman" w:hAnsi="Times New Roman" w:cs="Times New Roman"/>
          <w:b/>
          <w:bCs/>
          <w:sz w:val="24"/>
          <w:szCs w:val="24"/>
        </w:rPr>
        <w:t xml:space="preserve"> </w:t>
      </w:r>
      <w:r w:rsidRPr="00C25EB7">
        <w:rPr>
          <w:rFonts w:ascii="Times New Roman" w:hAnsi="Times New Roman" w:cs="Times New Roman"/>
          <w:sz w:val="24"/>
          <w:szCs w:val="24"/>
        </w:rPr>
        <w:t>acetone as solvents, in comparison with the conventional eosin counterstain. The study focused on skin tissue sections with established histopathological diagnoses such as chronic granulomatous inflammation, lichen planus, and chronic spongiotic dermatitis at University of Port Harcourt Teaching Hospital.</w:t>
      </w:r>
    </w:p>
    <w:p w14:paraId="50F6956E" w14:textId="77777777" w:rsidR="007A6B09" w:rsidRPr="00C25EB7" w:rsidRDefault="00E720F9">
      <w:pPr>
        <w:spacing w:after="0"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ab/>
        <w:t>Grouping of Slides</w:t>
      </w:r>
    </w:p>
    <w:p w14:paraId="1ECF72D5"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For each disease, there were:</w:t>
      </w:r>
    </w:p>
    <w:p w14:paraId="17750F00" w14:textId="77777777" w:rsidR="007A6B09" w:rsidRPr="00C25EB7" w:rsidRDefault="00E720F9">
      <w:pPr>
        <w:pStyle w:val="ListParagraph"/>
        <w:numPr>
          <w:ilvl w:val="0"/>
          <w:numId w:val="2"/>
        </w:numPr>
        <w:spacing w:after="0" w:line="240" w:lineRule="auto"/>
        <w:jc w:val="both"/>
        <w:rPr>
          <w:rFonts w:ascii="Times New Roman" w:hAnsi="Times New Roman" w:cs="Times New Roman"/>
          <w:sz w:val="24"/>
          <w:szCs w:val="24"/>
        </w:rPr>
      </w:pPr>
      <w:r w:rsidRPr="00C25EB7">
        <w:rPr>
          <w:rFonts w:ascii="Times New Roman" w:hAnsi="Times New Roman" w:cs="Times New Roman"/>
          <w:b/>
          <w:bCs/>
          <w:sz w:val="24"/>
          <w:szCs w:val="24"/>
        </w:rPr>
        <w:t>Positive control group:</w:t>
      </w:r>
      <w:r w:rsidRPr="00C25EB7">
        <w:rPr>
          <w:rFonts w:ascii="Times New Roman" w:hAnsi="Times New Roman" w:cs="Times New Roman"/>
          <w:sz w:val="24"/>
          <w:szCs w:val="24"/>
        </w:rPr>
        <w:t xml:space="preserve"> The slides were stained with Mayers hematoxylin and eosin, where eosin was used as a standard counterstain.</w:t>
      </w:r>
    </w:p>
    <w:p w14:paraId="00CD40A1" w14:textId="77777777" w:rsidR="007A6B09" w:rsidRPr="00C25EB7" w:rsidRDefault="00E720F9">
      <w:pPr>
        <w:pStyle w:val="ListParagraph"/>
        <w:numPr>
          <w:ilvl w:val="0"/>
          <w:numId w:val="2"/>
        </w:num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Experimental groups marked group A and group B and group C.</w:t>
      </w:r>
    </w:p>
    <w:p w14:paraId="5D351ADB" w14:textId="77777777" w:rsidR="007A6B09" w:rsidRPr="00C25EB7" w:rsidRDefault="00E720F9">
      <w:pPr>
        <w:pStyle w:val="ListParagraph"/>
        <w:spacing w:line="240" w:lineRule="auto"/>
        <w:jc w:val="both"/>
        <w:rPr>
          <w:rFonts w:ascii="Times New Roman" w:hAnsi="Times New Roman" w:cs="Times New Roman"/>
          <w:sz w:val="24"/>
          <w:szCs w:val="24"/>
        </w:rPr>
      </w:pPr>
      <w:r w:rsidRPr="00C25EB7">
        <w:rPr>
          <w:rFonts w:ascii="Times New Roman" w:hAnsi="Times New Roman" w:cs="Times New Roman"/>
          <w:b/>
          <w:bCs/>
          <w:sz w:val="24"/>
          <w:szCs w:val="24"/>
        </w:rPr>
        <w:t>Group A</w:t>
      </w:r>
      <w:r w:rsidRPr="00C25EB7">
        <w:rPr>
          <w:rFonts w:ascii="Times New Roman" w:hAnsi="Times New Roman" w:cs="Times New Roman"/>
          <w:sz w:val="24"/>
          <w:szCs w:val="24"/>
        </w:rPr>
        <w:t xml:space="preserve"> represented Chronic granulomatous inflammation, which was stained with Mayers hematoxylin and 95% ethanol annatto seed crude extract, where the latter served as a counterstain and another slide stained with Mayers hematoxylin and acetone annatto seed crude extract, where the latter served as a counterstain.</w:t>
      </w:r>
    </w:p>
    <w:p w14:paraId="59543081" w14:textId="77777777" w:rsidR="007A6B09" w:rsidRPr="00C25EB7" w:rsidRDefault="00E720F9">
      <w:pPr>
        <w:pStyle w:val="ListParagraph"/>
        <w:spacing w:line="240" w:lineRule="auto"/>
        <w:jc w:val="both"/>
        <w:rPr>
          <w:rFonts w:ascii="Times New Roman" w:hAnsi="Times New Roman" w:cs="Times New Roman"/>
          <w:sz w:val="24"/>
          <w:szCs w:val="24"/>
        </w:rPr>
      </w:pPr>
      <w:r w:rsidRPr="00C25EB7">
        <w:rPr>
          <w:rFonts w:ascii="Times New Roman" w:hAnsi="Times New Roman" w:cs="Times New Roman"/>
          <w:b/>
          <w:bCs/>
          <w:sz w:val="24"/>
          <w:szCs w:val="24"/>
        </w:rPr>
        <w:t>Group B</w:t>
      </w:r>
      <w:r w:rsidRPr="00C25EB7">
        <w:rPr>
          <w:rFonts w:ascii="Times New Roman" w:hAnsi="Times New Roman" w:cs="Times New Roman"/>
          <w:sz w:val="24"/>
          <w:szCs w:val="24"/>
        </w:rPr>
        <w:t xml:space="preserve"> represented Lichen planus, which was stained with Mayers hematoxylin and 95% ethanol annatto seed crude extract, where the latter served as a counterstain and another slide stained with Mayers hematoxylin and acetone annatto seed crude extract, where the latter served as a counterstain.</w:t>
      </w:r>
    </w:p>
    <w:p w14:paraId="0DD5AE37" w14:textId="77777777" w:rsidR="007A6B09" w:rsidRPr="00C25EB7" w:rsidRDefault="00E720F9">
      <w:pPr>
        <w:pStyle w:val="ListParagraph"/>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Group C</w:t>
      </w:r>
      <w:r w:rsidRPr="00C25EB7">
        <w:rPr>
          <w:rFonts w:ascii="Times New Roman" w:hAnsi="Times New Roman" w:cs="Times New Roman"/>
          <w:sz w:val="24"/>
          <w:szCs w:val="24"/>
        </w:rPr>
        <w:t xml:space="preserve"> represented Chronic spongiotic dermatitis, which was stained with Mayers hematoxylin and 95% ethanol annatto seed crude extract, where the latter served as a counterstain and another slide stained with Mayers hematoxylin and acetone annatto seed crude extract, where the latter served as a counterstain.</w:t>
      </w:r>
    </w:p>
    <w:p w14:paraId="5989364A" w14:textId="77777777" w:rsidR="007A6B09" w:rsidRPr="00C25EB7" w:rsidRDefault="007A6B09">
      <w:pPr>
        <w:pStyle w:val="ListParagraph"/>
        <w:spacing w:line="240" w:lineRule="auto"/>
        <w:ind w:left="1080"/>
        <w:jc w:val="both"/>
        <w:rPr>
          <w:rFonts w:ascii="Times New Roman" w:hAnsi="Times New Roman" w:cs="Times New Roman"/>
          <w:sz w:val="6"/>
          <w:szCs w:val="24"/>
        </w:rPr>
      </w:pPr>
    </w:p>
    <w:p w14:paraId="7FF4AB91" w14:textId="77777777" w:rsidR="007A6B09" w:rsidRPr="00C25EB7" w:rsidRDefault="00E720F9">
      <w:p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Sample Size</w:t>
      </w:r>
    </w:p>
    <w:p w14:paraId="6866CF16" w14:textId="77777777" w:rsidR="007A6B09" w:rsidRPr="00C25EB7" w:rsidRDefault="00E720F9">
      <w:pPr>
        <w:spacing w:line="240" w:lineRule="auto"/>
        <w:jc w:val="both"/>
        <w:rPr>
          <w:rFonts w:ascii="Times New Roman" w:hAnsi="Times New Roman" w:cs="Times New Roman"/>
          <w:b/>
          <w:bCs/>
          <w:sz w:val="24"/>
          <w:szCs w:val="24"/>
        </w:rPr>
      </w:pPr>
      <w:r w:rsidRPr="00C25EB7">
        <w:rPr>
          <w:rFonts w:ascii="Times New Roman" w:hAnsi="Times New Roman" w:cs="Times New Roman"/>
          <w:sz w:val="24"/>
          <w:szCs w:val="24"/>
        </w:rPr>
        <w:t>90 skin tissue blocks were used, from which slides were produced which comprised 3 skin diseases, 3 staining techniques and 2 duplicates of each.</w:t>
      </w:r>
    </w:p>
    <w:p w14:paraId="4B23711C"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2.3 Eligibility Criteria</w:t>
      </w:r>
    </w:p>
    <w:p w14:paraId="29B70B27"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r w:rsidRPr="00C25EB7">
        <w:rPr>
          <w:rFonts w:ascii="Times New Roman" w:hAnsi="Times New Roman" w:cs="Times New Roman"/>
          <w:b/>
          <w:sz w:val="24"/>
          <w:szCs w:val="24"/>
        </w:rPr>
        <w:tab/>
        <w:t>Inclusion Criteria</w:t>
      </w:r>
    </w:p>
    <w:p w14:paraId="6E3391AF"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lastRenderedPageBreak/>
        <w:t>The study included formalin-fixed, paraffin-embedded skin biopsy specimens with confirmed histopathological diagnoses as skin diseases. Only tissue blocks with well-preserved epidermal</w:t>
      </w:r>
      <w:r w:rsidRPr="00C25EB7">
        <w:rPr>
          <w:rFonts w:ascii="Times New Roman" w:hAnsi="Times New Roman" w:cs="Times New Roman"/>
          <w:b/>
          <w:bCs/>
          <w:sz w:val="24"/>
          <w:szCs w:val="24"/>
        </w:rPr>
        <w:t xml:space="preserve"> </w:t>
      </w:r>
      <w:r w:rsidRPr="00C25EB7">
        <w:rPr>
          <w:rFonts w:ascii="Times New Roman" w:hAnsi="Times New Roman" w:cs="Times New Roman"/>
          <w:sz w:val="24"/>
          <w:szCs w:val="24"/>
        </w:rPr>
        <w:t>and dermal components were included, and specimens that had been routinely processed using</w:t>
      </w:r>
      <w:r w:rsidRPr="00C25EB7">
        <w:rPr>
          <w:rFonts w:ascii="Times New Roman" w:hAnsi="Times New Roman" w:cs="Times New Roman"/>
          <w:b/>
          <w:bCs/>
          <w:sz w:val="24"/>
          <w:szCs w:val="24"/>
        </w:rPr>
        <w:t xml:space="preserve"> </w:t>
      </w:r>
      <w:r w:rsidRPr="00C25EB7">
        <w:rPr>
          <w:rFonts w:ascii="Times New Roman" w:hAnsi="Times New Roman" w:cs="Times New Roman"/>
          <w:sz w:val="24"/>
          <w:szCs w:val="24"/>
        </w:rPr>
        <w:t>standard histopathological techniques prior to selection for the study.</w:t>
      </w:r>
    </w:p>
    <w:p w14:paraId="4B68E175" w14:textId="77777777" w:rsidR="007A6B09" w:rsidRPr="00C25EB7" w:rsidRDefault="007A6B09">
      <w:pPr>
        <w:spacing w:line="240" w:lineRule="auto"/>
        <w:jc w:val="both"/>
        <w:rPr>
          <w:rFonts w:ascii="Times New Roman" w:hAnsi="Times New Roman" w:cs="Times New Roman"/>
          <w:sz w:val="4"/>
          <w:szCs w:val="24"/>
        </w:rPr>
      </w:pPr>
    </w:p>
    <w:p w14:paraId="119E1B26"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r w:rsidRPr="00C25EB7">
        <w:rPr>
          <w:rFonts w:ascii="Times New Roman" w:hAnsi="Times New Roman" w:cs="Times New Roman"/>
          <w:b/>
          <w:sz w:val="24"/>
          <w:szCs w:val="24"/>
        </w:rPr>
        <w:tab/>
        <w:t>Exclusion Criteria</w:t>
      </w:r>
    </w:p>
    <w:p w14:paraId="79844BE1"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Poorly fixed or autolyzed skin tissue samples, tissue sections that exhibited extensive processing artefacts, specimens with incomplete epidermal or dermal layers, and tissue blocks with insufficient material for repeat sectioning and staining were excluded from the study.</w:t>
      </w:r>
    </w:p>
    <w:p w14:paraId="635FF717" w14:textId="77777777" w:rsidR="007A6B09" w:rsidRPr="00C25EB7" w:rsidRDefault="007A6B09">
      <w:pPr>
        <w:spacing w:after="0" w:line="240" w:lineRule="auto"/>
        <w:jc w:val="both"/>
        <w:rPr>
          <w:rFonts w:ascii="Times New Roman" w:hAnsi="Times New Roman" w:cs="Times New Roman"/>
          <w:sz w:val="24"/>
          <w:szCs w:val="24"/>
        </w:rPr>
      </w:pPr>
    </w:p>
    <w:p w14:paraId="73970D09"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ab/>
        <w:t>2.4 Plant Identification</w:t>
      </w:r>
    </w:p>
    <w:p w14:paraId="04DC10C1"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The seeds were taken from a garden in Ubima, Rivers State and the </w:t>
      </w:r>
      <w:r w:rsidRPr="00C25EB7">
        <w:rPr>
          <w:rFonts w:ascii="Times New Roman" w:eastAsia="Times New Roman" w:hAnsi="Times New Roman" w:cs="Times New Roman"/>
          <w:sz w:val="24"/>
          <w:szCs w:val="24"/>
        </w:rPr>
        <w:t>plant taxonomic identification and assigning of specimen voucher number were carried out at the department of Plant Science and Biotechnology, Rivers State University, Port Harcourt. A voucher specimen number RSUPBH0196 was given by Dr. M.G. Ajuru.</w:t>
      </w:r>
    </w:p>
    <w:p w14:paraId="097B609B" w14:textId="77777777" w:rsidR="007A6B09" w:rsidRPr="00C25EB7" w:rsidRDefault="007A6B09">
      <w:pPr>
        <w:spacing w:after="0" w:line="240" w:lineRule="auto"/>
        <w:jc w:val="both"/>
        <w:rPr>
          <w:rFonts w:ascii="Times New Roman" w:hAnsi="Times New Roman" w:cs="Times New Roman"/>
          <w:sz w:val="24"/>
          <w:szCs w:val="24"/>
        </w:rPr>
      </w:pPr>
    </w:p>
    <w:p w14:paraId="5D35DF64"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ab/>
        <w:t>2.5 Pigment Extraction and Phytochemical analysis procedure</w:t>
      </w:r>
    </w:p>
    <w:p w14:paraId="76C7EB4C" w14:textId="77777777" w:rsidR="007A6B09" w:rsidRPr="00C25EB7" w:rsidRDefault="00E720F9">
      <w:pPr>
        <w:pStyle w:val="BodyText"/>
        <w:ind w:left="115" w:right="-30"/>
        <w:jc w:val="both"/>
        <w:rPr>
          <w:rFonts w:cs="Times New Roman"/>
        </w:rPr>
      </w:pPr>
      <w:r w:rsidRPr="00C25EB7">
        <w:rPr>
          <w:rFonts w:cs="Times New Roman"/>
        </w:rPr>
        <w:t>The annatto seeds were properly cleaned to remove dirt and weighed. 100g of annatto seeds were soaked in 200ml of 95% ethanol. Another 100g of annatto seeds were soaked in 200ml of acetone. The extraction of pigment from annatto seeds (</w:t>
      </w:r>
      <w:r w:rsidRPr="00C25EB7">
        <w:rPr>
          <w:rFonts w:cs="Times New Roman"/>
          <w:i/>
        </w:rPr>
        <w:t>Bixa orellana</w:t>
      </w:r>
      <w:r w:rsidRPr="00C25EB7">
        <w:rPr>
          <w:rFonts w:cs="Times New Roman"/>
        </w:rPr>
        <w:t>) was done in 95% ethanol and acetone using maceration method for 3 days at room temperature, agitated occasionally (Rodriguez-Amaya, 2016). The extracts were filtered once with Whatman filter paper and stored in brown bottle ready for use. The pH of 95% ethanol extract and acetone extract was regulated to 5.8 and 4.5 respectively. 100g of the seeds were taken for extraction for phytochemical analysis. The sample was then prepared in accordance with ISO17025. Phytochemicals of interest were determined using the UV visible (UV-Visible 752pro) that operates with the principle of spectrophotometry via scan analysis with the wavelength range of 200-1100nm. At each wavelength, its adsorption was compared with the UV developed reference standard for phytochemicals. This enabled us to determine the phytochemicals present and their quantification was done with the help of the dilution factor using Beer-Lambert’s law which gave us the actual concentration which was expressed in mg/ml.</w:t>
      </w:r>
    </w:p>
    <w:p w14:paraId="6E9AB8FE" w14:textId="77777777" w:rsidR="007A6B09" w:rsidRPr="00C25EB7" w:rsidRDefault="007A6B09">
      <w:pPr>
        <w:pStyle w:val="BodyText"/>
        <w:ind w:left="115" w:right="-30"/>
        <w:jc w:val="both"/>
        <w:rPr>
          <w:rFonts w:cs="Times New Roman"/>
        </w:rPr>
      </w:pPr>
    </w:p>
    <w:p w14:paraId="40B7E82D"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2.6 Stability Period Evaluation</w:t>
      </w:r>
    </w:p>
    <w:p w14:paraId="6A52E295"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The stability of annatto seed crude extracts of acetone and 95% ethanol was estimated by monitoring pigment stability through checking absorbance with UV-Vis spectrophotometer, testing pH with pH meter, sedimentation/separation by visual observation and odour by sensory perception (Scotter, 1995; Lawless &amp; Heyman, 2010; McGuire,1992) over a period of 8 weeks at room temperature. The absorbance was done in triplicates and mean of the values taken. Percentage retention of pigment was calculated to assess stability.</w:t>
      </w:r>
    </w:p>
    <w:p w14:paraId="08CB5EF9" w14:textId="77777777" w:rsidR="007A6B09" w:rsidRPr="00C25EB7" w:rsidRDefault="007A6B09">
      <w:pPr>
        <w:spacing w:after="0" w:line="240" w:lineRule="auto"/>
        <w:jc w:val="both"/>
        <w:rPr>
          <w:rFonts w:ascii="Times New Roman" w:hAnsi="Times New Roman" w:cs="Times New Roman"/>
          <w:sz w:val="16"/>
          <w:szCs w:val="24"/>
        </w:rPr>
      </w:pPr>
    </w:p>
    <w:p w14:paraId="7D073F0F"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2.7 Staining Procedure:</w:t>
      </w:r>
    </w:p>
    <w:p w14:paraId="1A0B2307"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b/>
          <w:sz w:val="24"/>
          <w:szCs w:val="24"/>
        </w:rPr>
        <w:t>Positive Control</w:t>
      </w:r>
      <w:r w:rsidRPr="00C25EB7">
        <w:rPr>
          <w:rFonts w:ascii="Times New Roman" w:hAnsi="Times New Roman" w:cs="Times New Roman"/>
          <w:sz w:val="24"/>
          <w:szCs w:val="24"/>
        </w:rPr>
        <w:t xml:space="preserve">: </w:t>
      </w:r>
      <w:r w:rsidRPr="00C25EB7">
        <w:rPr>
          <w:rFonts w:ascii="Times New Roman" w:hAnsi="Times New Roman" w:cs="Times New Roman"/>
          <w:b/>
          <w:bCs/>
          <w:sz w:val="24"/>
          <w:szCs w:val="24"/>
        </w:rPr>
        <w:t xml:space="preserve">Hematoxylin and Eosin Staining </w:t>
      </w:r>
    </w:p>
    <w:p w14:paraId="384B91B2" w14:textId="698D8B0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Paraffin-embedded tissue sections were first deparaffinized in xylene and rehydrated through a descending ethanol series, followed by rinsing in distilled water. Slides were then immersed in Mayers hematoxylin solution for 15 minutes to stain nuclei, before differentiation in 1% acid alcohol and bluing with ammonia water. Counterstaining was performed with eosin for 1 minute, </w:t>
      </w:r>
      <w:r w:rsidRPr="00C25EB7">
        <w:rPr>
          <w:rFonts w:ascii="Times New Roman" w:hAnsi="Times New Roman" w:cs="Times New Roman"/>
          <w:sz w:val="24"/>
          <w:szCs w:val="24"/>
        </w:rPr>
        <w:lastRenderedPageBreak/>
        <w:t>to highlight cytoplasmic and stromal elements. Sections were dehydrated through ascending grades of alcohol concentrations, cleared in xylene, and mounted in DPX. See table 1</w:t>
      </w:r>
    </w:p>
    <w:p w14:paraId="46211E73" w14:textId="77777777" w:rsidR="007A6B09" w:rsidRPr="00C25EB7" w:rsidRDefault="007A6B09">
      <w:pPr>
        <w:spacing w:line="240" w:lineRule="auto"/>
        <w:jc w:val="both"/>
        <w:rPr>
          <w:rFonts w:ascii="Times New Roman" w:hAnsi="Times New Roman" w:cs="Times New Roman"/>
          <w:sz w:val="6"/>
          <w:szCs w:val="24"/>
        </w:rPr>
      </w:pPr>
    </w:p>
    <w:p w14:paraId="7F99F1DF" w14:textId="761B8453"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Table 1: Hematoxylin and Eosin Staining Technique  </w:t>
      </w:r>
    </w:p>
    <w:tbl>
      <w:tblPr>
        <w:tblStyle w:val="TableGrid"/>
        <w:tblW w:w="918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26"/>
        <w:gridCol w:w="3366"/>
        <w:gridCol w:w="2296"/>
        <w:gridCol w:w="2296"/>
      </w:tblGrid>
      <w:tr w:rsidR="007A6B09" w:rsidRPr="00C25EB7" w14:paraId="7327F470" w14:textId="77777777">
        <w:trPr>
          <w:trHeight w:val="165"/>
        </w:trPr>
        <w:tc>
          <w:tcPr>
            <w:tcW w:w="1226" w:type="dxa"/>
            <w:tcBorders>
              <w:top w:val="single" w:sz="4" w:space="0" w:color="auto"/>
              <w:bottom w:val="single" w:sz="4" w:space="0" w:color="auto"/>
            </w:tcBorders>
          </w:tcPr>
          <w:p w14:paraId="4FE0FEE2"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 xml:space="preserve">    </w:t>
            </w:r>
            <w:r w:rsidRPr="00C25EB7">
              <w:rPr>
                <w:rFonts w:ascii="Times New Roman" w:hAnsi="Times New Roman" w:cs="Times New Roman"/>
                <w:b/>
                <w:bCs/>
                <w:sz w:val="24"/>
                <w:szCs w:val="24"/>
                <w:lang w:val="en-AU"/>
              </w:rPr>
              <w:t>Step</w:t>
            </w:r>
            <w:r w:rsidRPr="00C25EB7">
              <w:rPr>
                <w:rFonts w:ascii="Times New Roman" w:hAnsi="Times New Roman" w:cs="Times New Roman"/>
                <w:b/>
                <w:bCs/>
                <w:sz w:val="24"/>
                <w:szCs w:val="24"/>
                <w:lang w:val="en-AU"/>
              </w:rPr>
              <w:tab/>
            </w:r>
          </w:p>
        </w:tc>
        <w:tc>
          <w:tcPr>
            <w:tcW w:w="3366" w:type="dxa"/>
            <w:tcBorders>
              <w:top w:val="single" w:sz="4" w:space="0" w:color="auto"/>
              <w:bottom w:val="single" w:sz="4" w:space="0" w:color="auto"/>
            </w:tcBorders>
          </w:tcPr>
          <w:p w14:paraId="059EFC25"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Procedure</w:t>
            </w:r>
          </w:p>
        </w:tc>
        <w:tc>
          <w:tcPr>
            <w:tcW w:w="2296" w:type="dxa"/>
            <w:tcBorders>
              <w:top w:val="single" w:sz="4" w:space="0" w:color="auto"/>
              <w:bottom w:val="single" w:sz="4" w:space="0" w:color="auto"/>
            </w:tcBorders>
          </w:tcPr>
          <w:p w14:paraId="3F3BDB54"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Reagent</w:t>
            </w:r>
          </w:p>
        </w:tc>
        <w:tc>
          <w:tcPr>
            <w:tcW w:w="2296" w:type="dxa"/>
            <w:tcBorders>
              <w:top w:val="single" w:sz="4" w:space="0" w:color="auto"/>
              <w:bottom w:val="single" w:sz="4" w:space="0" w:color="auto"/>
            </w:tcBorders>
          </w:tcPr>
          <w:p w14:paraId="7659EEB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Time</w:t>
            </w:r>
          </w:p>
        </w:tc>
      </w:tr>
      <w:tr w:rsidR="007A6B09" w:rsidRPr="00C25EB7" w14:paraId="4FAB960C" w14:textId="77777777">
        <w:trPr>
          <w:trHeight w:val="388"/>
        </w:trPr>
        <w:tc>
          <w:tcPr>
            <w:tcW w:w="1226" w:type="dxa"/>
            <w:tcBorders>
              <w:top w:val="single" w:sz="4" w:space="0" w:color="auto"/>
            </w:tcBorders>
          </w:tcPr>
          <w:p w14:paraId="5ED96698"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w:t>
            </w:r>
          </w:p>
        </w:tc>
        <w:tc>
          <w:tcPr>
            <w:tcW w:w="3366" w:type="dxa"/>
            <w:tcBorders>
              <w:top w:val="single" w:sz="4" w:space="0" w:color="auto"/>
            </w:tcBorders>
          </w:tcPr>
          <w:p w14:paraId="5541C37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r w:rsidRPr="00C25EB7">
              <w:rPr>
                <w:rFonts w:ascii="Times New Roman" w:hAnsi="Times New Roman" w:cs="Times New Roman"/>
                <w:sz w:val="24"/>
                <w:szCs w:val="24"/>
                <w:lang w:val="en-AU"/>
              </w:rPr>
              <w:tab/>
            </w:r>
          </w:p>
        </w:tc>
        <w:tc>
          <w:tcPr>
            <w:tcW w:w="2296" w:type="dxa"/>
            <w:tcBorders>
              <w:top w:val="single" w:sz="4" w:space="0" w:color="auto"/>
            </w:tcBorders>
          </w:tcPr>
          <w:p w14:paraId="56F380F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Borders>
              <w:top w:val="single" w:sz="4" w:space="0" w:color="auto"/>
            </w:tcBorders>
          </w:tcPr>
          <w:p w14:paraId="56A694E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07F9ADDF" w14:textId="77777777">
        <w:trPr>
          <w:trHeight w:val="388"/>
        </w:trPr>
        <w:tc>
          <w:tcPr>
            <w:tcW w:w="1226" w:type="dxa"/>
          </w:tcPr>
          <w:p w14:paraId="04A81751"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2.</w:t>
            </w:r>
          </w:p>
        </w:tc>
        <w:tc>
          <w:tcPr>
            <w:tcW w:w="3366" w:type="dxa"/>
          </w:tcPr>
          <w:p w14:paraId="3F932072"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p>
        </w:tc>
        <w:tc>
          <w:tcPr>
            <w:tcW w:w="2296" w:type="dxa"/>
          </w:tcPr>
          <w:p w14:paraId="0A507ABA"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Pr>
          <w:p w14:paraId="4C80E5B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4179E7E2" w14:textId="77777777">
        <w:trPr>
          <w:trHeight w:val="388"/>
        </w:trPr>
        <w:tc>
          <w:tcPr>
            <w:tcW w:w="1226" w:type="dxa"/>
          </w:tcPr>
          <w:p w14:paraId="108FF851"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3.</w:t>
            </w:r>
          </w:p>
        </w:tc>
        <w:tc>
          <w:tcPr>
            <w:tcW w:w="3366" w:type="dxa"/>
          </w:tcPr>
          <w:p w14:paraId="7E35E6A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296" w:type="dxa"/>
          </w:tcPr>
          <w:p w14:paraId="74DEB3D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296" w:type="dxa"/>
          </w:tcPr>
          <w:p w14:paraId="1EA52B46"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3 minutes</w:t>
            </w:r>
          </w:p>
        </w:tc>
      </w:tr>
      <w:tr w:rsidR="007A6B09" w:rsidRPr="00C25EB7" w14:paraId="1599DABE" w14:textId="77777777">
        <w:trPr>
          <w:trHeight w:val="388"/>
        </w:trPr>
        <w:tc>
          <w:tcPr>
            <w:tcW w:w="1226" w:type="dxa"/>
          </w:tcPr>
          <w:p w14:paraId="7CC19F91"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4.</w:t>
            </w:r>
          </w:p>
        </w:tc>
        <w:tc>
          <w:tcPr>
            <w:tcW w:w="3366" w:type="dxa"/>
          </w:tcPr>
          <w:p w14:paraId="2B136F0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296" w:type="dxa"/>
          </w:tcPr>
          <w:p w14:paraId="2397CC1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r w:rsidRPr="00C25EB7">
              <w:rPr>
                <w:rFonts w:ascii="Times New Roman" w:hAnsi="Times New Roman" w:cs="Times New Roman"/>
                <w:sz w:val="24"/>
                <w:szCs w:val="24"/>
                <w:lang w:val="en-AU"/>
              </w:rPr>
              <w:tab/>
            </w:r>
          </w:p>
        </w:tc>
        <w:tc>
          <w:tcPr>
            <w:tcW w:w="2296" w:type="dxa"/>
          </w:tcPr>
          <w:p w14:paraId="117D790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CF1B7F4" w14:textId="77777777">
        <w:trPr>
          <w:trHeight w:val="388"/>
        </w:trPr>
        <w:tc>
          <w:tcPr>
            <w:tcW w:w="1226" w:type="dxa"/>
          </w:tcPr>
          <w:p w14:paraId="4A695788"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5.</w:t>
            </w:r>
          </w:p>
        </w:tc>
        <w:tc>
          <w:tcPr>
            <w:tcW w:w="3366" w:type="dxa"/>
          </w:tcPr>
          <w:p w14:paraId="464FD23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296" w:type="dxa"/>
          </w:tcPr>
          <w:p w14:paraId="7F3FC78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r w:rsidRPr="00C25EB7">
              <w:rPr>
                <w:rFonts w:ascii="Times New Roman" w:hAnsi="Times New Roman" w:cs="Times New Roman"/>
                <w:sz w:val="24"/>
                <w:szCs w:val="24"/>
                <w:lang w:val="en-AU"/>
              </w:rPr>
              <w:tab/>
            </w:r>
          </w:p>
        </w:tc>
        <w:tc>
          <w:tcPr>
            <w:tcW w:w="2296" w:type="dxa"/>
          </w:tcPr>
          <w:p w14:paraId="4CD6F13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B531459" w14:textId="77777777">
        <w:trPr>
          <w:trHeight w:val="278"/>
        </w:trPr>
        <w:tc>
          <w:tcPr>
            <w:tcW w:w="1226" w:type="dxa"/>
          </w:tcPr>
          <w:p w14:paraId="102B0314"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6.</w:t>
            </w:r>
          </w:p>
        </w:tc>
        <w:tc>
          <w:tcPr>
            <w:tcW w:w="3366" w:type="dxa"/>
          </w:tcPr>
          <w:p w14:paraId="5D21DE6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296" w:type="dxa"/>
          </w:tcPr>
          <w:p w14:paraId="775EAC0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50% Ethanol</w:t>
            </w:r>
            <w:r w:rsidRPr="00C25EB7">
              <w:rPr>
                <w:rFonts w:ascii="Times New Roman" w:hAnsi="Times New Roman" w:cs="Times New Roman"/>
                <w:sz w:val="24"/>
                <w:szCs w:val="24"/>
                <w:lang w:val="en-AU"/>
              </w:rPr>
              <w:tab/>
            </w:r>
          </w:p>
        </w:tc>
        <w:tc>
          <w:tcPr>
            <w:tcW w:w="2296" w:type="dxa"/>
          </w:tcPr>
          <w:p w14:paraId="05F962E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41EF806" w14:textId="77777777">
        <w:trPr>
          <w:trHeight w:val="388"/>
        </w:trPr>
        <w:tc>
          <w:tcPr>
            <w:tcW w:w="1226" w:type="dxa"/>
          </w:tcPr>
          <w:p w14:paraId="4D408687"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7.</w:t>
            </w:r>
          </w:p>
        </w:tc>
        <w:tc>
          <w:tcPr>
            <w:tcW w:w="3366" w:type="dxa"/>
          </w:tcPr>
          <w:p w14:paraId="3F75CDF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296" w:type="dxa"/>
          </w:tcPr>
          <w:p w14:paraId="256B96A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Distilled water</w:t>
            </w:r>
          </w:p>
        </w:tc>
        <w:tc>
          <w:tcPr>
            <w:tcW w:w="2296" w:type="dxa"/>
          </w:tcPr>
          <w:p w14:paraId="2B7EA22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7CFDEA2" w14:textId="77777777">
        <w:trPr>
          <w:trHeight w:val="388"/>
        </w:trPr>
        <w:tc>
          <w:tcPr>
            <w:tcW w:w="1226" w:type="dxa"/>
          </w:tcPr>
          <w:p w14:paraId="231DD9D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8.</w:t>
            </w:r>
          </w:p>
        </w:tc>
        <w:tc>
          <w:tcPr>
            <w:tcW w:w="3366" w:type="dxa"/>
          </w:tcPr>
          <w:p w14:paraId="4B3A066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Nuclear staining</w:t>
            </w:r>
          </w:p>
        </w:tc>
        <w:tc>
          <w:tcPr>
            <w:tcW w:w="2296" w:type="dxa"/>
          </w:tcPr>
          <w:p w14:paraId="0C13C72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Mayers hematoxylin</w:t>
            </w:r>
          </w:p>
        </w:tc>
        <w:tc>
          <w:tcPr>
            <w:tcW w:w="2296" w:type="dxa"/>
          </w:tcPr>
          <w:p w14:paraId="6DCCE09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5826C9E5" w14:textId="77777777">
        <w:trPr>
          <w:trHeight w:val="388"/>
        </w:trPr>
        <w:tc>
          <w:tcPr>
            <w:tcW w:w="1226" w:type="dxa"/>
          </w:tcPr>
          <w:p w14:paraId="2C9CE377"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9.</w:t>
            </w:r>
          </w:p>
        </w:tc>
        <w:tc>
          <w:tcPr>
            <w:tcW w:w="3366" w:type="dxa"/>
          </w:tcPr>
          <w:p w14:paraId="19CF145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296" w:type="dxa"/>
          </w:tcPr>
          <w:p w14:paraId="384B10D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296" w:type="dxa"/>
          </w:tcPr>
          <w:p w14:paraId="32D2B2E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DB227A9" w14:textId="77777777">
        <w:trPr>
          <w:trHeight w:val="388"/>
        </w:trPr>
        <w:tc>
          <w:tcPr>
            <w:tcW w:w="1226" w:type="dxa"/>
          </w:tcPr>
          <w:p w14:paraId="631C3EF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10.</w:t>
            </w:r>
          </w:p>
        </w:tc>
        <w:tc>
          <w:tcPr>
            <w:tcW w:w="3366" w:type="dxa"/>
          </w:tcPr>
          <w:p w14:paraId="4DA77AD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Differentiation</w:t>
            </w:r>
            <w:r w:rsidRPr="00C25EB7">
              <w:rPr>
                <w:rFonts w:ascii="Times New Roman" w:hAnsi="Times New Roman" w:cs="Times New Roman"/>
                <w:sz w:val="24"/>
                <w:szCs w:val="24"/>
                <w:lang w:val="en-AU"/>
              </w:rPr>
              <w:tab/>
            </w:r>
          </w:p>
        </w:tc>
        <w:tc>
          <w:tcPr>
            <w:tcW w:w="2296" w:type="dxa"/>
          </w:tcPr>
          <w:p w14:paraId="2D207B6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acid alcohol</w:t>
            </w:r>
          </w:p>
        </w:tc>
        <w:tc>
          <w:tcPr>
            <w:tcW w:w="2296" w:type="dxa"/>
          </w:tcPr>
          <w:p w14:paraId="522AC41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seconds</w:t>
            </w:r>
          </w:p>
        </w:tc>
      </w:tr>
      <w:tr w:rsidR="007A6B09" w:rsidRPr="00C25EB7" w14:paraId="0D9A7B31" w14:textId="77777777">
        <w:trPr>
          <w:trHeight w:val="388"/>
        </w:trPr>
        <w:tc>
          <w:tcPr>
            <w:tcW w:w="1226" w:type="dxa"/>
          </w:tcPr>
          <w:p w14:paraId="46A84EC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11.</w:t>
            </w:r>
          </w:p>
        </w:tc>
        <w:tc>
          <w:tcPr>
            <w:tcW w:w="3366" w:type="dxa"/>
          </w:tcPr>
          <w:p w14:paraId="41E397C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296" w:type="dxa"/>
          </w:tcPr>
          <w:p w14:paraId="534201C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296" w:type="dxa"/>
          </w:tcPr>
          <w:p w14:paraId="264A5B3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E63AFD5" w14:textId="77777777">
        <w:trPr>
          <w:trHeight w:val="388"/>
        </w:trPr>
        <w:tc>
          <w:tcPr>
            <w:tcW w:w="1226" w:type="dxa"/>
          </w:tcPr>
          <w:p w14:paraId="7A74C65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12.</w:t>
            </w:r>
          </w:p>
        </w:tc>
        <w:tc>
          <w:tcPr>
            <w:tcW w:w="3366" w:type="dxa"/>
          </w:tcPr>
          <w:p w14:paraId="6CE9D2A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Counterstaining</w:t>
            </w:r>
          </w:p>
        </w:tc>
        <w:tc>
          <w:tcPr>
            <w:tcW w:w="2296" w:type="dxa"/>
          </w:tcPr>
          <w:p w14:paraId="6142D21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Eosin</w:t>
            </w:r>
          </w:p>
        </w:tc>
        <w:tc>
          <w:tcPr>
            <w:tcW w:w="2296" w:type="dxa"/>
          </w:tcPr>
          <w:p w14:paraId="5B82A79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minute</w:t>
            </w:r>
          </w:p>
        </w:tc>
      </w:tr>
      <w:tr w:rsidR="007A6B09" w:rsidRPr="00C25EB7" w14:paraId="2064771D" w14:textId="77777777">
        <w:trPr>
          <w:trHeight w:val="305"/>
        </w:trPr>
        <w:tc>
          <w:tcPr>
            <w:tcW w:w="1226" w:type="dxa"/>
          </w:tcPr>
          <w:p w14:paraId="115D5AC5"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13.</w:t>
            </w:r>
          </w:p>
        </w:tc>
        <w:tc>
          <w:tcPr>
            <w:tcW w:w="3366" w:type="dxa"/>
          </w:tcPr>
          <w:p w14:paraId="456FE99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296" w:type="dxa"/>
          </w:tcPr>
          <w:p w14:paraId="7162391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p>
        </w:tc>
        <w:tc>
          <w:tcPr>
            <w:tcW w:w="2296" w:type="dxa"/>
          </w:tcPr>
          <w:p w14:paraId="60365B9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57955FF" w14:textId="77777777">
        <w:trPr>
          <w:trHeight w:val="260"/>
        </w:trPr>
        <w:tc>
          <w:tcPr>
            <w:tcW w:w="1226" w:type="dxa"/>
          </w:tcPr>
          <w:p w14:paraId="493A6369"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14.</w:t>
            </w:r>
          </w:p>
        </w:tc>
        <w:tc>
          <w:tcPr>
            <w:tcW w:w="3366" w:type="dxa"/>
          </w:tcPr>
          <w:p w14:paraId="60047EB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296" w:type="dxa"/>
          </w:tcPr>
          <w:p w14:paraId="277F49C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p>
        </w:tc>
        <w:tc>
          <w:tcPr>
            <w:tcW w:w="2296" w:type="dxa"/>
          </w:tcPr>
          <w:p w14:paraId="593EB38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1A858179" w14:textId="77777777">
        <w:trPr>
          <w:trHeight w:val="408"/>
        </w:trPr>
        <w:tc>
          <w:tcPr>
            <w:tcW w:w="1226" w:type="dxa"/>
          </w:tcPr>
          <w:p w14:paraId="2AE4F453"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15.</w:t>
            </w:r>
          </w:p>
        </w:tc>
        <w:tc>
          <w:tcPr>
            <w:tcW w:w="3366" w:type="dxa"/>
          </w:tcPr>
          <w:p w14:paraId="2C7DE21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296" w:type="dxa"/>
          </w:tcPr>
          <w:p w14:paraId="7456EF8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296" w:type="dxa"/>
          </w:tcPr>
          <w:p w14:paraId="462F2AB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18738D34" w14:textId="77777777">
        <w:trPr>
          <w:trHeight w:val="260"/>
        </w:trPr>
        <w:tc>
          <w:tcPr>
            <w:tcW w:w="1226" w:type="dxa"/>
          </w:tcPr>
          <w:p w14:paraId="0EC4C924"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16.</w:t>
            </w:r>
          </w:p>
        </w:tc>
        <w:tc>
          <w:tcPr>
            <w:tcW w:w="3366" w:type="dxa"/>
          </w:tcPr>
          <w:p w14:paraId="2E6516D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296" w:type="dxa"/>
          </w:tcPr>
          <w:p w14:paraId="7728EDE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296" w:type="dxa"/>
          </w:tcPr>
          <w:p w14:paraId="783B5D3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234E7B34" w14:textId="77777777">
        <w:trPr>
          <w:trHeight w:val="388"/>
        </w:trPr>
        <w:tc>
          <w:tcPr>
            <w:tcW w:w="1226" w:type="dxa"/>
            <w:tcBorders>
              <w:bottom w:val="single" w:sz="4" w:space="0" w:color="auto"/>
            </w:tcBorders>
          </w:tcPr>
          <w:p w14:paraId="23FCBA5E"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17.</w:t>
            </w:r>
          </w:p>
        </w:tc>
        <w:tc>
          <w:tcPr>
            <w:tcW w:w="3366" w:type="dxa"/>
            <w:tcBorders>
              <w:bottom w:val="single" w:sz="4" w:space="0" w:color="auto"/>
            </w:tcBorders>
          </w:tcPr>
          <w:p w14:paraId="31865DA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296" w:type="dxa"/>
            <w:tcBorders>
              <w:bottom w:val="single" w:sz="4" w:space="0" w:color="auto"/>
            </w:tcBorders>
          </w:tcPr>
          <w:p w14:paraId="0AC3774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Borders>
              <w:bottom w:val="single" w:sz="4" w:space="0" w:color="auto"/>
            </w:tcBorders>
          </w:tcPr>
          <w:p w14:paraId="07C4C88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D45A097" w14:textId="77777777">
        <w:trPr>
          <w:trHeight w:val="388"/>
        </w:trPr>
        <w:tc>
          <w:tcPr>
            <w:tcW w:w="1226" w:type="dxa"/>
            <w:tcBorders>
              <w:top w:val="single" w:sz="4" w:space="0" w:color="auto"/>
              <w:bottom w:val="single" w:sz="4" w:space="0" w:color="auto"/>
            </w:tcBorders>
          </w:tcPr>
          <w:p w14:paraId="14D9334A"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18</w:t>
            </w:r>
          </w:p>
        </w:tc>
        <w:tc>
          <w:tcPr>
            <w:tcW w:w="3366" w:type="dxa"/>
            <w:tcBorders>
              <w:top w:val="single" w:sz="4" w:space="0" w:color="auto"/>
              <w:bottom w:val="single" w:sz="4" w:space="0" w:color="auto"/>
            </w:tcBorders>
          </w:tcPr>
          <w:p w14:paraId="6B91569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296" w:type="dxa"/>
            <w:tcBorders>
              <w:top w:val="single" w:sz="4" w:space="0" w:color="auto"/>
              <w:bottom w:val="single" w:sz="4" w:space="0" w:color="auto"/>
            </w:tcBorders>
          </w:tcPr>
          <w:p w14:paraId="41B43F0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Borders>
              <w:top w:val="single" w:sz="4" w:space="0" w:color="auto"/>
              <w:bottom w:val="single" w:sz="4" w:space="0" w:color="auto"/>
            </w:tcBorders>
          </w:tcPr>
          <w:p w14:paraId="3AE34E7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bl>
    <w:p w14:paraId="332EA2A3"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Experimental Group: Acetone Extract</w:t>
      </w:r>
    </w:p>
    <w:p w14:paraId="1F2222A1" w14:textId="18B05CDD" w:rsidR="007A6B09" w:rsidRPr="00C25EB7" w:rsidRDefault="00E720F9">
      <w:pPr>
        <w:spacing w:after="0" w:line="240" w:lineRule="auto"/>
        <w:jc w:val="both"/>
        <w:rPr>
          <w:rFonts w:ascii="Times New Roman" w:hAnsi="Times New Roman" w:cs="Times New Roman"/>
          <w:sz w:val="24"/>
          <w:szCs w:val="24"/>
          <w:lang w:val="en-AU"/>
        </w:rPr>
      </w:pPr>
      <w:r w:rsidRPr="00C25EB7">
        <w:rPr>
          <w:rFonts w:ascii="Times New Roman" w:hAnsi="Times New Roman" w:cs="Times New Roman"/>
          <w:sz w:val="24"/>
          <w:szCs w:val="24"/>
          <w:lang w:val="en-AU"/>
        </w:rPr>
        <w:t>Sections were freed from wax with xylene and brought to distilled water through descending grades of ethyl alcohol (100%, 90%, 70%, &amp; 50%); stained with Mayer’s hematoxylin for 15 minutes and rinsed in running tap water. They were differentiated with 1% acid alcohol until only nuclei were stained, rinsed in running tap water and ‘blued’ in ammoniacal water for 1 minute. Furthermore, the sections were counterstained with Extract for 15 minutes, and then dehydrated in ascending grades of alcohol concentrations, cleared in xylene and mounted in DPX. See table.2</w:t>
      </w:r>
    </w:p>
    <w:p w14:paraId="7B97450A" w14:textId="77777777" w:rsidR="007A6B09" w:rsidRPr="00C25EB7" w:rsidRDefault="007A6B09">
      <w:pPr>
        <w:spacing w:line="240" w:lineRule="auto"/>
        <w:jc w:val="both"/>
        <w:rPr>
          <w:rFonts w:ascii="Times New Roman" w:hAnsi="Times New Roman" w:cs="Times New Roman"/>
          <w:b/>
          <w:sz w:val="10"/>
          <w:szCs w:val="24"/>
          <w:lang w:val="en-AU"/>
        </w:rPr>
      </w:pPr>
    </w:p>
    <w:p w14:paraId="75408691" w14:textId="05D10A22" w:rsidR="007A6B09" w:rsidRPr="00C25EB7" w:rsidRDefault="00E720F9">
      <w:pPr>
        <w:spacing w:line="240" w:lineRule="auto"/>
        <w:jc w:val="both"/>
        <w:rPr>
          <w:rFonts w:ascii="Times New Roman" w:hAnsi="Times New Roman" w:cs="Times New Roman"/>
          <w:b/>
          <w:sz w:val="24"/>
          <w:szCs w:val="24"/>
          <w:lang w:val="en-AU"/>
        </w:rPr>
      </w:pPr>
      <w:r w:rsidRPr="00C25EB7">
        <w:rPr>
          <w:rFonts w:ascii="Times New Roman" w:hAnsi="Times New Roman" w:cs="Times New Roman"/>
          <w:b/>
          <w:sz w:val="24"/>
          <w:szCs w:val="24"/>
          <w:lang w:val="en-AU"/>
        </w:rPr>
        <w:t>Table</w:t>
      </w:r>
      <w:r w:rsidR="00A10595" w:rsidRPr="00C25EB7">
        <w:rPr>
          <w:rFonts w:ascii="Times New Roman" w:hAnsi="Times New Roman" w:cs="Times New Roman"/>
          <w:b/>
          <w:sz w:val="24"/>
          <w:szCs w:val="24"/>
          <w:lang w:val="en-AU"/>
        </w:rPr>
        <w:t xml:space="preserve"> </w:t>
      </w:r>
      <w:r w:rsidRPr="00C25EB7">
        <w:rPr>
          <w:rFonts w:ascii="Times New Roman" w:hAnsi="Times New Roman" w:cs="Times New Roman"/>
          <w:b/>
          <w:sz w:val="24"/>
          <w:szCs w:val="24"/>
          <w:lang w:val="en-AU"/>
        </w:rPr>
        <w:t>.2: Hem</w:t>
      </w:r>
      <w:r w:rsidRPr="00C25EB7">
        <w:rPr>
          <w:rFonts w:ascii="Times New Roman" w:hAnsi="Times New Roman" w:cs="Times New Roman"/>
          <w:b/>
          <w:sz w:val="24"/>
          <w:szCs w:val="24"/>
        </w:rPr>
        <w:t xml:space="preserve">atoxylin and Acetone Extract Staining Technique  </w:t>
      </w:r>
      <w:r w:rsidRPr="00C25EB7">
        <w:rPr>
          <w:rFonts w:ascii="Times New Roman" w:hAnsi="Times New Roman" w:cs="Times New Roman"/>
          <w:b/>
          <w:sz w:val="24"/>
          <w:szCs w:val="24"/>
          <w:lang w:val="en-AU"/>
        </w:rPr>
        <w:t xml:space="preserve"> </w:t>
      </w:r>
    </w:p>
    <w:tbl>
      <w:tblPr>
        <w:tblStyle w:val="TableGrid"/>
        <w:tblW w:w="922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32"/>
        <w:gridCol w:w="3382"/>
        <w:gridCol w:w="2307"/>
        <w:gridCol w:w="2307"/>
      </w:tblGrid>
      <w:tr w:rsidR="007A6B09" w:rsidRPr="00C25EB7" w14:paraId="6DC763E1" w14:textId="77777777">
        <w:trPr>
          <w:trHeight w:val="120"/>
        </w:trPr>
        <w:tc>
          <w:tcPr>
            <w:tcW w:w="1232" w:type="dxa"/>
            <w:tcBorders>
              <w:top w:val="single" w:sz="4" w:space="0" w:color="auto"/>
              <w:bottom w:val="single" w:sz="4" w:space="0" w:color="auto"/>
            </w:tcBorders>
          </w:tcPr>
          <w:p w14:paraId="4777654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 xml:space="preserve">    </w:t>
            </w:r>
            <w:r w:rsidRPr="00C25EB7">
              <w:rPr>
                <w:rFonts w:ascii="Times New Roman" w:hAnsi="Times New Roman" w:cs="Times New Roman"/>
                <w:b/>
                <w:bCs/>
                <w:sz w:val="24"/>
                <w:szCs w:val="24"/>
                <w:lang w:val="en-AU"/>
              </w:rPr>
              <w:t>Step</w:t>
            </w:r>
            <w:r w:rsidRPr="00C25EB7">
              <w:rPr>
                <w:rFonts w:ascii="Times New Roman" w:hAnsi="Times New Roman" w:cs="Times New Roman"/>
                <w:b/>
                <w:bCs/>
                <w:sz w:val="24"/>
                <w:szCs w:val="24"/>
                <w:lang w:val="en-AU"/>
              </w:rPr>
              <w:tab/>
            </w:r>
          </w:p>
        </w:tc>
        <w:tc>
          <w:tcPr>
            <w:tcW w:w="3382" w:type="dxa"/>
            <w:tcBorders>
              <w:top w:val="single" w:sz="4" w:space="0" w:color="auto"/>
              <w:bottom w:val="single" w:sz="4" w:space="0" w:color="auto"/>
            </w:tcBorders>
          </w:tcPr>
          <w:p w14:paraId="4A7557B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Procedure</w:t>
            </w:r>
          </w:p>
        </w:tc>
        <w:tc>
          <w:tcPr>
            <w:tcW w:w="2307" w:type="dxa"/>
            <w:tcBorders>
              <w:top w:val="single" w:sz="4" w:space="0" w:color="auto"/>
              <w:bottom w:val="single" w:sz="4" w:space="0" w:color="auto"/>
            </w:tcBorders>
          </w:tcPr>
          <w:p w14:paraId="12B207A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Reagent</w:t>
            </w:r>
          </w:p>
        </w:tc>
        <w:tc>
          <w:tcPr>
            <w:tcW w:w="2307" w:type="dxa"/>
            <w:tcBorders>
              <w:top w:val="single" w:sz="4" w:space="0" w:color="auto"/>
              <w:bottom w:val="single" w:sz="4" w:space="0" w:color="auto"/>
            </w:tcBorders>
          </w:tcPr>
          <w:p w14:paraId="52DC7027"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Time</w:t>
            </w:r>
          </w:p>
        </w:tc>
      </w:tr>
      <w:tr w:rsidR="007A6B09" w:rsidRPr="00C25EB7" w14:paraId="1F9001CC" w14:textId="77777777">
        <w:trPr>
          <w:trHeight w:val="283"/>
        </w:trPr>
        <w:tc>
          <w:tcPr>
            <w:tcW w:w="1232" w:type="dxa"/>
            <w:tcBorders>
              <w:top w:val="single" w:sz="4" w:space="0" w:color="auto"/>
            </w:tcBorders>
          </w:tcPr>
          <w:p w14:paraId="154F952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w:t>
            </w:r>
          </w:p>
        </w:tc>
        <w:tc>
          <w:tcPr>
            <w:tcW w:w="3382" w:type="dxa"/>
            <w:tcBorders>
              <w:top w:val="single" w:sz="4" w:space="0" w:color="auto"/>
            </w:tcBorders>
          </w:tcPr>
          <w:p w14:paraId="291A51CA"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r w:rsidRPr="00C25EB7">
              <w:rPr>
                <w:rFonts w:ascii="Times New Roman" w:hAnsi="Times New Roman" w:cs="Times New Roman"/>
                <w:sz w:val="24"/>
                <w:szCs w:val="24"/>
                <w:lang w:val="en-AU"/>
              </w:rPr>
              <w:tab/>
            </w:r>
          </w:p>
        </w:tc>
        <w:tc>
          <w:tcPr>
            <w:tcW w:w="2307" w:type="dxa"/>
            <w:tcBorders>
              <w:top w:val="single" w:sz="4" w:space="0" w:color="auto"/>
            </w:tcBorders>
          </w:tcPr>
          <w:p w14:paraId="71C06A94"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Borders>
              <w:top w:val="single" w:sz="4" w:space="0" w:color="auto"/>
            </w:tcBorders>
          </w:tcPr>
          <w:p w14:paraId="7DC5927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000A14E3" w14:textId="77777777">
        <w:trPr>
          <w:trHeight w:val="283"/>
        </w:trPr>
        <w:tc>
          <w:tcPr>
            <w:tcW w:w="1232" w:type="dxa"/>
          </w:tcPr>
          <w:p w14:paraId="72A1B59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2.</w:t>
            </w:r>
          </w:p>
        </w:tc>
        <w:tc>
          <w:tcPr>
            <w:tcW w:w="3382" w:type="dxa"/>
          </w:tcPr>
          <w:p w14:paraId="40C1455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p>
        </w:tc>
        <w:tc>
          <w:tcPr>
            <w:tcW w:w="2307" w:type="dxa"/>
          </w:tcPr>
          <w:p w14:paraId="518D02E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Pr>
          <w:p w14:paraId="29B42C0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6CA9F0D8" w14:textId="77777777">
        <w:trPr>
          <w:trHeight w:val="283"/>
        </w:trPr>
        <w:tc>
          <w:tcPr>
            <w:tcW w:w="1232" w:type="dxa"/>
          </w:tcPr>
          <w:p w14:paraId="1DD0041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3.</w:t>
            </w:r>
          </w:p>
        </w:tc>
        <w:tc>
          <w:tcPr>
            <w:tcW w:w="3382" w:type="dxa"/>
          </w:tcPr>
          <w:p w14:paraId="503A702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07" w:type="dxa"/>
          </w:tcPr>
          <w:p w14:paraId="6CEC6DD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07" w:type="dxa"/>
          </w:tcPr>
          <w:p w14:paraId="453DBDD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3 minutes</w:t>
            </w:r>
          </w:p>
        </w:tc>
      </w:tr>
      <w:tr w:rsidR="007A6B09" w:rsidRPr="00C25EB7" w14:paraId="1C185491" w14:textId="77777777">
        <w:trPr>
          <w:trHeight w:val="283"/>
        </w:trPr>
        <w:tc>
          <w:tcPr>
            <w:tcW w:w="1232" w:type="dxa"/>
          </w:tcPr>
          <w:p w14:paraId="4E8990B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4.</w:t>
            </w:r>
          </w:p>
        </w:tc>
        <w:tc>
          <w:tcPr>
            <w:tcW w:w="3382" w:type="dxa"/>
          </w:tcPr>
          <w:p w14:paraId="0E80CAD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07" w:type="dxa"/>
          </w:tcPr>
          <w:p w14:paraId="7DF178B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r w:rsidRPr="00C25EB7">
              <w:rPr>
                <w:rFonts w:ascii="Times New Roman" w:hAnsi="Times New Roman" w:cs="Times New Roman"/>
                <w:sz w:val="24"/>
                <w:szCs w:val="24"/>
                <w:lang w:val="en-AU"/>
              </w:rPr>
              <w:tab/>
            </w:r>
          </w:p>
        </w:tc>
        <w:tc>
          <w:tcPr>
            <w:tcW w:w="2307" w:type="dxa"/>
          </w:tcPr>
          <w:p w14:paraId="33B0AE3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51F827E3" w14:textId="77777777">
        <w:trPr>
          <w:trHeight w:val="283"/>
        </w:trPr>
        <w:tc>
          <w:tcPr>
            <w:tcW w:w="1232" w:type="dxa"/>
          </w:tcPr>
          <w:p w14:paraId="6C70F75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lastRenderedPageBreak/>
              <w:t>5.</w:t>
            </w:r>
          </w:p>
        </w:tc>
        <w:tc>
          <w:tcPr>
            <w:tcW w:w="3382" w:type="dxa"/>
          </w:tcPr>
          <w:p w14:paraId="44CCEAE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07" w:type="dxa"/>
          </w:tcPr>
          <w:p w14:paraId="045D030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r w:rsidRPr="00C25EB7">
              <w:rPr>
                <w:rFonts w:ascii="Times New Roman" w:hAnsi="Times New Roman" w:cs="Times New Roman"/>
                <w:sz w:val="24"/>
                <w:szCs w:val="24"/>
                <w:lang w:val="en-AU"/>
              </w:rPr>
              <w:tab/>
            </w:r>
          </w:p>
        </w:tc>
        <w:tc>
          <w:tcPr>
            <w:tcW w:w="2307" w:type="dxa"/>
          </w:tcPr>
          <w:p w14:paraId="7F49EC3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0E75AD0" w14:textId="77777777">
        <w:trPr>
          <w:trHeight w:val="283"/>
        </w:trPr>
        <w:tc>
          <w:tcPr>
            <w:tcW w:w="1232" w:type="dxa"/>
          </w:tcPr>
          <w:p w14:paraId="381F1FE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6.</w:t>
            </w:r>
          </w:p>
        </w:tc>
        <w:tc>
          <w:tcPr>
            <w:tcW w:w="3382" w:type="dxa"/>
          </w:tcPr>
          <w:p w14:paraId="1D18DFF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07" w:type="dxa"/>
          </w:tcPr>
          <w:p w14:paraId="5E545C1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50% Ethanol</w:t>
            </w:r>
            <w:r w:rsidRPr="00C25EB7">
              <w:rPr>
                <w:rFonts w:ascii="Times New Roman" w:hAnsi="Times New Roman" w:cs="Times New Roman"/>
                <w:sz w:val="24"/>
                <w:szCs w:val="24"/>
                <w:lang w:val="en-AU"/>
              </w:rPr>
              <w:tab/>
            </w:r>
          </w:p>
        </w:tc>
        <w:tc>
          <w:tcPr>
            <w:tcW w:w="2307" w:type="dxa"/>
          </w:tcPr>
          <w:p w14:paraId="655DF75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0EF16757" w14:textId="77777777">
        <w:trPr>
          <w:trHeight w:val="283"/>
        </w:trPr>
        <w:tc>
          <w:tcPr>
            <w:tcW w:w="1232" w:type="dxa"/>
          </w:tcPr>
          <w:p w14:paraId="2693C7F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7.</w:t>
            </w:r>
          </w:p>
        </w:tc>
        <w:tc>
          <w:tcPr>
            <w:tcW w:w="3382" w:type="dxa"/>
          </w:tcPr>
          <w:p w14:paraId="0E6AFF8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07" w:type="dxa"/>
          </w:tcPr>
          <w:p w14:paraId="39D9019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Distilled water</w:t>
            </w:r>
          </w:p>
        </w:tc>
        <w:tc>
          <w:tcPr>
            <w:tcW w:w="2307" w:type="dxa"/>
          </w:tcPr>
          <w:p w14:paraId="551E856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0B908F0A" w14:textId="77777777">
        <w:trPr>
          <w:trHeight w:val="283"/>
        </w:trPr>
        <w:tc>
          <w:tcPr>
            <w:tcW w:w="1232" w:type="dxa"/>
          </w:tcPr>
          <w:p w14:paraId="5E1625A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8.</w:t>
            </w:r>
          </w:p>
        </w:tc>
        <w:tc>
          <w:tcPr>
            <w:tcW w:w="3382" w:type="dxa"/>
          </w:tcPr>
          <w:p w14:paraId="12B0837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Nuclear staining</w:t>
            </w:r>
          </w:p>
        </w:tc>
        <w:tc>
          <w:tcPr>
            <w:tcW w:w="2307" w:type="dxa"/>
          </w:tcPr>
          <w:p w14:paraId="18AF49D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Mayers hematoxylin</w:t>
            </w:r>
          </w:p>
        </w:tc>
        <w:tc>
          <w:tcPr>
            <w:tcW w:w="2307" w:type="dxa"/>
          </w:tcPr>
          <w:p w14:paraId="17B1658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40E9CFCB" w14:textId="77777777">
        <w:trPr>
          <w:trHeight w:val="283"/>
        </w:trPr>
        <w:tc>
          <w:tcPr>
            <w:tcW w:w="1232" w:type="dxa"/>
          </w:tcPr>
          <w:p w14:paraId="43CC1F71"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9.</w:t>
            </w:r>
          </w:p>
        </w:tc>
        <w:tc>
          <w:tcPr>
            <w:tcW w:w="3382" w:type="dxa"/>
          </w:tcPr>
          <w:p w14:paraId="08DEFD5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07" w:type="dxa"/>
          </w:tcPr>
          <w:p w14:paraId="6DAA549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07" w:type="dxa"/>
          </w:tcPr>
          <w:p w14:paraId="3A7BF81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49DBCF1" w14:textId="77777777">
        <w:trPr>
          <w:trHeight w:val="283"/>
        </w:trPr>
        <w:tc>
          <w:tcPr>
            <w:tcW w:w="1232" w:type="dxa"/>
          </w:tcPr>
          <w:p w14:paraId="64D56A1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10.</w:t>
            </w:r>
          </w:p>
        </w:tc>
        <w:tc>
          <w:tcPr>
            <w:tcW w:w="3382" w:type="dxa"/>
          </w:tcPr>
          <w:p w14:paraId="6A551D1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Differentiation</w:t>
            </w:r>
            <w:r w:rsidRPr="00C25EB7">
              <w:rPr>
                <w:rFonts w:ascii="Times New Roman" w:hAnsi="Times New Roman" w:cs="Times New Roman"/>
                <w:sz w:val="24"/>
                <w:szCs w:val="24"/>
                <w:lang w:val="en-AU"/>
              </w:rPr>
              <w:tab/>
            </w:r>
          </w:p>
        </w:tc>
        <w:tc>
          <w:tcPr>
            <w:tcW w:w="2307" w:type="dxa"/>
          </w:tcPr>
          <w:p w14:paraId="5E4B23B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acid alcohol</w:t>
            </w:r>
          </w:p>
        </w:tc>
        <w:tc>
          <w:tcPr>
            <w:tcW w:w="2307" w:type="dxa"/>
          </w:tcPr>
          <w:p w14:paraId="03A74F6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seconds</w:t>
            </w:r>
          </w:p>
        </w:tc>
      </w:tr>
      <w:tr w:rsidR="007A6B09" w:rsidRPr="00C25EB7" w14:paraId="26301E2A" w14:textId="77777777">
        <w:trPr>
          <w:trHeight w:val="283"/>
        </w:trPr>
        <w:tc>
          <w:tcPr>
            <w:tcW w:w="1232" w:type="dxa"/>
          </w:tcPr>
          <w:p w14:paraId="72664EE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11.</w:t>
            </w:r>
          </w:p>
        </w:tc>
        <w:tc>
          <w:tcPr>
            <w:tcW w:w="3382" w:type="dxa"/>
          </w:tcPr>
          <w:p w14:paraId="59EED11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07" w:type="dxa"/>
          </w:tcPr>
          <w:p w14:paraId="39D7FD8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07" w:type="dxa"/>
          </w:tcPr>
          <w:p w14:paraId="2E26EBC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08959DB9" w14:textId="77777777">
        <w:trPr>
          <w:trHeight w:val="314"/>
        </w:trPr>
        <w:tc>
          <w:tcPr>
            <w:tcW w:w="1232" w:type="dxa"/>
          </w:tcPr>
          <w:p w14:paraId="1F02082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12.</w:t>
            </w:r>
          </w:p>
        </w:tc>
        <w:tc>
          <w:tcPr>
            <w:tcW w:w="3382" w:type="dxa"/>
          </w:tcPr>
          <w:p w14:paraId="2C0074C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Counterstaining</w:t>
            </w:r>
          </w:p>
        </w:tc>
        <w:tc>
          <w:tcPr>
            <w:tcW w:w="2307" w:type="dxa"/>
          </w:tcPr>
          <w:p w14:paraId="288D96C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Acetone extract</w:t>
            </w:r>
          </w:p>
        </w:tc>
        <w:tc>
          <w:tcPr>
            <w:tcW w:w="2307" w:type="dxa"/>
          </w:tcPr>
          <w:p w14:paraId="5ADDC32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4C98451F" w14:textId="77777777">
        <w:trPr>
          <w:trHeight w:val="283"/>
        </w:trPr>
        <w:tc>
          <w:tcPr>
            <w:tcW w:w="1232" w:type="dxa"/>
          </w:tcPr>
          <w:p w14:paraId="6ED065C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13.</w:t>
            </w:r>
          </w:p>
        </w:tc>
        <w:tc>
          <w:tcPr>
            <w:tcW w:w="3382" w:type="dxa"/>
          </w:tcPr>
          <w:p w14:paraId="4BDE27A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07" w:type="dxa"/>
          </w:tcPr>
          <w:p w14:paraId="24A4759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p>
        </w:tc>
        <w:tc>
          <w:tcPr>
            <w:tcW w:w="2307" w:type="dxa"/>
          </w:tcPr>
          <w:p w14:paraId="544094C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3CA6B82F" w14:textId="77777777">
        <w:trPr>
          <w:trHeight w:val="283"/>
        </w:trPr>
        <w:tc>
          <w:tcPr>
            <w:tcW w:w="1232" w:type="dxa"/>
          </w:tcPr>
          <w:p w14:paraId="08A0A443"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14.</w:t>
            </w:r>
          </w:p>
        </w:tc>
        <w:tc>
          <w:tcPr>
            <w:tcW w:w="3382" w:type="dxa"/>
          </w:tcPr>
          <w:p w14:paraId="15CA445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07" w:type="dxa"/>
          </w:tcPr>
          <w:p w14:paraId="0BAC27E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p>
        </w:tc>
        <w:tc>
          <w:tcPr>
            <w:tcW w:w="2307" w:type="dxa"/>
          </w:tcPr>
          <w:p w14:paraId="6682A2A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76A7FD41" w14:textId="77777777">
        <w:trPr>
          <w:trHeight w:val="298"/>
        </w:trPr>
        <w:tc>
          <w:tcPr>
            <w:tcW w:w="1232" w:type="dxa"/>
          </w:tcPr>
          <w:p w14:paraId="62F4C2E8"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15.</w:t>
            </w:r>
          </w:p>
        </w:tc>
        <w:tc>
          <w:tcPr>
            <w:tcW w:w="3382" w:type="dxa"/>
          </w:tcPr>
          <w:p w14:paraId="62E6245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07" w:type="dxa"/>
          </w:tcPr>
          <w:p w14:paraId="320CB9D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07" w:type="dxa"/>
          </w:tcPr>
          <w:p w14:paraId="2D42CC6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72A0095F" w14:textId="77777777">
        <w:trPr>
          <w:trHeight w:val="283"/>
        </w:trPr>
        <w:tc>
          <w:tcPr>
            <w:tcW w:w="1232" w:type="dxa"/>
          </w:tcPr>
          <w:p w14:paraId="25AB9A28"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16.</w:t>
            </w:r>
          </w:p>
        </w:tc>
        <w:tc>
          <w:tcPr>
            <w:tcW w:w="3382" w:type="dxa"/>
          </w:tcPr>
          <w:p w14:paraId="4345A79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07" w:type="dxa"/>
          </w:tcPr>
          <w:p w14:paraId="623BAC3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07" w:type="dxa"/>
          </w:tcPr>
          <w:p w14:paraId="2649A73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859CC65" w14:textId="77777777">
        <w:trPr>
          <w:trHeight w:val="283"/>
        </w:trPr>
        <w:tc>
          <w:tcPr>
            <w:tcW w:w="1232" w:type="dxa"/>
            <w:tcBorders>
              <w:bottom w:val="single" w:sz="4" w:space="0" w:color="auto"/>
            </w:tcBorders>
          </w:tcPr>
          <w:p w14:paraId="0094640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17.</w:t>
            </w:r>
          </w:p>
        </w:tc>
        <w:tc>
          <w:tcPr>
            <w:tcW w:w="3382" w:type="dxa"/>
            <w:tcBorders>
              <w:bottom w:val="single" w:sz="4" w:space="0" w:color="auto"/>
            </w:tcBorders>
          </w:tcPr>
          <w:p w14:paraId="57CECE7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07" w:type="dxa"/>
            <w:tcBorders>
              <w:bottom w:val="single" w:sz="4" w:space="0" w:color="auto"/>
            </w:tcBorders>
          </w:tcPr>
          <w:p w14:paraId="33D293B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Borders>
              <w:bottom w:val="single" w:sz="4" w:space="0" w:color="auto"/>
            </w:tcBorders>
          </w:tcPr>
          <w:p w14:paraId="307A213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E8C83F0" w14:textId="77777777">
        <w:trPr>
          <w:trHeight w:val="283"/>
        </w:trPr>
        <w:tc>
          <w:tcPr>
            <w:tcW w:w="1232" w:type="dxa"/>
            <w:tcBorders>
              <w:top w:val="single" w:sz="4" w:space="0" w:color="auto"/>
              <w:bottom w:val="single" w:sz="4" w:space="0" w:color="auto"/>
            </w:tcBorders>
          </w:tcPr>
          <w:p w14:paraId="0803111E"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18</w:t>
            </w:r>
          </w:p>
        </w:tc>
        <w:tc>
          <w:tcPr>
            <w:tcW w:w="3382" w:type="dxa"/>
            <w:tcBorders>
              <w:top w:val="single" w:sz="4" w:space="0" w:color="auto"/>
              <w:bottom w:val="single" w:sz="4" w:space="0" w:color="auto"/>
            </w:tcBorders>
          </w:tcPr>
          <w:p w14:paraId="78B457E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07" w:type="dxa"/>
            <w:tcBorders>
              <w:top w:val="single" w:sz="4" w:space="0" w:color="auto"/>
              <w:bottom w:val="single" w:sz="4" w:space="0" w:color="auto"/>
            </w:tcBorders>
          </w:tcPr>
          <w:p w14:paraId="399C447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Borders>
              <w:top w:val="single" w:sz="4" w:space="0" w:color="auto"/>
              <w:bottom w:val="single" w:sz="4" w:space="0" w:color="auto"/>
            </w:tcBorders>
          </w:tcPr>
          <w:p w14:paraId="3AFBF25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bl>
    <w:p w14:paraId="1FAE7EF5" w14:textId="77777777" w:rsidR="007A6B09" w:rsidRPr="00C25EB7" w:rsidRDefault="007A6B09">
      <w:pPr>
        <w:spacing w:after="0" w:line="240" w:lineRule="auto"/>
        <w:jc w:val="both"/>
        <w:rPr>
          <w:rFonts w:ascii="Times New Roman" w:hAnsi="Times New Roman" w:cs="Times New Roman"/>
          <w:b/>
          <w:bCs/>
          <w:sz w:val="16"/>
          <w:szCs w:val="24"/>
          <w:lang w:val="en-AU"/>
        </w:rPr>
      </w:pPr>
    </w:p>
    <w:p w14:paraId="04493EB8" w14:textId="77777777" w:rsidR="007A6B09" w:rsidRPr="00C25EB7" w:rsidRDefault="00E720F9">
      <w:pPr>
        <w:spacing w:after="0" w:line="240" w:lineRule="auto"/>
        <w:jc w:val="both"/>
        <w:rPr>
          <w:rFonts w:ascii="Times New Roman" w:hAnsi="Times New Roman" w:cs="Times New Roman"/>
          <w:b/>
          <w:sz w:val="24"/>
          <w:szCs w:val="24"/>
          <w:lang w:val="en-AU"/>
        </w:rPr>
      </w:pPr>
      <w:r w:rsidRPr="00C25EB7">
        <w:rPr>
          <w:rFonts w:ascii="Times New Roman" w:hAnsi="Times New Roman" w:cs="Times New Roman"/>
          <w:b/>
          <w:sz w:val="24"/>
          <w:szCs w:val="24"/>
          <w:lang w:val="en-AU"/>
        </w:rPr>
        <w:t>95% Ethanol Extract:</w:t>
      </w:r>
    </w:p>
    <w:p w14:paraId="08F7D7CA" w14:textId="3F7E5EFE" w:rsidR="007A6B09" w:rsidRPr="00C25EB7" w:rsidRDefault="00E720F9">
      <w:pPr>
        <w:spacing w:after="0" w:line="240" w:lineRule="auto"/>
        <w:jc w:val="both"/>
        <w:rPr>
          <w:rFonts w:ascii="Times New Roman" w:hAnsi="Times New Roman" w:cs="Times New Roman"/>
          <w:sz w:val="24"/>
          <w:szCs w:val="24"/>
          <w:lang w:val="en-AU"/>
        </w:rPr>
      </w:pPr>
      <w:r w:rsidRPr="00C25EB7">
        <w:rPr>
          <w:rFonts w:ascii="Times New Roman" w:hAnsi="Times New Roman" w:cs="Times New Roman"/>
          <w:sz w:val="24"/>
          <w:szCs w:val="24"/>
          <w:lang w:val="en-AU"/>
        </w:rPr>
        <w:t>Sections were freed from wax with xylene and brought to distilled water through descending grades of ethyl alcohol (100%, 90%, 70%, &amp; 50%); stained with Mayer’s hematoxylin for 15 minutes and rinsed in running tap water. They were differentiated with 1% acid alcohol until only nuclei were stained, rinsed in running tap water and ‘blued’ in ammoniacal water for 1 minute. Furthermore, the sections were counterstained with Extract for 15 minutes, then dehydrated through ascending grades of alcohol concentrations, cleared in xylene and mounted in DPX. See table 3</w:t>
      </w:r>
    </w:p>
    <w:p w14:paraId="271E03AD"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sz w:val="24"/>
          <w:szCs w:val="24"/>
          <w:lang w:val="en-AU"/>
        </w:rPr>
        <w:br w:type="page"/>
      </w:r>
    </w:p>
    <w:p w14:paraId="457FCC87" w14:textId="6E0F094B" w:rsidR="007A6B09" w:rsidRPr="00C25EB7" w:rsidRDefault="00E720F9">
      <w:pPr>
        <w:spacing w:line="240" w:lineRule="auto"/>
        <w:jc w:val="both"/>
        <w:rPr>
          <w:rFonts w:ascii="Times New Roman" w:hAnsi="Times New Roman" w:cs="Times New Roman"/>
          <w:b/>
          <w:sz w:val="24"/>
          <w:szCs w:val="24"/>
          <w:lang w:val="en-AU"/>
        </w:rPr>
      </w:pPr>
      <w:r w:rsidRPr="00C25EB7">
        <w:rPr>
          <w:rFonts w:ascii="Times New Roman" w:hAnsi="Times New Roman" w:cs="Times New Roman"/>
          <w:b/>
          <w:sz w:val="24"/>
          <w:szCs w:val="24"/>
          <w:lang w:val="en-AU"/>
        </w:rPr>
        <w:lastRenderedPageBreak/>
        <w:t>Table 3: Hem</w:t>
      </w:r>
      <w:r w:rsidRPr="00C25EB7">
        <w:rPr>
          <w:rFonts w:ascii="Times New Roman" w:hAnsi="Times New Roman" w:cs="Times New Roman"/>
          <w:b/>
          <w:sz w:val="24"/>
          <w:szCs w:val="24"/>
        </w:rPr>
        <w:t xml:space="preserve">atoxylin and 95% Ethanol Extract Staining Technique </w:t>
      </w:r>
      <w:r w:rsidRPr="00C25EB7">
        <w:rPr>
          <w:rFonts w:ascii="Times New Roman" w:hAnsi="Times New Roman" w:cs="Times New Roman"/>
          <w:b/>
          <w:sz w:val="24"/>
          <w:szCs w:val="24"/>
          <w:lang w:val="en-AU"/>
        </w:rPr>
        <w:t xml:space="preserve"> </w:t>
      </w:r>
    </w:p>
    <w:tbl>
      <w:tblPr>
        <w:tblStyle w:val="TableGrid"/>
        <w:tblW w:w="959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80"/>
        <w:gridCol w:w="3516"/>
        <w:gridCol w:w="2399"/>
        <w:gridCol w:w="2399"/>
      </w:tblGrid>
      <w:tr w:rsidR="007A6B09" w:rsidRPr="00C25EB7" w14:paraId="35B2773D" w14:textId="77777777">
        <w:trPr>
          <w:trHeight w:val="476"/>
        </w:trPr>
        <w:tc>
          <w:tcPr>
            <w:tcW w:w="1280" w:type="dxa"/>
            <w:tcBorders>
              <w:top w:val="single" w:sz="4" w:space="0" w:color="auto"/>
              <w:bottom w:val="single" w:sz="4" w:space="0" w:color="auto"/>
            </w:tcBorders>
          </w:tcPr>
          <w:p w14:paraId="52D6383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 xml:space="preserve">    </w:t>
            </w:r>
            <w:r w:rsidRPr="00C25EB7">
              <w:rPr>
                <w:rFonts w:ascii="Times New Roman" w:hAnsi="Times New Roman" w:cs="Times New Roman"/>
                <w:b/>
                <w:bCs/>
                <w:sz w:val="24"/>
                <w:szCs w:val="24"/>
                <w:lang w:val="en-AU"/>
              </w:rPr>
              <w:t>Step</w:t>
            </w:r>
            <w:r w:rsidRPr="00C25EB7">
              <w:rPr>
                <w:rFonts w:ascii="Times New Roman" w:hAnsi="Times New Roman" w:cs="Times New Roman"/>
                <w:b/>
                <w:bCs/>
                <w:sz w:val="24"/>
                <w:szCs w:val="24"/>
                <w:lang w:val="en-AU"/>
              </w:rPr>
              <w:tab/>
            </w:r>
          </w:p>
        </w:tc>
        <w:tc>
          <w:tcPr>
            <w:tcW w:w="3516" w:type="dxa"/>
            <w:tcBorders>
              <w:top w:val="single" w:sz="4" w:space="0" w:color="auto"/>
              <w:bottom w:val="single" w:sz="4" w:space="0" w:color="auto"/>
            </w:tcBorders>
          </w:tcPr>
          <w:p w14:paraId="7F37D31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Procedure</w:t>
            </w:r>
          </w:p>
        </w:tc>
        <w:tc>
          <w:tcPr>
            <w:tcW w:w="2399" w:type="dxa"/>
            <w:tcBorders>
              <w:top w:val="single" w:sz="4" w:space="0" w:color="auto"/>
              <w:bottom w:val="single" w:sz="4" w:space="0" w:color="auto"/>
            </w:tcBorders>
          </w:tcPr>
          <w:p w14:paraId="1BAA519B"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Reagent</w:t>
            </w:r>
          </w:p>
        </w:tc>
        <w:tc>
          <w:tcPr>
            <w:tcW w:w="2399" w:type="dxa"/>
            <w:tcBorders>
              <w:top w:val="single" w:sz="4" w:space="0" w:color="auto"/>
              <w:bottom w:val="single" w:sz="4" w:space="0" w:color="auto"/>
            </w:tcBorders>
          </w:tcPr>
          <w:p w14:paraId="700973F5"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Time</w:t>
            </w:r>
          </w:p>
        </w:tc>
      </w:tr>
      <w:tr w:rsidR="007A6B09" w:rsidRPr="00C25EB7" w14:paraId="256B1883" w14:textId="77777777">
        <w:trPr>
          <w:trHeight w:val="454"/>
        </w:trPr>
        <w:tc>
          <w:tcPr>
            <w:tcW w:w="1280" w:type="dxa"/>
            <w:tcBorders>
              <w:top w:val="single" w:sz="4" w:space="0" w:color="auto"/>
            </w:tcBorders>
          </w:tcPr>
          <w:p w14:paraId="1A95351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w:t>
            </w:r>
          </w:p>
        </w:tc>
        <w:tc>
          <w:tcPr>
            <w:tcW w:w="3516" w:type="dxa"/>
            <w:tcBorders>
              <w:top w:val="single" w:sz="4" w:space="0" w:color="auto"/>
            </w:tcBorders>
          </w:tcPr>
          <w:p w14:paraId="69230D65"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r w:rsidRPr="00C25EB7">
              <w:rPr>
                <w:rFonts w:ascii="Times New Roman" w:hAnsi="Times New Roman" w:cs="Times New Roman"/>
                <w:sz w:val="24"/>
                <w:szCs w:val="24"/>
                <w:lang w:val="en-AU"/>
              </w:rPr>
              <w:tab/>
            </w:r>
          </w:p>
        </w:tc>
        <w:tc>
          <w:tcPr>
            <w:tcW w:w="2399" w:type="dxa"/>
            <w:tcBorders>
              <w:top w:val="single" w:sz="4" w:space="0" w:color="auto"/>
            </w:tcBorders>
          </w:tcPr>
          <w:p w14:paraId="00C5CB9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Borders>
              <w:top w:val="single" w:sz="4" w:space="0" w:color="auto"/>
            </w:tcBorders>
          </w:tcPr>
          <w:p w14:paraId="3F1F0E0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234E586A" w14:textId="77777777">
        <w:trPr>
          <w:trHeight w:val="454"/>
        </w:trPr>
        <w:tc>
          <w:tcPr>
            <w:tcW w:w="1280" w:type="dxa"/>
          </w:tcPr>
          <w:p w14:paraId="18982E5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2.</w:t>
            </w:r>
          </w:p>
        </w:tc>
        <w:tc>
          <w:tcPr>
            <w:tcW w:w="3516" w:type="dxa"/>
          </w:tcPr>
          <w:p w14:paraId="21365D6E"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p>
        </w:tc>
        <w:tc>
          <w:tcPr>
            <w:tcW w:w="2399" w:type="dxa"/>
          </w:tcPr>
          <w:p w14:paraId="3DAB03AD"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Pr>
          <w:p w14:paraId="64B8DEF5"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4ED0710F" w14:textId="77777777">
        <w:trPr>
          <w:trHeight w:val="454"/>
        </w:trPr>
        <w:tc>
          <w:tcPr>
            <w:tcW w:w="1280" w:type="dxa"/>
          </w:tcPr>
          <w:p w14:paraId="0FA29435"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3.</w:t>
            </w:r>
          </w:p>
        </w:tc>
        <w:tc>
          <w:tcPr>
            <w:tcW w:w="3516" w:type="dxa"/>
          </w:tcPr>
          <w:p w14:paraId="6B1C637B"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99" w:type="dxa"/>
          </w:tcPr>
          <w:p w14:paraId="3B2168A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99" w:type="dxa"/>
          </w:tcPr>
          <w:p w14:paraId="0BB8E25B"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3 minutes</w:t>
            </w:r>
          </w:p>
        </w:tc>
      </w:tr>
      <w:tr w:rsidR="007A6B09" w:rsidRPr="00C25EB7" w14:paraId="27E29455" w14:textId="77777777">
        <w:trPr>
          <w:trHeight w:val="454"/>
        </w:trPr>
        <w:tc>
          <w:tcPr>
            <w:tcW w:w="1280" w:type="dxa"/>
          </w:tcPr>
          <w:p w14:paraId="2D8E288A"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4.</w:t>
            </w:r>
          </w:p>
        </w:tc>
        <w:tc>
          <w:tcPr>
            <w:tcW w:w="3516" w:type="dxa"/>
          </w:tcPr>
          <w:p w14:paraId="41B5F2A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99" w:type="dxa"/>
          </w:tcPr>
          <w:p w14:paraId="7C2BA7B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r w:rsidRPr="00C25EB7">
              <w:rPr>
                <w:rFonts w:ascii="Times New Roman" w:hAnsi="Times New Roman" w:cs="Times New Roman"/>
                <w:sz w:val="24"/>
                <w:szCs w:val="24"/>
                <w:lang w:val="en-AU"/>
              </w:rPr>
              <w:tab/>
            </w:r>
          </w:p>
        </w:tc>
        <w:tc>
          <w:tcPr>
            <w:tcW w:w="2399" w:type="dxa"/>
          </w:tcPr>
          <w:p w14:paraId="31CD312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E7F72E2" w14:textId="77777777">
        <w:trPr>
          <w:trHeight w:val="454"/>
        </w:trPr>
        <w:tc>
          <w:tcPr>
            <w:tcW w:w="1280" w:type="dxa"/>
          </w:tcPr>
          <w:p w14:paraId="3A615673"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5.</w:t>
            </w:r>
          </w:p>
        </w:tc>
        <w:tc>
          <w:tcPr>
            <w:tcW w:w="3516" w:type="dxa"/>
          </w:tcPr>
          <w:p w14:paraId="433E3DE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99" w:type="dxa"/>
          </w:tcPr>
          <w:p w14:paraId="45D90B9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r w:rsidRPr="00C25EB7">
              <w:rPr>
                <w:rFonts w:ascii="Times New Roman" w:hAnsi="Times New Roman" w:cs="Times New Roman"/>
                <w:sz w:val="24"/>
                <w:szCs w:val="24"/>
                <w:lang w:val="en-AU"/>
              </w:rPr>
              <w:tab/>
            </w:r>
          </w:p>
        </w:tc>
        <w:tc>
          <w:tcPr>
            <w:tcW w:w="2399" w:type="dxa"/>
          </w:tcPr>
          <w:p w14:paraId="329DE5A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CC8A99F" w14:textId="77777777">
        <w:trPr>
          <w:trHeight w:val="454"/>
        </w:trPr>
        <w:tc>
          <w:tcPr>
            <w:tcW w:w="1280" w:type="dxa"/>
          </w:tcPr>
          <w:p w14:paraId="2A672BA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6.</w:t>
            </w:r>
          </w:p>
        </w:tc>
        <w:tc>
          <w:tcPr>
            <w:tcW w:w="3516" w:type="dxa"/>
          </w:tcPr>
          <w:p w14:paraId="53039B7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99" w:type="dxa"/>
          </w:tcPr>
          <w:p w14:paraId="4C70C5C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50% Ethanol</w:t>
            </w:r>
            <w:r w:rsidRPr="00C25EB7">
              <w:rPr>
                <w:rFonts w:ascii="Times New Roman" w:hAnsi="Times New Roman" w:cs="Times New Roman"/>
                <w:sz w:val="24"/>
                <w:szCs w:val="24"/>
                <w:lang w:val="en-AU"/>
              </w:rPr>
              <w:tab/>
            </w:r>
          </w:p>
        </w:tc>
        <w:tc>
          <w:tcPr>
            <w:tcW w:w="2399" w:type="dxa"/>
          </w:tcPr>
          <w:p w14:paraId="1D5F518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03030B29" w14:textId="77777777">
        <w:trPr>
          <w:trHeight w:val="454"/>
        </w:trPr>
        <w:tc>
          <w:tcPr>
            <w:tcW w:w="1280" w:type="dxa"/>
          </w:tcPr>
          <w:p w14:paraId="69202E5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7.</w:t>
            </w:r>
          </w:p>
        </w:tc>
        <w:tc>
          <w:tcPr>
            <w:tcW w:w="3516" w:type="dxa"/>
          </w:tcPr>
          <w:p w14:paraId="129DFFD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99" w:type="dxa"/>
          </w:tcPr>
          <w:p w14:paraId="526CC53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Distilled water</w:t>
            </w:r>
          </w:p>
        </w:tc>
        <w:tc>
          <w:tcPr>
            <w:tcW w:w="2399" w:type="dxa"/>
          </w:tcPr>
          <w:p w14:paraId="31D63D8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26C4401" w14:textId="77777777">
        <w:trPr>
          <w:trHeight w:val="454"/>
        </w:trPr>
        <w:tc>
          <w:tcPr>
            <w:tcW w:w="1280" w:type="dxa"/>
          </w:tcPr>
          <w:p w14:paraId="26CFD054"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8.</w:t>
            </w:r>
          </w:p>
        </w:tc>
        <w:tc>
          <w:tcPr>
            <w:tcW w:w="3516" w:type="dxa"/>
          </w:tcPr>
          <w:p w14:paraId="0D77F55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Nuclear staining</w:t>
            </w:r>
          </w:p>
        </w:tc>
        <w:tc>
          <w:tcPr>
            <w:tcW w:w="2399" w:type="dxa"/>
          </w:tcPr>
          <w:p w14:paraId="4E0BFEB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Mayers hematoxylin</w:t>
            </w:r>
          </w:p>
        </w:tc>
        <w:tc>
          <w:tcPr>
            <w:tcW w:w="2399" w:type="dxa"/>
          </w:tcPr>
          <w:p w14:paraId="3D38ADB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51E730C4" w14:textId="77777777">
        <w:trPr>
          <w:trHeight w:val="454"/>
        </w:trPr>
        <w:tc>
          <w:tcPr>
            <w:tcW w:w="1280" w:type="dxa"/>
          </w:tcPr>
          <w:p w14:paraId="4E79B8F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9.</w:t>
            </w:r>
          </w:p>
        </w:tc>
        <w:tc>
          <w:tcPr>
            <w:tcW w:w="3516" w:type="dxa"/>
          </w:tcPr>
          <w:p w14:paraId="2EBAF84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99" w:type="dxa"/>
          </w:tcPr>
          <w:p w14:paraId="55D3E6B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99" w:type="dxa"/>
          </w:tcPr>
          <w:p w14:paraId="3D466D9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2B9507E" w14:textId="77777777">
        <w:trPr>
          <w:trHeight w:val="454"/>
        </w:trPr>
        <w:tc>
          <w:tcPr>
            <w:tcW w:w="1280" w:type="dxa"/>
          </w:tcPr>
          <w:p w14:paraId="2D46B329"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10.</w:t>
            </w:r>
          </w:p>
        </w:tc>
        <w:tc>
          <w:tcPr>
            <w:tcW w:w="3516" w:type="dxa"/>
          </w:tcPr>
          <w:p w14:paraId="0C53EB3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Differentiation</w:t>
            </w:r>
            <w:r w:rsidRPr="00C25EB7">
              <w:rPr>
                <w:rFonts w:ascii="Times New Roman" w:hAnsi="Times New Roman" w:cs="Times New Roman"/>
                <w:sz w:val="24"/>
                <w:szCs w:val="24"/>
                <w:lang w:val="en-AU"/>
              </w:rPr>
              <w:tab/>
            </w:r>
          </w:p>
        </w:tc>
        <w:tc>
          <w:tcPr>
            <w:tcW w:w="2399" w:type="dxa"/>
          </w:tcPr>
          <w:p w14:paraId="0A733CC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acid alcohol</w:t>
            </w:r>
          </w:p>
        </w:tc>
        <w:tc>
          <w:tcPr>
            <w:tcW w:w="2399" w:type="dxa"/>
          </w:tcPr>
          <w:p w14:paraId="01EE6C3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seconds</w:t>
            </w:r>
          </w:p>
        </w:tc>
      </w:tr>
      <w:tr w:rsidR="007A6B09" w:rsidRPr="00C25EB7" w14:paraId="1A292938" w14:textId="77777777">
        <w:trPr>
          <w:trHeight w:val="454"/>
        </w:trPr>
        <w:tc>
          <w:tcPr>
            <w:tcW w:w="1280" w:type="dxa"/>
          </w:tcPr>
          <w:p w14:paraId="0A51D09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11.</w:t>
            </w:r>
          </w:p>
        </w:tc>
        <w:tc>
          <w:tcPr>
            <w:tcW w:w="3516" w:type="dxa"/>
          </w:tcPr>
          <w:p w14:paraId="7FBAE62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99" w:type="dxa"/>
          </w:tcPr>
          <w:p w14:paraId="401D193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99" w:type="dxa"/>
          </w:tcPr>
          <w:p w14:paraId="375D87A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1FAEC3F5" w14:textId="77777777">
        <w:trPr>
          <w:trHeight w:val="454"/>
        </w:trPr>
        <w:tc>
          <w:tcPr>
            <w:tcW w:w="1280" w:type="dxa"/>
          </w:tcPr>
          <w:p w14:paraId="381F1B3E"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12.</w:t>
            </w:r>
          </w:p>
        </w:tc>
        <w:tc>
          <w:tcPr>
            <w:tcW w:w="3516" w:type="dxa"/>
          </w:tcPr>
          <w:p w14:paraId="1C64E17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Counterstaining</w:t>
            </w:r>
          </w:p>
        </w:tc>
        <w:tc>
          <w:tcPr>
            <w:tcW w:w="2399" w:type="dxa"/>
          </w:tcPr>
          <w:p w14:paraId="652A075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95% Ethanol extract</w:t>
            </w:r>
          </w:p>
        </w:tc>
        <w:tc>
          <w:tcPr>
            <w:tcW w:w="2399" w:type="dxa"/>
          </w:tcPr>
          <w:p w14:paraId="18696E0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1678C03C" w14:textId="77777777">
        <w:trPr>
          <w:trHeight w:val="454"/>
        </w:trPr>
        <w:tc>
          <w:tcPr>
            <w:tcW w:w="1280" w:type="dxa"/>
          </w:tcPr>
          <w:p w14:paraId="0EA0577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13.</w:t>
            </w:r>
          </w:p>
        </w:tc>
        <w:tc>
          <w:tcPr>
            <w:tcW w:w="3516" w:type="dxa"/>
          </w:tcPr>
          <w:p w14:paraId="3847177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99" w:type="dxa"/>
          </w:tcPr>
          <w:p w14:paraId="1A5BF76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p>
        </w:tc>
        <w:tc>
          <w:tcPr>
            <w:tcW w:w="2399" w:type="dxa"/>
          </w:tcPr>
          <w:p w14:paraId="552F666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3595D07" w14:textId="77777777">
        <w:trPr>
          <w:trHeight w:val="454"/>
        </w:trPr>
        <w:tc>
          <w:tcPr>
            <w:tcW w:w="1280" w:type="dxa"/>
          </w:tcPr>
          <w:p w14:paraId="31737B77"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14.</w:t>
            </w:r>
          </w:p>
        </w:tc>
        <w:tc>
          <w:tcPr>
            <w:tcW w:w="3516" w:type="dxa"/>
          </w:tcPr>
          <w:p w14:paraId="36544A8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99" w:type="dxa"/>
          </w:tcPr>
          <w:p w14:paraId="5ABB6BF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p>
        </w:tc>
        <w:tc>
          <w:tcPr>
            <w:tcW w:w="2399" w:type="dxa"/>
          </w:tcPr>
          <w:p w14:paraId="6329BD8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404D483" w14:textId="77777777">
        <w:trPr>
          <w:trHeight w:val="476"/>
        </w:trPr>
        <w:tc>
          <w:tcPr>
            <w:tcW w:w="1280" w:type="dxa"/>
          </w:tcPr>
          <w:p w14:paraId="2652C61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15.</w:t>
            </w:r>
          </w:p>
        </w:tc>
        <w:tc>
          <w:tcPr>
            <w:tcW w:w="3516" w:type="dxa"/>
          </w:tcPr>
          <w:p w14:paraId="50860D1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99" w:type="dxa"/>
          </w:tcPr>
          <w:p w14:paraId="41B0EFB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99" w:type="dxa"/>
          </w:tcPr>
          <w:p w14:paraId="3BE825F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2800B72" w14:textId="77777777">
        <w:trPr>
          <w:trHeight w:val="454"/>
        </w:trPr>
        <w:tc>
          <w:tcPr>
            <w:tcW w:w="1280" w:type="dxa"/>
          </w:tcPr>
          <w:p w14:paraId="58597B6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16.</w:t>
            </w:r>
          </w:p>
        </w:tc>
        <w:tc>
          <w:tcPr>
            <w:tcW w:w="3516" w:type="dxa"/>
          </w:tcPr>
          <w:p w14:paraId="7BDF379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99" w:type="dxa"/>
          </w:tcPr>
          <w:p w14:paraId="3D657A2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99" w:type="dxa"/>
          </w:tcPr>
          <w:p w14:paraId="790BBDD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77B10A7A" w14:textId="77777777">
        <w:trPr>
          <w:trHeight w:val="454"/>
        </w:trPr>
        <w:tc>
          <w:tcPr>
            <w:tcW w:w="1280" w:type="dxa"/>
            <w:tcBorders>
              <w:bottom w:val="single" w:sz="4" w:space="0" w:color="auto"/>
            </w:tcBorders>
          </w:tcPr>
          <w:p w14:paraId="154402F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17.</w:t>
            </w:r>
          </w:p>
        </w:tc>
        <w:tc>
          <w:tcPr>
            <w:tcW w:w="3516" w:type="dxa"/>
            <w:tcBorders>
              <w:bottom w:val="single" w:sz="4" w:space="0" w:color="auto"/>
            </w:tcBorders>
          </w:tcPr>
          <w:p w14:paraId="6D31619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99" w:type="dxa"/>
            <w:tcBorders>
              <w:bottom w:val="single" w:sz="4" w:space="0" w:color="auto"/>
            </w:tcBorders>
          </w:tcPr>
          <w:p w14:paraId="1A79C4B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Borders>
              <w:bottom w:val="single" w:sz="4" w:space="0" w:color="auto"/>
            </w:tcBorders>
          </w:tcPr>
          <w:p w14:paraId="4C7D22E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73A4C5FB" w14:textId="77777777">
        <w:trPr>
          <w:trHeight w:val="454"/>
        </w:trPr>
        <w:tc>
          <w:tcPr>
            <w:tcW w:w="1280" w:type="dxa"/>
            <w:tcBorders>
              <w:top w:val="single" w:sz="4" w:space="0" w:color="auto"/>
              <w:bottom w:val="single" w:sz="4" w:space="0" w:color="auto"/>
            </w:tcBorders>
          </w:tcPr>
          <w:p w14:paraId="5DEBCF3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18</w:t>
            </w:r>
          </w:p>
        </w:tc>
        <w:tc>
          <w:tcPr>
            <w:tcW w:w="3516" w:type="dxa"/>
            <w:tcBorders>
              <w:top w:val="single" w:sz="4" w:space="0" w:color="auto"/>
              <w:bottom w:val="single" w:sz="4" w:space="0" w:color="auto"/>
            </w:tcBorders>
          </w:tcPr>
          <w:p w14:paraId="3A7A978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99" w:type="dxa"/>
            <w:tcBorders>
              <w:top w:val="single" w:sz="4" w:space="0" w:color="auto"/>
              <w:bottom w:val="single" w:sz="4" w:space="0" w:color="auto"/>
            </w:tcBorders>
          </w:tcPr>
          <w:p w14:paraId="0C12EDC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Borders>
              <w:top w:val="single" w:sz="4" w:space="0" w:color="auto"/>
              <w:bottom w:val="single" w:sz="4" w:space="0" w:color="auto"/>
            </w:tcBorders>
          </w:tcPr>
          <w:p w14:paraId="4D37E04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bl>
    <w:p w14:paraId="134C307D" w14:textId="77777777" w:rsidR="007A6B09" w:rsidRPr="00C25EB7" w:rsidRDefault="007A6B09">
      <w:pPr>
        <w:spacing w:after="0" w:line="240" w:lineRule="auto"/>
        <w:jc w:val="both"/>
        <w:rPr>
          <w:rFonts w:ascii="Times New Roman" w:hAnsi="Times New Roman" w:cs="Times New Roman"/>
          <w:b/>
          <w:sz w:val="24"/>
          <w:szCs w:val="24"/>
        </w:rPr>
      </w:pPr>
    </w:p>
    <w:p w14:paraId="6CECDA17" w14:textId="77777777" w:rsidR="007A6B09" w:rsidRPr="00C25EB7" w:rsidRDefault="00E720F9">
      <w:pPr>
        <w:spacing w:after="0"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2.8 Statistical analysis</w:t>
      </w:r>
    </w:p>
    <w:p w14:paraId="5577846A"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Data generated from the study were expressed as mean rank plus or minus standard deviation (SD). The scores were analyzed using SPSS version 24 (IBM, Armonk, NY, USA). Statistical significance was set at </w:t>
      </w:r>
      <w:r w:rsidRPr="00C25EB7">
        <w:rPr>
          <w:rFonts w:ascii="Times New Roman" w:hAnsi="Times New Roman" w:cs="Times New Roman"/>
          <w:i/>
          <w:iCs/>
          <w:sz w:val="24"/>
          <w:szCs w:val="24"/>
        </w:rPr>
        <w:t>P</w:t>
      </w:r>
      <w:r w:rsidRPr="00C25EB7">
        <w:rPr>
          <w:rFonts w:ascii="Times New Roman" w:hAnsi="Times New Roman" w:cs="Times New Roman"/>
          <w:sz w:val="24"/>
          <w:szCs w:val="24"/>
        </w:rPr>
        <w:t xml:space="preserve"> ˂ 0.05 and results were presented in tabular format.</w:t>
      </w:r>
    </w:p>
    <w:p w14:paraId="651FAB40" w14:textId="77777777" w:rsidR="007A6B09" w:rsidRPr="00C25EB7" w:rsidRDefault="007A6B09">
      <w:pPr>
        <w:spacing w:after="0" w:line="240" w:lineRule="auto"/>
        <w:jc w:val="both"/>
        <w:rPr>
          <w:rFonts w:ascii="Times New Roman" w:hAnsi="Times New Roman" w:cs="Times New Roman"/>
          <w:b/>
          <w:sz w:val="24"/>
          <w:szCs w:val="24"/>
        </w:rPr>
      </w:pPr>
    </w:p>
    <w:p w14:paraId="0AF9A0CD" w14:textId="77777777" w:rsidR="007A6B09" w:rsidRPr="00C25EB7" w:rsidRDefault="00E720F9">
      <w:pPr>
        <w:rPr>
          <w:rFonts w:ascii="Times New Roman" w:hAnsi="Times New Roman" w:cs="Times New Roman"/>
          <w:b/>
          <w:sz w:val="24"/>
          <w:szCs w:val="24"/>
        </w:rPr>
      </w:pPr>
      <w:r w:rsidRPr="00C25EB7">
        <w:rPr>
          <w:rFonts w:ascii="Times New Roman" w:hAnsi="Times New Roman" w:cs="Times New Roman"/>
          <w:b/>
          <w:sz w:val="24"/>
          <w:szCs w:val="24"/>
        </w:rPr>
        <w:br w:type="page"/>
      </w:r>
    </w:p>
    <w:p w14:paraId="259A9731"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RESULTS</w:t>
      </w:r>
    </w:p>
    <w:p w14:paraId="36A6E78D" w14:textId="77777777" w:rsidR="007A6B09" w:rsidRPr="00C25EB7" w:rsidRDefault="00E720F9">
      <w:pPr>
        <w:spacing w:after="0"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4.1</w:t>
      </w:r>
      <w:r w:rsidRPr="00C25EB7">
        <w:rPr>
          <w:rFonts w:ascii="Times New Roman" w:hAnsi="Times New Roman" w:cs="Times New Roman"/>
          <w:b/>
          <w:bCs/>
          <w:sz w:val="24"/>
          <w:szCs w:val="24"/>
        </w:rPr>
        <w:tab/>
      </w:r>
      <w:r w:rsidRPr="00C25EB7">
        <w:rPr>
          <w:rFonts w:ascii="Times New Roman" w:hAnsi="Times New Roman" w:cs="Times New Roman"/>
          <w:b/>
          <w:sz w:val="24"/>
          <w:szCs w:val="24"/>
        </w:rPr>
        <w:t>Quantitative Screening for Phytochemical Components in the Annatto Seed</w:t>
      </w:r>
    </w:p>
    <w:p w14:paraId="3C0DE144" w14:textId="51E465FA"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Phytochemical analysis of annatto seed constituents reveals that there are two major components namely, polyphenol and carotenoids at the average of 67 mg/ml and 27 mg/ml respectively. Polyphenol contains phenolic acid, ligans, stibenes and phenol, while carotenoids contain alpha carotene, beta carotene and lycopene. Iso- rotenoids was absent as seen in table 4.</w:t>
      </w:r>
    </w:p>
    <w:p w14:paraId="7B87CDC2" w14:textId="77777777" w:rsidR="007A6B09" w:rsidRPr="00C25EB7" w:rsidRDefault="00E720F9">
      <w:pPr>
        <w:rPr>
          <w:rFonts w:ascii="Times New Roman" w:hAnsi="Times New Roman" w:cs="Times New Roman"/>
          <w:b/>
          <w:sz w:val="24"/>
          <w:szCs w:val="24"/>
        </w:rPr>
      </w:pPr>
      <w:r w:rsidRPr="00C25EB7">
        <w:rPr>
          <w:rFonts w:ascii="Times New Roman" w:hAnsi="Times New Roman" w:cs="Times New Roman"/>
          <w:b/>
          <w:sz w:val="24"/>
          <w:szCs w:val="24"/>
        </w:rPr>
        <w:br w:type="page"/>
      </w:r>
    </w:p>
    <w:p w14:paraId="23ED8670" w14:textId="4228F8AB"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Table 4. Quantitative Screening for Phytochemical Components in the Annatto Seed</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95"/>
        <w:gridCol w:w="3370"/>
        <w:gridCol w:w="1992"/>
        <w:gridCol w:w="2997"/>
      </w:tblGrid>
      <w:tr w:rsidR="007A6B09" w:rsidRPr="00C25EB7" w14:paraId="6BC89928" w14:textId="77777777">
        <w:trPr>
          <w:trHeight w:val="550"/>
        </w:trPr>
        <w:tc>
          <w:tcPr>
            <w:tcW w:w="995" w:type="dxa"/>
          </w:tcPr>
          <w:p w14:paraId="6A4B2D02" w14:textId="77777777" w:rsidR="007A6B09" w:rsidRPr="00C25EB7" w:rsidRDefault="00E720F9">
            <w:pPr>
              <w:jc w:val="both"/>
              <w:rPr>
                <w:rFonts w:ascii="Times New Roman" w:hAnsi="Times New Roman" w:cs="Times New Roman"/>
                <w:b/>
                <w:iCs/>
                <w:sz w:val="24"/>
                <w:szCs w:val="24"/>
              </w:rPr>
            </w:pPr>
            <w:r w:rsidRPr="00C25EB7">
              <w:rPr>
                <w:rFonts w:ascii="Times New Roman" w:hAnsi="Times New Roman" w:cs="Times New Roman"/>
                <w:b/>
                <w:iCs/>
                <w:sz w:val="24"/>
                <w:szCs w:val="24"/>
              </w:rPr>
              <w:t>S/N.</w:t>
            </w:r>
          </w:p>
        </w:tc>
        <w:tc>
          <w:tcPr>
            <w:tcW w:w="3370" w:type="dxa"/>
          </w:tcPr>
          <w:p w14:paraId="610A9A03" w14:textId="77777777" w:rsidR="007A6B09" w:rsidRPr="00C25EB7" w:rsidRDefault="00E720F9">
            <w:pPr>
              <w:jc w:val="both"/>
              <w:rPr>
                <w:rFonts w:ascii="Times New Roman" w:hAnsi="Times New Roman" w:cs="Times New Roman"/>
                <w:b/>
                <w:iCs/>
                <w:sz w:val="24"/>
                <w:szCs w:val="24"/>
              </w:rPr>
            </w:pPr>
            <w:r w:rsidRPr="00C25EB7">
              <w:rPr>
                <w:rFonts w:ascii="Times New Roman" w:hAnsi="Times New Roman" w:cs="Times New Roman"/>
                <w:b/>
                <w:iCs/>
                <w:sz w:val="24"/>
                <w:szCs w:val="24"/>
              </w:rPr>
              <w:t>Components</w:t>
            </w:r>
          </w:p>
        </w:tc>
        <w:tc>
          <w:tcPr>
            <w:tcW w:w="1992" w:type="dxa"/>
          </w:tcPr>
          <w:p w14:paraId="6EC361B1"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Qualitative</w:t>
            </w:r>
          </w:p>
        </w:tc>
        <w:tc>
          <w:tcPr>
            <w:tcW w:w="2997" w:type="dxa"/>
          </w:tcPr>
          <w:p w14:paraId="5887C62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Quantitative (mg/ml)</w:t>
            </w:r>
          </w:p>
        </w:tc>
      </w:tr>
      <w:tr w:rsidR="007A6B09" w:rsidRPr="00C25EB7" w14:paraId="692E5B77" w14:textId="77777777">
        <w:trPr>
          <w:trHeight w:val="550"/>
        </w:trPr>
        <w:tc>
          <w:tcPr>
            <w:tcW w:w="995" w:type="dxa"/>
          </w:tcPr>
          <w:p w14:paraId="09A8841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w:t>
            </w:r>
          </w:p>
        </w:tc>
        <w:tc>
          <w:tcPr>
            <w:tcW w:w="3370" w:type="dxa"/>
          </w:tcPr>
          <w:p w14:paraId="20DFA02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Polyphenol</w:t>
            </w:r>
          </w:p>
        </w:tc>
        <w:tc>
          <w:tcPr>
            <w:tcW w:w="1992" w:type="dxa"/>
          </w:tcPr>
          <w:p w14:paraId="3E0FA414" w14:textId="77777777" w:rsidR="007A6B09" w:rsidRPr="00C25EB7" w:rsidRDefault="007A6B09">
            <w:pPr>
              <w:jc w:val="both"/>
              <w:rPr>
                <w:rFonts w:ascii="Times New Roman" w:hAnsi="Times New Roman" w:cs="Times New Roman"/>
                <w:sz w:val="24"/>
                <w:szCs w:val="24"/>
              </w:rPr>
            </w:pPr>
          </w:p>
        </w:tc>
        <w:tc>
          <w:tcPr>
            <w:tcW w:w="2997" w:type="dxa"/>
          </w:tcPr>
          <w:p w14:paraId="791657A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67.00</w:t>
            </w:r>
          </w:p>
        </w:tc>
      </w:tr>
      <w:tr w:rsidR="007A6B09" w:rsidRPr="00C25EB7" w14:paraId="6981F3B5" w14:textId="77777777">
        <w:trPr>
          <w:trHeight w:val="550"/>
        </w:trPr>
        <w:tc>
          <w:tcPr>
            <w:tcW w:w="995" w:type="dxa"/>
          </w:tcPr>
          <w:p w14:paraId="3277D95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A</w:t>
            </w:r>
          </w:p>
        </w:tc>
        <w:tc>
          <w:tcPr>
            <w:tcW w:w="3370" w:type="dxa"/>
          </w:tcPr>
          <w:p w14:paraId="3AD9DB2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Phenolic Acid</w:t>
            </w:r>
          </w:p>
        </w:tc>
        <w:tc>
          <w:tcPr>
            <w:tcW w:w="1992" w:type="dxa"/>
          </w:tcPr>
          <w:p w14:paraId="52B8A33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105A0BC3" w14:textId="77777777" w:rsidR="007A6B09" w:rsidRPr="00C25EB7" w:rsidRDefault="007A6B09">
            <w:pPr>
              <w:jc w:val="both"/>
              <w:rPr>
                <w:rFonts w:ascii="Times New Roman" w:hAnsi="Times New Roman" w:cs="Times New Roman"/>
                <w:sz w:val="24"/>
                <w:szCs w:val="24"/>
              </w:rPr>
            </w:pPr>
          </w:p>
        </w:tc>
      </w:tr>
      <w:tr w:rsidR="007A6B09" w:rsidRPr="00C25EB7" w14:paraId="223D9084" w14:textId="77777777">
        <w:trPr>
          <w:trHeight w:val="550"/>
        </w:trPr>
        <w:tc>
          <w:tcPr>
            <w:tcW w:w="995" w:type="dxa"/>
          </w:tcPr>
          <w:p w14:paraId="396F459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w:t>
            </w:r>
          </w:p>
        </w:tc>
        <w:tc>
          <w:tcPr>
            <w:tcW w:w="3370" w:type="dxa"/>
          </w:tcPr>
          <w:p w14:paraId="7CCE703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Lignans</w:t>
            </w:r>
          </w:p>
        </w:tc>
        <w:tc>
          <w:tcPr>
            <w:tcW w:w="1992" w:type="dxa"/>
          </w:tcPr>
          <w:p w14:paraId="16B432E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1A113C28" w14:textId="77777777" w:rsidR="007A6B09" w:rsidRPr="00C25EB7" w:rsidRDefault="007A6B09">
            <w:pPr>
              <w:jc w:val="both"/>
              <w:rPr>
                <w:rFonts w:ascii="Times New Roman" w:hAnsi="Times New Roman" w:cs="Times New Roman"/>
                <w:sz w:val="24"/>
                <w:szCs w:val="24"/>
              </w:rPr>
            </w:pPr>
          </w:p>
        </w:tc>
      </w:tr>
      <w:tr w:rsidR="007A6B09" w:rsidRPr="00C25EB7" w14:paraId="3AD9A2BF" w14:textId="77777777">
        <w:trPr>
          <w:trHeight w:val="550"/>
        </w:trPr>
        <w:tc>
          <w:tcPr>
            <w:tcW w:w="995" w:type="dxa"/>
          </w:tcPr>
          <w:p w14:paraId="2EDDE47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C</w:t>
            </w:r>
          </w:p>
        </w:tc>
        <w:tc>
          <w:tcPr>
            <w:tcW w:w="3370" w:type="dxa"/>
          </w:tcPr>
          <w:p w14:paraId="1192217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Stibenes</w:t>
            </w:r>
          </w:p>
        </w:tc>
        <w:tc>
          <w:tcPr>
            <w:tcW w:w="1992" w:type="dxa"/>
          </w:tcPr>
          <w:p w14:paraId="2E19A3B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28AAC879" w14:textId="77777777" w:rsidR="007A6B09" w:rsidRPr="00C25EB7" w:rsidRDefault="007A6B09">
            <w:pPr>
              <w:jc w:val="both"/>
              <w:rPr>
                <w:rFonts w:ascii="Times New Roman" w:hAnsi="Times New Roman" w:cs="Times New Roman"/>
                <w:sz w:val="24"/>
                <w:szCs w:val="24"/>
              </w:rPr>
            </w:pPr>
          </w:p>
        </w:tc>
      </w:tr>
      <w:tr w:rsidR="007A6B09" w:rsidRPr="00C25EB7" w14:paraId="5832C02C" w14:textId="77777777">
        <w:trPr>
          <w:trHeight w:val="550"/>
        </w:trPr>
        <w:tc>
          <w:tcPr>
            <w:tcW w:w="995" w:type="dxa"/>
          </w:tcPr>
          <w:p w14:paraId="4A455C9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D</w:t>
            </w:r>
          </w:p>
        </w:tc>
        <w:tc>
          <w:tcPr>
            <w:tcW w:w="3370" w:type="dxa"/>
          </w:tcPr>
          <w:p w14:paraId="61FDF99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Phenol</w:t>
            </w:r>
          </w:p>
        </w:tc>
        <w:tc>
          <w:tcPr>
            <w:tcW w:w="1992" w:type="dxa"/>
          </w:tcPr>
          <w:p w14:paraId="675C6BB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5F9E5514" w14:textId="77777777" w:rsidR="007A6B09" w:rsidRPr="00C25EB7" w:rsidRDefault="007A6B09">
            <w:pPr>
              <w:jc w:val="both"/>
              <w:rPr>
                <w:rFonts w:ascii="Times New Roman" w:hAnsi="Times New Roman" w:cs="Times New Roman"/>
                <w:sz w:val="24"/>
                <w:szCs w:val="24"/>
              </w:rPr>
            </w:pPr>
          </w:p>
        </w:tc>
      </w:tr>
      <w:tr w:rsidR="007A6B09" w:rsidRPr="00C25EB7" w14:paraId="06B33F6D" w14:textId="77777777">
        <w:trPr>
          <w:trHeight w:val="550"/>
        </w:trPr>
        <w:tc>
          <w:tcPr>
            <w:tcW w:w="995" w:type="dxa"/>
          </w:tcPr>
          <w:p w14:paraId="2E03450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w:t>
            </w:r>
          </w:p>
        </w:tc>
        <w:tc>
          <w:tcPr>
            <w:tcW w:w="3370" w:type="dxa"/>
          </w:tcPr>
          <w:p w14:paraId="4E7B1C3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Carotenoids</w:t>
            </w:r>
          </w:p>
        </w:tc>
        <w:tc>
          <w:tcPr>
            <w:tcW w:w="1992" w:type="dxa"/>
          </w:tcPr>
          <w:p w14:paraId="63F6568D" w14:textId="77777777" w:rsidR="007A6B09" w:rsidRPr="00C25EB7" w:rsidRDefault="007A6B09">
            <w:pPr>
              <w:jc w:val="both"/>
              <w:rPr>
                <w:rFonts w:ascii="Times New Roman" w:hAnsi="Times New Roman" w:cs="Times New Roman"/>
                <w:sz w:val="24"/>
                <w:szCs w:val="24"/>
              </w:rPr>
            </w:pPr>
          </w:p>
        </w:tc>
        <w:tc>
          <w:tcPr>
            <w:tcW w:w="2997" w:type="dxa"/>
          </w:tcPr>
          <w:p w14:paraId="7C6340A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27.00</w:t>
            </w:r>
          </w:p>
        </w:tc>
      </w:tr>
      <w:tr w:rsidR="007A6B09" w:rsidRPr="00C25EB7" w14:paraId="6B0141C6" w14:textId="77777777">
        <w:trPr>
          <w:trHeight w:val="550"/>
        </w:trPr>
        <w:tc>
          <w:tcPr>
            <w:tcW w:w="995" w:type="dxa"/>
          </w:tcPr>
          <w:p w14:paraId="2594F17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A</w:t>
            </w:r>
          </w:p>
        </w:tc>
        <w:tc>
          <w:tcPr>
            <w:tcW w:w="3370" w:type="dxa"/>
          </w:tcPr>
          <w:p w14:paraId="5E005D4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Alpha Carotene</w:t>
            </w:r>
          </w:p>
        </w:tc>
        <w:tc>
          <w:tcPr>
            <w:tcW w:w="1992" w:type="dxa"/>
          </w:tcPr>
          <w:p w14:paraId="4F06B6E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4FA43E92" w14:textId="77777777" w:rsidR="007A6B09" w:rsidRPr="00C25EB7" w:rsidRDefault="007A6B09">
            <w:pPr>
              <w:jc w:val="both"/>
              <w:rPr>
                <w:rFonts w:ascii="Times New Roman" w:hAnsi="Times New Roman" w:cs="Times New Roman"/>
                <w:sz w:val="24"/>
                <w:szCs w:val="24"/>
              </w:rPr>
            </w:pPr>
          </w:p>
        </w:tc>
      </w:tr>
      <w:tr w:rsidR="007A6B09" w:rsidRPr="00C25EB7" w14:paraId="7E7C0496" w14:textId="77777777">
        <w:trPr>
          <w:trHeight w:val="550"/>
        </w:trPr>
        <w:tc>
          <w:tcPr>
            <w:tcW w:w="995" w:type="dxa"/>
          </w:tcPr>
          <w:p w14:paraId="2A4547D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w:t>
            </w:r>
          </w:p>
        </w:tc>
        <w:tc>
          <w:tcPr>
            <w:tcW w:w="3370" w:type="dxa"/>
          </w:tcPr>
          <w:p w14:paraId="3EE2915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Beta Carotene</w:t>
            </w:r>
          </w:p>
        </w:tc>
        <w:tc>
          <w:tcPr>
            <w:tcW w:w="1992" w:type="dxa"/>
          </w:tcPr>
          <w:p w14:paraId="14EFCA2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4E2BB999" w14:textId="77777777" w:rsidR="007A6B09" w:rsidRPr="00C25EB7" w:rsidRDefault="007A6B09">
            <w:pPr>
              <w:jc w:val="both"/>
              <w:rPr>
                <w:rFonts w:ascii="Times New Roman" w:hAnsi="Times New Roman" w:cs="Times New Roman"/>
                <w:sz w:val="24"/>
                <w:szCs w:val="24"/>
              </w:rPr>
            </w:pPr>
          </w:p>
        </w:tc>
      </w:tr>
      <w:tr w:rsidR="007A6B09" w:rsidRPr="00C25EB7" w14:paraId="46092BE2" w14:textId="77777777">
        <w:trPr>
          <w:trHeight w:val="574"/>
        </w:trPr>
        <w:tc>
          <w:tcPr>
            <w:tcW w:w="995" w:type="dxa"/>
          </w:tcPr>
          <w:p w14:paraId="76C8DEC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C</w:t>
            </w:r>
          </w:p>
        </w:tc>
        <w:tc>
          <w:tcPr>
            <w:tcW w:w="3370" w:type="dxa"/>
          </w:tcPr>
          <w:p w14:paraId="13188FD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Lycopene</w:t>
            </w:r>
          </w:p>
        </w:tc>
        <w:tc>
          <w:tcPr>
            <w:tcW w:w="1992" w:type="dxa"/>
          </w:tcPr>
          <w:p w14:paraId="30528FC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6A61D3D9" w14:textId="77777777" w:rsidR="007A6B09" w:rsidRPr="00C25EB7" w:rsidRDefault="007A6B09">
            <w:pPr>
              <w:jc w:val="both"/>
              <w:rPr>
                <w:rFonts w:ascii="Times New Roman" w:hAnsi="Times New Roman" w:cs="Times New Roman"/>
                <w:sz w:val="24"/>
                <w:szCs w:val="24"/>
              </w:rPr>
            </w:pPr>
          </w:p>
        </w:tc>
      </w:tr>
      <w:tr w:rsidR="007A6B09" w:rsidRPr="00C25EB7" w14:paraId="1681CF87" w14:textId="77777777">
        <w:trPr>
          <w:trHeight w:val="550"/>
        </w:trPr>
        <w:tc>
          <w:tcPr>
            <w:tcW w:w="995" w:type="dxa"/>
          </w:tcPr>
          <w:p w14:paraId="68E5673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D</w:t>
            </w:r>
          </w:p>
        </w:tc>
        <w:tc>
          <w:tcPr>
            <w:tcW w:w="3370" w:type="dxa"/>
          </w:tcPr>
          <w:p w14:paraId="43B4F12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Iso-rotenoids</w:t>
            </w:r>
          </w:p>
        </w:tc>
        <w:tc>
          <w:tcPr>
            <w:tcW w:w="1992" w:type="dxa"/>
          </w:tcPr>
          <w:p w14:paraId="0F947F6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4EE7324F" w14:textId="77777777" w:rsidR="007A6B09" w:rsidRPr="00C25EB7" w:rsidRDefault="007A6B09">
            <w:pPr>
              <w:jc w:val="both"/>
              <w:rPr>
                <w:rFonts w:ascii="Times New Roman" w:hAnsi="Times New Roman" w:cs="Times New Roman"/>
                <w:sz w:val="24"/>
                <w:szCs w:val="24"/>
              </w:rPr>
            </w:pPr>
          </w:p>
        </w:tc>
      </w:tr>
    </w:tbl>
    <w:p w14:paraId="0D0324D2"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 </w:t>
      </w:r>
    </w:p>
    <w:p w14:paraId="4CA8374C"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Key for qualitative result: </w:t>
      </w:r>
    </w:p>
    <w:p w14:paraId="6C5E427D"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 Detected, - Not detected. </w:t>
      </w:r>
    </w:p>
    <w:p w14:paraId="7729941E" w14:textId="77777777" w:rsidR="007A6B09" w:rsidRPr="00C25EB7" w:rsidRDefault="007A6B09">
      <w:pPr>
        <w:spacing w:after="0" w:line="240" w:lineRule="auto"/>
        <w:jc w:val="both"/>
        <w:rPr>
          <w:rFonts w:ascii="Times New Roman" w:hAnsi="Times New Roman" w:cs="Times New Roman"/>
          <w:b/>
          <w:sz w:val="24"/>
          <w:szCs w:val="24"/>
        </w:rPr>
      </w:pPr>
    </w:p>
    <w:p w14:paraId="11243385" w14:textId="77777777" w:rsidR="007A6B09" w:rsidRPr="00C25EB7" w:rsidRDefault="007A6B09">
      <w:pPr>
        <w:spacing w:after="0" w:line="240" w:lineRule="auto"/>
        <w:jc w:val="both"/>
        <w:rPr>
          <w:rFonts w:ascii="Times New Roman" w:hAnsi="Times New Roman" w:cs="Times New Roman"/>
          <w:b/>
          <w:sz w:val="24"/>
          <w:szCs w:val="24"/>
        </w:rPr>
      </w:pPr>
    </w:p>
    <w:p w14:paraId="34D92918"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br w:type="page"/>
      </w:r>
    </w:p>
    <w:p w14:paraId="0A0A44E7"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4.2</w:t>
      </w:r>
      <w:r w:rsidRPr="00C25EB7">
        <w:rPr>
          <w:rFonts w:ascii="Times New Roman" w:hAnsi="Times New Roman" w:cs="Times New Roman"/>
          <w:b/>
          <w:sz w:val="24"/>
          <w:szCs w:val="24"/>
        </w:rPr>
        <w:tab/>
        <w:t xml:space="preserve"> Evaluation of Stability Period of 95% Ethanol Extract  </w:t>
      </w:r>
    </w:p>
    <w:p w14:paraId="47021AD3" w14:textId="6755FCAF"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The study’s findings on the stability period of 95% ethanol extract as presented in Table </w:t>
      </w:r>
      <w:r w:rsidR="00A10595" w:rsidRPr="00C25EB7">
        <w:rPr>
          <w:rFonts w:ascii="Times New Roman" w:hAnsi="Times New Roman" w:cs="Times New Roman"/>
          <w:bCs/>
          <w:sz w:val="24"/>
          <w:szCs w:val="24"/>
        </w:rPr>
        <w:t>5</w:t>
      </w:r>
      <w:r w:rsidRPr="00C25EB7">
        <w:rPr>
          <w:rFonts w:ascii="Times New Roman" w:hAnsi="Times New Roman" w:cs="Times New Roman"/>
          <w:bCs/>
          <w:sz w:val="24"/>
          <w:szCs w:val="24"/>
        </w:rPr>
        <w:t>, show stability of the extract over an 8-week observation period at storage temperature of 25</w:t>
      </w:r>
      <w:r w:rsidRPr="00C25EB7">
        <w:rPr>
          <w:rFonts w:ascii="Times New Roman" w:hAnsi="Times New Roman" w:cs="Times New Roman"/>
          <w:bCs/>
          <w:sz w:val="24"/>
          <w:szCs w:val="24"/>
          <w:vertAlign w:val="superscript"/>
        </w:rPr>
        <w:t>o</w:t>
      </w:r>
      <w:r w:rsidRPr="00C25EB7">
        <w:rPr>
          <w:rFonts w:ascii="Times New Roman" w:hAnsi="Times New Roman" w:cs="Times New Roman"/>
          <w:bCs/>
          <w:sz w:val="24"/>
          <w:szCs w:val="24"/>
        </w:rPr>
        <w:t xml:space="preserve">C. The result indicates no measurable change in absorbance values at wavelength of 400nm, no observable change in colour intensity, no development of foul odour or rancid, minimal sedimentation and no variation in pH as it remained constant at 5.8. Stability assessment showed 100% pigment retention during the storage period with no measurable pigment change. </w:t>
      </w:r>
    </w:p>
    <w:p w14:paraId="36CBE060"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 400nm (week 1): 0.8157</w:t>
      </w:r>
    </w:p>
    <w:p w14:paraId="466BA6E7"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 400nm (week 8): 0.8157</w:t>
      </w:r>
    </w:p>
    <w:p w14:paraId="2AEED891"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Δ Absorbance approximately 0.0000. </w:t>
      </w:r>
    </w:p>
    <w:p w14:paraId="27F6F4B0" w14:textId="77777777" w:rsidR="007A6B09" w:rsidRPr="00C25EB7" w:rsidRDefault="007A6B09">
      <w:pPr>
        <w:spacing w:after="0" w:line="240" w:lineRule="auto"/>
        <w:jc w:val="both"/>
        <w:rPr>
          <w:rFonts w:ascii="Times New Roman" w:hAnsi="Times New Roman" w:cs="Times New Roman"/>
          <w:bCs/>
          <w:sz w:val="24"/>
          <w:szCs w:val="24"/>
        </w:rPr>
      </w:pPr>
    </w:p>
    <w:p w14:paraId="4815DEC0" w14:textId="77777777" w:rsidR="007A6B09" w:rsidRPr="00C25EB7" w:rsidRDefault="007A6B09">
      <w:pPr>
        <w:spacing w:after="0" w:line="240" w:lineRule="auto"/>
        <w:jc w:val="both"/>
        <w:rPr>
          <w:rFonts w:ascii="Times New Roman" w:hAnsi="Times New Roman" w:cs="Times New Roman"/>
          <w:bCs/>
          <w:sz w:val="24"/>
          <w:szCs w:val="24"/>
        </w:rPr>
      </w:pPr>
    </w:p>
    <w:p w14:paraId="0A0F4B4A" w14:textId="77777777" w:rsidR="007A6B09" w:rsidRPr="00C25EB7" w:rsidRDefault="007A6B09">
      <w:pPr>
        <w:spacing w:after="0" w:line="240" w:lineRule="auto"/>
        <w:jc w:val="both"/>
        <w:rPr>
          <w:rFonts w:ascii="Times New Roman" w:hAnsi="Times New Roman" w:cs="Times New Roman"/>
          <w:b/>
          <w:sz w:val="24"/>
          <w:szCs w:val="24"/>
        </w:rPr>
      </w:pPr>
    </w:p>
    <w:p w14:paraId="07C7F9B4" w14:textId="77777777" w:rsidR="007A6B09" w:rsidRPr="00C25EB7" w:rsidRDefault="007A6B09">
      <w:pPr>
        <w:spacing w:after="0" w:line="240" w:lineRule="auto"/>
        <w:jc w:val="both"/>
        <w:rPr>
          <w:rFonts w:ascii="Times New Roman" w:hAnsi="Times New Roman" w:cs="Times New Roman"/>
          <w:b/>
          <w:sz w:val="24"/>
          <w:szCs w:val="24"/>
        </w:rPr>
      </w:pPr>
    </w:p>
    <w:p w14:paraId="1DC31B20" w14:textId="77777777" w:rsidR="007A6B09" w:rsidRPr="00C25EB7" w:rsidRDefault="007A6B09">
      <w:pPr>
        <w:spacing w:after="0" w:line="240" w:lineRule="auto"/>
        <w:jc w:val="both"/>
        <w:rPr>
          <w:rFonts w:ascii="Times New Roman" w:hAnsi="Times New Roman" w:cs="Times New Roman"/>
          <w:b/>
          <w:sz w:val="24"/>
          <w:szCs w:val="24"/>
        </w:rPr>
      </w:pPr>
    </w:p>
    <w:p w14:paraId="60F45EF5" w14:textId="77777777" w:rsidR="007A6B09" w:rsidRPr="00C25EB7" w:rsidRDefault="007A6B09">
      <w:pPr>
        <w:spacing w:after="0" w:line="240" w:lineRule="auto"/>
        <w:jc w:val="both"/>
        <w:rPr>
          <w:rFonts w:ascii="Times New Roman" w:hAnsi="Times New Roman" w:cs="Times New Roman"/>
          <w:b/>
          <w:sz w:val="24"/>
          <w:szCs w:val="24"/>
        </w:rPr>
      </w:pPr>
    </w:p>
    <w:p w14:paraId="19EBD005" w14:textId="77777777" w:rsidR="007A6B09" w:rsidRPr="00C25EB7" w:rsidRDefault="007A6B09">
      <w:pPr>
        <w:spacing w:after="0" w:line="240" w:lineRule="auto"/>
        <w:jc w:val="both"/>
        <w:rPr>
          <w:rFonts w:ascii="Times New Roman" w:hAnsi="Times New Roman" w:cs="Times New Roman"/>
          <w:b/>
          <w:sz w:val="24"/>
          <w:szCs w:val="24"/>
        </w:rPr>
      </w:pPr>
    </w:p>
    <w:p w14:paraId="069822B1" w14:textId="77777777" w:rsidR="007A6B09" w:rsidRPr="00C25EB7" w:rsidRDefault="007A6B09">
      <w:pPr>
        <w:spacing w:after="0" w:line="240" w:lineRule="auto"/>
        <w:jc w:val="both"/>
        <w:rPr>
          <w:rFonts w:ascii="Times New Roman" w:hAnsi="Times New Roman" w:cs="Times New Roman"/>
          <w:b/>
          <w:sz w:val="24"/>
          <w:szCs w:val="24"/>
        </w:rPr>
        <w:sectPr w:rsidR="007A6B09" w:rsidRPr="00C25E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pPr>
    </w:p>
    <w:p w14:paraId="15778FBC" w14:textId="69B4B464"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A10595" w:rsidRPr="00C25EB7">
        <w:rPr>
          <w:rFonts w:ascii="Times New Roman" w:hAnsi="Times New Roman" w:cs="Times New Roman"/>
          <w:b/>
          <w:sz w:val="24"/>
          <w:szCs w:val="24"/>
        </w:rPr>
        <w:t>5</w:t>
      </w:r>
      <w:r w:rsidRPr="00C25EB7">
        <w:rPr>
          <w:rFonts w:ascii="Times New Roman" w:hAnsi="Times New Roman" w:cs="Times New Roman"/>
          <w:b/>
          <w:sz w:val="24"/>
          <w:szCs w:val="24"/>
        </w:rPr>
        <w:t xml:space="preserve"> Evaluation of Stability Period of 95% Ethanol Extract  </w:t>
      </w:r>
    </w:p>
    <w:tbl>
      <w:tblPr>
        <w:tblStyle w:val="TableGrid"/>
        <w:tblW w:w="1289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554"/>
        <w:gridCol w:w="1174"/>
        <w:gridCol w:w="1807"/>
        <w:gridCol w:w="1463"/>
        <w:gridCol w:w="1400"/>
        <w:gridCol w:w="549"/>
        <w:gridCol w:w="1737"/>
        <w:gridCol w:w="1493"/>
        <w:gridCol w:w="1717"/>
      </w:tblGrid>
      <w:tr w:rsidR="007A6B09" w:rsidRPr="00C25EB7" w14:paraId="08B9ADAF" w14:textId="77777777">
        <w:trPr>
          <w:trHeight w:val="972"/>
        </w:trPr>
        <w:tc>
          <w:tcPr>
            <w:tcW w:w="1554" w:type="dxa"/>
          </w:tcPr>
          <w:p w14:paraId="26D1D1F3"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Date</w:t>
            </w:r>
          </w:p>
        </w:tc>
        <w:tc>
          <w:tcPr>
            <w:tcW w:w="1174" w:type="dxa"/>
          </w:tcPr>
          <w:p w14:paraId="5A70290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(Weeks)</w:t>
            </w:r>
          </w:p>
          <w:p w14:paraId="1BE2AB8A"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Time Point</w:t>
            </w:r>
          </w:p>
        </w:tc>
        <w:tc>
          <w:tcPr>
            <w:tcW w:w="1807" w:type="dxa"/>
          </w:tcPr>
          <w:p w14:paraId="61DB973C"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Storage Temperature (</w:t>
            </w:r>
            <w:r w:rsidRPr="00C25EB7">
              <w:rPr>
                <w:rFonts w:ascii="Times New Roman" w:hAnsi="Times New Roman" w:cs="Times New Roman"/>
                <w:b/>
                <w:sz w:val="24"/>
                <w:szCs w:val="24"/>
                <w:vertAlign w:val="superscript"/>
              </w:rPr>
              <w:t>o</w:t>
            </w:r>
            <w:r w:rsidRPr="00C25EB7">
              <w:rPr>
                <w:rFonts w:ascii="Times New Roman" w:hAnsi="Times New Roman" w:cs="Times New Roman"/>
                <w:b/>
                <w:sz w:val="24"/>
                <w:szCs w:val="24"/>
              </w:rPr>
              <w:t>C)</w:t>
            </w:r>
          </w:p>
        </w:tc>
        <w:tc>
          <w:tcPr>
            <w:tcW w:w="1463" w:type="dxa"/>
          </w:tcPr>
          <w:p w14:paraId="4045CB4A"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Absorbance@400nm (mean)</w:t>
            </w:r>
          </w:p>
        </w:tc>
        <w:tc>
          <w:tcPr>
            <w:tcW w:w="1400" w:type="dxa"/>
          </w:tcPr>
          <w:p w14:paraId="50949E5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Pigment Retention</w:t>
            </w:r>
          </w:p>
          <w:p w14:paraId="708B3BE1"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p>
        </w:tc>
        <w:tc>
          <w:tcPr>
            <w:tcW w:w="549" w:type="dxa"/>
          </w:tcPr>
          <w:p w14:paraId="2885237F"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pH</w:t>
            </w:r>
          </w:p>
        </w:tc>
        <w:tc>
          <w:tcPr>
            <w:tcW w:w="1737" w:type="dxa"/>
          </w:tcPr>
          <w:p w14:paraId="16AF834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Sedimentation</w:t>
            </w:r>
          </w:p>
        </w:tc>
        <w:tc>
          <w:tcPr>
            <w:tcW w:w="1493" w:type="dxa"/>
          </w:tcPr>
          <w:p w14:paraId="664AE5FF"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Colour/Appearance</w:t>
            </w:r>
          </w:p>
        </w:tc>
        <w:tc>
          <w:tcPr>
            <w:tcW w:w="1717" w:type="dxa"/>
          </w:tcPr>
          <w:p w14:paraId="626646DE"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Odour</w:t>
            </w:r>
          </w:p>
        </w:tc>
      </w:tr>
      <w:tr w:rsidR="007A6B09" w:rsidRPr="00C25EB7" w14:paraId="2C315692" w14:textId="77777777">
        <w:trPr>
          <w:trHeight w:val="377"/>
        </w:trPr>
        <w:tc>
          <w:tcPr>
            <w:tcW w:w="1554" w:type="dxa"/>
          </w:tcPr>
          <w:p w14:paraId="5648CFC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01-03-2025</w:t>
            </w:r>
          </w:p>
        </w:tc>
        <w:tc>
          <w:tcPr>
            <w:tcW w:w="1174" w:type="dxa"/>
          </w:tcPr>
          <w:p w14:paraId="4258619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0</w:t>
            </w:r>
          </w:p>
        </w:tc>
        <w:tc>
          <w:tcPr>
            <w:tcW w:w="1807" w:type="dxa"/>
          </w:tcPr>
          <w:p w14:paraId="53A46BD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65CAFC3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373A984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5DF0D4E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7B23839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None</w:t>
            </w:r>
          </w:p>
        </w:tc>
        <w:tc>
          <w:tcPr>
            <w:tcW w:w="1493" w:type="dxa"/>
          </w:tcPr>
          <w:p w14:paraId="1C7C3F7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Brown-Orange</w:t>
            </w:r>
          </w:p>
        </w:tc>
        <w:tc>
          <w:tcPr>
            <w:tcW w:w="1717" w:type="dxa"/>
          </w:tcPr>
          <w:p w14:paraId="659BFC7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60DEC4BB" w14:textId="77777777">
        <w:trPr>
          <w:trHeight w:val="406"/>
        </w:trPr>
        <w:tc>
          <w:tcPr>
            <w:tcW w:w="1554" w:type="dxa"/>
          </w:tcPr>
          <w:p w14:paraId="7BD2E3B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08-03-2025</w:t>
            </w:r>
          </w:p>
        </w:tc>
        <w:tc>
          <w:tcPr>
            <w:tcW w:w="1174" w:type="dxa"/>
          </w:tcPr>
          <w:p w14:paraId="647805E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1</w:t>
            </w:r>
          </w:p>
        </w:tc>
        <w:tc>
          <w:tcPr>
            <w:tcW w:w="1807" w:type="dxa"/>
          </w:tcPr>
          <w:p w14:paraId="6B866D5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1F1E86D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7126C77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77BFA56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0E3A4E9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6DE5EAC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286C615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38224014" w14:textId="77777777">
        <w:trPr>
          <w:trHeight w:val="406"/>
        </w:trPr>
        <w:tc>
          <w:tcPr>
            <w:tcW w:w="1554" w:type="dxa"/>
          </w:tcPr>
          <w:p w14:paraId="5D2E256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15-03-2025</w:t>
            </w:r>
          </w:p>
        </w:tc>
        <w:tc>
          <w:tcPr>
            <w:tcW w:w="1174" w:type="dxa"/>
          </w:tcPr>
          <w:p w14:paraId="4E5CE63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2</w:t>
            </w:r>
          </w:p>
        </w:tc>
        <w:tc>
          <w:tcPr>
            <w:tcW w:w="1807" w:type="dxa"/>
          </w:tcPr>
          <w:p w14:paraId="5CF875A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42C5EE1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3E4CD11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23FD165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3F4E3AE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3735A39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1FD1367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F30215F" w14:textId="77777777">
        <w:trPr>
          <w:trHeight w:val="377"/>
        </w:trPr>
        <w:tc>
          <w:tcPr>
            <w:tcW w:w="1554" w:type="dxa"/>
          </w:tcPr>
          <w:p w14:paraId="15010D7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22-03-2025</w:t>
            </w:r>
          </w:p>
        </w:tc>
        <w:tc>
          <w:tcPr>
            <w:tcW w:w="1174" w:type="dxa"/>
          </w:tcPr>
          <w:p w14:paraId="646F668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3</w:t>
            </w:r>
          </w:p>
        </w:tc>
        <w:tc>
          <w:tcPr>
            <w:tcW w:w="1807" w:type="dxa"/>
          </w:tcPr>
          <w:p w14:paraId="20BD150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10DC41B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6CD1448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333F848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26CB140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57CBBE6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3E549DA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 xml:space="preserve"> No rancid</w:t>
            </w:r>
          </w:p>
        </w:tc>
      </w:tr>
      <w:tr w:rsidR="007A6B09" w:rsidRPr="00C25EB7" w14:paraId="61B8F753" w14:textId="77777777">
        <w:trPr>
          <w:trHeight w:val="406"/>
        </w:trPr>
        <w:tc>
          <w:tcPr>
            <w:tcW w:w="1554" w:type="dxa"/>
          </w:tcPr>
          <w:p w14:paraId="047D2B5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29-03-2025</w:t>
            </w:r>
          </w:p>
        </w:tc>
        <w:tc>
          <w:tcPr>
            <w:tcW w:w="1174" w:type="dxa"/>
          </w:tcPr>
          <w:p w14:paraId="50F40BF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4</w:t>
            </w:r>
          </w:p>
        </w:tc>
        <w:tc>
          <w:tcPr>
            <w:tcW w:w="1807" w:type="dxa"/>
          </w:tcPr>
          <w:p w14:paraId="3D7C8D8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6E4F2D3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6E87874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605C997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sz w:val="24"/>
                <w:szCs w:val="24"/>
              </w:rPr>
              <w:t>5.8</w:t>
            </w:r>
          </w:p>
        </w:tc>
        <w:tc>
          <w:tcPr>
            <w:tcW w:w="1737" w:type="dxa"/>
          </w:tcPr>
          <w:p w14:paraId="5B781D6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2A0CFAF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4F03D96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6568FE97" w14:textId="77777777">
        <w:trPr>
          <w:trHeight w:val="377"/>
        </w:trPr>
        <w:tc>
          <w:tcPr>
            <w:tcW w:w="1554" w:type="dxa"/>
          </w:tcPr>
          <w:p w14:paraId="0FF504F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05-04-2025</w:t>
            </w:r>
          </w:p>
        </w:tc>
        <w:tc>
          <w:tcPr>
            <w:tcW w:w="1174" w:type="dxa"/>
          </w:tcPr>
          <w:p w14:paraId="45CD55F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5</w:t>
            </w:r>
          </w:p>
        </w:tc>
        <w:tc>
          <w:tcPr>
            <w:tcW w:w="1807" w:type="dxa"/>
          </w:tcPr>
          <w:p w14:paraId="7166FE4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1736C49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2B1F941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75801C2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4EC4E50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7293F85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31AA180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05DF61A9" w14:textId="77777777">
        <w:trPr>
          <w:trHeight w:val="406"/>
        </w:trPr>
        <w:tc>
          <w:tcPr>
            <w:tcW w:w="1554" w:type="dxa"/>
          </w:tcPr>
          <w:p w14:paraId="07FBC13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12-04-2025</w:t>
            </w:r>
          </w:p>
        </w:tc>
        <w:tc>
          <w:tcPr>
            <w:tcW w:w="1174" w:type="dxa"/>
          </w:tcPr>
          <w:p w14:paraId="60305D6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6</w:t>
            </w:r>
          </w:p>
        </w:tc>
        <w:tc>
          <w:tcPr>
            <w:tcW w:w="1807" w:type="dxa"/>
          </w:tcPr>
          <w:p w14:paraId="3A7D27D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6E6F407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3D0A219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48B7E64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520A7A7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7708783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1AFA0D5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FB4BFC7" w14:textId="77777777">
        <w:trPr>
          <w:trHeight w:val="377"/>
        </w:trPr>
        <w:tc>
          <w:tcPr>
            <w:tcW w:w="1554" w:type="dxa"/>
          </w:tcPr>
          <w:p w14:paraId="65B23EB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19-04-2025</w:t>
            </w:r>
          </w:p>
        </w:tc>
        <w:tc>
          <w:tcPr>
            <w:tcW w:w="1174" w:type="dxa"/>
          </w:tcPr>
          <w:p w14:paraId="021C3C9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7</w:t>
            </w:r>
          </w:p>
        </w:tc>
        <w:tc>
          <w:tcPr>
            <w:tcW w:w="1807" w:type="dxa"/>
          </w:tcPr>
          <w:p w14:paraId="104DEF8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18EA28F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6A327B4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2DB0FE3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7A150AC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144C224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47CAF20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2389FA8" w14:textId="77777777">
        <w:trPr>
          <w:trHeight w:val="406"/>
        </w:trPr>
        <w:tc>
          <w:tcPr>
            <w:tcW w:w="1554" w:type="dxa"/>
          </w:tcPr>
          <w:p w14:paraId="642E141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26-04-2025</w:t>
            </w:r>
          </w:p>
        </w:tc>
        <w:tc>
          <w:tcPr>
            <w:tcW w:w="1174" w:type="dxa"/>
          </w:tcPr>
          <w:p w14:paraId="56C5147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8</w:t>
            </w:r>
          </w:p>
        </w:tc>
        <w:tc>
          <w:tcPr>
            <w:tcW w:w="1807" w:type="dxa"/>
          </w:tcPr>
          <w:p w14:paraId="61AFD55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3198C4A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4CBCDDC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04962F4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10A1ACC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256D7E1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748C377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bl>
    <w:p w14:paraId="1151B831" w14:textId="77777777" w:rsidR="007A6B09" w:rsidRPr="00C25EB7" w:rsidRDefault="007A6B09">
      <w:pPr>
        <w:spacing w:after="0" w:line="240" w:lineRule="auto"/>
        <w:jc w:val="both"/>
        <w:rPr>
          <w:rFonts w:ascii="Times New Roman" w:hAnsi="Times New Roman" w:cs="Times New Roman"/>
          <w:b/>
          <w:sz w:val="24"/>
          <w:szCs w:val="24"/>
        </w:rPr>
      </w:pPr>
    </w:p>
    <w:p w14:paraId="0713E035"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Time</w:t>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t xml:space="preserve"> </w:t>
      </w:r>
    </w:p>
    <w:p w14:paraId="208D11C5"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T0 = Immediately after extraction </w:t>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5EEF751A"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T1 = 1 week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p>
    <w:p w14:paraId="236C4BAD"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T2 = 2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0C9FEE8A"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T3 = 3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6E8ECA92"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T4 = 4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p>
    <w:p w14:paraId="76FE23D8"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T5 = 5 weeks</w:t>
      </w:r>
    </w:p>
    <w:p w14:paraId="0EB20963"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T6 = 6 weeks</w:t>
      </w:r>
    </w:p>
    <w:p w14:paraId="5F1ECE70"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T7 = 7 weeks</w:t>
      </w:r>
    </w:p>
    <w:p w14:paraId="3BE296B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 T8 = 8 weeks</w:t>
      </w:r>
    </w:p>
    <w:p w14:paraId="7EBD1098" w14:textId="77777777" w:rsidR="007A6B09" w:rsidRPr="00C25EB7" w:rsidRDefault="007A6B09">
      <w:pPr>
        <w:spacing w:after="0" w:line="240" w:lineRule="auto"/>
        <w:jc w:val="both"/>
        <w:rPr>
          <w:rFonts w:ascii="Times New Roman" w:hAnsi="Times New Roman" w:cs="Times New Roman"/>
          <w:sz w:val="24"/>
          <w:szCs w:val="24"/>
        </w:rPr>
      </w:pPr>
    </w:p>
    <w:p w14:paraId="36328BCF" w14:textId="77777777" w:rsidR="007A6B09" w:rsidRPr="00C25EB7" w:rsidRDefault="007A6B09">
      <w:pPr>
        <w:spacing w:after="0" w:line="240" w:lineRule="auto"/>
        <w:jc w:val="both"/>
        <w:rPr>
          <w:rFonts w:ascii="Times New Roman" w:hAnsi="Times New Roman" w:cs="Times New Roman"/>
          <w:sz w:val="24"/>
          <w:szCs w:val="24"/>
        </w:rPr>
        <w:sectPr w:rsidR="007A6B09" w:rsidRPr="00C25EB7">
          <w:pgSz w:w="15840" w:h="12240" w:orient="landscape"/>
          <w:pgMar w:top="1440" w:right="1440" w:bottom="1440" w:left="1440" w:header="720" w:footer="720" w:gutter="0"/>
          <w:cols w:space="720"/>
          <w:docGrid w:linePitch="360"/>
        </w:sectPr>
      </w:pPr>
    </w:p>
    <w:p w14:paraId="4C2A4FF4"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
          <w:sz w:val="24"/>
          <w:szCs w:val="24"/>
        </w:rPr>
        <w:lastRenderedPageBreak/>
        <w:tab/>
        <w:t>Evaluation of Stability Period of Acetone Extract</w:t>
      </w:r>
    </w:p>
    <w:p w14:paraId="0E4A0F9F" w14:textId="4A406F3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The study’s findings on the stability period of acetone extract as presented in Table </w:t>
      </w:r>
      <w:r w:rsidR="00A10595" w:rsidRPr="00C25EB7">
        <w:rPr>
          <w:rFonts w:ascii="Times New Roman" w:hAnsi="Times New Roman" w:cs="Times New Roman"/>
          <w:bCs/>
          <w:sz w:val="24"/>
          <w:szCs w:val="24"/>
        </w:rPr>
        <w:t>6</w:t>
      </w:r>
      <w:r w:rsidRPr="00C25EB7">
        <w:rPr>
          <w:rFonts w:ascii="Times New Roman" w:hAnsi="Times New Roman" w:cs="Times New Roman"/>
          <w:bCs/>
          <w:sz w:val="24"/>
          <w:szCs w:val="24"/>
        </w:rPr>
        <w:t>, show stability of the extract over an eight-week observation period at storage temperature of 25</w:t>
      </w:r>
      <w:r w:rsidRPr="00C25EB7">
        <w:rPr>
          <w:rFonts w:ascii="Times New Roman" w:hAnsi="Times New Roman" w:cs="Times New Roman"/>
          <w:bCs/>
          <w:sz w:val="24"/>
          <w:szCs w:val="24"/>
          <w:vertAlign w:val="superscript"/>
        </w:rPr>
        <w:t>o</w:t>
      </w:r>
      <w:r w:rsidRPr="00C25EB7">
        <w:rPr>
          <w:rFonts w:ascii="Times New Roman" w:hAnsi="Times New Roman" w:cs="Times New Roman"/>
          <w:bCs/>
          <w:sz w:val="24"/>
          <w:szCs w:val="24"/>
        </w:rPr>
        <w:t>C. The result indicates minimal absorbance value variation at wavelength of 400nm, no observable change in colour intensity, no development of foul odour or rancid, minimal sedimentation and no variation in pH as it remained constant at 4.5. Stability assessment showed 99.97% pigment retention during the storage period with 0.03% observed pigment decrease.</w:t>
      </w:r>
    </w:p>
    <w:p w14:paraId="4A460148"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@400nm (week 1): 0.9990</w:t>
      </w:r>
    </w:p>
    <w:p w14:paraId="7AABFBAC"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@400nm (week 8): 0.9987</w:t>
      </w:r>
    </w:p>
    <w:p w14:paraId="32E2F17E"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Δ Absorbance: 0.003.  </w:t>
      </w:r>
    </w:p>
    <w:p w14:paraId="475739ED"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0.03% observed decrease </w:t>
      </w:r>
    </w:p>
    <w:p w14:paraId="78561A0D" w14:textId="77777777" w:rsidR="007A6B09" w:rsidRPr="00C25EB7" w:rsidRDefault="007A6B09">
      <w:pPr>
        <w:spacing w:after="0" w:line="240" w:lineRule="auto"/>
        <w:jc w:val="both"/>
        <w:rPr>
          <w:rFonts w:ascii="Times New Roman" w:hAnsi="Times New Roman" w:cs="Times New Roman"/>
          <w:bCs/>
          <w:sz w:val="24"/>
          <w:szCs w:val="24"/>
        </w:rPr>
      </w:pPr>
    </w:p>
    <w:p w14:paraId="1A326693" w14:textId="77777777" w:rsidR="007A6B09" w:rsidRPr="00C25EB7" w:rsidRDefault="007A6B09">
      <w:pPr>
        <w:spacing w:after="0" w:line="240" w:lineRule="auto"/>
        <w:jc w:val="both"/>
        <w:rPr>
          <w:rFonts w:ascii="Times New Roman" w:hAnsi="Times New Roman" w:cs="Times New Roman"/>
          <w:sz w:val="24"/>
          <w:szCs w:val="24"/>
        </w:rPr>
      </w:pPr>
    </w:p>
    <w:p w14:paraId="1A95E700"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03CBBD6D" w14:textId="77777777" w:rsidR="007A6B09" w:rsidRPr="00C25EB7" w:rsidRDefault="007A6B09">
      <w:pPr>
        <w:spacing w:after="0" w:line="240" w:lineRule="auto"/>
        <w:jc w:val="both"/>
        <w:rPr>
          <w:rFonts w:ascii="Times New Roman" w:hAnsi="Times New Roman" w:cs="Times New Roman"/>
          <w:b/>
          <w:sz w:val="24"/>
          <w:szCs w:val="24"/>
        </w:rPr>
        <w:sectPr w:rsidR="007A6B09" w:rsidRPr="00C25EB7">
          <w:pgSz w:w="12240" w:h="15840"/>
          <w:pgMar w:top="1440" w:right="1440" w:bottom="1440" w:left="1440" w:header="720" w:footer="720" w:gutter="0"/>
          <w:cols w:space="720"/>
          <w:docGrid w:linePitch="360"/>
        </w:sectPr>
      </w:pPr>
    </w:p>
    <w:p w14:paraId="3A2EAA95" w14:textId="4270AFF8"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A10595" w:rsidRPr="00C25EB7">
        <w:rPr>
          <w:rFonts w:ascii="Times New Roman" w:hAnsi="Times New Roman" w:cs="Times New Roman"/>
          <w:b/>
          <w:sz w:val="24"/>
          <w:szCs w:val="24"/>
        </w:rPr>
        <w:t>6</w:t>
      </w:r>
      <w:r w:rsidRPr="00C25EB7">
        <w:rPr>
          <w:rFonts w:ascii="Times New Roman" w:hAnsi="Times New Roman" w:cs="Times New Roman"/>
          <w:b/>
          <w:sz w:val="24"/>
          <w:szCs w:val="24"/>
        </w:rPr>
        <w:t xml:space="preserve"> Evaluation of Stability Period of Acetone Extract</w:t>
      </w:r>
    </w:p>
    <w:p w14:paraId="2B52E182" w14:textId="77777777" w:rsidR="007A6B09" w:rsidRPr="00C25EB7" w:rsidRDefault="007A6B09">
      <w:pPr>
        <w:spacing w:after="0" w:line="240" w:lineRule="auto"/>
        <w:jc w:val="both"/>
        <w:rPr>
          <w:rFonts w:ascii="Times New Roman" w:hAnsi="Times New Roman" w:cs="Times New Roman"/>
          <w:b/>
          <w:sz w:val="24"/>
          <w:szCs w:val="24"/>
        </w:rPr>
      </w:pPr>
    </w:p>
    <w:tbl>
      <w:tblPr>
        <w:tblStyle w:val="TableGrid"/>
        <w:tblW w:w="13826" w:type="dxa"/>
        <w:tblInd w:w="-25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424"/>
        <w:gridCol w:w="1328"/>
        <w:gridCol w:w="1803"/>
        <w:gridCol w:w="1709"/>
        <w:gridCol w:w="1296"/>
        <w:gridCol w:w="1045"/>
        <w:gridCol w:w="1993"/>
        <w:gridCol w:w="1614"/>
        <w:gridCol w:w="1614"/>
      </w:tblGrid>
      <w:tr w:rsidR="007A6B09" w:rsidRPr="00C25EB7" w14:paraId="1C7F4D07" w14:textId="77777777">
        <w:trPr>
          <w:trHeight w:val="748"/>
        </w:trPr>
        <w:tc>
          <w:tcPr>
            <w:tcW w:w="1424" w:type="dxa"/>
          </w:tcPr>
          <w:p w14:paraId="25A207BA"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Date</w:t>
            </w:r>
          </w:p>
        </w:tc>
        <w:tc>
          <w:tcPr>
            <w:tcW w:w="1328" w:type="dxa"/>
          </w:tcPr>
          <w:p w14:paraId="540F39B2"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(Weeks)</w:t>
            </w:r>
          </w:p>
          <w:p w14:paraId="6725344F"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Time Point</w:t>
            </w:r>
          </w:p>
        </w:tc>
        <w:tc>
          <w:tcPr>
            <w:tcW w:w="1803" w:type="dxa"/>
          </w:tcPr>
          <w:p w14:paraId="1954A1F4"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Storage Temperature (</w:t>
            </w:r>
            <w:r w:rsidRPr="00C25EB7">
              <w:rPr>
                <w:rFonts w:ascii="Times New Roman" w:hAnsi="Times New Roman" w:cs="Times New Roman"/>
                <w:b/>
                <w:sz w:val="24"/>
                <w:szCs w:val="24"/>
                <w:vertAlign w:val="superscript"/>
              </w:rPr>
              <w:t>o</w:t>
            </w:r>
            <w:r w:rsidRPr="00C25EB7">
              <w:rPr>
                <w:rFonts w:ascii="Times New Roman" w:hAnsi="Times New Roman" w:cs="Times New Roman"/>
                <w:b/>
                <w:sz w:val="24"/>
                <w:szCs w:val="24"/>
              </w:rPr>
              <w:t>C)</w:t>
            </w:r>
          </w:p>
        </w:tc>
        <w:tc>
          <w:tcPr>
            <w:tcW w:w="1709" w:type="dxa"/>
          </w:tcPr>
          <w:p w14:paraId="5ED5CCA7"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Absorbance@400nm (mean)</w:t>
            </w:r>
          </w:p>
        </w:tc>
        <w:tc>
          <w:tcPr>
            <w:tcW w:w="1296" w:type="dxa"/>
          </w:tcPr>
          <w:p w14:paraId="4B1919A7"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Pigment Retention</w:t>
            </w:r>
          </w:p>
          <w:p w14:paraId="1CFA0698"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p>
        </w:tc>
        <w:tc>
          <w:tcPr>
            <w:tcW w:w="1045" w:type="dxa"/>
          </w:tcPr>
          <w:p w14:paraId="3EDBB06A"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pH</w:t>
            </w:r>
          </w:p>
        </w:tc>
        <w:tc>
          <w:tcPr>
            <w:tcW w:w="1993" w:type="dxa"/>
          </w:tcPr>
          <w:p w14:paraId="0D0B9905"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Sedimentation</w:t>
            </w:r>
          </w:p>
        </w:tc>
        <w:tc>
          <w:tcPr>
            <w:tcW w:w="1614" w:type="dxa"/>
          </w:tcPr>
          <w:p w14:paraId="10FA056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Colour/Appearance</w:t>
            </w:r>
          </w:p>
        </w:tc>
        <w:tc>
          <w:tcPr>
            <w:tcW w:w="1614" w:type="dxa"/>
          </w:tcPr>
          <w:p w14:paraId="62ACDBF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Odour</w:t>
            </w:r>
          </w:p>
        </w:tc>
      </w:tr>
      <w:tr w:rsidR="007A6B09" w:rsidRPr="00C25EB7" w14:paraId="5E340922" w14:textId="77777777">
        <w:trPr>
          <w:trHeight w:val="270"/>
        </w:trPr>
        <w:tc>
          <w:tcPr>
            <w:tcW w:w="1424" w:type="dxa"/>
          </w:tcPr>
          <w:p w14:paraId="5ABAC52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01-03-2025</w:t>
            </w:r>
          </w:p>
        </w:tc>
        <w:tc>
          <w:tcPr>
            <w:tcW w:w="1328" w:type="dxa"/>
          </w:tcPr>
          <w:p w14:paraId="4A2A718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0</w:t>
            </w:r>
          </w:p>
        </w:tc>
        <w:tc>
          <w:tcPr>
            <w:tcW w:w="1803" w:type="dxa"/>
          </w:tcPr>
          <w:p w14:paraId="5952851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4DC8818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201EA88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5335417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3D1DC2C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None</w:t>
            </w:r>
          </w:p>
        </w:tc>
        <w:tc>
          <w:tcPr>
            <w:tcW w:w="1614" w:type="dxa"/>
          </w:tcPr>
          <w:p w14:paraId="39C5535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Dark brown-orange</w:t>
            </w:r>
          </w:p>
        </w:tc>
        <w:tc>
          <w:tcPr>
            <w:tcW w:w="1614" w:type="dxa"/>
          </w:tcPr>
          <w:p w14:paraId="621BC3D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299DA728" w14:textId="77777777">
        <w:trPr>
          <w:trHeight w:val="292"/>
        </w:trPr>
        <w:tc>
          <w:tcPr>
            <w:tcW w:w="1424" w:type="dxa"/>
          </w:tcPr>
          <w:p w14:paraId="0D4F3FE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08-03-2025</w:t>
            </w:r>
          </w:p>
        </w:tc>
        <w:tc>
          <w:tcPr>
            <w:tcW w:w="1328" w:type="dxa"/>
          </w:tcPr>
          <w:p w14:paraId="3452957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1</w:t>
            </w:r>
          </w:p>
        </w:tc>
        <w:tc>
          <w:tcPr>
            <w:tcW w:w="1803" w:type="dxa"/>
          </w:tcPr>
          <w:p w14:paraId="5F3D0AA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43CEEF1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74B6AB8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1EDE5A8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53434E1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5817EE3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291BC69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2C9622FB" w14:textId="77777777">
        <w:trPr>
          <w:trHeight w:val="270"/>
        </w:trPr>
        <w:tc>
          <w:tcPr>
            <w:tcW w:w="1424" w:type="dxa"/>
          </w:tcPr>
          <w:p w14:paraId="2022746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15-03-2025</w:t>
            </w:r>
          </w:p>
        </w:tc>
        <w:tc>
          <w:tcPr>
            <w:tcW w:w="1328" w:type="dxa"/>
          </w:tcPr>
          <w:p w14:paraId="64D7BF0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2</w:t>
            </w:r>
          </w:p>
        </w:tc>
        <w:tc>
          <w:tcPr>
            <w:tcW w:w="1803" w:type="dxa"/>
          </w:tcPr>
          <w:p w14:paraId="43C91B5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152A5BE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1514867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4F7712A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2613EDA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65902C9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670B039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59AFAFA4" w14:textId="77777777">
        <w:trPr>
          <w:trHeight w:val="292"/>
        </w:trPr>
        <w:tc>
          <w:tcPr>
            <w:tcW w:w="1424" w:type="dxa"/>
          </w:tcPr>
          <w:p w14:paraId="16C8D09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22-03-2025</w:t>
            </w:r>
          </w:p>
        </w:tc>
        <w:tc>
          <w:tcPr>
            <w:tcW w:w="1328" w:type="dxa"/>
          </w:tcPr>
          <w:p w14:paraId="30F665A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3</w:t>
            </w:r>
          </w:p>
        </w:tc>
        <w:tc>
          <w:tcPr>
            <w:tcW w:w="1803" w:type="dxa"/>
          </w:tcPr>
          <w:p w14:paraId="77A59D3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278E1F8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125B528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547A0DD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6972A4A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6E24BFC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12DD952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0C1DA0B4" w14:textId="77777777">
        <w:trPr>
          <w:trHeight w:val="270"/>
        </w:trPr>
        <w:tc>
          <w:tcPr>
            <w:tcW w:w="1424" w:type="dxa"/>
          </w:tcPr>
          <w:p w14:paraId="43F2027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29-03-2025</w:t>
            </w:r>
          </w:p>
        </w:tc>
        <w:tc>
          <w:tcPr>
            <w:tcW w:w="1328" w:type="dxa"/>
          </w:tcPr>
          <w:p w14:paraId="3654770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4</w:t>
            </w:r>
          </w:p>
        </w:tc>
        <w:tc>
          <w:tcPr>
            <w:tcW w:w="1803" w:type="dxa"/>
          </w:tcPr>
          <w:p w14:paraId="61680AE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6F784B2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74E86A0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1337FAB1"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sz w:val="24"/>
                <w:szCs w:val="24"/>
              </w:rPr>
              <w:t>4.5</w:t>
            </w:r>
          </w:p>
        </w:tc>
        <w:tc>
          <w:tcPr>
            <w:tcW w:w="1993" w:type="dxa"/>
          </w:tcPr>
          <w:p w14:paraId="659906A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3AA22BC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7A75968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213F0EA6" w14:textId="77777777">
        <w:trPr>
          <w:trHeight w:val="292"/>
        </w:trPr>
        <w:tc>
          <w:tcPr>
            <w:tcW w:w="1424" w:type="dxa"/>
          </w:tcPr>
          <w:p w14:paraId="67AAC81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05-04-2025</w:t>
            </w:r>
          </w:p>
        </w:tc>
        <w:tc>
          <w:tcPr>
            <w:tcW w:w="1328" w:type="dxa"/>
          </w:tcPr>
          <w:p w14:paraId="1DCA3A9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5</w:t>
            </w:r>
          </w:p>
        </w:tc>
        <w:tc>
          <w:tcPr>
            <w:tcW w:w="1803" w:type="dxa"/>
          </w:tcPr>
          <w:p w14:paraId="7236D42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3C769EF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2DBD0A5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4841EC8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241B600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4940428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414578F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52F340C9" w14:textId="77777777">
        <w:trPr>
          <w:trHeight w:val="270"/>
        </w:trPr>
        <w:tc>
          <w:tcPr>
            <w:tcW w:w="1424" w:type="dxa"/>
          </w:tcPr>
          <w:p w14:paraId="0B21CB8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12-04-2025</w:t>
            </w:r>
          </w:p>
        </w:tc>
        <w:tc>
          <w:tcPr>
            <w:tcW w:w="1328" w:type="dxa"/>
          </w:tcPr>
          <w:p w14:paraId="2A88B52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6</w:t>
            </w:r>
          </w:p>
        </w:tc>
        <w:tc>
          <w:tcPr>
            <w:tcW w:w="1803" w:type="dxa"/>
          </w:tcPr>
          <w:p w14:paraId="5999A5B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7676C7C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45D9F70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55E69F2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0B73C22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72EC341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6A978C6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777DD84B" w14:textId="77777777">
        <w:trPr>
          <w:trHeight w:val="292"/>
        </w:trPr>
        <w:tc>
          <w:tcPr>
            <w:tcW w:w="1424" w:type="dxa"/>
          </w:tcPr>
          <w:p w14:paraId="59093D4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19-04-2025</w:t>
            </w:r>
          </w:p>
        </w:tc>
        <w:tc>
          <w:tcPr>
            <w:tcW w:w="1328" w:type="dxa"/>
          </w:tcPr>
          <w:p w14:paraId="5280B9F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7</w:t>
            </w:r>
          </w:p>
        </w:tc>
        <w:tc>
          <w:tcPr>
            <w:tcW w:w="1803" w:type="dxa"/>
          </w:tcPr>
          <w:p w14:paraId="2F6B052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37B1B3D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374DE11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41C0942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14009ED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76DA95E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3AB61CD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553E9A72" w14:textId="77777777">
        <w:trPr>
          <w:trHeight w:val="292"/>
        </w:trPr>
        <w:tc>
          <w:tcPr>
            <w:tcW w:w="1424" w:type="dxa"/>
          </w:tcPr>
          <w:p w14:paraId="31DFB42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26-04-2025</w:t>
            </w:r>
          </w:p>
        </w:tc>
        <w:tc>
          <w:tcPr>
            <w:tcW w:w="1328" w:type="dxa"/>
          </w:tcPr>
          <w:p w14:paraId="6E0FF0C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8</w:t>
            </w:r>
          </w:p>
        </w:tc>
        <w:tc>
          <w:tcPr>
            <w:tcW w:w="1803" w:type="dxa"/>
          </w:tcPr>
          <w:p w14:paraId="7495A2C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2B921F5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0.9987</w:t>
            </w:r>
          </w:p>
        </w:tc>
        <w:tc>
          <w:tcPr>
            <w:tcW w:w="1296" w:type="dxa"/>
          </w:tcPr>
          <w:p w14:paraId="1FC8C98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99.97</w:t>
            </w:r>
          </w:p>
        </w:tc>
        <w:tc>
          <w:tcPr>
            <w:tcW w:w="1045" w:type="dxa"/>
          </w:tcPr>
          <w:p w14:paraId="74E8557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1022FDF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2975907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1E343E1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bl>
    <w:p w14:paraId="5DB7FA0E" w14:textId="77777777" w:rsidR="007A6B09" w:rsidRPr="00C25EB7" w:rsidRDefault="007A6B09">
      <w:pPr>
        <w:spacing w:after="0" w:line="240" w:lineRule="auto"/>
        <w:jc w:val="both"/>
        <w:rPr>
          <w:rFonts w:ascii="Times New Roman" w:hAnsi="Times New Roman" w:cs="Times New Roman"/>
          <w:b/>
          <w:sz w:val="24"/>
          <w:szCs w:val="24"/>
        </w:rPr>
      </w:pPr>
    </w:p>
    <w:p w14:paraId="7600C17A"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Time</w:t>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t xml:space="preserve"> </w:t>
      </w:r>
    </w:p>
    <w:p w14:paraId="160B4FB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T0 = Immediately after extraction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4AFE1CFC"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T1 = 1 week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p>
    <w:p w14:paraId="11AAD2E8"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T2 = 2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6169BC36"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T3 = 3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30664AB8"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T4 = 4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5F4D4C4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T5 = 5 week </w:t>
      </w:r>
    </w:p>
    <w:p w14:paraId="33746563"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T6 = 6 weeks </w:t>
      </w:r>
      <w:r w:rsidRPr="00C25EB7">
        <w:rPr>
          <w:rFonts w:ascii="Times New Roman" w:hAnsi="Times New Roman" w:cs="Times New Roman"/>
          <w:sz w:val="24"/>
          <w:szCs w:val="24"/>
        </w:rPr>
        <w:tab/>
      </w:r>
    </w:p>
    <w:p w14:paraId="13624AC7"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T7 = 7 weeks </w:t>
      </w:r>
    </w:p>
    <w:p w14:paraId="3CDB7688" w14:textId="77777777" w:rsidR="007A6B09" w:rsidRPr="00C25EB7" w:rsidRDefault="00E720F9">
      <w:pPr>
        <w:spacing w:after="0" w:line="240" w:lineRule="auto"/>
        <w:jc w:val="both"/>
        <w:rPr>
          <w:rFonts w:ascii="Times New Roman" w:hAnsi="Times New Roman" w:cs="Times New Roman"/>
          <w:sz w:val="24"/>
          <w:szCs w:val="24"/>
        </w:rPr>
        <w:sectPr w:rsidR="007A6B09" w:rsidRPr="00C25EB7">
          <w:pgSz w:w="15840" w:h="12240" w:orient="landscape"/>
          <w:pgMar w:top="1440" w:right="1440" w:bottom="1440" w:left="1440" w:header="720" w:footer="720" w:gutter="0"/>
          <w:cols w:space="720"/>
          <w:docGrid w:linePitch="360"/>
        </w:sectPr>
      </w:pPr>
      <w:r w:rsidRPr="00C25EB7">
        <w:rPr>
          <w:rFonts w:ascii="Times New Roman" w:hAnsi="Times New Roman" w:cs="Times New Roman"/>
          <w:sz w:val="24"/>
          <w:szCs w:val="24"/>
        </w:rPr>
        <w:t xml:space="preserve">T8=8weeks </w:t>
      </w:r>
    </w:p>
    <w:p w14:paraId="4A5F08C3"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bCs/>
          <w:sz w:val="24"/>
          <w:szCs w:val="24"/>
        </w:rPr>
        <w:lastRenderedPageBreak/>
        <w:t xml:space="preserve">Comparative Analysis of The Three Staining Techniques on Chronic </w:t>
      </w:r>
      <w:r w:rsidRPr="00C25EB7">
        <w:rPr>
          <w:rFonts w:ascii="Times New Roman" w:hAnsi="Times New Roman" w:cs="Times New Roman"/>
          <w:b/>
          <w:bCs/>
          <w:sz w:val="24"/>
          <w:szCs w:val="24"/>
        </w:rPr>
        <w:tab/>
        <w:t>Granulomatous Inflammation Using Kruskal Wallis Test</w:t>
      </w:r>
    </w:p>
    <w:p w14:paraId="3ADFF403" w14:textId="574EAB6A"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Table </w:t>
      </w:r>
      <w:r w:rsidR="00A10595" w:rsidRPr="00C25EB7">
        <w:rPr>
          <w:rFonts w:ascii="Times New Roman" w:hAnsi="Times New Roman" w:cs="Times New Roman"/>
          <w:sz w:val="24"/>
          <w:szCs w:val="24"/>
        </w:rPr>
        <w:t>7</w:t>
      </w:r>
      <w:r w:rsidRPr="00C25EB7">
        <w:rPr>
          <w:rFonts w:ascii="Times New Roman" w:hAnsi="Times New Roman" w:cs="Times New Roman"/>
          <w:sz w:val="24"/>
          <w:szCs w:val="24"/>
        </w:rPr>
        <w:t xml:space="preserve"> presents </w:t>
      </w:r>
      <w:bookmarkStart w:id="0" w:name="_Hlk233113435"/>
      <w:r w:rsidRPr="00C25EB7">
        <w:rPr>
          <w:rFonts w:ascii="Times New Roman" w:hAnsi="Times New Roman" w:cs="Times New Roman"/>
          <w:sz w:val="24"/>
          <w:szCs w:val="24"/>
        </w:rPr>
        <w:t>the comparative staining ability of Hematoxylin and Eosin (H&amp;E), Hematoxylin with 95% Ethanol, and Hematoxylin with Acetone in chronic granulomatous inflammation using the Kruskal-</w:t>
      </w:r>
      <w:proofErr w:type="gramStart"/>
      <w:r w:rsidRPr="00C25EB7">
        <w:rPr>
          <w:rFonts w:ascii="Times New Roman" w:hAnsi="Times New Roman" w:cs="Times New Roman"/>
          <w:sz w:val="24"/>
          <w:szCs w:val="24"/>
        </w:rPr>
        <w:t>Wallis</w:t>
      </w:r>
      <w:proofErr w:type="gramEnd"/>
      <w:r w:rsidRPr="00C25EB7">
        <w:rPr>
          <w:rFonts w:ascii="Times New Roman" w:hAnsi="Times New Roman" w:cs="Times New Roman"/>
          <w:sz w:val="24"/>
          <w:szCs w:val="24"/>
        </w:rPr>
        <w:t xml:space="preserve"> test</w:t>
      </w:r>
      <w:bookmarkEnd w:id="0"/>
      <w:r w:rsidRPr="00C25EB7">
        <w:rPr>
          <w:rFonts w:ascii="Times New Roman" w:hAnsi="Times New Roman" w:cs="Times New Roman"/>
          <w:sz w:val="24"/>
          <w:szCs w:val="24"/>
        </w:rPr>
        <w:t>. The results are expressed as mean rank ± standard deviation, alongside chi-square (χ²) values and corresponding p-values. For nuclear clarity, H&amp;E demonstrated the highest mean rank (10.5 ± 0.2), followed by hematoxylin &amp; 95% ethanol (6.5 ± 0.12), while hematoxylin &amp; acetone showed the lowest (2.5 ± 0.01). The Kruskal-Wallis test revealed a statistically significant difference among the groups (χ² = 12.0, p = 0.004), indicating superior nuclear definition with H&amp;E staining. Similarly, in cytoplasmic staining, H&amp;E recorded the highest mean rank (10.5 ± 0.2), compared to hematoxylin &amp; 95% ethanol (6.5 ± 0.3) and hematoxylin &amp; acetone (2.5 ± 0.2), with a significant difference observed (χ² = 12.0, p = 0.005). In terms of stromal staining, H&amp;E again exhibited the highest mean rank (10.5 ± 0.01), followed by hematoxylin &amp; 95% ethanol (6.5 ± 0.00) and hematoxylin &amp; acetone (2.5 ± 0.004), with a statistically significant variation (χ² = 12.0, p = 0.004). For nuclear-cytoplasmic contrast, H&amp;E maintained the highest ranking (10.5 ± 0.02), while hematoxylin &amp; 95% ethanol and hematoxylin &amp; acetone had mean ranks of 5.5 ± 0.00 and 3.5 ± 0.05 respectively, with a significant difference (χ² = 8.0, p = 0.009). Likewise, tissue morphology preservation showed H&amp;E with the highest mean rank (10.5 ± 0.023), followed by hematoxylin &amp; 95% ethanol (5.5 ± 0.009) and hematoxylin &amp; acetone (3.5 ± 0.05), with significant differences (χ² = 12.0, p = 0.009). For staining uniformity, H&amp;E recorded the highest mean rank (10.5 ± 0.1), compared to hematoxylin &amp; 95% ethanol (5.5 ± 0.087) and hematoxylin &amp; acetone (3.5 ± 0.04), with the Kruskal-Wallis test indicating statistical significance (χ² = 8.0, p = 0.009). In assessing pathologic features, H&amp;E also ranked highest (10.5 ± 0.08), followed by hematoxylin &amp; 95% ethanol (6.5 ± 0.012) and hematoxylin &amp; acetone (2.5 ± 0.032), with a significant difference (χ² = 12.0, p = 0.004). Finally, for background clarity, H&amp;E showed superior performance (10.5 ± 0.032), compared to hematoxylin &amp; 95% ethanol (5.5 ± 0.015) and hematoxylin &amp; acetone (3.5 ± 0.059), with a statistically significant difference (χ² = 12.0, p = 0.009).</w:t>
      </w:r>
    </w:p>
    <w:p w14:paraId="3CA0E265"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031A053A" w14:textId="1026DC6E" w:rsidR="007A6B09" w:rsidRPr="00C25EB7" w:rsidRDefault="00E720F9">
      <w:pPr>
        <w:autoSpaceDE w:val="0"/>
        <w:autoSpaceDN w:val="0"/>
        <w:adjustRightInd w:val="0"/>
        <w:spacing w:after="0" w:line="240" w:lineRule="auto"/>
        <w:jc w:val="both"/>
        <w:rPr>
          <w:rFonts w:ascii="Times New Roman" w:hAnsi="Times New Roman" w:cs="Times New Roman"/>
          <w:b/>
          <w:bCs/>
          <w:sz w:val="24"/>
          <w:szCs w:val="24"/>
        </w:rPr>
      </w:pPr>
      <w:r w:rsidRPr="00C25EB7">
        <w:rPr>
          <w:rFonts w:ascii="Times New Roman" w:hAnsi="Times New Roman" w:cs="Times New Roman"/>
          <w:b/>
          <w:sz w:val="24"/>
          <w:szCs w:val="24"/>
        </w:rPr>
        <w:lastRenderedPageBreak/>
        <w:t xml:space="preserve">Table </w:t>
      </w:r>
      <w:r w:rsidR="001374A2" w:rsidRPr="00C25EB7">
        <w:rPr>
          <w:rFonts w:ascii="Times New Roman" w:hAnsi="Times New Roman" w:cs="Times New Roman"/>
          <w:b/>
          <w:sz w:val="24"/>
          <w:szCs w:val="24"/>
        </w:rPr>
        <w:t>7</w:t>
      </w:r>
      <w:r w:rsidRPr="00C25EB7">
        <w:rPr>
          <w:rFonts w:ascii="Times New Roman" w:hAnsi="Times New Roman" w:cs="Times New Roman"/>
          <w:b/>
          <w:sz w:val="24"/>
          <w:szCs w:val="24"/>
        </w:rPr>
        <w:t xml:space="preserve"> </w:t>
      </w:r>
      <w:r w:rsidRPr="00C25EB7">
        <w:rPr>
          <w:rFonts w:ascii="Times New Roman" w:hAnsi="Times New Roman" w:cs="Times New Roman"/>
          <w:b/>
          <w:bCs/>
          <w:sz w:val="24"/>
          <w:szCs w:val="24"/>
        </w:rPr>
        <w:t>Comparative Analysis of the Three Staining Techniques on Chronic Granulomatous Inflammation Using Kruskal Wallis Test</w:t>
      </w:r>
    </w:p>
    <w:p w14:paraId="18472EF5"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tbl>
      <w:tblPr>
        <w:tblStyle w:val="LightShading"/>
        <w:tblW w:w="10394" w:type="dxa"/>
        <w:tblInd w:w="-252" w:type="dxa"/>
        <w:tblBorders>
          <w:top w:val="single" w:sz="4" w:space="0" w:color="auto"/>
          <w:bottom w:val="single" w:sz="4" w:space="0" w:color="auto"/>
        </w:tblBorders>
        <w:tblLook w:val="04A0" w:firstRow="1" w:lastRow="0" w:firstColumn="1" w:lastColumn="0" w:noHBand="0" w:noVBand="1"/>
      </w:tblPr>
      <w:tblGrid>
        <w:gridCol w:w="2946"/>
        <w:gridCol w:w="3214"/>
        <w:gridCol w:w="841"/>
        <w:gridCol w:w="1261"/>
        <w:gridCol w:w="950"/>
        <w:gridCol w:w="1182"/>
      </w:tblGrid>
      <w:tr w:rsidR="007A6B09" w:rsidRPr="00C25EB7" w14:paraId="088C90F0" w14:textId="77777777" w:rsidTr="007A6B09">
        <w:trPr>
          <w:cnfStyle w:val="100000000000" w:firstRow="1" w:lastRow="0" w:firstColumn="0" w:lastColumn="0" w:oddVBand="0" w:evenVBand="0" w:oddHBand="0" w:evenHBand="0" w:firstRowFirstColumn="0" w:firstRowLastColumn="0" w:lastRowFirstColumn="0" w:lastRowLastColumn="0"/>
          <w:trHeight w:val="1171"/>
        </w:trPr>
        <w:tc>
          <w:tcPr>
            <w:cnfStyle w:val="001000000000" w:firstRow="0" w:lastRow="0" w:firstColumn="1" w:lastColumn="0" w:oddVBand="0" w:evenVBand="0" w:oddHBand="0" w:evenHBand="0" w:firstRowFirstColumn="0" w:firstRowLastColumn="0" w:lastRowFirstColumn="0" w:lastRowLastColumn="0"/>
            <w:tcW w:w="2952" w:type="dxa"/>
            <w:tcBorders>
              <w:top w:val="single" w:sz="4" w:space="0" w:color="auto"/>
              <w:left w:val="none" w:sz="0" w:space="0" w:color="auto"/>
              <w:bottom w:val="single" w:sz="4" w:space="0" w:color="auto"/>
              <w:right w:val="none" w:sz="0" w:space="0" w:color="auto"/>
            </w:tcBorders>
          </w:tcPr>
          <w:p w14:paraId="7DE118E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Parameter</w:t>
            </w:r>
          </w:p>
        </w:tc>
        <w:tc>
          <w:tcPr>
            <w:tcW w:w="3220" w:type="dxa"/>
            <w:tcBorders>
              <w:top w:val="single" w:sz="4" w:space="0" w:color="auto"/>
              <w:left w:val="none" w:sz="0" w:space="0" w:color="auto"/>
              <w:bottom w:val="single" w:sz="4" w:space="0" w:color="auto"/>
              <w:right w:val="none" w:sz="0" w:space="0" w:color="auto"/>
            </w:tcBorders>
          </w:tcPr>
          <w:p w14:paraId="3F85A46C"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Staining Technique</w:t>
            </w:r>
          </w:p>
        </w:tc>
        <w:tc>
          <w:tcPr>
            <w:tcW w:w="841" w:type="dxa"/>
            <w:tcBorders>
              <w:top w:val="single" w:sz="4" w:space="0" w:color="auto"/>
              <w:left w:val="none" w:sz="0" w:space="0" w:color="auto"/>
              <w:bottom w:val="single" w:sz="4" w:space="0" w:color="auto"/>
              <w:right w:val="none" w:sz="0" w:space="0" w:color="auto"/>
            </w:tcBorders>
          </w:tcPr>
          <w:p w14:paraId="05018DCB"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Mean Rank</w:t>
            </w:r>
          </w:p>
        </w:tc>
        <w:tc>
          <w:tcPr>
            <w:tcW w:w="1261" w:type="dxa"/>
            <w:tcBorders>
              <w:top w:val="single" w:sz="4" w:space="0" w:color="auto"/>
              <w:left w:val="none" w:sz="0" w:space="0" w:color="auto"/>
              <w:bottom w:val="single" w:sz="4" w:space="0" w:color="auto"/>
              <w:right w:val="none" w:sz="0" w:space="0" w:color="auto"/>
            </w:tcBorders>
          </w:tcPr>
          <w:p w14:paraId="27A94DF5"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Standard Deviation</w:t>
            </w:r>
          </w:p>
        </w:tc>
        <w:tc>
          <w:tcPr>
            <w:tcW w:w="938" w:type="dxa"/>
            <w:tcBorders>
              <w:top w:val="single" w:sz="4" w:space="0" w:color="auto"/>
              <w:left w:val="none" w:sz="0" w:space="0" w:color="auto"/>
              <w:bottom w:val="single" w:sz="4" w:space="0" w:color="auto"/>
              <w:right w:val="none" w:sz="0" w:space="0" w:color="auto"/>
            </w:tcBorders>
          </w:tcPr>
          <w:p w14:paraId="25208619"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Chi-Square value</w:t>
            </w:r>
          </w:p>
        </w:tc>
        <w:tc>
          <w:tcPr>
            <w:tcW w:w="1182" w:type="dxa"/>
            <w:tcBorders>
              <w:top w:val="single" w:sz="4" w:space="0" w:color="auto"/>
              <w:left w:val="none" w:sz="0" w:space="0" w:color="auto"/>
              <w:bottom w:val="single" w:sz="4" w:space="0" w:color="auto"/>
              <w:right w:val="none" w:sz="0" w:space="0" w:color="auto"/>
            </w:tcBorders>
          </w:tcPr>
          <w:p w14:paraId="6BC53B9B"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P value of Kruskal Wallis Test</w:t>
            </w:r>
          </w:p>
        </w:tc>
      </w:tr>
      <w:tr w:rsidR="007A6B09" w:rsidRPr="00C25EB7" w14:paraId="014B9367"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top w:val="single" w:sz="4" w:space="0" w:color="auto"/>
              <w:left w:val="none" w:sz="0" w:space="0" w:color="auto"/>
              <w:right w:val="none" w:sz="0" w:space="0" w:color="auto"/>
            </w:tcBorders>
            <w:shd w:val="clear" w:color="auto" w:fill="auto"/>
          </w:tcPr>
          <w:p w14:paraId="13A102C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clarity</w:t>
            </w:r>
          </w:p>
        </w:tc>
        <w:tc>
          <w:tcPr>
            <w:tcW w:w="3220" w:type="dxa"/>
            <w:tcBorders>
              <w:top w:val="single" w:sz="4" w:space="0" w:color="auto"/>
              <w:left w:val="none" w:sz="0" w:space="0" w:color="auto"/>
              <w:right w:val="none" w:sz="0" w:space="0" w:color="auto"/>
            </w:tcBorders>
            <w:shd w:val="clear" w:color="auto" w:fill="auto"/>
          </w:tcPr>
          <w:p w14:paraId="22F38F7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top w:val="single" w:sz="4" w:space="0" w:color="auto"/>
              <w:left w:val="none" w:sz="0" w:space="0" w:color="auto"/>
              <w:right w:val="none" w:sz="0" w:space="0" w:color="auto"/>
            </w:tcBorders>
            <w:shd w:val="clear" w:color="auto" w:fill="auto"/>
          </w:tcPr>
          <w:p w14:paraId="74D38A8A"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top w:val="single" w:sz="4" w:space="0" w:color="auto"/>
              <w:left w:val="none" w:sz="0" w:space="0" w:color="auto"/>
              <w:right w:val="none" w:sz="0" w:space="0" w:color="auto"/>
            </w:tcBorders>
            <w:shd w:val="clear" w:color="auto" w:fill="auto"/>
          </w:tcPr>
          <w:p w14:paraId="7276C6D1"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w:t>
            </w:r>
          </w:p>
        </w:tc>
        <w:tc>
          <w:tcPr>
            <w:tcW w:w="938" w:type="dxa"/>
            <w:tcBorders>
              <w:top w:val="single" w:sz="4" w:space="0" w:color="auto"/>
              <w:left w:val="none" w:sz="0" w:space="0" w:color="auto"/>
              <w:right w:val="none" w:sz="0" w:space="0" w:color="auto"/>
            </w:tcBorders>
            <w:shd w:val="clear" w:color="auto" w:fill="auto"/>
          </w:tcPr>
          <w:p w14:paraId="51B63556"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top w:val="single" w:sz="4" w:space="0" w:color="auto"/>
              <w:left w:val="none" w:sz="0" w:space="0" w:color="auto"/>
              <w:right w:val="none" w:sz="0" w:space="0" w:color="auto"/>
            </w:tcBorders>
            <w:shd w:val="clear" w:color="auto" w:fill="auto"/>
          </w:tcPr>
          <w:p w14:paraId="5629165B"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6034D595"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4B6290F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1F5F1BB6"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1EB6CFDD"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Pr>
          <w:p w14:paraId="66511458"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0.12</w:t>
            </w:r>
          </w:p>
        </w:tc>
        <w:tc>
          <w:tcPr>
            <w:tcW w:w="938" w:type="dxa"/>
          </w:tcPr>
          <w:p w14:paraId="4F86639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71A84A3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4DE3A918" w14:textId="77777777" w:rsidTr="007A6B09">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65F2A3A5"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287CEE13"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5BC60F6A"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Borders>
              <w:left w:val="none" w:sz="0" w:space="0" w:color="auto"/>
              <w:right w:val="none" w:sz="0" w:space="0" w:color="auto"/>
            </w:tcBorders>
            <w:shd w:val="clear" w:color="auto" w:fill="auto"/>
          </w:tcPr>
          <w:p w14:paraId="584A3E68"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938" w:type="dxa"/>
            <w:tcBorders>
              <w:left w:val="none" w:sz="0" w:space="0" w:color="auto"/>
              <w:right w:val="none" w:sz="0" w:space="0" w:color="auto"/>
            </w:tcBorders>
            <w:shd w:val="clear" w:color="auto" w:fill="auto"/>
          </w:tcPr>
          <w:p w14:paraId="33490103"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12B892C7"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012B1394"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31DADE8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Cytoplasmic staining</w:t>
            </w:r>
          </w:p>
        </w:tc>
        <w:tc>
          <w:tcPr>
            <w:tcW w:w="3220" w:type="dxa"/>
          </w:tcPr>
          <w:p w14:paraId="3497AE98"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3A11D6F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59714C40"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w:t>
            </w:r>
          </w:p>
        </w:tc>
        <w:tc>
          <w:tcPr>
            <w:tcW w:w="938" w:type="dxa"/>
          </w:tcPr>
          <w:p w14:paraId="6A8710C2"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5A9AD6B0"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BE8F2E6"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6C9ACEFC"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0A03789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4234D141"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Borders>
              <w:left w:val="none" w:sz="0" w:space="0" w:color="auto"/>
              <w:right w:val="none" w:sz="0" w:space="0" w:color="auto"/>
            </w:tcBorders>
            <w:shd w:val="clear" w:color="auto" w:fill="auto"/>
          </w:tcPr>
          <w:p w14:paraId="7F4C7324"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0.3</w:t>
            </w:r>
          </w:p>
        </w:tc>
        <w:tc>
          <w:tcPr>
            <w:tcW w:w="938" w:type="dxa"/>
            <w:tcBorders>
              <w:left w:val="none" w:sz="0" w:space="0" w:color="auto"/>
              <w:right w:val="none" w:sz="0" w:space="0" w:color="auto"/>
            </w:tcBorders>
            <w:shd w:val="clear" w:color="auto" w:fill="auto"/>
          </w:tcPr>
          <w:p w14:paraId="32EA25B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Borders>
              <w:left w:val="none" w:sz="0" w:space="0" w:color="auto"/>
              <w:right w:val="none" w:sz="0" w:space="0" w:color="auto"/>
            </w:tcBorders>
            <w:shd w:val="clear" w:color="auto" w:fill="auto"/>
          </w:tcPr>
          <w:p w14:paraId="5BB4A348"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5B342393" w14:textId="77777777" w:rsidTr="007A6B09">
        <w:trPr>
          <w:trHeight w:val="667"/>
        </w:trPr>
        <w:tc>
          <w:tcPr>
            <w:cnfStyle w:val="001000000000" w:firstRow="0" w:lastRow="0" w:firstColumn="1" w:lastColumn="0" w:oddVBand="0" w:evenVBand="0" w:oddHBand="0" w:evenHBand="0" w:firstRowFirstColumn="0" w:firstRowLastColumn="0" w:lastRowFirstColumn="0" w:lastRowLastColumn="0"/>
            <w:tcW w:w="2952" w:type="dxa"/>
          </w:tcPr>
          <w:p w14:paraId="72BB310D"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1255B53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7D15AB42"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Pr>
          <w:p w14:paraId="4358109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w:t>
            </w:r>
          </w:p>
        </w:tc>
        <w:tc>
          <w:tcPr>
            <w:tcW w:w="938" w:type="dxa"/>
          </w:tcPr>
          <w:p w14:paraId="24815663"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10DBCC2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0353CEFF"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7A45A0B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Stromal staining</w:t>
            </w:r>
          </w:p>
        </w:tc>
        <w:tc>
          <w:tcPr>
            <w:tcW w:w="3220" w:type="dxa"/>
            <w:tcBorders>
              <w:left w:val="none" w:sz="0" w:space="0" w:color="auto"/>
              <w:right w:val="none" w:sz="0" w:space="0" w:color="auto"/>
            </w:tcBorders>
            <w:shd w:val="clear" w:color="auto" w:fill="auto"/>
          </w:tcPr>
          <w:p w14:paraId="5C332594"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left w:val="none" w:sz="0" w:space="0" w:color="auto"/>
              <w:right w:val="none" w:sz="0" w:space="0" w:color="auto"/>
            </w:tcBorders>
            <w:shd w:val="clear" w:color="auto" w:fill="auto"/>
          </w:tcPr>
          <w:p w14:paraId="31359946"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left w:val="none" w:sz="0" w:space="0" w:color="auto"/>
              <w:right w:val="none" w:sz="0" w:space="0" w:color="auto"/>
            </w:tcBorders>
            <w:shd w:val="clear" w:color="auto" w:fill="auto"/>
          </w:tcPr>
          <w:p w14:paraId="7045EB9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938" w:type="dxa"/>
            <w:tcBorders>
              <w:left w:val="none" w:sz="0" w:space="0" w:color="auto"/>
              <w:right w:val="none" w:sz="0" w:space="0" w:color="auto"/>
            </w:tcBorders>
            <w:shd w:val="clear" w:color="auto" w:fill="auto"/>
          </w:tcPr>
          <w:p w14:paraId="456C05E7"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5C2B471B"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0F057CE8"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4138CD9A"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3B3452E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615E57F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Pr>
          <w:p w14:paraId="7B6180F5"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w:t>
            </w:r>
          </w:p>
        </w:tc>
        <w:tc>
          <w:tcPr>
            <w:tcW w:w="938" w:type="dxa"/>
          </w:tcPr>
          <w:p w14:paraId="669D3C39"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391C5569"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48F11101" w14:textId="77777777" w:rsidTr="007A6B09">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6095890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63B5B218"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4C7E2E8A"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Borders>
              <w:left w:val="none" w:sz="0" w:space="0" w:color="auto"/>
              <w:right w:val="none" w:sz="0" w:space="0" w:color="auto"/>
            </w:tcBorders>
            <w:shd w:val="clear" w:color="auto" w:fill="auto"/>
          </w:tcPr>
          <w:p w14:paraId="1FCC4C96"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c>
          <w:tcPr>
            <w:tcW w:w="938" w:type="dxa"/>
            <w:tcBorders>
              <w:left w:val="none" w:sz="0" w:space="0" w:color="auto"/>
              <w:right w:val="none" w:sz="0" w:space="0" w:color="auto"/>
            </w:tcBorders>
            <w:shd w:val="clear" w:color="auto" w:fill="auto"/>
          </w:tcPr>
          <w:p w14:paraId="7BA2D1E8"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305BB30F"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6D30DD2A" w14:textId="77777777" w:rsidTr="007A6B09">
        <w:trPr>
          <w:trHeight w:val="416"/>
        </w:trPr>
        <w:tc>
          <w:tcPr>
            <w:cnfStyle w:val="001000000000" w:firstRow="0" w:lastRow="0" w:firstColumn="1" w:lastColumn="0" w:oddVBand="0" w:evenVBand="0" w:oddHBand="0" w:evenHBand="0" w:firstRowFirstColumn="0" w:firstRowLastColumn="0" w:lastRowFirstColumn="0" w:lastRowLastColumn="0"/>
            <w:tcW w:w="2952" w:type="dxa"/>
          </w:tcPr>
          <w:p w14:paraId="632622E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cytoplasmic contrast</w:t>
            </w:r>
          </w:p>
        </w:tc>
        <w:tc>
          <w:tcPr>
            <w:tcW w:w="3220" w:type="dxa"/>
          </w:tcPr>
          <w:p w14:paraId="49172748"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184AC3A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0741D1D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0.02</w:t>
            </w:r>
          </w:p>
        </w:tc>
        <w:tc>
          <w:tcPr>
            <w:tcW w:w="938" w:type="dxa"/>
          </w:tcPr>
          <w:p w14:paraId="031BE09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5F842FF6"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549C99EF"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06A17B37"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7C00904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3CAB961C"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Borders>
              <w:left w:val="none" w:sz="0" w:space="0" w:color="auto"/>
              <w:right w:val="none" w:sz="0" w:space="0" w:color="auto"/>
            </w:tcBorders>
            <w:shd w:val="clear" w:color="auto" w:fill="auto"/>
          </w:tcPr>
          <w:p w14:paraId="1DAA918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w:t>
            </w:r>
          </w:p>
        </w:tc>
        <w:tc>
          <w:tcPr>
            <w:tcW w:w="938" w:type="dxa"/>
            <w:tcBorders>
              <w:left w:val="none" w:sz="0" w:space="0" w:color="auto"/>
              <w:right w:val="none" w:sz="0" w:space="0" w:color="auto"/>
            </w:tcBorders>
            <w:shd w:val="clear" w:color="auto" w:fill="auto"/>
          </w:tcPr>
          <w:p w14:paraId="339CD9D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182" w:type="dxa"/>
            <w:tcBorders>
              <w:left w:val="none" w:sz="0" w:space="0" w:color="auto"/>
              <w:right w:val="none" w:sz="0" w:space="0" w:color="auto"/>
            </w:tcBorders>
            <w:shd w:val="clear" w:color="auto" w:fill="auto"/>
          </w:tcPr>
          <w:p w14:paraId="235D7D4C"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4F6D83AE" w14:textId="77777777" w:rsidTr="007A6B09">
        <w:trPr>
          <w:trHeight w:val="583"/>
        </w:trPr>
        <w:tc>
          <w:tcPr>
            <w:cnfStyle w:val="001000000000" w:firstRow="0" w:lastRow="0" w:firstColumn="1" w:lastColumn="0" w:oddVBand="0" w:evenVBand="0" w:oddHBand="0" w:evenHBand="0" w:firstRowFirstColumn="0" w:firstRowLastColumn="0" w:lastRowFirstColumn="0" w:lastRowLastColumn="0"/>
            <w:tcW w:w="2952" w:type="dxa"/>
          </w:tcPr>
          <w:p w14:paraId="16CA510D"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6A94106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4D4701F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Pr>
          <w:p w14:paraId="3823F8F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938" w:type="dxa"/>
          </w:tcPr>
          <w:p w14:paraId="5712DC18"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09925FAF"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11095B54" w14:textId="77777777" w:rsidTr="007A6B0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3761928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Tissue morphology preservation</w:t>
            </w:r>
          </w:p>
        </w:tc>
        <w:tc>
          <w:tcPr>
            <w:tcW w:w="3220" w:type="dxa"/>
            <w:tcBorders>
              <w:left w:val="none" w:sz="0" w:space="0" w:color="auto"/>
              <w:right w:val="none" w:sz="0" w:space="0" w:color="auto"/>
            </w:tcBorders>
            <w:shd w:val="clear" w:color="auto" w:fill="auto"/>
          </w:tcPr>
          <w:p w14:paraId="353E7F7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left w:val="none" w:sz="0" w:space="0" w:color="auto"/>
              <w:right w:val="none" w:sz="0" w:space="0" w:color="auto"/>
            </w:tcBorders>
            <w:shd w:val="clear" w:color="auto" w:fill="auto"/>
          </w:tcPr>
          <w:p w14:paraId="39ABA8FB"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left w:val="none" w:sz="0" w:space="0" w:color="auto"/>
              <w:right w:val="none" w:sz="0" w:space="0" w:color="auto"/>
            </w:tcBorders>
            <w:shd w:val="clear" w:color="auto" w:fill="auto"/>
          </w:tcPr>
          <w:p w14:paraId="097E6EFE"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0.023</w:t>
            </w:r>
          </w:p>
        </w:tc>
        <w:tc>
          <w:tcPr>
            <w:tcW w:w="938" w:type="dxa"/>
            <w:tcBorders>
              <w:left w:val="none" w:sz="0" w:space="0" w:color="auto"/>
              <w:right w:val="none" w:sz="0" w:space="0" w:color="auto"/>
            </w:tcBorders>
            <w:shd w:val="clear" w:color="auto" w:fill="auto"/>
          </w:tcPr>
          <w:p w14:paraId="5274B687"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628B31FB"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44BBAEFC"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2F0163A2"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63580794"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4327AEC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Pr>
          <w:p w14:paraId="6468E55A"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c>
          <w:tcPr>
            <w:tcW w:w="938" w:type="dxa"/>
          </w:tcPr>
          <w:p w14:paraId="27339E7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0252FCD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714D541A" w14:textId="77777777" w:rsidTr="007A6B09">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6F34C752"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56CF9A76"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75657C8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Borders>
              <w:left w:val="none" w:sz="0" w:space="0" w:color="auto"/>
              <w:right w:val="none" w:sz="0" w:space="0" w:color="auto"/>
            </w:tcBorders>
            <w:shd w:val="clear" w:color="auto" w:fill="auto"/>
          </w:tcPr>
          <w:p w14:paraId="5166405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938" w:type="dxa"/>
            <w:tcBorders>
              <w:left w:val="none" w:sz="0" w:space="0" w:color="auto"/>
              <w:right w:val="none" w:sz="0" w:space="0" w:color="auto"/>
            </w:tcBorders>
            <w:shd w:val="clear" w:color="auto" w:fill="auto"/>
          </w:tcPr>
          <w:p w14:paraId="5ABE7383"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57624DBE"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3ECE714"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3EA060B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Staining uniformity</w:t>
            </w:r>
          </w:p>
        </w:tc>
        <w:tc>
          <w:tcPr>
            <w:tcW w:w="3220" w:type="dxa"/>
          </w:tcPr>
          <w:p w14:paraId="29ABC65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3DE5D539"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3531B3B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0.1</w:t>
            </w:r>
          </w:p>
        </w:tc>
        <w:tc>
          <w:tcPr>
            <w:tcW w:w="938" w:type="dxa"/>
          </w:tcPr>
          <w:p w14:paraId="4EC83C4F"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72BE91D1"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2E8A553"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0269B054"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2B9E33A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6F2F41F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Borders>
              <w:left w:val="none" w:sz="0" w:space="0" w:color="auto"/>
              <w:right w:val="none" w:sz="0" w:space="0" w:color="auto"/>
            </w:tcBorders>
            <w:shd w:val="clear" w:color="auto" w:fill="auto"/>
          </w:tcPr>
          <w:p w14:paraId="0301899B"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0.087</w:t>
            </w:r>
          </w:p>
        </w:tc>
        <w:tc>
          <w:tcPr>
            <w:tcW w:w="938" w:type="dxa"/>
            <w:tcBorders>
              <w:left w:val="none" w:sz="0" w:space="0" w:color="auto"/>
              <w:right w:val="none" w:sz="0" w:space="0" w:color="auto"/>
            </w:tcBorders>
            <w:shd w:val="clear" w:color="auto" w:fill="auto"/>
          </w:tcPr>
          <w:p w14:paraId="6D08A4B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182" w:type="dxa"/>
            <w:tcBorders>
              <w:left w:val="none" w:sz="0" w:space="0" w:color="auto"/>
              <w:right w:val="none" w:sz="0" w:space="0" w:color="auto"/>
            </w:tcBorders>
            <w:shd w:val="clear" w:color="auto" w:fill="auto"/>
          </w:tcPr>
          <w:p w14:paraId="7FA33301"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6CFB6FB1" w14:textId="77777777" w:rsidTr="007A6B09">
        <w:trPr>
          <w:trHeight w:val="563"/>
        </w:trPr>
        <w:tc>
          <w:tcPr>
            <w:cnfStyle w:val="001000000000" w:firstRow="0" w:lastRow="0" w:firstColumn="1" w:lastColumn="0" w:oddVBand="0" w:evenVBand="0" w:oddHBand="0" w:evenHBand="0" w:firstRowFirstColumn="0" w:firstRowLastColumn="0" w:lastRowFirstColumn="0" w:lastRowLastColumn="0"/>
            <w:tcW w:w="2952" w:type="dxa"/>
          </w:tcPr>
          <w:p w14:paraId="221B33A7"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0899409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7A50DB04"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Pr>
          <w:p w14:paraId="0AEF1EB2"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0.04</w:t>
            </w:r>
          </w:p>
        </w:tc>
        <w:tc>
          <w:tcPr>
            <w:tcW w:w="938" w:type="dxa"/>
          </w:tcPr>
          <w:p w14:paraId="1279380E"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4F683D10"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021CCAE2"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04F8D43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Pathologic features</w:t>
            </w:r>
          </w:p>
        </w:tc>
        <w:tc>
          <w:tcPr>
            <w:tcW w:w="3220" w:type="dxa"/>
            <w:tcBorders>
              <w:left w:val="none" w:sz="0" w:space="0" w:color="auto"/>
              <w:right w:val="none" w:sz="0" w:space="0" w:color="auto"/>
            </w:tcBorders>
            <w:shd w:val="clear" w:color="auto" w:fill="auto"/>
          </w:tcPr>
          <w:p w14:paraId="58F0E4B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left w:val="none" w:sz="0" w:space="0" w:color="auto"/>
              <w:right w:val="none" w:sz="0" w:space="0" w:color="auto"/>
            </w:tcBorders>
            <w:shd w:val="clear" w:color="auto" w:fill="auto"/>
          </w:tcPr>
          <w:p w14:paraId="2C8331EC"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left w:val="none" w:sz="0" w:space="0" w:color="auto"/>
              <w:right w:val="none" w:sz="0" w:space="0" w:color="auto"/>
            </w:tcBorders>
            <w:shd w:val="clear" w:color="auto" w:fill="auto"/>
          </w:tcPr>
          <w:p w14:paraId="401F04B9"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w:t>
            </w:r>
          </w:p>
        </w:tc>
        <w:tc>
          <w:tcPr>
            <w:tcW w:w="938" w:type="dxa"/>
            <w:tcBorders>
              <w:left w:val="none" w:sz="0" w:space="0" w:color="auto"/>
              <w:right w:val="none" w:sz="0" w:space="0" w:color="auto"/>
            </w:tcBorders>
            <w:shd w:val="clear" w:color="auto" w:fill="auto"/>
          </w:tcPr>
          <w:p w14:paraId="01050CD2"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39C97F13"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68540F32"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259FE9EA"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02DD7720"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052FCB30"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Pr>
          <w:p w14:paraId="1592ABA3"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0.012</w:t>
            </w:r>
          </w:p>
        </w:tc>
        <w:tc>
          <w:tcPr>
            <w:tcW w:w="938" w:type="dxa"/>
          </w:tcPr>
          <w:p w14:paraId="36CF435B"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4857B8A9"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1CDB84C9" w14:textId="77777777" w:rsidTr="007A6B09">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7BD7EF44"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2602F871"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5B01E0E3"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Borders>
              <w:left w:val="none" w:sz="0" w:space="0" w:color="auto"/>
              <w:right w:val="none" w:sz="0" w:space="0" w:color="auto"/>
            </w:tcBorders>
            <w:shd w:val="clear" w:color="auto" w:fill="auto"/>
          </w:tcPr>
          <w:p w14:paraId="721D5C7F"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938" w:type="dxa"/>
            <w:tcBorders>
              <w:left w:val="none" w:sz="0" w:space="0" w:color="auto"/>
              <w:right w:val="none" w:sz="0" w:space="0" w:color="auto"/>
            </w:tcBorders>
            <w:shd w:val="clear" w:color="auto" w:fill="auto"/>
          </w:tcPr>
          <w:p w14:paraId="6B7273E3"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20D4C021"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46579306"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2C81E1D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Background clarity</w:t>
            </w:r>
          </w:p>
        </w:tc>
        <w:tc>
          <w:tcPr>
            <w:tcW w:w="3220" w:type="dxa"/>
          </w:tcPr>
          <w:p w14:paraId="0DC1F89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656B23A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5A44AE1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938" w:type="dxa"/>
          </w:tcPr>
          <w:p w14:paraId="17D78711"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4265616E"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421B81FE" w14:textId="77777777" w:rsidTr="007A6B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28B033C2"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0ABE668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456F3236"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Borders>
              <w:left w:val="none" w:sz="0" w:space="0" w:color="auto"/>
              <w:right w:val="none" w:sz="0" w:space="0" w:color="auto"/>
            </w:tcBorders>
            <w:shd w:val="clear" w:color="auto" w:fill="auto"/>
          </w:tcPr>
          <w:p w14:paraId="55E6292B"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0.015</w:t>
            </w:r>
          </w:p>
        </w:tc>
        <w:tc>
          <w:tcPr>
            <w:tcW w:w="938" w:type="dxa"/>
            <w:tcBorders>
              <w:left w:val="none" w:sz="0" w:space="0" w:color="auto"/>
              <w:right w:val="none" w:sz="0" w:space="0" w:color="auto"/>
            </w:tcBorders>
            <w:shd w:val="clear" w:color="auto" w:fill="auto"/>
          </w:tcPr>
          <w:p w14:paraId="79C6318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Borders>
              <w:left w:val="none" w:sz="0" w:space="0" w:color="auto"/>
              <w:right w:val="none" w:sz="0" w:space="0" w:color="auto"/>
            </w:tcBorders>
            <w:shd w:val="clear" w:color="auto" w:fill="auto"/>
          </w:tcPr>
          <w:p w14:paraId="43662EBB"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7BFA7922"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3456C0BF"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7F2D2032"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013922F1"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Pr>
          <w:p w14:paraId="07FE25E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0.059</w:t>
            </w:r>
          </w:p>
        </w:tc>
        <w:tc>
          <w:tcPr>
            <w:tcW w:w="938" w:type="dxa"/>
          </w:tcPr>
          <w:p w14:paraId="3C020603"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34AD6B4F"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305F979"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274074FE" w14:textId="77777777"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NOTE: Values are statistically significant at </w:t>
      </w:r>
      <w:r w:rsidRPr="00C25EB7">
        <w:rPr>
          <w:rFonts w:ascii="Times New Roman" w:hAnsi="Times New Roman" w:cs="Times New Roman"/>
          <w:i/>
          <w:iCs/>
          <w:sz w:val="24"/>
          <w:szCs w:val="24"/>
        </w:rPr>
        <w:t>P</w:t>
      </w:r>
      <w:r w:rsidRPr="00C25EB7">
        <w:rPr>
          <w:rFonts w:ascii="Times New Roman" w:hAnsi="Times New Roman" w:cs="Times New Roman"/>
          <w:sz w:val="24"/>
          <w:szCs w:val="24"/>
        </w:rPr>
        <w:t>˂0.05, the higher the mean rank the higher the staining ability</w:t>
      </w:r>
    </w:p>
    <w:p w14:paraId="6ED50C89" w14:textId="77777777" w:rsidR="007A6B09" w:rsidRPr="00C25EB7" w:rsidRDefault="007A6B09">
      <w:pPr>
        <w:spacing w:after="0" w:line="240" w:lineRule="auto"/>
        <w:jc w:val="both"/>
        <w:rPr>
          <w:rFonts w:ascii="Times New Roman" w:hAnsi="Times New Roman" w:cs="Times New Roman"/>
          <w:b/>
          <w:sz w:val="24"/>
          <w:szCs w:val="24"/>
        </w:rPr>
      </w:pPr>
    </w:p>
    <w:p w14:paraId="7E4EE2EB"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bCs/>
          <w:sz w:val="24"/>
          <w:szCs w:val="24"/>
        </w:rPr>
        <w:lastRenderedPageBreak/>
        <w:t xml:space="preserve">Comparative Analysis of the Three Staining Techniques on Lichen Planus Using </w:t>
      </w:r>
      <w:r w:rsidRPr="00C25EB7">
        <w:rPr>
          <w:rFonts w:ascii="Times New Roman" w:hAnsi="Times New Roman" w:cs="Times New Roman"/>
          <w:b/>
          <w:bCs/>
          <w:sz w:val="24"/>
          <w:szCs w:val="24"/>
        </w:rPr>
        <w:tab/>
        <w:t xml:space="preserve">Kruskal Wallis Test  </w:t>
      </w:r>
    </w:p>
    <w:p w14:paraId="33645B04" w14:textId="4AC8FE92"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Table </w:t>
      </w:r>
      <w:r w:rsidR="001374A2" w:rsidRPr="00C25EB7">
        <w:rPr>
          <w:rFonts w:ascii="Times New Roman" w:hAnsi="Times New Roman" w:cs="Times New Roman"/>
          <w:sz w:val="24"/>
          <w:szCs w:val="24"/>
        </w:rPr>
        <w:t>8</w:t>
      </w:r>
      <w:r w:rsidRPr="00C25EB7">
        <w:rPr>
          <w:rFonts w:ascii="Times New Roman" w:hAnsi="Times New Roman" w:cs="Times New Roman"/>
          <w:sz w:val="24"/>
          <w:szCs w:val="24"/>
        </w:rPr>
        <w:t xml:space="preserve"> presents the comparative staining performance of Hematoxylin and Eosin (H&amp;E), Hematoxylin with 95% Ethanol, and Hematoxylin with Acetone in lichen planus using the Kruskal-</w:t>
      </w:r>
      <w:proofErr w:type="gramStart"/>
      <w:r w:rsidRPr="00C25EB7">
        <w:rPr>
          <w:rFonts w:ascii="Times New Roman" w:hAnsi="Times New Roman" w:cs="Times New Roman"/>
          <w:sz w:val="24"/>
          <w:szCs w:val="24"/>
        </w:rPr>
        <w:t>Wallis</w:t>
      </w:r>
      <w:proofErr w:type="gramEnd"/>
      <w:r w:rsidRPr="00C25EB7">
        <w:rPr>
          <w:rFonts w:ascii="Times New Roman" w:hAnsi="Times New Roman" w:cs="Times New Roman"/>
          <w:sz w:val="24"/>
          <w:szCs w:val="24"/>
        </w:rPr>
        <w:t xml:space="preserve"> test, with results expressed as mean rank ± standard deviation, alongside chi-square (χ²) values and corresponding p-values. For nuclear clarity, H&amp;E exhibited the highest mean rank (10.5 ± 0.05), followed by hematoxylin &amp; 95% ethanol (6.0 ± 0.01), while hematoxylin &amp; acetone recorded the lowest (3.0 ± 0.01). The observed difference was statistically significant (χ² = 8.0, p = 0.009), indicating superior nuclear visualization with H&amp;E. Similarly, in cytoplasmic staining, H&amp;E showed the highest mean rank (10.5 ± 0.5), compared to Hematoxylin &amp; 95% ethanol (6.5 ± 0.7) and hematoxylin &amp; acetone (2.5 ± 0.3), with a significant difference among groups (χ² = 8.0, p = 0.005). In stromal staining, H&amp;E maintained the highest mean rank (10.5 ± 0.21), followed by hematoxylin &amp; 95% ethanol (6.0 ± 0.010) and Hematoxylin &amp; acetone (3.0 ± 0.014), with statistical significance observed (χ² = 8.0, p = 0.009). For nuclear–cytoplasmic contrast, H&amp;E again ranked highest (10.5 ± 0.01), while hematoxylin &amp; 95% ethanol and Hematoxylin &amp; acetone had mean ranks of 5.5 ± 0.02 and 3.5 ± 0.05 respectively, with a significant difference (χ² = 12.0, p = 0.009). Similarly, tissue morphology preservation showed H&amp;E with the highest mean rank (10.5 ± 0.03), followed by hematoxylin &amp; 95% ethanol (6.5 ± 0.010) and hematoxylin &amp; acetone (2.5 ± 0.05), with statistically significant variation (χ² = 12.0, p = 0.004). For staining uniformity, H&amp;E recorded the highest mean rank (10.5 ± 0.12), compared to hematoxylin &amp; 95% ethanol (5.5 ± 0.087) and hematoxylin &amp; acetone (3.5 ± 0.04), with a significant difference among groups (χ² = 12.0, p = 0.010). In evaluating pathologic features, H&amp;E again demonstrated superior performance (10.5 ± 0.08), followed by hematoxylin &amp; 95% ethanol (6.5 ± 0.012) and hematoxylin &amp; acetone (2.5 ± 0.032), with statistical significance (χ² = 12.0, p = 0.004). Lastly, for background clarity, H&amp;E showed the highest mean rank (10.5 ± 0.032), while hematoxylin &amp; 95% ethanol (6.5 ± 0.015) and hematoxylin &amp; acetone (2.5 ± 0.059) recorded lower values, with a significant difference (χ² = 12.0, p = 0.004).</w:t>
      </w:r>
    </w:p>
    <w:p w14:paraId="2C0475DB"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422A1E63"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64DC8EE9"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7C635D67"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0B0333AE"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14E2460C"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47A5F7CD"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45204B37"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02F24B5C"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2441BBC0"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08CC787E" w14:textId="77777777" w:rsidR="007A6B09" w:rsidRPr="00C25EB7" w:rsidRDefault="007A6B09">
      <w:pPr>
        <w:tabs>
          <w:tab w:val="left" w:pos="12780"/>
        </w:tabs>
        <w:autoSpaceDE w:val="0"/>
        <w:autoSpaceDN w:val="0"/>
        <w:adjustRightInd w:val="0"/>
        <w:spacing w:after="0" w:line="240" w:lineRule="auto"/>
        <w:jc w:val="both"/>
        <w:rPr>
          <w:rFonts w:ascii="Times New Roman" w:hAnsi="Times New Roman" w:cs="Times New Roman"/>
          <w:b/>
          <w:sz w:val="24"/>
          <w:szCs w:val="24"/>
        </w:rPr>
      </w:pPr>
    </w:p>
    <w:p w14:paraId="273725AF"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09AD6EFD" w14:textId="3978E389" w:rsidR="007A6B09" w:rsidRPr="00C25EB7" w:rsidRDefault="00E720F9">
      <w:pPr>
        <w:tabs>
          <w:tab w:val="left" w:pos="12780"/>
        </w:tabs>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1374A2" w:rsidRPr="00C25EB7">
        <w:rPr>
          <w:rFonts w:ascii="Times New Roman" w:hAnsi="Times New Roman" w:cs="Times New Roman"/>
          <w:b/>
          <w:sz w:val="24"/>
          <w:szCs w:val="24"/>
        </w:rPr>
        <w:t>8</w:t>
      </w:r>
      <w:r w:rsidRPr="00C25EB7">
        <w:rPr>
          <w:rFonts w:ascii="Times New Roman" w:hAnsi="Times New Roman" w:cs="Times New Roman"/>
          <w:b/>
          <w:bCs/>
          <w:sz w:val="24"/>
          <w:szCs w:val="24"/>
        </w:rPr>
        <w:t xml:space="preserve"> Comparative Analysis of The Three Staining Techniques on Lichen Planus Using Kruskal Wallis Test  </w:t>
      </w:r>
    </w:p>
    <w:tbl>
      <w:tblPr>
        <w:tblStyle w:val="LightShading"/>
        <w:tblW w:w="10968" w:type="dxa"/>
        <w:tblInd w:w="-522" w:type="dxa"/>
        <w:tblBorders>
          <w:top w:val="single" w:sz="4" w:space="0" w:color="auto"/>
          <w:bottom w:val="single" w:sz="4" w:space="0" w:color="auto"/>
        </w:tblBorders>
        <w:tblLook w:val="04A0" w:firstRow="1" w:lastRow="0" w:firstColumn="1" w:lastColumn="0" w:noHBand="0" w:noVBand="1"/>
      </w:tblPr>
      <w:tblGrid>
        <w:gridCol w:w="3150"/>
        <w:gridCol w:w="2731"/>
        <w:gridCol w:w="847"/>
        <w:gridCol w:w="1269"/>
        <w:gridCol w:w="1375"/>
        <w:gridCol w:w="1596"/>
      </w:tblGrid>
      <w:tr w:rsidR="007A6B09" w:rsidRPr="00C25EB7" w14:paraId="07F80865" w14:textId="77777777" w:rsidTr="007A6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left w:val="none" w:sz="0" w:space="0" w:color="auto"/>
              <w:bottom w:val="single" w:sz="4" w:space="0" w:color="auto"/>
              <w:right w:val="none" w:sz="0" w:space="0" w:color="auto"/>
            </w:tcBorders>
          </w:tcPr>
          <w:p w14:paraId="5D878D2A"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Parameter</w:t>
            </w:r>
          </w:p>
        </w:tc>
        <w:tc>
          <w:tcPr>
            <w:tcW w:w="2731" w:type="dxa"/>
            <w:tcBorders>
              <w:top w:val="single" w:sz="4" w:space="0" w:color="auto"/>
              <w:left w:val="none" w:sz="0" w:space="0" w:color="auto"/>
              <w:bottom w:val="single" w:sz="4" w:space="0" w:color="auto"/>
              <w:right w:val="none" w:sz="0" w:space="0" w:color="auto"/>
            </w:tcBorders>
          </w:tcPr>
          <w:p w14:paraId="343F795F"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Staining Technique</w:t>
            </w:r>
          </w:p>
        </w:tc>
        <w:tc>
          <w:tcPr>
            <w:tcW w:w="847" w:type="dxa"/>
            <w:tcBorders>
              <w:top w:val="single" w:sz="4" w:space="0" w:color="auto"/>
              <w:left w:val="none" w:sz="0" w:space="0" w:color="auto"/>
              <w:bottom w:val="single" w:sz="4" w:space="0" w:color="auto"/>
              <w:right w:val="none" w:sz="0" w:space="0" w:color="auto"/>
            </w:tcBorders>
          </w:tcPr>
          <w:p w14:paraId="022007AF"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Mean Rank</w:t>
            </w:r>
          </w:p>
        </w:tc>
        <w:tc>
          <w:tcPr>
            <w:tcW w:w="1269" w:type="dxa"/>
            <w:tcBorders>
              <w:top w:val="single" w:sz="4" w:space="0" w:color="auto"/>
              <w:left w:val="none" w:sz="0" w:space="0" w:color="auto"/>
              <w:bottom w:val="single" w:sz="4" w:space="0" w:color="auto"/>
              <w:right w:val="none" w:sz="0" w:space="0" w:color="auto"/>
            </w:tcBorders>
          </w:tcPr>
          <w:p w14:paraId="21D373B5"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Standard Deviation</w:t>
            </w:r>
          </w:p>
        </w:tc>
        <w:tc>
          <w:tcPr>
            <w:tcW w:w="1375" w:type="dxa"/>
            <w:tcBorders>
              <w:top w:val="single" w:sz="4" w:space="0" w:color="auto"/>
              <w:left w:val="none" w:sz="0" w:space="0" w:color="auto"/>
              <w:bottom w:val="single" w:sz="4" w:space="0" w:color="auto"/>
              <w:right w:val="none" w:sz="0" w:space="0" w:color="auto"/>
            </w:tcBorders>
          </w:tcPr>
          <w:p w14:paraId="480AA3E6"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Chi-Square value</w:t>
            </w:r>
          </w:p>
        </w:tc>
        <w:tc>
          <w:tcPr>
            <w:tcW w:w="1596" w:type="dxa"/>
            <w:tcBorders>
              <w:top w:val="single" w:sz="4" w:space="0" w:color="auto"/>
              <w:left w:val="none" w:sz="0" w:space="0" w:color="auto"/>
              <w:bottom w:val="single" w:sz="4" w:space="0" w:color="auto"/>
              <w:right w:val="none" w:sz="0" w:space="0" w:color="auto"/>
            </w:tcBorders>
          </w:tcPr>
          <w:p w14:paraId="5B3E816D"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P value of Kruskal Wallis Test</w:t>
            </w:r>
          </w:p>
        </w:tc>
      </w:tr>
      <w:tr w:rsidR="007A6B09" w:rsidRPr="00C25EB7" w14:paraId="6669E926"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left w:val="none" w:sz="0" w:space="0" w:color="auto"/>
              <w:right w:val="none" w:sz="0" w:space="0" w:color="auto"/>
            </w:tcBorders>
            <w:shd w:val="clear" w:color="auto" w:fill="auto"/>
          </w:tcPr>
          <w:p w14:paraId="5166BD58"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clarity</w:t>
            </w:r>
          </w:p>
        </w:tc>
        <w:tc>
          <w:tcPr>
            <w:tcW w:w="2731" w:type="dxa"/>
            <w:tcBorders>
              <w:top w:val="single" w:sz="4" w:space="0" w:color="auto"/>
              <w:left w:val="none" w:sz="0" w:space="0" w:color="auto"/>
              <w:right w:val="none" w:sz="0" w:space="0" w:color="auto"/>
            </w:tcBorders>
            <w:shd w:val="clear" w:color="auto" w:fill="auto"/>
          </w:tcPr>
          <w:p w14:paraId="6D7AAAB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top w:val="single" w:sz="4" w:space="0" w:color="auto"/>
              <w:left w:val="none" w:sz="0" w:space="0" w:color="auto"/>
              <w:right w:val="none" w:sz="0" w:space="0" w:color="auto"/>
            </w:tcBorders>
            <w:shd w:val="clear" w:color="auto" w:fill="auto"/>
          </w:tcPr>
          <w:p w14:paraId="15F40ED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top w:val="single" w:sz="4" w:space="0" w:color="auto"/>
              <w:left w:val="none" w:sz="0" w:space="0" w:color="auto"/>
              <w:right w:val="none" w:sz="0" w:space="0" w:color="auto"/>
            </w:tcBorders>
            <w:shd w:val="clear" w:color="auto" w:fill="auto"/>
          </w:tcPr>
          <w:p w14:paraId="4EEA185C"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1375" w:type="dxa"/>
            <w:tcBorders>
              <w:top w:val="single" w:sz="4" w:space="0" w:color="auto"/>
              <w:left w:val="none" w:sz="0" w:space="0" w:color="auto"/>
              <w:right w:val="none" w:sz="0" w:space="0" w:color="auto"/>
            </w:tcBorders>
            <w:shd w:val="clear" w:color="auto" w:fill="auto"/>
          </w:tcPr>
          <w:p w14:paraId="05B55B7D"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top w:val="single" w:sz="4" w:space="0" w:color="auto"/>
              <w:left w:val="none" w:sz="0" w:space="0" w:color="auto"/>
              <w:right w:val="none" w:sz="0" w:space="0" w:color="auto"/>
            </w:tcBorders>
            <w:shd w:val="clear" w:color="auto" w:fill="auto"/>
          </w:tcPr>
          <w:p w14:paraId="19838AA0"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5A9011D1"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08224C85"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26DE4B8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39036EC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6.0</w:t>
            </w:r>
          </w:p>
        </w:tc>
        <w:tc>
          <w:tcPr>
            <w:tcW w:w="1269" w:type="dxa"/>
          </w:tcPr>
          <w:p w14:paraId="53BCA240"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1375" w:type="dxa"/>
          </w:tcPr>
          <w:p w14:paraId="06A95DA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596" w:type="dxa"/>
          </w:tcPr>
          <w:p w14:paraId="2A7B62F5"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5A88BCCF" w14:textId="77777777" w:rsidTr="007A6B0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64085D55"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2FF180F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5EEE2E18"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3.0</w:t>
            </w:r>
          </w:p>
        </w:tc>
        <w:tc>
          <w:tcPr>
            <w:tcW w:w="1269" w:type="dxa"/>
            <w:tcBorders>
              <w:left w:val="none" w:sz="0" w:space="0" w:color="auto"/>
              <w:right w:val="none" w:sz="0" w:space="0" w:color="auto"/>
            </w:tcBorders>
            <w:shd w:val="clear" w:color="auto" w:fill="auto"/>
          </w:tcPr>
          <w:p w14:paraId="726B33CB"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1375" w:type="dxa"/>
            <w:tcBorders>
              <w:left w:val="none" w:sz="0" w:space="0" w:color="auto"/>
              <w:right w:val="none" w:sz="0" w:space="0" w:color="auto"/>
            </w:tcBorders>
            <w:shd w:val="clear" w:color="auto" w:fill="auto"/>
          </w:tcPr>
          <w:p w14:paraId="15AEF43A"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73DC03BF"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3E413197" w14:textId="77777777" w:rsidTr="007A6B09">
        <w:trPr>
          <w:trHeight w:val="216"/>
        </w:trPr>
        <w:tc>
          <w:tcPr>
            <w:cnfStyle w:val="001000000000" w:firstRow="0" w:lastRow="0" w:firstColumn="1" w:lastColumn="0" w:oddVBand="0" w:evenVBand="0" w:oddHBand="0" w:evenHBand="0" w:firstRowFirstColumn="0" w:firstRowLastColumn="0" w:lastRowFirstColumn="0" w:lastRowLastColumn="0"/>
            <w:tcW w:w="3150" w:type="dxa"/>
          </w:tcPr>
          <w:p w14:paraId="4AC025F1"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Cytoplasmic staining</w:t>
            </w:r>
          </w:p>
        </w:tc>
        <w:tc>
          <w:tcPr>
            <w:tcW w:w="2731" w:type="dxa"/>
          </w:tcPr>
          <w:p w14:paraId="487C7919"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6A3E992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7E86950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0.5</w:t>
            </w:r>
          </w:p>
        </w:tc>
        <w:tc>
          <w:tcPr>
            <w:tcW w:w="1375" w:type="dxa"/>
          </w:tcPr>
          <w:p w14:paraId="0C0F42C6"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815FB3"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4E773150"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66184658"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4C4F8BAA"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22ADCF9A"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Borders>
              <w:left w:val="none" w:sz="0" w:space="0" w:color="auto"/>
              <w:right w:val="none" w:sz="0" w:space="0" w:color="auto"/>
            </w:tcBorders>
            <w:shd w:val="clear" w:color="auto" w:fill="auto"/>
          </w:tcPr>
          <w:p w14:paraId="01020E6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0.7</w:t>
            </w:r>
          </w:p>
        </w:tc>
        <w:tc>
          <w:tcPr>
            <w:tcW w:w="1375" w:type="dxa"/>
            <w:tcBorders>
              <w:left w:val="none" w:sz="0" w:space="0" w:color="auto"/>
              <w:right w:val="none" w:sz="0" w:space="0" w:color="auto"/>
            </w:tcBorders>
            <w:shd w:val="clear" w:color="auto" w:fill="auto"/>
          </w:tcPr>
          <w:p w14:paraId="46F05060"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596" w:type="dxa"/>
            <w:tcBorders>
              <w:left w:val="none" w:sz="0" w:space="0" w:color="auto"/>
              <w:right w:val="none" w:sz="0" w:space="0" w:color="auto"/>
            </w:tcBorders>
            <w:shd w:val="clear" w:color="auto" w:fill="auto"/>
          </w:tcPr>
          <w:p w14:paraId="0C48587B"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4A33B302" w14:textId="77777777" w:rsidTr="007A6B09">
        <w:trPr>
          <w:trHeight w:val="540"/>
        </w:trPr>
        <w:tc>
          <w:tcPr>
            <w:cnfStyle w:val="001000000000" w:firstRow="0" w:lastRow="0" w:firstColumn="1" w:lastColumn="0" w:oddVBand="0" w:evenVBand="0" w:oddHBand="0" w:evenHBand="0" w:firstRowFirstColumn="0" w:firstRowLastColumn="0" w:lastRowFirstColumn="0" w:lastRowLastColumn="0"/>
            <w:tcW w:w="3150" w:type="dxa"/>
          </w:tcPr>
          <w:p w14:paraId="4DABA09B"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4C3D2C4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61D8950E"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Pr>
          <w:p w14:paraId="4CDB1E3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0.3</w:t>
            </w:r>
          </w:p>
        </w:tc>
        <w:tc>
          <w:tcPr>
            <w:tcW w:w="1375" w:type="dxa"/>
          </w:tcPr>
          <w:p w14:paraId="0D220B0E"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0ED5F9"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0BAFD00B"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3C672FD0"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Stromal staining</w:t>
            </w:r>
          </w:p>
        </w:tc>
        <w:tc>
          <w:tcPr>
            <w:tcW w:w="2731" w:type="dxa"/>
            <w:tcBorders>
              <w:left w:val="none" w:sz="0" w:space="0" w:color="auto"/>
              <w:right w:val="none" w:sz="0" w:space="0" w:color="auto"/>
            </w:tcBorders>
            <w:shd w:val="clear" w:color="auto" w:fill="auto"/>
          </w:tcPr>
          <w:p w14:paraId="5DA2217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left w:val="none" w:sz="0" w:space="0" w:color="auto"/>
              <w:right w:val="none" w:sz="0" w:space="0" w:color="auto"/>
            </w:tcBorders>
            <w:shd w:val="clear" w:color="auto" w:fill="auto"/>
          </w:tcPr>
          <w:p w14:paraId="2FEAC971"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left w:val="none" w:sz="0" w:space="0" w:color="auto"/>
              <w:right w:val="none" w:sz="0" w:space="0" w:color="auto"/>
            </w:tcBorders>
            <w:shd w:val="clear" w:color="auto" w:fill="auto"/>
          </w:tcPr>
          <w:p w14:paraId="5D3ECD84"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0.21</w:t>
            </w:r>
          </w:p>
        </w:tc>
        <w:tc>
          <w:tcPr>
            <w:tcW w:w="1375" w:type="dxa"/>
            <w:tcBorders>
              <w:left w:val="none" w:sz="0" w:space="0" w:color="auto"/>
              <w:right w:val="none" w:sz="0" w:space="0" w:color="auto"/>
            </w:tcBorders>
            <w:shd w:val="clear" w:color="auto" w:fill="auto"/>
          </w:tcPr>
          <w:p w14:paraId="4D5F1625"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53E1776F"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36D543B1"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72CCECFE"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3AACB28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0E4AA2D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6.0</w:t>
            </w:r>
          </w:p>
        </w:tc>
        <w:tc>
          <w:tcPr>
            <w:tcW w:w="1269" w:type="dxa"/>
          </w:tcPr>
          <w:p w14:paraId="6054EC5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0.010</w:t>
            </w:r>
          </w:p>
        </w:tc>
        <w:tc>
          <w:tcPr>
            <w:tcW w:w="1375" w:type="dxa"/>
          </w:tcPr>
          <w:p w14:paraId="34FC8DB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596" w:type="dxa"/>
          </w:tcPr>
          <w:p w14:paraId="57D58ED4"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335CD725" w14:textId="77777777" w:rsidTr="007A6B09">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2E92ADA0"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4C1BA22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5B296406"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3.0</w:t>
            </w:r>
          </w:p>
        </w:tc>
        <w:tc>
          <w:tcPr>
            <w:tcW w:w="1269" w:type="dxa"/>
            <w:tcBorders>
              <w:left w:val="none" w:sz="0" w:space="0" w:color="auto"/>
              <w:right w:val="none" w:sz="0" w:space="0" w:color="auto"/>
            </w:tcBorders>
            <w:shd w:val="clear" w:color="auto" w:fill="auto"/>
          </w:tcPr>
          <w:p w14:paraId="5DEF258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0.014</w:t>
            </w:r>
          </w:p>
        </w:tc>
        <w:tc>
          <w:tcPr>
            <w:tcW w:w="1375" w:type="dxa"/>
            <w:tcBorders>
              <w:left w:val="none" w:sz="0" w:space="0" w:color="auto"/>
              <w:right w:val="none" w:sz="0" w:space="0" w:color="auto"/>
            </w:tcBorders>
            <w:shd w:val="clear" w:color="auto" w:fill="auto"/>
          </w:tcPr>
          <w:p w14:paraId="3A80773A"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6D6AC036"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8106BD7"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0BB68647"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cytoplasmic contrast</w:t>
            </w:r>
          </w:p>
        </w:tc>
        <w:tc>
          <w:tcPr>
            <w:tcW w:w="2731" w:type="dxa"/>
          </w:tcPr>
          <w:p w14:paraId="744A117B"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588D84A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48270D4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1375" w:type="dxa"/>
          </w:tcPr>
          <w:p w14:paraId="1D362EDF"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B0EA11"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00CDB505"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4905CC87"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7E84446F"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33425E05"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9" w:type="dxa"/>
            <w:tcBorders>
              <w:left w:val="none" w:sz="0" w:space="0" w:color="auto"/>
              <w:right w:val="none" w:sz="0" w:space="0" w:color="auto"/>
            </w:tcBorders>
            <w:shd w:val="clear" w:color="auto" w:fill="auto"/>
          </w:tcPr>
          <w:p w14:paraId="141DBDDC"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0.02</w:t>
            </w:r>
          </w:p>
        </w:tc>
        <w:tc>
          <w:tcPr>
            <w:tcW w:w="1375" w:type="dxa"/>
            <w:tcBorders>
              <w:left w:val="none" w:sz="0" w:space="0" w:color="auto"/>
              <w:right w:val="none" w:sz="0" w:space="0" w:color="auto"/>
            </w:tcBorders>
            <w:shd w:val="clear" w:color="auto" w:fill="auto"/>
          </w:tcPr>
          <w:p w14:paraId="540964C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Borders>
              <w:left w:val="none" w:sz="0" w:space="0" w:color="auto"/>
              <w:right w:val="none" w:sz="0" w:space="0" w:color="auto"/>
            </w:tcBorders>
            <w:shd w:val="clear" w:color="auto" w:fill="auto"/>
          </w:tcPr>
          <w:p w14:paraId="076D2268"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10C0E5A0" w14:textId="77777777" w:rsidTr="007A6B09">
        <w:trPr>
          <w:trHeight w:val="432"/>
        </w:trPr>
        <w:tc>
          <w:tcPr>
            <w:cnfStyle w:val="001000000000" w:firstRow="0" w:lastRow="0" w:firstColumn="1" w:lastColumn="0" w:oddVBand="0" w:evenVBand="0" w:oddHBand="0" w:evenHBand="0" w:firstRowFirstColumn="0" w:firstRowLastColumn="0" w:lastRowFirstColumn="0" w:lastRowLastColumn="0"/>
            <w:tcW w:w="3150" w:type="dxa"/>
          </w:tcPr>
          <w:p w14:paraId="6EA62DFF"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783F7DC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36C9477C"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9" w:type="dxa"/>
          </w:tcPr>
          <w:p w14:paraId="62C8343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1375" w:type="dxa"/>
          </w:tcPr>
          <w:p w14:paraId="358714F7"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3C276B"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703F1579" w14:textId="77777777" w:rsidTr="007A6B0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5335F5FA"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Tissue morphology preservation</w:t>
            </w:r>
          </w:p>
        </w:tc>
        <w:tc>
          <w:tcPr>
            <w:tcW w:w="2731" w:type="dxa"/>
            <w:tcBorders>
              <w:left w:val="none" w:sz="0" w:space="0" w:color="auto"/>
              <w:right w:val="none" w:sz="0" w:space="0" w:color="auto"/>
            </w:tcBorders>
            <w:shd w:val="clear" w:color="auto" w:fill="auto"/>
          </w:tcPr>
          <w:p w14:paraId="582A6344"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left w:val="none" w:sz="0" w:space="0" w:color="auto"/>
              <w:right w:val="none" w:sz="0" w:space="0" w:color="auto"/>
            </w:tcBorders>
            <w:shd w:val="clear" w:color="auto" w:fill="auto"/>
          </w:tcPr>
          <w:p w14:paraId="6D2F13AC"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left w:val="none" w:sz="0" w:space="0" w:color="auto"/>
              <w:right w:val="none" w:sz="0" w:space="0" w:color="auto"/>
            </w:tcBorders>
            <w:shd w:val="clear" w:color="auto" w:fill="auto"/>
          </w:tcPr>
          <w:p w14:paraId="4212A3DF"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w:t>
            </w:r>
          </w:p>
        </w:tc>
        <w:tc>
          <w:tcPr>
            <w:tcW w:w="1375" w:type="dxa"/>
            <w:tcBorders>
              <w:left w:val="none" w:sz="0" w:space="0" w:color="auto"/>
              <w:right w:val="none" w:sz="0" w:space="0" w:color="auto"/>
            </w:tcBorders>
            <w:shd w:val="clear" w:color="auto" w:fill="auto"/>
          </w:tcPr>
          <w:p w14:paraId="60257B8D"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1901AC63"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8FCACB4"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3F27B60C"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717FC43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4D96AA33"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Pr>
          <w:p w14:paraId="280C401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0.010</w:t>
            </w:r>
          </w:p>
        </w:tc>
        <w:tc>
          <w:tcPr>
            <w:tcW w:w="1375" w:type="dxa"/>
          </w:tcPr>
          <w:p w14:paraId="7902A85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Pr>
          <w:p w14:paraId="7600D51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7DE9F471" w14:textId="77777777" w:rsidTr="007A6B0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307A2FE9"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5A8CD22A"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67676AE6"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Borders>
              <w:left w:val="none" w:sz="0" w:space="0" w:color="auto"/>
              <w:right w:val="none" w:sz="0" w:space="0" w:color="auto"/>
            </w:tcBorders>
            <w:shd w:val="clear" w:color="auto" w:fill="auto"/>
          </w:tcPr>
          <w:p w14:paraId="057CEB00"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1375" w:type="dxa"/>
            <w:tcBorders>
              <w:left w:val="none" w:sz="0" w:space="0" w:color="auto"/>
              <w:right w:val="none" w:sz="0" w:space="0" w:color="auto"/>
            </w:tcBorders>
            <w:shd w:val="clear" w:color="auto" w:fill="auto"/>
          </w:tcPr>
          <w:p w14:paraId="245012A1"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2EE763BC"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D71E916"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13538864"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Staining uniformity</w:t>
            </w:r>
          </w:p>
        </w:tc>
        <w:tc>
          <w:tcPr>
            <w:tcW w:w="2731" w:type="dxa"/>
          </w:tcPr>
          <w:p w14:paraId="06A4293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62CCED8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6AC04A3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0.12</w:t>
            </w:r>
          </w:p>
        </w:tc>
        <w:tc>
          <w:tcPr>
            <w:tcW w:w="1375" w:type="dxa"/>
          </w:tcPr>
          <w:p w14:paraId="6DED51AA"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62CD7C"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68520ECB"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3607BF12"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6239D35A"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5F6E1E4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9" w:type="dxa"/>
            <w:tcBorders>
              <w:left w:val="none" w:sz="0" w:space="0" w:color="auto"/>
              <w:right w:val="none" w:sz="0" w:space="0" w:color="auto"/>
            </w:tcBorders>
            <w:shd w:val="clear" w:color="auto" w:fill="auto"/>
          </w:tcPr>
          <w:p w14:paraId="1E8C69E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0.087</w:t>
            </w:r>
          </w:p>
        </w:tc>
        <w:tc>
          <w:tcPr>
            <w:tcW w:w="1375" w:type="dxa"/>
            <w:tcBorders>
              <w:left w:val="none" w:sz="0" w:space="0" w:color="auto"/>
              <w:right w:val="none" w:sz="0" w:space="0" w:color="auto"/>
            </w:tcBorders>
            <w:shd w:val="clear" w:color="auto" w:fill="auto"/>
          </w:tcPr>
          <w:p w14:paraId="0BC884AA"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Borders>
              <w:left w:val="none" w:sz="0" w:space="0" w:color="auto"/>
              <w:right w:val="none" w:sz="0" w:space="0" w:color="auto"/>
            </w:tcBorders>
            <w:shd w:val="clear" w:color="auto" w:fill="auto"/>
          </w:tcPr>
          <w:p w14:paraId="26961FE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0.010</w:t>
            </w:r>
          </w:p>
        </w:tc>
      </w:tr>
      <w:tr w:rsidR="007A6B09" w:rsidRPr="00C25EB7" w14:paraId="79D422CB" w14:textId="77777777" w:rsidTr="007A6B09">
        <w:trPr>
          <w:trHeight w:val="495"/>
        </w:trPr>
        <w:tc>
          <w:tcPr>
            <w:cnfStyle w:val="001000000000" w:firstRow="0" w:lastRow="0" w:firstColumn="1" w:lastColumn="0" w:oddVBand="0" w:evenVBand="0" w:oddHBand="0" w:evenHBand="0" w:firstRowFirstColumn="0" w:firstRowLastColumn="0" w:lastRowFirstColumn="0" w:lastRowLastColumn="0"/>
            <w:tcW w:w="3150" w:type="dxa"/>
          </w:tcPr>
          <w:p w14:paraId="2F0E7EF4"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5A291E1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7675700A"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9" w:type="dxa"/>
          </w:tcPr>
          <w:p w14:paraId="1258153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0.04</w:t>
            </w:r>
          </w:p>
        </w:tc>
        <w:tc>
          <w:tcPr>
            <w:tcW w:w="1375" w:type="dxa"/>
          </w:tcPr>
          <w:p w14:paraId="58338453"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6842B6"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1D129E6F"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5A47CE6A"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Pathologic features</w:t>
            </w:r>
          </w:p>
        </w:tc>
        <w:tc>
          <w:tcPr>
            <w:tcW w:w="2731" w:type="dxa"/>
            <w:tcBorders>
              <w:left w:val="none" w:sz="0" w:space="0" w:color="auto"/>
              <w:right w:val="none" w:sz="0" w:space="0" w:color="auto"/>
            </w:tcBorders>
            <w:shd w:val="clear" w:color="auto" w:fill="auto"/>
          </w:tcPr>
          <w:p w14:paraId="0FC69E5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left w:val="none" w:sz="0" w:space="0" w:color="auto"/>
              <w:right w:val="none" w:sz="0" w:space="0" w:color="auto"/>
            </w:tcBorders>
            <w:shd w:val="clear" w:color="auto" w:fill="auto"/>
          </w:tcPr>
          <w:p w14:paraId="51B51D50"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left w:val="none" w:sz="0" w:space="0" w:color="auto"/>
              <w:right w:val="none" w:sz="0" w:space="0" w:color="auto"/>
            </w:tcBorders>
            <w:shd w:val="clear" w:color="auto" w:fill="auto"/>
          </w:tcPr>
          <w:p w14:paraId="2C32584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w:t>
            </w:r>
          </w:p>
        </w:tc>
        <w:tc>
          <w:tcPr>
            <w:tcW w:w="1375" w:type="dxa"/>
            <w:tcBorders>
              <w:left w:val="none" w:sz="0" w:space="0" w:color="auto"/>
              <w:right w:val="none" w:sz="0" w:space="0" w:color="auto"/>
            </w:tcBorders>
            <w:shd w:val="clear" w:color="auto" w:fill="auto"/>
          </w:tcPr>
          <w:p w14:paraId="2270BFC8"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5A7A3365"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42076EF5"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6E54BBA6"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43AFB967"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4768860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Pr>
          <w:p w14:paraId="0FEB6E34"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0.012</w:t>
            </w:r>
          </w:p>
        </w:tc>
        <w:tc>
          <w:tcPr>
            <w:tcW w:w="1375" w:type="dxa"/>
          </w:tcPr>
          <w:p w14:paraId="55EF6D5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Pr>
          <w:p w14:paraId="5D41D7FA"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5AF6E1F6" w14:textId="77777777" w:rsidTr="007A6B0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32387E61"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3C550CC1"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25D726D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Borders>
              <w:left w:val="none" w:sz="0" w:space="0" w:color="auto"/>
              <w:right w:val="none" w:sz="0" w:space="0" w:color="auto"/>
            </w:tcBorders>
            <w:shd w:val="clear" w:color="auto" w:fill="auto"/>
          </w:tcPr>
          <w:p w14:paraId="49F936E8"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1375" w:type="dxa"/>
            <w:tcBorders>
              <w:left w:val="none" w:sz="0" w:space="0" w:color="auto"/>
              <w:right w:val="none" w:sz="0" w:space="0" w:color="auto"/>
            </w:tcBorders>
            <w:shd w:val="clear" w:color="auto" w:fill="auto"/>
          </w:tcPr>
          <w:p w14:paraId="78BC3C58"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6863E28B"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24D13476"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4C4770AF"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Background clarity</w:t>
            </w:r>
          </w:p>
        </w:tc>
        <w:tc>
          <w:tcPr>
            <w:tcW w:w="2731" w:type="dxa"/>
          </w:tcPr>
          <w:p w14:paraId="6BBACD00"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78577A9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4F082F4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1375" w:type="dxa"/>
          </w:tcPr>
          <w:p w14:paraId="0809B672"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A8E11E"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A7BFB8A"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08D65063"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20D69E50"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64842D51"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Borders>
              <w:left w:val="none" w:sz="0" w:space="0" w:color="auto"/>
              <w:right w:val="none" w:sz="0" w:space="0" w:color="auto"/>
            </w:tcBorders>
            <w:shd w:val="clear" w:color="auto" w:fill="auto"/>
          </w:tcPr>
          <w:p w14:paraId="3DCB567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0.015</w:t>
            </w:r>
          </w:p>
        </w:tc>
        <w:tc>
          <w:tcPr>
            <w:tcW w:w="1375" w:type="dxa"/>
            <w:tcBorders>
              <w:left w:val="none" w:sz="0" w:space="0" w:color="auto"/>
              <w:right w:val="none" w:sz="0" w:space="0" w:color="auto"/>
            </w:tcBorders>
            <w:shd w:val="clear" w:color="auto" w:fill="auto"/>
          </w:tcPr>
          <w:p w14:paraId="3CC1DFF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Borders>
              <w:left w:val="none" w:sz="0" w:space="0" w:color="auto"/>
              <w:right w:val="none" w:sz="0" w:space="0" w:color="auto"/>
            </w:tcBorders>
            <w:shd w:val="clear" w:color="auto" w:fill="auto"/>
          </w:tcPr>
          <w:p w14:paraId="74BAB9EF"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7CFB03E6"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416D9E65"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25626A8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4B9E5F3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Pr>
          <w:p w14:paraId="15B893F5"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0.059</w:t>
            </w:r>
          </w:p>
        </w:tc>
        <w:tc>
          <w:tcPr>
            <w:tcW w:w="1375" w:type="dxa"/>
          </w:tcPr>
          <w:p w14:paraId="6510EDF3"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857C36"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4D1780E" w14:textId="77777777" w:rsidR="007A6B09" w:rsidRPr="00C25EB7" w:rsidRDefault="007A6B09">
      <w:pPr>
        <w:tabs>
          <w:tab w:val="left" w:pos="12780"/>
        </w:tabs>
        <w:autoSpaceDE w:val="0"/>
        <w:autoSpaceDN w:val="0"/>
        <w:adjustRightInd w:val="0"/>
        <w:spacing w:after="0" w:line="240" w:lineRule="auto"/>
        <w:jc w:val="both"/>
        <w:rPr>
          <w:rFonts w:ascii="Times New Roman" w:hAnsi="Times New Roman" w:cs="Times New Roman"/>
          <w:i/>
          <w:sz w:val="24"/>
          <w:szCs w:val="24"/>
        </w:rPr>
      </w:pPr>
    </w:p>
    <w:p w14:paraId="32F78156" w14:textId="77777777" w:rsidR="007A6B09" w:rsidRPr="00C25EB7" w:rsidRDefault="00E720F9">
      <w:pPr>
        <w:tabs>
          <w:tab w:val="left" w:pos="12780"/>
        </w:tabs>
        <w:autoSpaceDE w:val="0"/>
        <w:autoSpaceDN w:val="0"/>
        <w:adjustRightInd w:val="0"/>
        <w:spacing w:after="0" w:line="240" w:lineRule="auto"/>
        <w:jc w:val="both"/>
        <w:rPr>
          <w:rFonts w:ascii="Times New Roman" w:hAnsi="Times New Roman" w:cs="Times New Roman"/>
          <w:i/>
          <w:sz w:val="24"/>
          <w:szCs w:val="24"/>
        </w:rPr>
      </w:pPr>
      <w:r w:rsidRPr="00C25EB7">
        <w:rPr>
          <w:rFonts w:ascii="Times New Roman" w:hAnsi="Times New Roman" w:cs="Times New Roman"/>
          <w:i/>
          <w:sz w:val="24"/>
          <w:szCs w:val="24"/>
        </w:rPr>
        <w:t>NOTE: Values are statistically significant at P˂0.05, the higher the mean rank the higher the staining ability</w:t>
      </w:r>
    </w:p>
    <w:p w14:paraId="5C298852"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bCs/>
          <w:sz w:val="24"/>
          <w:szCs w:val="24"/>
        </w:rPr>
        <w:lastRenderedPageBreak/>
        <w:t xml:space="preserve">Comparative Analysis of The Three Staining Techniques on Chronic Spongiotic </w:t>
      </w:r>
      <w:r w:rsidRPr="00C25EB7">
        <w:rPr>
          <w:rFonts w:ascii="Times New Roman" w:hAnsi="Times New Roman" w:cs="Times New Roman"/>
          <w:b/>
          <w:bCs/>
          <w:sz w:val="24"/>
          <w:szCs w:val="24"/>
        </w:rPr>
        <w:tab/>
        <w:t xml:space="preserve">Dermatitis Using Kruskal Wallis Test  </w:t>
      </w:r>
    </w:p>
    <w:p w14:paraId="405FA7F4" w14:textId="255FBF0A"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sz w:val="24"/>
          <w:szCs w:val="24"/>
        </w:rPr>
        <w:t xml:space="preserve">Table </w:t>
      </w:r>
      <w:r w:rsidR="001374A2" w:rsidRPr="00C25EB7">
        <w:rPr>
          <w:rFonts w:ascii="Times New Roman" w:hAnsi="Times New Roman" w:cs="Times New Roman"/>
          <w:sz w:val="24"/>
          <w:szCs w:val="24"/>
        </w:rPr>
        <w:t>9</w:t>
      </w:r>
      <w:r w:rsidRPr="00C25EB7">
        <w:rPr>
          <w:rFonts w:ascii="Times New Roman" w:hAnsi="Times New Roman" w:cs="Times New Roman"/>
          <w:sz w:val="24"/>
          <w:szCs w:val="24"/>
        </w:rPr>
        <w:t xml:space="preserve"> presents the comparative staining ability of Hematoxylin and Eosin (H&amp;E), Hematoxylin with 95% Ethanol, and Hematoxylin with Acetone in chronic spongiotic dermatitis using the Kruskal-</w:t>
      </w:r>
      <w:proofErr w:type="gramStart"/>
      <w:r w:rsidRPr="00C25EB7">
        <w:rPr>
          <w:rFonts w:ascii="Times New Roman" w:hAnsi="Times New Roman" w:cs="Times New Roman"/>
          <w:sz w:val="24"/>
          <w:szCs w:val="24"/>
        </w:rPr>
        <w:t>Wallis</w:t>
      </w:r>
      <w:proofErr w:type="gramEnd"/>
      <w:r w:rsidRPr="00C25EB7">
        <w:rPr>
          <w:rFonts w:ascii="Times New Roman" w:hAnsi="Times New Roman" w:cs="Times New Roman"/>
          <w:sz w:val="24"/>
          <w:szCs w:val="24"/>
        </w:rPr>
        <w:t xml:space="preserve"> test. The results are expressed as mean rank ± standard deviation, with corresponding chi-square (χ²) values and p-values. For nuclear clarity, H&amp;E recorded the highest mean rank (10.5 ± 0.2), followed by hematoxylin &amp; 95% ethanol (6.5 ± 0.12), while hematoxylin &amp; acetone showed the lowest (2.5 ± 0.01). This difference was statistically significant (χ² = 12.0, p = 0.004), indicating superior nuclear staining with H&amp;E. Similarly, in cytoplasmic staining, H&amp;E demonstrated the highest mean rank (10.5 ± 0.2), compared to hematoxylin &amp; 95% ethanol (6.5 ± 0.3) and hematoxylin &amp; acetone (2.5 ± 0.2), with a significant difference among groups (χ² = 12.0, p = 0.004). In stromal staining, H&amp;E again showed the highest mean rank (10.5 ± 0.01), followed by hematoxylin &amp; 95% ethanol (6.5 ± 0.00) and hematoxylin &amp; acetone (2.5 ± 0.004), with a statistically significant difference (χ² = 12.0, p = 0.005). For nuclear-cytoplasmic contrast, H&amp;E maintained the highest ranking (10.5 ± 0.02), while hematoxylin &amp; 95% ethanol and hematoxylin &amp; acetone recorded mean ranks of 5.5 ± 0.00 and 3.5 ± 0.05 respectively, with a significant difference (χ² = 12.0, p = 0.009). Likewise, tissue morphology preservation showed H&amp;E with the highest mean rank (10.5 ± 0.023), followed by hematoxylin &amp; 95% ethanol (6.5 ± 0.009) and hematoxylin &amp; acetone (2.5 ± 0.05), with statistical significance observed (χ² = 12.0, p = 0.004). For staining uniformity, H&amp;E recorded the highest mean rank (10.5 ± 0.1), compared to hematoxylin &amp; 95% ethanol (6.5 ± 0.087) and hematoxylin &amp; acetone (2.5 ± 0.04), with a significant difference among groups (χ² = 8.0, p = 0.005). In assessing pathologic features, H&amp;E again ranked highest (10.5 ± 0.08), followed by hematoxylin &amp; 95% ethanol (6.5 ± 0.012) and hematoxylin &amp; acetone (2.5 ± 0.032), with statistical significance (χ² = 12.0, p = 0.004). Finally, for background clarity, H&amp;E demonstrated the highest mean rank (10.5 ± 0.032), compared to hematoxylin &amp; 95% ethanol (6.0 ± 0.015) and hematoxylin &amp; acetone (3.0 ± 0.059), with a significant difference (χ² = 8.0, p = 0.009).</w:t>
      </w:r>
    </w:p>
    <w:p w14:paraId="30BB0047"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110665F5"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3D822A64"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45A1159F"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4FC73FB0"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29E3355B"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0C82A58D"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0B15BC43"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5BE405FE"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55C6CF31" w14:textId="1503F5F3"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1374A2" w:rsidRPr="00C25EB7">
        <w:rPr>
          <w:rFonts w:ascii="Times New Roman" w:hAnsi="Times New Roman" w:cs="Times New Roman"/>
          <w:b/>
          <w:sz w:val="24"/>
          <w:szCs w:val="24"/>
        </w:rPr>
        <w:t>9</w:t>
      </w:r>
      <w:r w:rsidRPr="00C25EB7">
        <w:rPr>
          <w:rFonts w:ascii="Times New Roman" w:hAnsi="Times New Roman" w:cs="Times New Roman"/>
          <w:b/>
          <w:sz w:val="24"/>
          <w:szCs w:val="24"/>
        </w:rPr>
        <w:t xml:space="preserve"> </w:t>
      </w:r>
      <w:r w:rsidRPr="00C25EB7">
        <w:rPr>
          <w:rFonts w:ascii="Times New Roman" w:hAnsi="Times New Roman" w:cs="Times New Roman"/>
          <w:b/>
          <w:bCs/>
          <w:sz w:val="24"/>
          <w:szCs w:val="24"/>
        </w:rPr>
        <w:t xml:space="preserve">Comparative Analysis of The Three </w:t>
      </w:r>
      <w:r w:rsidRPr="00C25EB7">
        <w:rPr>
          <w:rFonts w:ascii="Times New Roman" w:hAnsi="Times New Roman" w:cs="Times New Roman"/>
          <w:b/>
          <w:sz w:val="24"/>
          <w:szCs w:val="24"/>
        </w:rPr>
        <w:t>Staining Technique</w:t>
      </w:r>
      <w:r w:rsidRPr="00C25EB7">
        <w:rPr>
          <w:rFonts w:ascii="Times New Roman" w:hAnsi="Times New Roman" w:cs="Times New Roman"/>
          <w:b/>
          <w:bCs/>
          <w:sz w:val="24"/>
          <w:szCs w:val="24"/>
        </w:rPr>
        <w:t xml:space="preserve"> on Chronic Spongiotic Dermatitis Using Kruskal Wallis Test  </w:t>
      </w:r>
    </w:p>
    <w:tbl>
      <w:tblPr>
        <w:tblStyle w:val="TableGrid"/>
        <w:tblW w:w="100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6"/>
        <w:gridCol w:w="2802"/>
        <w:gridCol w:w="1001"/>
        <w:gridCol w:w="1225"/>
        <w:gridCol w:w="1109"/>
        <w:gridCol w:w="1615"/>
      </w:tblGrid>
      <w:tr w:rsidR="007A6B09" w:rsidRPr="00C25EB7" w14:paraId="7EE4812C" w14:textId="77777777">
        <w:trPr>
          <w:trHeight w:val="521"/>
        </w:trPr>
        <w:tc>
          <w:tcPr>
            <w:tcW w:w="2346" w:type="dxa"/>
            <w:tcBorders>
              <w:top w:val="single" w:sz="4" w:space="0" w:color="auto"/>
              <w:bottom w:val="single" w:sz="4" w:space="0" w:color="auto"/>
            </w:tcBorders>
          </w:tcPr>
          <w:p w14:paraId="4707768C"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Parameter</w:t>
            </w:r>
          </w:p>
        </w:tc>
        <w:tc>
          <w:tcPr>
            <w:tcW w:w="2802" w:type="dxa"/>
            <w:tcBorders>
              <w:top w:val="single" w:sz="4" w:space="0" w:color="auto"/>
              <w:bottom w:val="single" w:sz="4" w:space="0" w:color="auto"/>
            </w:tcBorders>
          </w:tcPr>
          <w:p w14:paraId="045BBA58"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Staining Technique</w:t>
            </w:r>
          </w:p>
        </w:tc>
        <w:tc>
          <w:tcPr>
            <w:tcW w:w="1001" w:type="dxa"/>
            <w:tcBorders>
              <w:top w:val="single" w:sz="4" w:space="0" w:color="auto"/>
              <w:bottom w:val="single" w:sz="4" w:space="0" w:color="auto"/>
            </w:tcBorders>
          </w:tcPr>
          <w:p w14:paraId="4E088182"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Mean Rank</w:t>
            </w:r>
          </w:p>
        </w:tc>
        <w:tc>
          <w:tcPr>
            <w:tcW w:w="1225" w:type="dxa"/>
            <w:tcBorders>
              <w:top w:val="single" w:sz="4" w:space="0" w:color="auto"/>
              <w:bottom w:val="single" w:sz="4" w:space="0" w:color="auto"/>
            </w:tcBorders>
          </w:tcPr>
          <w:p w14:paraId="375D3344"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Standard Deviation</w:t>
            </w:r>
          </w:p>
        </w:tc>
        <w:tc>
          <w:tcPr>
            <w:tcW w:w="1109" w:type="dxa"/>
            <w:tcBorders>
              <w:top w:val="single" w:sz="4" w:space="0" w:color="auto"/>
              <w:bottom w:val="single" w:sz="4" w:space="0" w:color="auto"/>
            </w:tcBorders>
          </w:tcPr>
          <w:p w14:paraId="0D8485C8"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Chi-Square value</w:t>
            </w:r>
          </w:p>
        </w:tc>
        <w:tc>
          <w:tcPr>
            <w:tcW w:w="1615" w:type="dxa"/>
            <w:tcBorders>
              <w:top w:val="single" w:sz="4" w:space="0" w:color="auto"/>
              <w:bottom w:val="single" w:sz="4" w:space="0" w:color="auto"/>
            </w:tcBorders>
          </w:tcPr>
          <w:p w14:paraId="300D0779"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P value of Kruskal Wallis Test</w:t>
            </w:r>
          </w:p>
        </w:tc>
      </w:tr>
      <w:tr w:rsidR="007A6B09" w:rsidRPr="00C25EB7" w14:paraId="2BAF6A39" w14:textId="77777777">
        <w:trPr>
          <w:trHeight w:val="280"/>
        </w:trPr>
        <w:tc>
          <w:tcPr>
            <w:tcW w:w="2346" w:type="dxa"/>
            <w:tcBorders>
              <w:top w:val="single" w:sz="4" w:space="0" w:color="auto"/>
            </w:tcBorders>
          </w:tcPr>
          <w:p w14:paraId="1F3C7B7C"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Nuclear clarity</w:t>
            </w:r>
          </w:p>
        </w:tc>
        <w:tc>
          <w:tcPr>
            <w:tcW w:w="2802" w:type="dxa"/>
            <w:tcBorders>
              <w:top w:val="single" w:sz="4" w:space="0" w:color="auto"/>
            </w:tcBorders>
          </w:tcPr>
          <w:p w14:paraId="6E59F95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Borders>
              <w:top w:val="single" w:sz="4" w:space="0" w:color="auto"/>
            </w:tcBorders>
          </w:tcPr>
          <w:p w14:paraId="0CBE9E4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Borders>
              <w:top w:val="single" w:sz="4" w:space="0" w:color="auto"/>
            </w:tcBorders>
          </w:tcPr>
          <w:p w14:paraId="07C9C09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0.2</w:t>
            </w:r>
          </w:p>
        </w:tc>
        <w:tc>
          <w:tcPr>
            <w:tcW w:w="1109" w:type="dxa"/>
            <w:tcBorders>
              <w:top w:val="single" w:sz="4" w:space="0" w:color="auto"/>
            </w:tcBorders>
          </w:tcPr>
          <w:p w14:paraId="61EF05D3"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Borders>
              <w:top w:val="single" w:sz="4" w:space="0" w:color="auto"/>
            </w:tcBorders>
          </w:tcPr>
          <w:p w14:paraId="29BF51BC"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5F5F5AA1" w14:textId="77777777">
        <w:trPr>
          <w:trHeight w:val="387"/>
        </w:trPr>
        <w:tc>
          <w:tcPr>
            <w:tcW w:w="2346" w:type="dxa"/>
          </w:tcPr>
          <w:p w14:paraId="038AC6C8"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7DF8915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43ED8B2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0B00467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0.12</w:t>
            </w:r>
          </w:p>
        </w:tc>
        <w:tc>
          <w:tcPr>
            <w:tcW w:w="1109" w:type="dxa"/>
          </w:tcPr>
          <w:p w14:paraId="249B066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6A51CE2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3D596E11" w14:textId="77777777">
        <w:trPr>
          <w:trHeight w:val="359"/>
        </w:trPr>
        <w:tc>
          <w:tcPr>
            <w:tcW w:w="2346" w:type="dxa"/>
          </w:tcPr>
          <w:p w14:paraId="6824BADC"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64218B1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75E21D9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7E97009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0.01</w:t>
            </w:r>
          </w:p>
        </w:tc>
        <w:tc>
          <w:tcPr>
            <w:tcW w:w="1109" w:type="dxa"/>
          </w:tcPr>
          <w:p w14:paraId="01FE0104"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0879A271"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2155CE0A" w14:textId="77777777">
        <w:trPr>
          <w:trHeight w:val="115"/>
        </w:trPr>
        <w:tc>
          <w:tcPr>
            <w:tcW w:w="2346" w:type="dxa"/>
          </w:tcPr>
          <w:p w14:paraId="2AE068AC"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Cytoplasmic staining</w:t>
            </w:r>
          </w:p>
        </w:tc>
        <w:tc>
          <w:tcPr>
            <w:tcW w:w="2802" w:type="dxa"/>
          </w:tcPr>
          <w:p w14:paraId="7E1C454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1D99C65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2F5B285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0.2</w:t>
            </w:r>
          </w:p>
        </w:tc>
        <w:tc>
          <w:tcPr>
            <w:tcW w:w="1109" w:type="dxa"/>
          </w:tcPr>
          <w:p w14:paraId="57283E11"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3DE1FA8D"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61DC3A3C" w14:textId="77777777">
        <w:trPr>
          <w:trHeight w:val="256"/>
        </w:trPr>
        <w:tc>
          <w:tcPr>
            <w:tcW w:w="2346" w:type="dxa"/>
          </w:tcPr>
          <w:p w14:paraId="73CE0ECD"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431ABF0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741ECFB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5D12D84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0.3</w:t>
            </w:r>
          </w:p>
        </w:tc>
        <w:tc>
          <w:tcPr>
            <w:tcW w:w="1109" w:type="dxa"/>
          </w:tcPr>
          <w:p w14:paraId="3700C68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33CD30F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62265238" w14:textId="77777777">
        <w:trPr>
          <w:trHeight w:val="224"/>
        </w:trPr>
        <w:tc>
          <w:tcPr>
            <w:tcW w:w="2346" w:type="dxa"/>
          </w:tcPr>
          <w:p w14:paraId="58B30D13"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680986B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5081FB2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258C53B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0.2</w:t>
            </w:r>
          </w:p>
        </w:tc>
        <w:tc>
          <w:tcPr>
            <w:tcW w:w="1109" w:type="dxa"/>
          </w:tcPr>
          <w:p w14:paraId="13738F4F"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534D93A7"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37E6C113" w14:textId="77777777">
        <w:trPr>
          <w:trHeight w:val="256"/>
        </w:trPr>
        <w:tc>
          <w:tcPr>
            <w:tcW w:w="2346" w:type="dxa"/>
          </w:tcPr>
          <w:p w14:paraId="732D2567"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Stromal staining</w:t>
            </w:r>
          </w:p>
        </w:tc>
        <w:tc>
          <w:tcPr>
            <w:tcW w:w="2802" w:type="dxa"/>
          </w:tcPr>
          <w:p w14:paraId="2600D25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0890FE2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3D724B9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0.01</w:t>
            </w:r>
          </w:p>
        </w:tc>
        <w:tc>
          <w:tcPr>
            <w:tcW w:w="1109" w:type="dxa"/>
          </w:tcPr>
          <w:p w14:paraId="64CAFFFA"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5ACAFA07"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474EE2F5" w14:textId="77777777">
        <w:trPr>
          <w:trHeight w:val="256"/>
        </w:trPr>
        <w:tc>
          <w:tcPr>
            <w:tcW w:w="2346" w:type="dxa"/>
          </w:tcPr>
          <w:p w14:paraId="2A89CA46"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0321A72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3D15BD0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0601DB8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w:t>
            </w:r>
          </w:p>
        </w:tc>
        <w:tc>
          <w:tcPr>
            <w:tcW w:w="1109" w:type="dxa"/>
          </w:tcPr>
          <w:p w14:paraId="104F07E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42EE340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12F0944D" w14:textId="77777777">
        <w:trPr>
          <w:trHeight w:val="574"/>
        </w:trPr>
        <w:tc>
          <w:tcPr>
            <w:tcW w:w="2346" w:type="dxa"/>
          </w:tcPr>
          <w:p w14:paraId="3865B8DB"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317179F5"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69608205"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3668E7B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c>
          <w:tcPr>
            <w:tcW w:w="1109" w:type="dxa"/>
          </w:tcPr>
          <w:p w14:paraId="718F030B"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16749E7B"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4DB4192E" w14:textId="77777777">
        <w:trPr>
          <w:trHeight w:val="459"/>
        </w:trPr>
        <w:tc>
          <w:tcPr>
            <w:tcW w:w="2346" w:type="dxa"/>
          </w:tcPr>
          <w:p w14:paraId="3276099E"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Nuclear-cytoplasmic contrast</w:t>
            </w:r>
          </w:p>
        </w:tc>
        <w:tc>
          <w:tcPr>
            <w:tcW w:w="2802" w:type="dxa"/>
          </w:tcPr>
          <w:p w14:paraId="755BBC5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5B55AD3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00E4411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0.02</w:t>
            </w:r>
          </w:p>
        </w:tc>
        <w:tc>
          <w:tcPr>
            <w:tcW w:w="1109" w:type="dxa"/>
          </w:tcPr>
          <w:p w14:paraId="4FA2358C"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1CED110E"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15FF2035" w14:textId="77777777">
        <w:trPr>
          <w:trHeight w:val="256"/>
        </w:trPr>
        <w:tc>
          <w:tcPr>
            <w:tcW w:w="2346" w:type="dxa"/>
          </w:tcPr>
          <w:p w14:paraId="1136E469"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01E55CC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5725D0F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5.5</w:t>
            </w:r>
          </w:p>
        </w:tc>
        <w:tc>
          <w:tcPr>
            <w:tcW w:w="1225" w:type="dxa"/>
          </w:tcPr>
          <w:p w14:paraId="60CF02F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w:t>
            </w:r>
          </w:p>
        </w:tc>
        <w:tc>
          <w:tcPr>
            <w:tcW w:w="1109" w:type="dxa"/>
          </w:tcPr>
          <w:p w14:paraId="00B220D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4CA2A0C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752A13B3" w14:textId="77777777">
        <w:trPr>
          <w:trHeight w:val="404"/>
        </w:trPr>
        <w:tc>
          <w:tcPr>
            <w:tcW w:w="2346" w:type="dxa"/>
          </w:tcPr>
          <w:p w14:paraId="77834061"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0149D31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0834950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3.5</w:t>
            </w:r>
          </w:p>
        </w:tc>
        <w:tc>
          <w:tcPr>
            <w:tcW w:w="1225" w:type="dxa"/>
          </w:tcPr>
          <w:p w14:paraId="64467F7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0.05</w:t>
            </w:r>
          </w:p>
        </w:tc>
        <w:tc>
          <w:tcPr>
            <w:tcW w:w="1109" w:type="dxa"/>
          </w:tcPr>
          <w:p w14:paraId="7F95E876"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3503FDBD"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3A5AC091" w14:textId="77777777">
        <w:trPr>
          <w:trHeight w:val="535"/>
        </w:trPr>
        <w:tc>
          <w:tcPr>
            <w:tcW w:w="2346" w:type="dxa"/>
          </w:tcPr>
          <w:p w14:paraId="6A42A446"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Tissue morphology preservation</w:t>
            </w:r>
          </w:p>
        </w:tc>
        <w:tc>
          <w:tcPr>
            <w:tcW w:w="2802" w:type="dxa"/>
          </w:tcPr>
          <w:p w14:paraId="19A5012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6A29E1F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63CEFF1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0.023</w:t>
            </w:r>
          </w:p>
        </w:tc>
        <w:tc>
          <w:tcPr>
            <w:tcW w:w="1109" w:type="dxa"/>
          </w:tcPr>
          <w:p w14:paraId="171E3729"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7D36CCC6"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0691D592" w14:textId="77777777">
        <w:trPr>
          <w:trHeight w:val="256"/>
        </w:trPr>
        <w:tc>
          <w:tcPr>
            <w:tcW w:w="2346" w:type="dxa"/>
          </w:tcPr>
          <w:p w14:paraId="469A3F3C"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2678C25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01C4E39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795B089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0.009</w:t>
            </w:r>
          </w:p>
        </w:tc>
        <w:tc>
          <w:tcPr>
            <w:tcW w:w="1109" w:type="dxa"/>
          </w:tcPr>
          <w:p w14:paraId="34657DA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349300C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7FDE54D1" w14:textId="77777777">
        <w:trPr>
          <w:trHeight w:val="296"/>
        </w:trPr>
        <w:tc>
          <w:tcPr>
            <w:tcW w:w="2346" w:type="dxa"/>
          </w:tcPr>
          <w:p w14:paraId="23BAFE82"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57C28B1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5D5F686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3034BF8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0.05</w:t>
            </w:r>
          </w:p>
        </w:tc>
        <w:tc>
          <w:tcPr>
            <w:tcW w:w="1109" w:type="dxa"/>
          </w:tcPr>
          <w:p w14:paraId="72A3CFBD"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11658CFC"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061092DF" w14:textId="77777777">
        <w:trPr>
          <w:trHeight w:val="256"/>
        </w:trPr>
        <w:tc>
          <w:tcPr>
            <w:tcW w:w="2346" w:type="dxa"/>
          </w:tcPr>
          <w:p w14:paraId="0F68DBC0"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Staining uniformity</w:t>
            </w:r>
          </w:p>
        </w:tc>
        <w:tc>
          <w:tcPr>
            <w:tcW w:w="2802" w:type="dxa"/>
          </w:tcPr>
          <w:p w14:paraId="44C3181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0B80CF5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679E853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0.1</w:t>
            </w:r>
          </w:p>
        </w:tc>
        <w:tc>
          <w:tcPr>
            <w:tcW w:w="1109" w:type="dxa"/>
          </w:tcPr>
          <w:p w14:paraId="476A1FB8"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4D4FB647"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6E29E7B1" w14:textId="77777777">
        <w:trPr>
          <w:trHeight w:val="280"/>
        </w:trPr>
        <w:tc>
          <w:tcPr>
            <w:tcW w:w="2346" w:type="dxa"/>
          </w:tcPr>
          <w:p w14:paraId="44DF16A8"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3D74F3D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4ABC2E0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303F1DC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0.087</w:t>
            </w:r>
          </w:p>
        </w:tc>
        <w:tc>
          <w:tcPr>
            <w:tcW w:w="1109" w:type="dxa"/>
          </w:tcPr>
          <w:p w14:paraId="00666DE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8.0</w:t>
            </w:r>
          </w:p>
        </w:tc>
        <w:tc>
          <w:tcPr>
            <w:tcW w:w="1615" w:type="dxa"/>
          </w:tcPr>
          <w:p w14:paraId="749408F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0363075C" w14:textId="77777777">
        <w:trPr>
          <w:trHeight w:val="467"/>
        </w:trPr>
        <w:tc>
          <w:tcPr>
            <w:tcW w:w="2346" w:type="dxa"/>
          </w:tcPr>
          <w:p w14:paraId="58AA5D6C"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1ACED64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0BFEED5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4DE3AEA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0.04</w:t>
            </w:r>
          </w:p>
        </w:tc>
        <w:tc>
          <w:tcPr>
            <w:tcW w:w="1109" w:type="dxa"/>
          </w:tcPr>
          <w:p w14:paraId="32B0B954"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40C291E0"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03CFFB01" w14:textId="77777777">
        <w:trPr>
          <w:trHeight w:val="256"/>
        </w:trPr>
        <w:tc>
          <w:tcPr>
            <w:tcW w:w="2346" w:type="dxa"/>
          </w:tcPr>
          <w:p w14:paraId="091E04C1"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Pathologic features</w:t>
            </w:r>
          </w:p>
        </w:tc>
        <w:tc>
          <w:tcPr>
            <w:tcW w:w="2802" w:type="dxa"/>
          </w:tcPr>
          <w:p w14:paraId="5FA919A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754A2F0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39FBEA9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0.08</w:t>
            </w:r>
          </w:p>
        </w:tc>
        <w:tc>
          <w:tcPr>
            <w:tcW w:w="1109" w:type="dxa"/>
          </w:tcPr>
          <w:p w14:paraId="1062F62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3F88F29B"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31DB61C1" w14:textId="77777777">
        <w:trPr>
          <w:trHeight w:val="280"/>
        </w:trPr>
        <w:tc>
          <w:tcPr>
            <w:tcW w:w="2346" w:type="dxa"/>
          </w:tcPr>
          <w:p w14:paraId="5CDD0EE8"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2791C74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1E97B9D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3DC0C03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0.012</w:t>
            </w:r>
          </w:p>
        </w:tc>
        <w:tc>
          <w:tcPr>
            <w:tcW w:w="1109" w:type="dxa"/>
          </w:tcPr>
          <w:p w14:paraId="269B2C1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29F8337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4EDACCD5" w14:textId="77777777">
        <w:trPr>
          <w:trHeight w:val="530"/>
        </w:trPr>
        <w:tc>
          <w:tcPr>
            <w:tcW w:w="2346" w:type="dxa"/>
          </w:tcPr>
          <w:p w14:paraId="4841F6D0"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25A6714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7D54002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1A972985"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0.032</w:t>
            </w:r>
          </w:p>
        </w:tc>
        <w:tc>
          <w:tcPr>
            <w:tcW w:w="1109" w:type="dxa"/>
          </w:tcPr>
          <w:p w14:paraId="34209A46"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61CB49CB"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733D5967" w14:textId="77777777">
        <w:trPr>
          <w:trHeight w:val="198"/>
        </w:trPr>
        <w:tc>
          <w:tcPr>
            <w:tcW w:w="2346" w:type="dxa"/>
          </w:tcPr>
          <w:p w14:paraId="3AF0EA49"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Background clarity</w:t>
            </w:r>
          </w:p>
        </w:tc>
        <w:tc>
          <w:tcPr>
            <w:tcW w:w="2802" w:type="dxa"/>
          </w:tcPr>
          <w:p w14:paraId="4758C35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334BC69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7D0F4A3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0.032</w:t>
            </w:r>
          </w:p>
        </w:tc>
        <w:tc>
          <w:tcPr>
            <w:tcW w:w="1109" w:type="dxa"/>
          </w:tcPr>
          <w:p w14:paraId="4E9F811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8.0</w:t>
            </w:r>
          </w:p>
        </w:tc>
        <w:tc>
          <w:tcPr>
            <w:tcW w:w="1615" w:type="dxa"/>
          </w:tcPr>
          <w:p w14:paraId="58273587"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5D066320" w14:textId="77777777">
        <w:trPr>
          <w:trHeight w:val="256"/>
        </w:trPr>
        <w:tc>
          <w:tcPr>
            <w:tcW w:w="2346" w:type="dxa"/>
          </w:tcPr>
          <w:p w14:paraId="139BAAB3"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2802" w:type="dxa"/>
          </w:tcPr>
          <w:p w14:paraId="55F0464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7DC4126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6.0</w:t>
            </w:r>
          </w:p>
        </w:tc>
        <w:tc>
          <w:tcPr>
            <w:tcW w:w="1225" w:type="dxa"/>
          </w:tcPr>
          <w:p w14:paraId="66034E70" w14:textId="77777777" w:rsidR="007A6B09" w:rsidRPr="00C25EB7" w:rsidRDefault="00E720F9">
            <w:pPr>
              <w:autoSpaceDE w:val="0"/>
              <w:autoSpaceDN w:val="0"/>
              <w:adjustRightInd w:val="0"/>
              <w:jc w:val="both"/>
              <w:rPr>
                <w:rFonts w:ascii="Times New Roman" w:eastAsia="Calibri" w:hAnsi="Times New Roman" w:cs="Times New Roman"/>
                <w:color w:val="000000"/>
                <w:sz w:val="24"/>
                <w:szCs w:val="24"/>
              </w:rPr>
            </w:pPr>
            <w:r w:rsidRPr="00C25EB7">
              <w:rPr>
                <w:rFonts w:ascii="Times New Roman" w:hAnsi="Times New Roman" w:cs="Times New Roman"/>
                <w:sz w:val="24"/>
                <w:szCs w:val="24"/>
              </w:rPr>
              <w:t>0.015</w:t>
            </w:r>
          </w:p>
        </w:tc>
        <w:tc>
          <w:tcPr>
            <w:tcW w:w="1109" w:type="dxa"/>
          </w:tcPr>
          <w:p w14:paraId="27E5081D" w14:textId="77777777" w:rsidR="007A6B09" w:rsidRPr="00C25EB7" w:rsidRDefault="007A6B09">
            <w:pPr>
              <w:autoSpaceDE w:val="0"/>
              <w:autoSpaceDN w:val="0"/>
              <w:adjustRightInd w:val="0"/>
              <w:jc w:val="both"/>
              <w:rPr>
                <w:rFonts w:ascii="Times New Roman" w:eastAsia="Calibri" w:hAnsi="Times New Roman" w:cs="Times New Roman"/>
                <w:color w:val="000000"/>
                <w:sz w:val="24"/>
                <w:szCs w:val="24"/>
              </w:rPr>
            </w:pPr>
          </w:p>
        </w:tc>
        <w:tc>
          <w:tcPr>
            <w:tcW w:w="1615" w:type="dxa"/>
          </w:tcPr>
          <w:p w14:paraId="187509D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4F65635F" w14:textId="77777777">
        <w:trPr>
          <w:trHeight w:val="282"/>
        </w:trPr>
        <w:tc>
          <w:tcPr>
            <w:tcW w:w="2346" w:type="dxa"/>
          </w:tcPr>
          <w:p w14:paraId="5915B869"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2802" w:type="dxa"/>
          </w:tcPr>
          <w:p w14:paraId="315082A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78B18A8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3.0</w:t>
            </w:r>
          </w:p>
        </w:tc>
        <w:tc>
          <w:tcPr>
            <w:tcW w:w="1225" w:type="dxa"/>
          </w:tcPr>
          <w:p w14:paraId="4E1C1D8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0.059</w:t>
            </w:r>
          </w:p>
        </w:tc>
        <w:tc>
          <w:tcPr>
            <w:tcW w:w="1109" w:type="dxa"/>
          </w:tcPr>
          <w:p w14:paraId="27A6B990" w14:textId="77777777" w:rsidR="007A6B09" w:rsidRPr="00C25EB7" w:rsidRDefault="007A6B09">
            <w:pPr>
              <w:autoSpaceDE w:val="0"/>
              <w:autoSpaceDN w:val="0"/>
              <w:adjustRightInd w:val="0"/>
              <w:jc w:val="both"/>
              <w:rPr>
                <w:rFonts w:ascii="Times New Roman" w:eastAsia="Calibri" w:hAnsi="Times New Roman" w:cs="Times New Roman"/>
                <w:color w:val="000000"/>
                <w:sz w:val="24"/>
                <w:szCs w:val="24"/>
              </w:rPr>
            </w:pPr>
          </w:p>
        </w:tc>
        <w:tc>
          <w:tcPr>
            <w:tcW w:w="1615" w:type="dxa"/>
          </w:tcPr>
          <w:p w14:paraId="42298F25" w14:textId="77777777" w:rsidR="007A6B09" w:rsidRPr="00C25EB7" w:rsidRDefault="007A6B09">
            <w:pPr>
              <w:autoSpaceDE w:val="0"/>
              <w:autoSpaceDN w:val="0"/>
              <w:adjustRightInd w:val="0"/>
              <w:jc w:val="both"/>
              <w:rPr>
                <w:rFonts w:ascii="Times New Roman" w:eastAsia="Calibri" w:hAnsi="Times New Roman" w:cs="Times New Roman"/>
                <w:color w:val="000000"/>
                <w:sz w:val="24"/>
                <w:szCs w:val="24"/>
              </w:rPr>
            </w:pPr>
          </w:p>
        </w:tc>
      </w:tr>
    </w:tbl>
    <w:p w14:paraId="7FA200AF" w14:textId="77777777" w:rsidR="007A6B09" w:rsidRPr="00C25EB7" w:rsidRDefault="00E720F9">
      <w:pPr>
        <w:autoSpaceDE w:val="0"/>
        <w:autoSpaceDN w:val="0"/>
        <w:adjustRightInd w:val="0"/>
        <w:spacing w:after="0" w:line="240" w:lineRule="auto"/>
        <w:jc w:val="both"/>
        <w:rPr>
          <w:rFonts w:ascii="Times New Roman" w:hAnsi="Times New Roman" w:cs="Times New Roman"/>
          <w:i/>
          <w:sz w:val="24"/>
          <w:szCs w:val="24"/>
        </w:rPr>
      </w:pPr>
      <w:r w:rsidRPr="00C25EB7">
        <w:rPr>
          <w:rFonts w:ascii="Times New Roman" w:hAnsi="Times New Roman" w:cs="Times New Roman"/>
          <w:i/>
          <w:sz w:val="24"/>
          <w:szCs w:val="24"/>
        </w:rPr>
        <w:t>NOTE: Values are statistically significant at P˂0.05, the higher the mean rank the higher the staining ability</w:t>
      </w:r>
    </w:p>
    <w:p w14:paraId="05013D3A" w14:textId="77777777" w:rsidR="007A6B09" w:rsidRPr="00C25EB7" w:rsidRDefault="00E720F9">
      <w:pPr>
        <w:autoSpaceDE w:val="0"/>
        <w:autoSpaceDN w:val="0"/>
        <w:adjustRightInd w:val="0"/>
        <w:spacing w:after="0" w:line="240" w:lineRule="auto"/>
        <w:jc w:val="both"/>
        <w:rPr>
          <w:rFonts w:ascii="Times New Roman" w:hAnsi="Times New Roman" w:cs="Times New Roman"/>
          <w:i/>
          <w:sz w:val="24"/>
          <w:szCs w:val="24"/>
        </w:rPr>
      </w:pPr>
      <w:r w:rsidRPr="00C25EB7">
        <w:rPr>
          <w:rFonts w:ascii="Times New Roman" w:hAnsi="Times New Roman" w:cs="Times New Roman"/>
          <w:b/>
          <w:noProof/>
          <w:sz w:val="24"/>
          <w:szCs w:val="24"/>
        </w:rPr>
        <w:lastRenderedPageBreak/>
        <w:drawing>
          <wp:anchor distT="0" distB="0" distL="0" distR="0" simplePos="0" relativeHeight="251635200" behindDoc="0" locked="0" layoutInCell="1" allowOverlap="1" wp14:anchorId="0609DD28" wp14:editId="43760054">
            <wp:simplePos x="0" y="0"/>
            <wp:positionH relativeFrom="page">
              <wp:posOffset>761365</wp:posOffset>
            </wp:positionH>
            <wp:positionV relativeFrom="page">
              <wp:posOffset>732155</wp:posOffset>
            </wp:positionV>
            <wp:extent cx="6031863" cy="3966210"/>
            <wp:effectExtent l="0" t="0" r="0" b="0"/>
            <wp:wrapTopAndBottom/>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3" cstate="print">
                      <a:extLst>
                        <a:ext uri="{28A0092B-C50C-407E-A947-70E740481C1C}">
                          <a14:useLocalDpi xmlns:a14="http://schemas.microsoft.com/office/drawing/2010/main" val="0"/>
                        </a:ext>
                      </a:extLst>
                    </a:blip>
                    <a:srcRect t="4908"/>
                    <a:stretch>
                      <a:fillRect/>
                    </a:stretch>
                  </pic:blipFill>
                  <pic:spPr>
                    <a:xfrm>
                      <a:off x="0" y="0"/>
                      <a:ext cx="6031863" cy="3966210"/>
                    </a:xfrm>
                    <a:prstGeom prst="rect">
                      <a:avLst/>
                    </a:prstGeom>
                  </pic:spPr>
                </pic:pic>
              </a:graphicData>
            </a:graphic>
          </wp:anchor>
        </w:drawing>
      </w:r>
    </w:p>
    <w:p w14:paraId="1B969318" w14:textId="7267CC4C"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Figure 1 Bar Chart of the Three Staining Techniques on Chronic Granulomatous Inflammation</w:t>
      </w:r>
    </w:p>
    <w:p w14:paraId="7A95BBF5"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5D58A7B4"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lastRenderedPageBreak/>
        <w:t>The chart illustrates a comparative analysis of the staining ability of Hematoxylin and Eosin (H&amp;E), Hematoxylin with 95% Ethanol, and Hematoxylin with Acetone across various histological parameters in chronic granulomatous inflammation. H&amp;E consistently shows the highest mean rank across all parameters, including nuclear clarity, cytoplasmic staining, stromal staining, nuclear cytoplasmic contrast, tissue morphology preservation, staining uniformity, pathologic features, and background clarity, indicating superior staining performance. hematoxylin with 95% ethanol demonstrates moderate effectiveness, while hematoxylin with acetone consistently records the lowest mean ranks. Overall, the chart clearly highlights H&amp;E as the most effective staining method, followed by ethanol-extract staining, with acetone-extract staining being the least effective across all evaluated parameters.</w:t>
      </w:r>
    </w:p>
    <w:p w14:paraId="2D268E6A" w14:textId="77777777" w:rsidR="007A6B09" w:rsidRPr="00C25EB7" w:rsidRDefault="007A6B09">
      <w:pPr>
        <w:spacing w:after="0" w:line="240" w:lineRule="auto"/>
        <w:jc w:val="both"/>
        <w:rPr>
          <w:rFonts w:ascii="Times New Roman" w:hAnsi="Times New Roman" w:cs="Times New Roman"/>
          <w:b/>
          <w:sz w:val="24"/>
          <w:szCs w:val="24"/>
        </w:rPr>
      </w:pPr>
    </w:p>
    <w:p w14:paraId="3B32532C" w14:textId="77777777" w:rsidR="007A6B09" w:rsidRPr="00C25EB7" w:rsidRDefault="007A6B09">
      <w:pPr>
        <w:spacing w:after="0" w:line="240" w:lineRule="auto"/>
        <w:jc w:val="both"/>
        <w:rPr>
          <w:rFonts w:ascii="Times New Roman" w:hAnsi="Times New Roman" w:cs="Times New Roman"/>
          <w:b/>
          <w:sz w:val="24"/>
          <w:szCs w:val="24"/>
        </w:rPr>
      </w:pPr>
    </w:p>
    <w:p w14:paraId="14AD9096" w14:textId="77777777" w:rsidR="007A6B09" w:rsidRPr="00C25EB7" w:rsidRDefault="007A6B09">
      <w:pPr>
        <w:spacing w:after="0" w:line="240" w:lineRule="auto"/>
        <w:jc w:val="both"/>
        <w:rPr>
          <w:rFonts w:ascii="Times New Roman" w:hAnsi="Times New Roman" w:cs="Times New Roman"/>
          <w:b/>
          <w:sz w:val="24"/>
          <w:szCs w:val="24"/>
        </w:rPr>
      </w:pPr>
    </w:p>
    <w:p w14:paraId="6190768C" w14:textId="77777777" w:rsidR="007A6B09" w:rsidRPr="00C25EB7" w:rsidRDefault="007A6B09">
      <w:pPr>
        <w:spacing w:after="0" w:line="240" w:lineRule="auto"/>
        <w:jc w:val="both"/>
        <w:rPr>
          <w:rFonts w:ascii="Times New Roman" w:hAnsi="Times New Roman" w:cs="Times New Roman"/>
          <w:b/>
          <w:sz w:val="24"/>
          <w:szCs w:val="24"/>
        </w:rPr>
      </w:pPr>
    </w:p>
    <w:p w14:paraId="7E20D191" w14:textId="77777777" w:rsidR="007A6B09" w:rsidRPr="00C25EB7" w:rsidRDefault="007A6B09">
      <w:pPr>
        <w:spacing w:after="0" w:line="240" w:lineRule="auto"/>
        <w:jc w:val="both"/>
        <w:rPr>
          <w:rFonts w:ascii="Times New Roman" w:hAnsi="Times New Roman" w:cs="Times New Roman"/>
          <w:b/>
          <w:sz w:val="24"/>
          <w:szCs w:val="24"/>
        </w:rPr>
      </w:pPr>
    </w:p>
    <w:p w14:paraId="4C14996B" w14:textId="77777777" w:rsidR="007A6B09" w:rsidRPr="00C25EB7" w:rsidRDefault="007A6B09">
      <w:pPr>
        <w:spacing w:after="0" w:line="240" w:lineRule="auto"/>
        <w:jc w:val="both"/>
        <w:rPr>
          <w:rFonts w:ascii="Times New Roman" w:hAnsi="Times New Roman" w:cs="Times New Roman"/>
          <w:b/>
          <w:sz w:val="24"/>
          <w:szCs w:val="24"/>
        </w:rPr>
      </w:pPr>
    </w:p>
    <w:p w14:paraId="4D4E6D85" w14:textId="77777777" w:rsidR="007A6B09" w:rsidRPr="00C25EB7" w:rsidRDefault="007A6B09">
      <w:pPr>
        <w:spacing w:after="0" w:line="240" w:lineRule="auto"/>
        <w:jc w:val="both"/>
        <w:rPr>
          <w:rFonts w:ascii="Times New Roman" w:hAnsi="Times New Roman" w:cs="Times New Roman"/>
          <w:b/>
          <w:sz w:val="24"/>
          <w:szCs w:val="24"/>
        </w:rPr>
      </w:pPr>
    </w:p>
    <w:p w14:paraId="54CC6460" w14:textId="77777777" w:rsidR="007A6B09" w:rsidRPr="00C25EB7" w:rsidRDefault="007A6B09">
      <w:pPr>
        <w:spacing w:after="0" w:line="240" w:lineRule="auto"/>
        <w:jc w:val="both"/>
        <w:rPr>
          <w:rFonts w:ascii="Times New Roman" w:hAnsi="Times New Roman" w:cs="Times New Roman"/>
          <w:b/>
          <w:sz w:val="24"/>
          <w:szCs w:val="24"/>
        </w:rPr>
      </w:pPr>
    </w:p>
    <w:p w14:paraId="4033A7A4" w14:textId="77777777" w:rsidR="007A6B09" w:rsidRPr="00C25EB7" w:rsidRDefault="007A6B09">
      <w:pPr>
        <w:spacing w:after="0" w:line="240" w:lineRule="auto"/>
        <w:jc w:val="both"/>
        <w:rPr>
          <w:rFonts w:ascii="Times New Roman" w:hAnsi="Times New Roman" w:cs="Times New Roman"/>
          <w:b/>
          <w:sz w:val="24"/>
          <w:szCs w:val="24"/>
        </w:rPr>
      </w:pPr>
    </w:p>
    <w:p w14:paraId="18B32695" w14:textId="77777777" w:rsidR="007A6B09" w:rsidRPr="00C25EB7" w:rsidRDefault="007A6B09">
      <w:pPr>
        <w:spacing w:after="0" w:line="240" w:lineRule="auto"/>
        <w:jc w:val="both"/>
        <w:rPr>
          <w:rFonts w:ascii="Times New Roman" w:hAnsi="Times New Roman" w:cs="Times New Roman"/>
          <w:b/>
          <w:sz w:val="24"/>
          <w:szCs w:val="24"/>
        </w:rPr>
      </w:pPr>
    </w:p>
    <w:p w14:paraId="2BDBDA1A" w14:textId="77777777" w:rsidR="007A6B09" w:rsidRPr="00C25EB7" w:rsidRDefault="007A6B09">
      <w:pPr>
        <w:spacing w:after="0" w:line="240" w:lineRule="auto"/>
        <w:jc w:val="both"/>
        <w:rPr>
          <w:rFonts w:ascii="Times New Roman" w:hAnsi="Times New Roman" w:cs="Times New Roman"/>
          <w:b/>
          <w:sz w:val="24"/>
          <w:szCs w:val="24"/>
        </w:rPr>
      </w:pPr>
    </w:p>
    <w:p w14:paraId="2C4AE539" w14:textId="77777777" w:rsidR="007A6B09" w:rsidRPr="00C25EB7" w:rsidRDefault="007A6B09">
      <w:pPr>
        <w:spacing w:after="0" w:line="240" w:lineRule="auto"/>
        <w:jc w:val="both"/>
        <w:rPr>
          <w:rFonts w:ascii="Times New Roman" w:hAnsi="Times New Roman" w:cs="Times New Roman"/>
          <w:b/>
          <w:sz w:val="24"/>
          <w:szCs w:val="24"/>
        </w:rPr>
      </w:pPr>
    </w:p>
    <w:p w14:paraId="50488403" w14:textId="77777777" w:rsidR="007A6B09" w:rsidRPr="00C25EB7" w:rsidRDefault="007A6B09">
      <w:pPr>
        <w:spacing w:after="0" w:line="240" w:lineRule="auto"/>
        <w:jc w:val="both"/>
        <w:rPr>
          <w:rFonts w:ascii="Times New Roman" w:hAnsi="Times New Roman" w:cs="Times New Roman"/>
          <w:b/>
          <w:sz w:val="24"/>
          <w:szCs w:val="24"/>
        </w:rPr>
      </w:pPr>
    </w:p>
    <w:p w14:paraId="08FD4BCC" w14:textId="77777777" w:rsidR="007A6B09" w:rsidRPr="00C25EB7" w:rsidRDefault="007A6B09">
      <w:pPr>
        <w:spacing w:after="0" w:line="240" w:lineRule="auto"/>
        <w:jc w:val="both"/>
        <w:rPr>
          <w:rFonts w:ascii="Times New Roman" w:hAnsi="Times New Roman" w:cs="Times New Roman"/>
          <w:b/>
          <w:sz w:val="24"/>
          <w:szCs w:val="24"/>
        </w:rPr>
      </w:pPr>
    </w:p>
    <w:p w14:paraId="78518961" w14:textId="77777777" w:rsidR="007A6B09" w:rsidRPr="00C25EB7" w:rsidRDefault="007A6B09">
      <w:pPr>
        <w:spacing w:after="0" w:line="240" w:lineRule="auto"/>
        <w:jc w:val="both"/>
        <w:rPr>
          <w:rFonts w:ascii="Times New Roman" w:hAnsi="Times New Roman" w:cs="Times New Roman"/>
          <w:b/>
          <w:sz w:val="24"/>
          <w:szCs w:val="24"/>
        </w:rPr>
      </w:pPr>
    </w:p>
    <w:p w14:paraId="6B1037E3" w14:textId="77777777" w:rsidR="007A6B09" w:rsidRPr="00C25EB7" w:rsidRDefault="007A6B09">
      <w:pPr>
        <w:spacing w:after="0" w:line="240" w:lineRule="auto"/>
        <w:jc w:val="both"/>
        <w:rPr>
          <w:rFonts w:ascii="Times New Roman" w:hAnsi="Times New Roman" w:cs="Times New Roman"/>
          <w:b/>
          <w:sz w:val="24"/>
          <w:szCs w:val="24"/>
        </w:rPr>
      </w:pPr>
    </w:p>
    <w:p w14:paraId="683CDDCC" w14:textId="77777777" w:rsidR="007A6B09" w:rsidRPr="00C25EB7" w:rsidRDefault="007A6B09">
      <w:pPr>
        <w:spacing w:after="0" w:line="240" w:lineRule="auto"/>
        <w:jc w:val="both"/>
        <w:rPr>
          <w:rFonts w:ascii="Times New Roman" w:hAnsi="Times New Roman" w:cs="Times New Roman"/>
          <w:b/>
          <w:sz w:val="24"/>
          <w:szCs w:val="24"/>
        </w:rPr>
      </w:pPr>
    </w:p>
    <w:p w14:paraId="0215CF54" w14:textId="77777777" w:rsidR="007A6B09" w:rsidRPr="00C25EB7" w:rsidRDefault="007A6B09">
      <w:pPr>
        <w:spacing w:after="0" w:line="240" w:lineRule="auto"/>
        <w:jc w:val="both"/>
        <w:rPr>
          <w:rFonts w:ascii="Times New Roman" w:hAnsi="Times New Roman" w:cs="Times New Roman"/>
          <w:b/>
          <w:sz w:val="24"/>
          <w:szCs w:val="24"/>
        </w:rPr>
      </w:pPr>
    </w:p>
    <w:p w14:paraId="19BF726E" w14:textId="77777777" w:rsidR="007A6B09" w:rsidRPr="00C25EB7" w:rsidRDefault="007A6B09">
      <w:pPr>
        <w:spacing w:after="0" w:line="240" w:lineRule="auto"/>
        <w:jc w:val="both"/>
        <w:rPr>
          <w:rFonts w:ascii="Times New Roman" w:hAnsi="Times New Roman" w:cs="Times New Roman"/>
          <w:b/>
          <w:sz w:val="24"/>
          <w:szCs w:val="24"/>
        </w:rPr>
      </w:pPr>
    </w:p>
    <w:p w14:paraId="6095A02E" w14:textId="77777777" w:rsidR="007A6B09" w:rsidRPr="00C25EB7" w:rsidRDefault="007A6B09">
      <w:pPr>
        <w:spacing w:after="0" w:line="240" w:lineRule="auto"/>
        <w:jc w:val="both"/>
        <w:rPr>
          <w:rFonts w:ascii="Times New Roman" w:hAnsi="Times New Roman" w:cs="Times New Roman"/>
          <w:b/>
          <w:sz w:val="24"/>
          <w:szCs w:val="24"/>
        </w:rPr>
      </w:pPr>
    </w:p>
    <w:p w14:paraId="672EFAB9" w14:textId="77777777" w:rsidR="007A6B09" w:rsidRPr="00C25EB7" w:rsidRDefault="007A6B09">
      <w:pPr>
        <w:spacing w:after="0" w:line="240" w:lineRule="auto"/>
        <w:jc w:val="both"/>
        <w:rPr>
          <w:rFonts w:ascii="Times New Roman" w:hAnsi="Times New Roman" w:cs="Times New Roman"/>
          <w:b/>
          <w:sz w:val="24"/>
          <w:szCs w:val="24"/>
        </w:rPr>
      </w:pPr>
    </w:p>
    <w:p w14:paraId="10556845" w14:textId="77777777" w:rsidR="007A6B09" w:rsidRPr="00C25EB7" w:rsidRDefault="007A6B09">
      <w:pPr>
        <w:spacing w:after="0" w:line="240" w:lineRule="auto"/>
        <w:jc w:val="both"/>
        <w:rPr>
          <w:rFonts w:ascii="Times New Roman" w:hAnsi="Times New Roman" w:cs="Times New Roman"/>
          <w:b/>
          <w:sz w:val="24"/>
          <w:szCs w:val="24"/>
        </w:rPr>
      </w:pPr>
    </w:p>
    <w:p w14:paraId="378DE979" w14:textId="77777777" w:rsidR="007A6B09" w:rsidRPr="00C25EB7" w:rsidRDefault="007A6B09">
      <w:pPr>
        <w:spacing w:after="0" w:line="240" w:lineRule="auto"/>
        <w:jc w:val="both"/>
        <w:rPr>
          <w:rFonts w:ascii="Times New Roman" w:hAnsi="Times New Roman" w:cs="Times New Roman"/>
          <w:b/>
          <w:sz w:val="24"/>
          <w:szCs w:val="24"/>
        </w:rPr>
      </w:pPr>
    </w:p>
    <w:p w14:paraId="5A428898" w14:textId="77777777" w:rsidR="007A6B09" w:rsidRPr="00C25EB7" w:rsidRDefault="007A6B09">
      <w:pPr>
        <w:spacing w:after="0" w:line="240" w:lineRule="auto"/>
        <w:jc w:val="both"/>
        <w:rPr>
          <w:rFonts w:ascii="Times New Roman" w:hAnsi="Times New Roman" w:cs="Times New Roman"/>
          <w:b/>
          <w:sz w:val="24"/>
          <w:szCs w:val="24"/>
        </w:rPr>
      </w:pPr>
    </w:p>
    <w:p w14:paraId="457F0D8E" w14:textId="77777777" w:rsidR="007A6B09" w:rsidRPr="00C25EB7" w:rsidRDefault="007A6B09">
      <w:pPr>
        <w:spacing w:after="0" w:line="240" w:lineRule="auto"/>
        <w:jc w:val="both"/>
        <w:rPr>
          <w:rFonts w:ascii="Times New Roman" w:hAnsi="Times New Roman" w:cs="Times New Roman"/>
          <w:b/>
          <w:sz w:val="24"/>
          <w:szCs w:val="24"/>
        </w:rPr>
      </w:pPr>
    </w:p>
    <w:p w14:paraId="3637CE5D" w14:textId="77777777" w:rsidR="007A6B09" w:rsidRPr="00C25EB7" w:rsidRDefault="007A6B09">
      <w:pPr>
        <w:spacing w:after="0" w:line="240" w:lineRule="auto"/>
        <w:jc w:val="both"/>
        <w:rPr>
          <w:rFonts w:ascii="Times New Roman" w:hAnsi="Times New Roman" w:cs="Times New Roman"/>
          <w:b/>
          <w:sz w:val="24"/>
          <w:szCs w:val="24"/>
        </w:rPr>
      </w:pPr>
    </w:p>
    <w:p w14:paraId="15F48E18" w14:textId="13156F68"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noProof/>
          <w:sz w:val="24"/>
          <w:szCs w:val="24"/>
        </w:rPr>
        <w:lastRenderedPageBreak/>
        <w:drawing>
          <wp:anchor distT="0" distB="0" distL="0" distR="0" simplePos="0" relativeHeight="251633152" behindDoc="0" locked="0" layoutInCell="1" allowOverlap="1" wp14:anchorId="20F76438" wp14:editId="4DCC79AE">
            <wp:simplePos x="0" y="0"/>
            <wp:positionH relativeFrom="page">
              <wp:posOffset>681990</wp:posOffset>
            </wp:positionH>
            <wp:positionV relativeFrom="page">
              <wp:posOffset>1255395</wp:posOffset>
            </wp:positionV>
            <wp:extent cx="6209665" cy="5006340"/>
            <wp:effectExtent l="0" t="0" r="0" b="0"/>
            <wp:wrapTopAndBottom/>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4" cstate="print">
                      <a:extLst>
                        <a:ext uri="{28A0092B-C50C-407E-A947-70E740481C1C}">
                          <a14:useLocalDpi xmlns:a14="http://schemas.microsoft.com/office/drawing/2010/main" val="0"/>
                        </a:ext>
                      </a:extLst>
                    </a:blip>
                    <a:srcRect t="4924"/>
                    <a:stretch>
                      <a:fillRect/>
                    </a:stretch>
                  </pic:blipFill>
                  <pic:spPr>
                    <a:xfrm>
                      <a:off x="0" y="0"/>
                      <a:ext cx="6209665" cy="5006340"/>
                    </a:xfrm>
                    <a:prstGeom prst="rect">
                      <a:avLst/>
                    </a:prstGeom>
                  </pic:spPr>
                </pic:pic>
              </a:graphicData>
            </a:graphic>
          </wp:anchor>
        </w:drawing>
      </w:r>
      <w:r w:rsidRPr="00C25EB7">
        <w:rPr>
          <w:rFonts w:ascii="Times New Roman" w:hAnsi="Times New Roman" w:cs="Times New Roman"/>
          <w:b/>
          <w:sz w:val="24"/>
          <w:szCs w:val="24"/>
        </w:rPr>
        <w:t>Figure</w:t>
      </w:r>
      <w:r w:rsidRPr="00C25EB7">
        <w:rPr>
          <w:rFonts w:ascii="Times New Roman" w:hAnsi="Times New Roman" w:cs="Times New Roman"/>
          <w:b/>
          <w:bCs/>
          <w:sz w:val="24"/>
          <w:szCs w:val="24"/>
        </w:rPr>
        <w:t xml:space="preserve"> </w:t>
      </w:r>
      <w:r w:rsidRPr="00C25EB7">
        <w:rPr>
          <w:rFonts w:ascii="Times New Roman" w:hAnsi="Times New Roman" w:cs="Times New Roman"/>
          <w:b/>
          <w:sz w:val="24"/>
          <w:szCs w:val="24"/>
        </w:rPr>
        <w:t>2 Bar Chart of the</w:t>
      </w:r>
      <w:r w:rsidRPr="00C25EB7">
        <w:rPr>
          <w:rFonts w:ascii="Times New Roman" w:hAnsi="Times New Roman" w:cs="Times New Roman"/>
          <w:b/>
          <w:bCs/>
          <w:sz w:val="24"/>
          <w:szCs w:val="24"/>
        </w:rPr>
        <w:t xml:space="preserve"> </w:t>
      </w:r>
      <w:r w:rsidRPr="00C25EB7">
        <w:rPr>
          <w:rFonts w:ascii="Times New Roman" w:hAnsi="Times New Roman" w:cs="Times New Roman"/>
          <w:b/>
          <w:sz w:val="24"/>
          <w:szCs w:val="24"/>
        </w:rPr>
        <w:t>Three Staining Techniques on Lichen Planus</w:t>
      </w:r>
    </w:p>
    <w:p w14:paraId="61FBED0F"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br w:type="page"/>
      </w:r>
    </w:p>
    <w:p w14:paraId="18C23716" w14:textId="77777777"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lastRenderedPageBreak/>
        <w:t>The chart illustrates a comparative analysis of the staining ability of Hematoxylin and Eosin (H&amp;E), Hematoxylin with 95% Ethanol, and Hematoxylin with Acetone across various histological parameters in lichen planus. H&amp;E consistently shows the highest mean rank across all parameters, including nuclear clarity, cytoplasmic staining, stromal staining, nuclear cytoplasmic contrast, tissue morphology preservation, staining uniformity, pathologic features, and background clarity, indicating superior staining performance. Hematoxylin with 95% ethanol demonstrates moderate effectiveness, while hematoxylin with acetone consistently records the lowest mean ranks. Overall, the chart clearly highlights H&amp;E as the most effective staining method, followed by ethanol-extract staining, with acetone-extract staining being the least effective across all evaluated parameters.</w:t>
      </w:r>
    </w:p>
    <w:p w14:paraId="6DC80A46"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2E3F23FB" w14:textId="77777777" w:rsidR="007A6B09" w:rsidRPr="00C25EB7" w:rsidRDefault="007A6B09">
      <w:pPr>
        <w:spacing w:after="0" w:line="240" w:lineRule="auto"/>
        <w:jc w:val="both"/>
        <w:rPr>
          <w:rFonts w:ascii="Times New Roman" w:hAnsi="Times New Roman" w:cs="Times New Roman"/>
          <w:b/>
          <w:sz w:val="24"/>
          <w:szCs w:val="24"/>
        </w:rPr>
      </w:pPr>
    </w:p>
    <w:p w14:paraId="47541419" w14:textId="77777777" w:rsidR="007A6B09" w:rsidRPr="00C25EB7" w:rsidRDefault="007A6B09">
      <w:pPr>
        <w:spacing w:after="0" w:line="240" w:lineRule="auto"/>
        <w:jc w:val="both"/>
        <w:rPr>
          <w:rFonts w:ascii="Times New Roman" w:hAnsi="Times New Roman" w:cs="Times New Roman"/>
          <w:b/>
          <w:sz w:val="24"/>
          <w:szCs w:val="24"/>
        </w:rPr>
      </w:pPr>
    </w:p>
    <w:p w14:paraId="7F93DA98" w14:textId="77777777" w:rsidR="007A6B09" w:rsidRPr="00C25EB7" w:rsidRDefault="007A6B09">
      <w:pPr>
        <w:spacing w:after="0" w:line="240" w:lineRule="auto"/>
        <w:jc w:val="both"/>
        <w:rPr>
          <w:rFonts w:ascii="Times New Roman" w:hAnsi="Times New Roman" w:cs="Times New Roman"/>
          <w:b/>
          <w:sz w:val="24"/>
          <w:szCs w:val="24"/>
        </w:rPr>
      </w:pPr>
    </w:p>
    <w:p w14:paraId="6635FF6A" w14:textId="77777777" w:rsidR="007A6B09" w:rsidRPr="00C25EB7" w:rsidRDefault="007A6B09">
      <w:pPr>
        <w:spacing w:after="0" w:line="240" w:lineRule="auto"/>
        <w:jc w:val="both"/>
        <w:rPr>
          <w:rFonts w:ascii="Times New Roman" w:hAnsi="Times New Roman" w:cs="Times New Roman"/>
          <w:b/>
          <w:sz w:val="24"/>
          <w:szCs w:val="24"/>
        </w:rPr>
      </w:pPr>
    </w:p>
    <w:p w14:paraId="40946BA3" w14:textId="77777777" w:rsidR="007A6B09" w:rsidRPr="00C25EB7" w:rsidRDefault="007A6B09">
      <w:pPr>
        <w:spacing w:after="0" w:line="240" w:lineRule="auto"/>
        <w:jc w:val="both"/>
        <w:rPr>
          <w:rFonts w:ascii="Times New Roman" w:hAnsi="Times New Roman" w:cs="Times New Roman"/>
          <w:b/>
          <w:sz w:val="24"/>
          <w:szCs w:val="24"/>
        </w:rPr>
      </w:pPr>
    </w:p>
    <w:p w14:paraId="18F215CC" w14:textId="77777777" w:rsidR="007A6B09" w:rsidRPr="00C25EB7" w:rsidRDefault="007A6B09">
      <w:pPr>
        <w:spacing w:after="0" w:line="240" w:lineRule="auto"/>
        <w:jc w:val="both"/>
        <w:rPr>
          <w:rFonts w:ascii="Times New Roman" w:hAnsi="Times New Roman" w:cs="Times New Roman"/>
          <w:b/>
          <w:sz w:val="24"/>
          <w:szCs w:val="24"/>
        </w:rPr>
      </w:pPr>
    </w:p>
    <w:p w14:paraId="1A3AF4D3" w14:textId="77777777" w:rsidR="007A6B09" w:rsidRPr="00C25EB7" w:rsidRDefault="007A6B09">
      <w:pPr>
        <w:spacing w:after="0" w:line="240" w:lineRule="auto"/>
        <w:jc w:val="both"/>
        <w:rPr>
          <w:rFonts w:ascii="Times New Roman" w:hAnsi="Times New Roman" w:cs="Times New Roman"/>
          <w:b/>
          <w:sz w:val="24"/>
          <w:szCs w:val="24"/>
        </w:rPr>
      </w:pPr>
    </w:p>
    <w:p w14:paraId="62CF0197" w14:textId="77777777" w:rsidR="007A6B09" w:rsidRPr="00C25EB7" w:rsidRDefault="007A6B09">
      <w:pPr>
        <w:spacing w:after="0" w:line="240" w:lineRule="auto"/>
        <w:jc w:val="both"/>
        <w:rPr>
          <w:rFonts w:ascii="Times New Roman" w:hAnsi="Times New Roman" w:cs="Times New Roman"/>
          <w:b/>
          <w:sz w:val="24"/>
          <w:szCs w:val="24"/>
        </w:rPr>
      </w:pPr>
    </w:p>
    <w:p w14:paraId="3A7CEDE0" w14:textId="77777777" w:rsidR="007A6B09" w:rsidRPr="00C25EB7" w:rsidRDefault="007A6B09">
      <w:pPr>
        <w:spacing w:after="0" w:line="240" w:lineRule="auto"/>
        <w:jc w:val="both"/>
        <w:rPr>
          <w:rFonts w:ascii="Times New Roman" w:hAnsi="Times New Roman" w:cs="Times New Roman"/>
          <w:sz w:val="24"/>
          <w:szCs w:val="24"/>
        </w:rPr>
      </w:pPr>
    </w:p>
    <w:p w14:paraId="65BE730E" w14:textId="77777777" w:rsidR="007A6B09" w:rsidRPr="00C25EB7" w:rsidRDefault="007A6B09">
      <w:pPr>
        <w:spacing w:after="0" w:line="240" w:lineRule="auto"/>
        <w:jc w:val="both"/>
        <w:rPr>
          <w:rFonts w:ascii="Times New Roman" w:hAnsi="Times New Roman" w:cs="Times New Roman"/>
          <w:sz w:val="24"/>
          <w:szCs w:val="24"/>
        </w:rPr>
      </w:pPr>
    </w:p>
    <w:p w14:paraId="5650C144" w14:textId="77777777" w:rsidR="007A6B09" w:rsidRPr="00C25EB7" w:rsidRDefault="007A6B09">
      <w:pPr>
        <w:spacing w:after="0" w:line="240" w:lineRule="auto"/>
        <w:jc w:val="both"/>
        <w:rPr>
          <w:rFonts w:ascii="Times New Roman" w:hAnsi="Times New Roman" w:cs="Times New Roman"/>
          <w:sz w:val="24"/>
          <w:szCs w:val="24"/>
        </w:rPr>
      </w:pPr>
    </w:p>
    <w:p w14:paraId="73133E18" w14:textId="77777777" w:rsidR="007A6B09" w:rsidRPr="00C25EB7" w:rsidRDefault="007A6B09">
      <w:pPr>
        <w:spacing w:after="0" w:line="240" w:lineRule="auto"/>
        <w:jc w:val="both"/>
        <w:rPr>
          <w:rFonts w:ascii="Times New Roman" w:hAnsi="Times New Roman" w:cs="Times New Roman"/>
          <w:sz w:val="24"/>
          <w:szCs w:val="24"/>
        </w:rPr>
      </w:pPr>
    </w:p>
    <w:p w14:paraId="44420A3E" w14:textId="77777777" w:rsidR="007A6B09" w:rsidRPr="00C25EB7" w:rsidRDefault="007A6B09">
      <w:pPr>
        <w:spacing w:after="0" w:line="240" w:lineRule="auto"/>
        <w:jc w:val="both"/>
        <w:rPr>
          <w:rFonts w:ascii="Times New Roman" w:hAnsi="Times New Roman" w:cs="Times New Roman"/>
          <w:sz w:val="24"/>
          <w:szCs w:val="24"/>
        </w:rPr>
      </w:pPr>
    </w:p>
    <w:p w14:paraId="348FB92D" w14:textId="77777777" w:rsidR="007A6B09" w:rsidRPr="00C25EB7" w:rsidRDefault="007A6B09">
      <w:pPr>
        <w:spacing w:after="0" w:line="240" w:lineRule="auto"/>
        <w:jc w:val="both"/>
        <w:rPr>
          <w:rFonts w:ascii="Times New Roman" w:hAnsi="Times New Roman" w:cs="Times New Roman"/>
          <w:sz w:val="24"/>
          <w:szCs w:val="24"/>
        </w:rPr>
      </w:pPr>
    </w:p>
    <w:p w14:paraId="08BFC639" w14:textId="77777777" w:rsidR="007A6B09" w:rsidRPr="00C25EB7" w:rsidRDefault="007A6B09">
      <w:pPr>
        <w:spacing w:after="0" w:line="240" w:lineRule="auto"/>
        <w:jc w:val="both"/>
        <w:rPr>
          <w:rFonts w:ascii="Times New Roman" w:hAnsi="Times New Roman" w:cs="Times New Roman"/>
          <w:sz w:val="24"/>
          <w:szCs w:val="24"/>
        </w:rPr>
      </w:pPr>
    </w:p>
    <w:p w14:paraId="40242823" w14:textId="77777777" w:rsidR="007A6B09" w:rsidRPr="00C25EB7" w:rsidRDefault="007A6B09">
      <w:pPr>
        <w:spacing w:after="0" w:line="240" w:lineRule="auto"/>
        <w:jc w:val="both"/>
        <w:rPr>
          <w:rFonts w:ascii="Times New Roman" w:hAnsi="Times New Roman" w:cs="Times New Roman"/>
          <w:sz w:val="24"/>
          <w:szCs w:val="24"/>
        </w:rPr>
      </w:pPr>
    </w:p>
    <w:p w14:paraId="46249FBB" w14:textId="385F9C8F"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noProof/>
          <w:sz w:val="24"/>
          <w:szCs w:val="24"/>
        </w:rPr>
        <w:lastRenderedPageBreak/>
        <w:drawing>
          <wp:anchor distT="0" distB="0" distL="0" distR="0" simplePos="0" relativeHeight="251634176" behindDoc="0" locked="0" layoutInCell="1" allowOverlap="1" wp14:anchorId="3864F109" wp14:editId="137FC488">
            <wp:simplePos x="0" y="0"/>
            <wp:positionH relativeFrom="page">
              <wp:posOffset>873125</wp:posOffset>
            </wp:positionH>
            <wp:positionV relativeFrom="page">
              <wp:posOffset>1074420</wp:posOffset>
            </wp:positionV>
            <wp:extent cx="6018530" cy="4989830"/>
            <wp:effectExtent l="0" t="0" r="0" b="0"/>
            <wp:wrapTopAndBottom/>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5" cstate="print">
                      <a:extLst>
                        <a:ext uri="{28A0092B-C50C-407E-A947-70E740481C1C}">
                          <a14:useLocalDpi xmlns:a14="http://schemas.microsoft.com/office/drawing/2010/main" val="0"/>
                        </a:ext>
                      </a:extLst>
                    </a:blip>
                    <a:srcRect t="5186"/>
                    <a:stretch>
                      <a:fillRect/>
                    </a:stretch>
                  </pic:blipFill>
                  <pic:spPr>
                    <a:xfrm>
                      <a:off x="0" y="0"/>
                      <a:ext cx="6018530" cy="4989830"/>
                    </a:xfrm>
                    <a:prstGeom prst="rect">
                      <a:avLst/>
                    </a:prstGeom>
                  </pic:spPr>
                </pic:pic>
              </a:graphicData>
            </a:graphic>
          </wp:anchor>
        </w:drawing>
      </w:r>
      <w:r w:rsidRPr="00C25EB7">
        <w:rPr>
          <w:rFonts w:ascii="Times New Roman" w:hAnsi="Times New Roman" w:cs="Times New Roman"/>
          <w:b/>
          <w:sz w:val="24"/>
          <w:szCs w:val="24"/>
        </w:rPr>
        <w:t>Figure.3 Bar Chart of the Three Staining Techniques on Chronic Spongiotic Dermatitis</w:t>
      </w:r>
    </w:p>
    <w:p w14:paraId="06109AAF"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br w:type="page"/>
      </w:r>
    </w:p>
    <w:p w14:paraId="460AE592"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lastRenderedPageBreak/>
        <w:t>The chart illustrates a comparative analysis of the staining ability of Hematoxylin and Eosin (H&amp;E), Hematoxylin with 95% Ethanol, and Hematoxylin with Acetone across various histological parameters in chronic spongiotic dermatitis. H&amp;E consistently shows the highest mean rank across all parameters, including nuclear clarity, cytoplasmic staining, stroma staining, nuclear cytoplasmic contrast, tissue morphology preservation, staining uniformity, pathologic features, and background clarity, indicating superior staining performance. Hematoxylin with 95% ethanol demonstrates moderate effectiveness, while hematoxylin with acetone consistently records the lowest mean ranks. Overall, the chart clearly highlights H&amp;E as the most effective staining method, followed by ethanol-extract staining, with acetone-extract staining being the least effective across all evaluated parameters.</w:t>
      </w:r>
    </w:p>
    <w:p w14:paraId="2B15DC25" w14:textId="77777777" w:rsidR="007A6B09" w:rsidRPr="00C25EB7" w:rsidRDefault="007A6B09">
      <w:pPr>
        <w:spacing w:line="240" w:lineRule="auto"/>
        <w:jc w:val="both"/>
        <w:rPr>
          <w:rFonts w:ascii="Times New Roman" w:hAnsi="Times New Roman" w:cs="Times New Roman"/>
          <w:sz w:val="24"/>
          <w:szCs w:val="24"/>
        </w:rPr>
      </w:pPr>
    </w:p>
    <w:p w14:paraId="00AB4393" w14:textId="77777777" w:rsidR="007A6B09" w:rsidRPr="00C25EB7" w:rsidRDefault="007A6B09">
      <w:pPr>
        <w:spacing w:line="240" w:lineRule="auto"/>
        <w:jc w:val="both"/>
        <w:rPr>
          <w:rFonts w:ascii="Times New Roman" w:hAnsi="Times New Roman" w:cs="Times New Roman"/>
          <w:sz w:val="24"/>
          <w:szCs w:val="24"/>
        </w:rPr>
      </w:pPr>
    </w:p>
    <w:p w14:paraId="454C007F"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0FBBD46B"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33D0C85D"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6BA37A2A"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79928A0D"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05C70B0A"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3FFF2AEA" w14:textId="77777777" w:rsidR="007A6B09" w:rsidRPr="00C25EB7" w:rsidRDefault="007A6B09">
      <w:pPr>
        <w:spacing w:after="0" w:line="240" w:lineRule="auto"/>
        <w:jc w:val="both"/>
        <w:rPr>
          <w:rFonts w:ascii="Times New Roman" w:hAnsi="Times New Roman" w:cs="Times New Roman"/>
          <w:sz w:val="24"/>
          <w:szCs w:val="24"/>
        </w:rPr>
      </w:pPr>
    </w:p>
    <w:p w14:paraId="3B1E3A42" w14:textId="77777777" w:rsidR="007A6B09" w:rsidRPr="00C25EB7" w:rsidRDefault="007A6B09">
      <w:pPr>
        <w:spacing w:after="0" w:line="240" w:lineRule="auto"/>
        <w:jc w:val="both"/>
        <w:rPr>
          <w:rFonts w:ascii="Times New Roman" w:hAnsi="Times New Roman" w:cs="Times New Roman"/>
          <w:sz w:val="24"/>
          <w:szCs w:val="24"/>
        </w:rPr>
      </w:pPr>
    </w:p>
    <w:p w14:paraId="11ADDB5C" w14:textId="77777777" w:rsidR="007A6B09" w:rsidRPr="00C25EB7" w:rsidRDefault="007A6B09">
      <w:pPr>
        <w:spacing w:after="0" w:line="240" w:lineRule="auto"/>
        <w:jc w:val="both"/>
        <w:rPr>
          <w:rFonts w:ascii="Times New Roman" w:hAnsi="Times New Roman" w:cs="Times New Roman"/>
          <w:sz w:val="24"/>
          <w:szCs w:val="24"/>
        </w:rPr>
      </w:pPr>
    </w:p>
    <w:p w14:paraId="55C502AE" w14:textId="77777777" w:rsidR="007A6B09" w:rsidRPr="00C25EB7" w:rsidRDefault="007A6B09">
      <w:pPr>
        <w:spacing w:after="0" w:line="240" w:lineRule="auto"/>
        <w:jc w:val="both"/>
        <w:rPr>
          <w:rFonts w:ascii="Times New Roman" w:hAnsi="Times New Roman" w:cs="Times New Roman"/>
          <w:sz w:val="24"/>
          <w:szCs w:val="24"/>
        </w:rPr>
      </w:pPr>
    </w:p>
    <w:p w14:paraId="0204B823" w14:textId="77777777" w:rsidR="007A6B09" w:rsidRPr="00C25EB7" w:rsidRDefault="007A6B09">
      <w:pPr>
        <w:spacing w:after="0" w:line="240" w:lineRule="auto"/>
        <w:jc w:val="both"/>
        <w:rPr>
          <w:rFonts w:ascii="Times New Roman" w:hAnsi="Times New Roman" w:cs="Times New Roman"/>
          <w:sz w:val="24"/>
          <w:szCs w:val="24"/>
        </w:rPr>
      </w:pPr>
    </w:p>
    <w:p w14:paraId="0A18D1E9" w14:textId="77777777" w:rsidR="007A6B09" w:rsidRPr="00C25EB7" w:rsidRDefault="007A6B09">
      <w:pPr>
        <w:spacing w:after="0" w:line="240" w:lineRule="auto"/>
        <w:jc w:val="both"/>
        <w:rPr>
          <w:rFonts w:ascii="Times New Roman" w:hAnsi="Times New Roman" w:cs="Times New Roman"/>
          <w:sz w:val="24"/>
          <w:szCs w:val="24"/>
        </w:rPr>
      </w:pPr>
    </w:p>
    <w:p w14:paraId="75399E27" w14:textId="77777777" w:rsidR="007A6B09" w:rsidRPr="00C25EB7" w:rsidRDefault="007A6B09">
      <w:pPr>
        <w:spacing w:after="0" w:line="240" w:lineRule="auto"/>
        <w:jc w:val="both"/>
        <w:rPr>
          <w:rFonts w:ascii="Times New Roman" w:hAnsi="Times New Roman" w:cs="Times New Roman"/>
          <w:sz w:val="24"/>
          <w:szCs w:val="24"/>
        </w:rPr>
      </w:pPr>
    </w:p>
    <w:p w14:paraId="3E752C14" w14:textId="77777777" w:rsidR="007A6B09" w:rsidRPr="00C25EB7" w:rsidRDefault="007A6B09">
      <w:pPr>
        <w:spacing w:after="0" w:line="240" w:lineRule="auto"/>
        <w:jc w:val="both"/>
        <w:rPr>
          <w:rFonts w:ascii="Times New Roman" w:hAnsi="Times New Roman" w:cs="Times New Roman"/>
          <w:sz w:val="24"/>
          <w:szCs w:val="24"/>
        </w:rPr>
      </w:pPr>
    </w:p>
    <w:p w14:paraId="3028D7CE" w14:textId="77777777" w:rsidR="007A6B09" w:rsidRPr="00C25EB7" w:rsidRDefault="007A6B09">
      <w:pPr>
        <w:spacing w:after="0" w:line="240" w:lineRule="auto"/>
        <w:jc w:val="both"/>
        <w:rPr>
          <w:rFonts w:ascii="Times New Roman" w:hAnsi="Times New Roman" w:cs="Times New Roman"/>
          <w:sz w:val="24"/>
          <w:szCs w:val="24"/>
        </w:rPr>
      </w:pPr>
    </w:p>
    <w:p w14:paraId="29EBB9D4" w14:textId="77777777" w:rsidR="007A6B09" w:rsidRPr="00C25EB7" w:rsidRDefault="007A6B09">
      <w:pPr>
        <w:spacing w:after="0" w:line="240" w:lineRule="auto"/>
        <w:jc w:val="both"/>
        <w:rPr>
          <w:rFonts w:ascii="Times New Roman" w:hAnsi="Times New Roman" w:cs="Times New Roman"/>
          <w:sz w:val="24"/>
          <w:szCs w:val="24"/>
        </w:rPr>
      </w:pPr>
    </w:p>
    <w:p w14:paraId="5344B223" w14:textId="77777777" w:rsidR="007A6B09" w:rsidRPr="00C25EB7" w:rsidRDefault="007A6B09">
      <w:pPr>
        <w:spacing w:after="0" w:line="240" w:lineRule="auto"/>
        <w:jc w:val="both"/>
        <w:rPr>
          <w:rFonts w:ascii="Times New Roman" w:hAnsi="Times New Roman" w:cs="Times New Roman"/>
          <w:sz w:val="24"/>
          <w:szCs w:val="24"/>
        </w:rPr>
      </w:pPr>
    </w:p>
    <w:p w14:paraId="0D72C46E" w14:textId="77777777" w:rsidR="007A6B09" w:rsidRPr="00C25EB7" w:rsidRDefault="007A6B09">
      <w:pPr>
        <w:spacing w:after="0" w:line="240" w:lineRule="auto"/>
        <w:jc w:val="both"/>
        <w:rPr>
          <w:rFonts w:ascii="Times New Roman" w:hAnsi="Times New Roman" w:cs="Times New Roman"/>
          <w:sz w:val="24"/>
          <w:szCs w:val="24"/>
        </w:rPr>
      </w:pPr>
    </w:p>
    <w:p w14:paraId="06E67007" w14:textId="77777777" w:rsidR="007A6B09" w:rsidRPr="00C25EB7" w:rsidRDefault="0000000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27A35C37">
          <v:shapetype id="_x0000_m2095" coordsize="21600,21600" o:spt="32" o:oned="t" path="m,l21600,21600e" filled="t">
            <v:path arrowok="t" fillok="f" o:connecttype="none"/>
            <o:lock v:ext="edit" shapetype="t"/>
          </v:shapetype>
        </w:pict>
      </w:r>
      <w:r>
        <w:rPr>
          <w:rFonts w:ascii="Times New Roman" w:hAnsi="Times New Roman" w:cs="Times New Roman"/>
          <w:noProof/>
          <w:sz w:val="24"/>
          <w:szCs w:val="24"/>
        </w:rPr>
        <w:pict w14:anchorId="41157668">
          <v:shape id="1030" o:spid="_x0000_s2094" type="#_x0000_m2095" style="position:absolute;left:0;text-align:left;margin-left:174pt;margin-top:197.4pt;width:29.25pt;height:15.75pt;z-index:251639296;mso-width-percent:0;mso-height-percent:0;mso-wrap-distance-left:0;mso-wrap-distance-right:0;mso-position-horizontal-relative:text;mso-position-vertical-relative:text;mso-width-percent:0;mso-height-percent:0;mso-width-relative:margin;mso-height-relative:margin" o:spt="32" o:oned="t" path="m,l21600,21600e" filled="f" strokecolor="#0d0d0d" strokeweight="3pt">
            <v:stroke endarrow="block"/>
            <v:path arrowok="t" fillok="f" o:connecttype="none"/>
            <o:lock v:ext="edit" shapetype="t"/>
          </v:shape>
        </w:pict>
      </w:r>
      <w:r>
        <w:rPr>
          <w:rFonts w:ascii="Times New Roman" w:hAnsi="Times New Roman" w:cs="Times New Roman"/>
          <w:noProof/>
          <w:sz w:val="24"/>
          <w:szCs w:val="24"/>
        </w:rPr>
        <w:pict w14:anchorId="6F6C581C">
          <v:shape id="1031" o:spid="_x0000_s2093" type="#_x0000_m2095" style="position:absolute;left:0;text-align:left;margin-left:205.5pt;margin-top:17.4pt;width:15.75pt;height:23.25pt;z-index:251638272;mso-width-percent:0;mso-height-percent:0;mso-wrap-distance-left:0;mso-wrap-distance-right:0;mso-position-horizontal-relative:text;mso-position-vertical-relative:text;mso-width-percent:0;mso-height-percent:0;mso-width-relative:margin;mso-height-relative:margin" o:spt="32" o:oned="t" path="m,l21600,21600e" filled="f" strokecolor="#4579b8" strokeweight="3pt">
            <v:stroke endarrow="block"/>
            <v:path arrowok="t" fillok="f" o:connecttype="none"/>
            <o:lock v:ext="edit" shapetype="t"/>
          </v:shape>
        </w:pict>
      </w:r>
      <w:r>
        <w:rPr>
          <w:rFonts w:ascii="Times New Roman" w:hAnsi="Times New Roman" w:cs="Times New Roman"/>
          <w:noProof/>
          <w:sz w:val="24"/>
          <w:szCs w:val="24"/>
        </w:rPr>
        <w:pict w14:anchorId="2A7D0C54">
          <v:shape id="1032" o:spid="_x0000_s2092" type="#_x0000_m2095" style="position:absolute;left:0;text-align:left;margin-left:116.25pt;margin-top:90.9pt;width:9.75pt;height:36.75pt;z-index:251637248;mso-width-percent:0;mso-height-percent:0;mso-wrap-distance-left:0;mso-wrap-distance-right:0;mso-position-horizontal-relative:text;mso-position-vertical-relative:text;mso-width-percent:0;mso-height-percent:0;mso-width-relative:margin;mso-height-relative:margin" o:spt="32" o:oned="t" path="m,l21600,21600e" filled="f" strokecolor="red" strokeweight="3pt">
            <v:stroke endarrow="block"/>
            <v:path arrowok="t" fillok="f" o:connecttype="none"/>
            <o:lock v:ext="edit" shapetype="t"/>
          </v:shape>
        </w:pict>
      </w:r>
      <w:r w:rsidR="00E720F9" w:rsidRPr="00C25EB7">
        <w:rPr>
          <w:rFonts w:ascii="Times New Roman" w:hAnsi="Times New Roman" w:cs="Times New Roman"/>
          <w:noProof/>
          <w:sz w:val="24"/>
          <w:szCs w:val="24"/>
        </w:rPr>
        <w:drawing>
          <wp:inline distT="0" distB="0" distL="0" distR="0" wp14:anchorId="1A4ECA8F" wp14:editId="5BBD93D5">
            <wp:extent cx="5312224" cy="3404681"/>
            <wp:effectExtent l="0" t="0" r="3175" b="5715"/>
            <wp:docPr id="10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5312224" cy="3404681"/>
                    </a:xfrm>
                    <a:prstGeom prst="rect">
                      <a:avLst/>
                    </a:prstGeom>
                  </pic:spPr>
                </pic:pic>
              </a:graphicData>
            </a:graphic>
          </wp:inline>
        </w:drawing>
      </w:r>
    </w:p>
    <w:p w14:paraId="51647BA2" w14:textId="4705E122"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Figure.4 Photomicrograph of a Skin section diagnosed as </w:t>
      </w:r>
      <w:r w:rsidRPr="00C25EB7">
        <w:rPr>
          <w:rFonts w:ascii="Times New Roman" w:hAnsi="Times New Roman" w:cs="Times New Roman"/>
          <w:bCs/>
          <w:sz w:val="24"/>
          <w:szCs w:val="24"/>
        </w:rPr>
        <w:t>Chronic Granulomatous</w:t>
      </w:r>
      <w:r w:rsidRPr="00C25EB7">
        <w:rPr>
          <w:rFonts w:ascii="Times New Roman" w:hAnsi="Times New Roman" w:cs="Times New Roman"/>
          <w:sz w:val="24"/>
          <w:szCs w:val="24"/>
        </w:rPr>
        <w:t xml:space="preserve"> </w:t>
      </w:r>
      <w:r w:rsidRPr="00C25EB7">
        <w:rPr>
          <w:rFonts w:ascii="Times New Roman" w:hAnsi="Times New Roman" w:cs="Times New Roman"/>
          <w:bCs/>
          <w:sz w:val="24"/>
          <w:szCs w:val="24"/>
        </w:rPr>
        <w:t>Inflammation</w:t>
      </w:r>
      <w:r w:rsidRPr="00C25EB7">
        <w:rPr>
          <w:rFonts w:ascii="Times New Roman" w:hAnsi="Times New Roman" w:cs="Times New Roman"/>
          <w:sz w:val="24"/>
          <w:szCs w:val="24"/>
        </w:rPr>
        <w:t xml:space="preserve"> and stained with Hematoxylin and Eosin showed acanthosis and epidermolysis in a typical papillary fashion with clear nucleo-cytoplasmic differentiation in epidermis (red arrows) and dermis (black arrows). (H&amp;E x100).</w:t>
      </w:r>
    </w:p>
    <w:p w14:paraId="16E7CD72" w14:textId="77777777" w:rsidR="007A6B09" w:rsidRPr="00C25EB7" w:rsidRDefault="00E720F9">
      <w:pPr>
        <w:rPr>
          <w:rFonts w:ascii="Times New Roman" w:hAnsi="Times New Roman" w:cs="Times New Roman"/>
          <w:sz w:val="24"/>
          <w:szCs w:val="24"/>
        </w:rPr>
      </w:pPr>
      <w:r w:rsidRPr="00C25EB7">
        <w:rPr>
          <w:rFonts w:ascii="Times New Roman" w:hAnsi="Times New Roman" w:cs="Times New Roman"/>
          <w:sz w:val="24"/>
          <w:szCs w:val="24"/>
        </w:rPr>
        <w:br w:type="page"/>
      </w:r>
    </w:p>
    <w:p w14:paraId="55C14EDA" w14:textId="77777777" w:rsidR="007A6B09" w:rsidRPr="00C25EB7" w:rsidRDefault="007A6B09">
      <w:pPr>
        <w:spacing w:after="0" w:line="240" w:lineRule="auto"/>
        <w:jc w:val="both"/>
        <w:rPr>
          <w:rFonts w:ascii="Times New Roman" w:hAnsi="Times New Roman" w:cs="Times New Roman"/>
          <w:sz w:val="24"/>
          <w:szCs w:val="24"/>
        </w:rPr>
      </w:pPr>
    </w:p>
    <w:p w14:paraId="73FAE320"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12DD41F3">
          <v:shape id="1034" o:spid="_x0000_s2091" type="#_x0000_m2095" style="position:absolute;left:0;text-align:left;margin-left:219pt;margin-top:55.7pt;width:18.75pt;height:17.25pt;flip:x;z-index:251644416;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4D37CC83">
          <v:shape id="1035" o:spid="_x0000_s2090" type="#_x0000_m2095" style="position:absolute;left:0;text-align:left;margin-left:143.25pt;margin-top:110.45pt;width:31.5pt;height:24pt;flip:x;z-index:25164032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70AD9122">
          <v:shape id="1036" o:spid="_x0000_s2089" type="#_x0000_m2095" style="position:absolute;left:0;text-align:left;margin-left:144.75pt;margin-top:152.45pt;width:29.25pt;height:33pt;flip:x;z-index:25164134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4DA5B37F">
          <v:shape id="1037" o:spid="_x0000_s2088" type="#_x0000_m2095" style="position:absolute;left:0;text-align:left;margin-left:27.75pt;margin-top:92.45pt;width:46.5pt;height:21.75pt;flip:x;z-index:25164236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68E3E993">
          <v:shape id="1038" o:spid="_x0000_s2087" type="#_x0000_m2095" style="position:absolute;left:0;text-align:left;margin-left:255.75pt;margin-top:118.7pt;width:15.75pt;height:23.25pt;z-index:251643392;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0A848F76" wp14:editId="1A805A4A">
            <wp:extent cx="5119323" cy="3076575"/>
            <wp:effectExtent l="0" t="0" r="5715" b="0"/>
            <wp:docPr id="10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119323" cy="3076575"/>
                    </a:xfrm>
                    <a:prstGeom prst="rect">
                      <a:avLst/>
                    </a:prstGeom>
                  </pic:spPr>
                </pic:pic>
              </a:graphicData>
            </a:graphic>
          </wp:inline>
        </w:drawing>
      </w:r>
    </w:p>
    <w:p w14:paraId="7AE82BF9" w14:textId="479A9E42"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Figure.5 Photomicrograph Section of skin tissue with Lichen Planus with papilloma, nevus, cyst formation and mononuclear cell infiltration. The section showed clear stained tissue with well differentiated nucleus and cytoplasm cellularly and well delineated epidermis (blue arrows) and dermal structures (red arrows), (H&amp;Ex400).</w:t>
      </w:r>
    </w:p>
    <w:p w14:paraId="37EBD848"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6DD5207D" w14:textId="77777777" w:rsidR="007A6B09" w:rsidRPr="00C25EB7" w:rsidRDefault="007A6B09">
      <w:pPr>
        <w:spacing w:after="0" w:line="240" w:lineRule="auto"/>
        <w:jc w:val="both"/>
        <w:rPr>
          <w:rFonts w:ascii="Times New Roman" w:hAnsi="Times New Roman" w:cs="Times New Roman"/>
          <w:bCs/>
          <w:sz w:val="24"/>
          <w:szCs w:val="24"/>
        </w:rPr>
      </w:pPr>
    </w:p>
    <w:p w14:paraId="244C4F8D" w14:textId="77777777" w:rsidR="007A6B09" w:rsidRPr="00C25EB7" w:rsidRDefault="00000000">
      <w:pPr>
        <w:spacing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49149A1B">
          <v:shape id="1040" o:spid="_x0000_s2086" type="#_x0000_m2095" style="position:absolute;left:0;text-align:left;margin-left:99.75pt;margin-top:41.7pt;width:14.25pt;height:36pt;flip:y;z-index:25165158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3668D3C1">
          <v:shape id="1041" o:spid="_x0000_s2085" type="#_x0000_m2095" style="position:absolute;left:0;text-align:left;margin-left:228.75pt;margin-top:42.45pt;width:18.75pt;height:13.5pt;flip:y;z-index:25165260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6E9053B3">
          <v:shape id="1042" o:spid="_x0000_s2084" type="#_x0000_m2095" style="position:absolute;left:0;text-align:left;margin-left:345pt;margin-top:94pt;width:6pt;height:19.7pt;flip:y;z-index:251650560;mso-width-percent:0;mso-height-percent:0;mso-wrap-distance-left:0;mso-wrap-distance-right:0;mso-position-horizontal-relative:text;mso-position-vertical-relative:text;mso-width-percent:0;mso-height-percent:0;mso-width-relative:margin;mso-height-relative:margin" o:spt="32" o:oned="t" path="m,l21600,21600e" filled="f" strokecolor="#ffc000" strokeweight="3pt">
            <v:stroke endarrow="block"/>
            <v:path arrowok="t" fillok="f" o:connecttype="none"/>
            <o:lock v:ext="edit" shapetype="t"/>
          </v:shape>
        </w:pict>
      </w:r>
      <w:bookmarkStart w:id="1" w:name="_Hlk232612386"/>
      <w:bookmarkEnd w:id="1"/>
      <w:r>
        <w:rPr>
          <w:rFonts w:ascii="Times New Roman" w:hAnsi="Times New Roman" w:cs="Times New Roman"/>
          <w:noProof/>
          <w:sz w:val="24"/>
          <w:szCs w:val="24"/>
        </w:rPr>
        <w:pict w14:anchorId="31E7E9E5">
          <v:shapetype id="_x0000_t202" coordsize="21600,21600" o:spt="202" path="m,l,21600r21600,l21600,xe">
            <v:stroke joinstyle="miter"/>
            <v:path gradientshapeok="t" o:connecttype="rect"/>
          </v:shapetype>
          <v:shape id="1044" o:spid="_x0000_s2083" type="#_x0000_t202" style="position:absolute;left:0;text-align:left;margin-left:379.55pt;margin-top:218.7pt;width:36.5pt;height:29pt;z-index:251649536;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5170328A" w14:textId="77777777" w:rsidR="007A6B09" w:rsidRDefault="00E720F9">
                  <w:pPr>
                    <w:jc w:val="center"/>
                    <w:rPr>
                      <w:color w:val="FFFFFF"/>
                      <w:sz w:val="28"/>
                    </w:rPr>
                  </w:pPr>
                  <w:r>
                    <w:rPr>
                      <w:color w:val="FFFFFF"/>
                      <w:sz w:val="28"/>
                    </w:rPr>
                    <w:t>A</w:t>
                  </w:r>
                </w:p>
              </w:txbxContent>
            </v:textbox>
          </v:shape>
        </w:pict>
      </w:r>
      <w:r>
        <w:rPr>
          <w:rFonts w:ascii="Times New Roman" w:hAnsi="Times New Roman" w:cs="Times New Roman"/>
          <w:noProof/>
          <w:sz w:val="24"/>
          <w:szCs w:val="24"/>
        </w:rPr>
        <w:pict w14:anchorId="2904D760">
          <v:shape id="1045" o:spid="_x0000_s2082" type="#_x0000_t202" style="position:absolute;left:0;text-align:left;margin-left:320.1pt;margin-top:140.8pt;width:36.5pt;height:29pt;z-index:251648512;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06347A92" w14:textId="77777777" w:rsidR="007A6B09" w:rsidRDefault="00E720F9">
                  <w:pPr>
                    <w:jc w:val="center"/>
                    <w:rPr>
                      <w:color w:val="FFFFFF"/>
                      <w:sz w:val="28"/>
                    </w:rPr>
                  </w:pPr>
                  <w:r>
                    <w:rPr>
                      <w:color w:val="FFFFFF"/>
                      <w:sz w:val="28"/>
                    </w:rPr>
                    <w:t>A</w:t>
                  </w:r>
                </w:p>
              </w:txbxContent>
            </v:textbox>
          </v:shape>
        </w:pict>
      </w:r>
      <w:r>
        <w:rPr>
          <w:rFonts w:ascii="Times New Roman" w:hAnsi="Times New Roman" w:cs="Times New Roman"/>
          <w:noProof/>
          <w:sz w:val="24"/>
          <w:szCs w:val="24"/>
        </w:rPr>
        <w:pict w14:anchorId="39C747E8">
          <v:shape id="1046" o:spid="_x0000_s2081" type="#_x0000_t202" style="position:absolute;left:0;text-align:left;margin-left:276.6pt;margin-top:26.4pt;width:36.5pt;height:29pt;z-index:251645440;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3B670DB4" w14:textId="77777777" w:rsidR="007A6B09" w:rsidRDefault="00E720F9">
                  <w:pPr>
                    <w:rPr>
                      <w:color w:val="FFFFFF"/>
                      <w:sz w:val="28"/>
                    </w:rPr>
                  </w:pPr>
                  <w:r>
                    <w:rPr>
                      <w:color w:val="FFFFFF"/>
                      <w:sz w:val="28"/>
                    </w:rPr>
                    <w:t>B</w:t>
                  </w:r>
                </w:p>
              </w:txbxContent>
            </v:textbox>
          </v:shape>
        </w:pict>
      </w:r>
      <w:r>
        <w:rPr>
          <w:rFonts w:ascii="Times New Roman" w:hAnsi="Times New Roman" w:cs="Times New Roman"/>
          <w:noProof/>
          <w:sz w:val="24"/>
          <w:szCs w:val="24"/>
        </w:rPr>
        <w:pict w14:anchorId="2D1E5471">
          <v:shape id="1047" o:spid="_x0000_s2080" type="#_x0000_t202" style="position:absolute;left:0;text-align:left;margin-left:64.5pt;margin-top:154.85pt;width:36.5pt;height:29pt;z-index:251647488;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4D9822A6" w14:textId="77777777" w:rsidR="007A6B09" w:rsidRDefault="00E720F9">
                  <w:pPr>
                    <w:rPr>
                      <w:color w:val="FFFFFF"/>
                      <w:sz w:val="28"/>
                    </w:rPr>
                  </w:pPr>
                  <w:r>
                    <w:rPr>
                      <w:color w:val="FFFFFF"/>
                      <w:sz w:val="28"/>
                    </w:rPr>
                    <w:t>c</w:t>
                  </w:r>
                </w:p>
              </w:txbxContent>
            </v:textbox>
          </v:shape>
        </w:pict>
      </w:r>
      <w:r>
        <w:rPr>
          <w:rFonts w:ascii="Times New Roman" w:hAnsi="Times New Roman" w:cs="Times New Roman"/>
          <w:noProof/>
          <w:sz w:val="24"/>
          <w:szCs w:val="24"/>
        </w:rPr>
        <w:pict w14:anchorId="7F9A3FA0">
          <v:shape id="1048" o:spid="_x0000_s2079" type="#_x0000_t202" style="position:absolute;left:0;text-align:left;margin-left:290.65pt;margin-top:211.25pt;width:36.5pt;height:29pt;z-index:251646464;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2CA4E47A" w14:textId="77777777" w:rsidR="007A6B09" w:rsidRDefault="00E720F9">
                  <w:pPr>
                    <w:rPr>
                      <w:color w:val="FFFFFF"/>
                      <w:sz w:val="28"/>
                    </w:rPr>
                  </w:pPr>
                  <w:r>
                    <w:rPr>
                      <w:color w:val="FFFFFF"/>
                      <w:sz w:val="28"/>
                    </w:rPr>
                    <w:t>c</w:t>
                  </w:r>
                </w:p>
              </w:txbxContent>
            </v:textbox>
          </v:shape>
        </w:pict>
      </w:r>
      <w:r w:rsidR="00E720F9" w:rsidRPr="00C25EB7">
        <w:rPr>
          <w:rFonts w:ascii="Times New Roman" w:hAnsi="Times New Roman" w:cs="Times New Roman"/>
          <w:b/>
          <w:noProof/>
          <w:sz w:val="24"/>
          <w:szCs w:val="24"/>
        </w:rPr>
        <w:drawing>
          <wp:inline distT="0" distB="0" distL="0" distR="0" wp14:anchorId="5B87CF64" wp14:editId="042C0952">
            <wp:extent cx="4991100" cy="3076226"/>
            <wp:effectExtent l="0" t="0" r="0" b="0"/>
            <wp:docPr id="10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rot="10800000">
                      <a:off x="0" y="0"/>
                      <a:ext cx="4991100" cy="3076226"/>
                    </a:xfrm>
                    <a:prstGeom prst="rect">
                      <a:avLst/>
                    </a:prstGeom>
                  </pic:spPr>
                </pic:pic>
              </a:graphicData>
            </a:graphic>
          </wp:inline>
        </w:drawing>
      </w:r>
    </w:p>
    <w:p w14:paraId="1E949CAE" w14:textId="11B619B4"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Figure.6. Photomicrograph section of skin tissue with chronic spongiotic dermatitis. The hematoxylin stain demonstrated clear nuclear cytoplasmic differentiation with refractive intensity between the nucleus and cytoplasm cellularly with melanocytic infiltration (blue arrows) and between the epidermis and dermis structurally showing spongiosis and hyperkeratosis. (H&amp;E x400).</w:t>
      </w:r>
    </w:p>
    <w:p w14:paraId="464B8B7D"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5B3310CD" w14:textId="77777777" w:rsidR="007A6B09" w:rsidRPr="00C25EB7" w:rsidRDefault="007A6B09">
      <w:pPr>
        <w:spacing w:after="0" w:line="240" w:lineRule="auto"/>
        <w:jc w:val="both"/>
        <w:rPr>
          <w:rFonts w:ascii="Times New Roman" w:hAnsi="Times New Roman" w:cs="Times New Roman"/>
          <w:bCs/>
          <w:sz w:val="24"/>
          <w:szCs w:val="24"/>
        </w:rPr>
      </w:pPr>
    </w:p>
    <w:p w14:paraId="511872DF" w14:textId="77777777" w:rsidR="007A6B09" w:rsidRPr="00C25EB7" w:rsidRDefault="007A6B09">
      <w:pPr>
        <w:spacing w:after="0" w:line="240" w:lineRule="auto"/>
        <w:jc w:val="both"/>
        <w:rPr>
          <w:rFonts w:ascii="Times New Roman" w:hAnsi="Times New Roman" w:cs="Times New Roman"/>
          <w:b/>
          <w:sz w:val="24"/>
          <w:szCs w:val="24"/>
        </w:rPr>
      </w:pPr>
    </w:p>
    <w:p w14:paraId="31FBAC28"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286E4809">
          <v:shape id="1050" o:spid="_x0000_s2078" type="#_x0000_m2095" style="position:absolute;left:0;text-align:left;margin-left:282pt;margin-top:167.25pt;width:15.75pt;height:23.25pt;z-index:251658752;mso-width-percent:0;mso-height-percent:0;mso-wrap-distance-left:0;mso-wrap-distance-right:0;mso-position-horizontal-relative:text;mso-position-vertical-relative:text;mso-width-percent:0;mso-height-percent:0;mso-width-relative:margin;mso-height-relative:margin" o:spt="32" o:oned="t" path="m,l21600,21600e" filled="f" strokecolor="red" strokeweight="3pt">
            <v:stroke endarrow="block"/>
            <v:path arrowok="t" fillok="f" o:connecttype="none"/>
            <o:lock v:ext="edit" shapetype="t"/>
          </v:shape>
        </w:pict>
      </w:r>
      <w:r>
        <w:rPr>
          <w:rFonts w:ascii="Times New Roman" w:hAnsi="Times New Roman" w:cs="Times New Roman"/>
          <w:noProof/>
          <w:sz w:val="24"/>
          <w:szCs w:val="24"/>
        </w:rPr>
        <w:pict w14:anchorId="29CE526B">
          <v:shape id="1051" o:spid="_x0000_s2077" type="#_x0000_m2095" style="position:absolute;left:0;text-align:left;margin-left:123.75pt;margin-top:65.55pt;width:12.75pt;height:22.5pt;flip:y;z-index:251657728;mso-width-percent:0;mso-height-percent:0;mso-wrap-distance-left:0;mso-wrap-distance-right:0;mso-position-horizontal-relative:text;mso-position-vertical-relative:text;mso-width-percent:0;mso-height-percent:0;mso-width-relative:margin;mso-height-relative:margin" o:spt="32" o:oned="t" path="m,l21600,21600e" filled="f" strokecolor="#0d0d0d" strokeweight="3pt">
            <v:stroke endarrow="block"/>
            <v:path arrowok="t" fillok="f" o:connecttype="none"/>
            <o:lock v:ext="edit" shapetype="t"/>
          </v:shape>
        </w:pict>
      </w:r>
      <w:r>
        <w:rPr>
          <w:rFonts w:ascii="Times New Roman" w:hAnsi="Times New Roman" w:cs="Times New Roman"/>
          <w:noProof/>
          <w:sz w:val="24"/>
          <w:szCs w:val="24"/>
        </w:rPr>
        <w:pict w14:anchorId="6B3CA1D8">
          <v:shape id="1052" o:spid="_x0000_s2076" type="#_x0000_m2095" style="position:absolute;left:0;text-align:left;margin-left:225.75pt;margin-top:67.05pt;width:7.5pt;height:15pt;flip:x;z-index:251655680;mso-width-percent:0;mso-height-percent:0;mso-wrap-distance-left:0;mso-wrap-distance-right:0;mso-position-horizontal-relative:text;mso-position-vertical-relative:text;mso-width-percent:0;mso-height-percent:0;mso-width-relative:margin;mso-height-relative:margin" o:spt="32" o:oned="t" path="m,l21600,21600e" filled="f" strokeweight="3pt">
            <v:stroke endarrow="block"/>
            <v:path arrowok="t" fillok="f" o:connecttype="none"/>
            <o:lock v:ext="edit" shapetype="t"/>
          </v:shape>
        </w:pict>
      </w:r>
      <w:r>
        <w:rPr>
          <w:rFonts w:ascii="Times New Roman" w:hAnsi="Times New Roman" w:cs="Times New Roman"/>
          <w:noProof/>
          <w:sz w:val="24"/>
          <w:szCs w:val="24"/>
        </w:rPr>
        <w:pict w14:anchorId="1019C68B">
          <v:shape id="1053" o:spid="_x0000_s2075" type="#_x0000_m2095" style="position:absolute;left:0;text-align:left;margin-left:14.25pt;margin-top:55.95pt;width:22.5pt;height:19.5pt;z-index:251654656;mso-width-percent:0;mso-height-percent:0;mso-wrap-distance-left:0;mso-wrap-distance-right:0;mso-position-horizontal-relative:text;mso-position-vertical-relative:text;mso-width-percent:0;mso-height-percent:0;mso-width-relative:margin;mso-height-relative:margin" o:spt="32" o:oned="t" path="m,l21600,21600e" filled="f" strokeweight="3pt">
            <v:stroke endarrow="block"/>
            <v:path arrowok="t" fillok="f" o:connecttype="none"/>
            <o:lock v:ext="edit" shapetype="t"/>
          </v:shape>
        </w:pict>
      </w:r>
      <w:r>
        <w:rPr>
          <w:rFonts w:ascii="Times New Roman" w:hAnsi="Times New Roman" w:cs="Times New Roman"/>
          <w:noProof/>
          <w:sz w:val="24"/>
          <w:szCs w:val="24"/>
        </w:rPr>
        <w:pict w14:anchorId="47E28BB3">
          <v:shape id="1054" o:spid="_x0000_s2074" type="#_x0000_m2095" style="position:absolute;left:0;text-align:left;margin-left:56.25pt;margin-top:191.55pt;width:15.75pt;height:23.25pt;z-index:251656704;mso-width-percent:0;mso-height-percent:0;mso-wrap-distance-left:0;mso-wrap-distance-right:0;mso-position-horizontal-relative:text;mso-position-vertical-relative:text;mso-width-percent:0;mso-height-percent:0;mso-width-relative:margin;mso-height-relative:margin" o:spt="32" o:oned="t" path="m,l21600,21600e" filled="f" strokecolor="red" strokeweight="3pt">
            <v:stroke endarrow="block"/>
            <v:path arrowok="t" fillok="f" o:connecttype="none"/>
            <o:lock v:ext="edit" shapetype="t"/>
          </v:shape>
        </w:pict>
      </w:r>
      <w:r>
        <w:rPr>
          <w:rFonts w:ascii="Times New Roman" w:hAnsi="Times New Roman" w:cs="Times New Roman"/>
          <w:noProof/>
          <w:sz w:val="24"/>
          <w:szCs w:val="24"/>
        </w:rPr>
        <w:pict w14:anchorId="59163DA0">
          <v:shape id="1055" o:spid="_x0000_s2073" type="#_x0000_t202" style="position:absolute;left:0;text-align:left;margin-left:56.55pt;margin-top:26.5pt;width:36.5pt;height:29pt;z-index:251653632;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78F7630C" w14:textId="77777777" w:rsidR="007A6B09" w:rsidRDefault="00E720F9">
                  <w:pPr>
                    <w:rPr>
                      <w:color w:val="FFFFFF"/>
                      <w:sz w:val="28"/>
                    </w:rPr>
                  </w:pPr>
                  <w:r>
                    <w:rPr>
                      <w:color w:val="FFFFFF"/>
                      <w:sz w:val="28"/>
                    </w:rPr>
                    <w:t>F</w:t>
                  </w:r>
                </w:p>
              </w:txbxContent>
            </v:textbox>
          </v:shape>
        </w:pict>
      </w:r>
      <w:r w:rsidR="00E720F9" w:rsidRPr="00C25EB7">
        <w:rPr>
          <w:rFonts w:ascii="Times New Roman" w:hAnsi="Times New Roman" w:cs="Times New Roman"/>
          <w:b/>
          <w:noProof/>
          <w:sz w:val="24"/>
          <w:szCs w:val="24"/>
        </w:rPr>
        <w:drawing>
          <wp:inline distT="0" distB="0" distL="0" distR="0" wp14:anchorId="4546F6AC" wp14:editId="4E71EC44">
            <wp:extent cx="5265682" cy="2995448"/>
            <wp:effectExtent l="0" t="0" r="0" b="0"/>
            <wp:docPr id="105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rot="10800000">
                      <a:off x="0" y="0"/>
                      <a:ext cx="5265682" cy="2995448"/>
                    </a:xfrm>
                    <a:prstGeom prst="rect">
                      <a:avLst/>
                    </a:prstGeom>
                  </pic:spPr>
                </pic:pic>
              </a:graphicData>
            </a:graphic>
          </wp:inline>
        </w:drawing>
      </w:r>
    </w:p>
    <w:p w14:paraId="1F083786" w14:textId="77777777" w:rsidR="007A6B09" w:rsidRPr="00C25EB7" w:rsidRDefault="007A6B09">
      <w:pPr>
        <w:spacing w:after="0" w:line="240" w:lineRule="auto"/>
        <w:jc w:val="both"/>
        <w:rPr>
          <w:rFonts w:ascii="Times New Roman" w:hAnsi="Times New Roman" w:cs="Times New Roman"/>
          <w:b/>
          <w:sz w:val="24"/>
          <w:szCs w:val="24"/>
        </w:rPr>
      </w:pPr>
    </w:p>
    <w:p w14:paraId="1946E3FA" w14:textId="1204CC0F"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 7 Photomicrograph of a skin section</w:t>
      </w:r>
      <w:bookmarkStart w:id="2" w:name="_Hlk230843718"/>
      <w:r w:rsidRPr="00C25EB7">
        <w:rPr>
          <w:rFonts w:ascii="Times New Roman" w:hAnsi="Times New Roman" w:cs="Times New Roman"/>
          <w:bCs/>
          <w:sz w:val="24"/>
          <w:szCs w:val="24"/>
        </w:rPr>
        <w:t xml:space="preserve"> showing Chronic Granulomatous Inflammation</w:t>
      </w:r>
      <w:bookmarkEnd w:id="2"/>
      <w:r w:rsidRPr="00C25EB7">
        <w:rPr>
          <w:rFonts w:ascii="Times New Roman" w:hAnsi="Times New Roman" w:cs="Times New Roman"/>
          <w:bCs/>
          <w:sz w:val="24"/>
          <w:szCs w:val="24"/>
        </w:rPr>
        <w:t xml:space="preserve"> stained with Hematoxylin and counterstained with 95% Ethanol crude Extract of </w:t>
      </w:r>
      <w:r w:rsidRPr="00C25EB7">
        <w:rPr>
          <w:rFonts w:ascii="Times New Roman" w:hAnsi="Times New Roman" w:cs="Times New Roman"/>
          <w:bCs/>
          <w:i/>
          <w:iCs/>
          <w:sz w:val="24"/>
          <w:szCs w:val="24"/>
        </w:rPr>
        <w:t>Annatto</w:t>
      </w:r>
      <w:r w:rsidRPr="00C25EB7">
        <w:rPr>
          <w:rFonts w:ascii="Times New Roman" w:hAnsi="Times New Roman" w:cs="Times New Roman"/>
          <w:bCs/>
          <w:sz w:val="24"/>
          <w:szCs w:val="24"/>
        </w:rPr>
        <w:t xml:space="preserve"> seed. Section showed epidermal acanthosis (black arrows) at the epidermis but poor dermal structures expression (red arrows). (H &amp; 95% Ethanol Extract x100).</w:t>
      </w:r>
    </w:p>
    <w:p w14:paraId="4FA4AE8F"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7BC97B63" w14:textId="77777777" w:rsidR="007A6B09" w:rsidRPr="00C25EB7" w:rsidRDefault="007A6B09">
      <w:pPr>
        <w:spacing w:after="0" w:line="240" w:lineRule="auto"/>
        <w:jc w:val="both"/>
        <w:rPr>
          <w:rFonts w:ascii="Times New Roman" w:hAnsi="Times New Roman" w:cs="Times New Roman"/>
          <w:bCs/>
          <w:sz w:val="24"/>
          <w:szCs w:val="24"/>
        </w:rPr>
      </w:pPr>
    </w:p>
    <w:p w14:paraId="7B8F8431"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0381C6FF">
          <v:shape id="1057" o:spid="_x0000_s2072" type="#_x0000_m2095" style="position:absolute;left:0;text-align:left;margin-left:168.75pt;margin-top:220.05pt;width:24.75pt;height:9.75pt;z-index:251665920;mso-width-percent:0;mso-height-percent:0;mso-wrap-distance-left:0;mso-wrap-distance-right:0;mso-position-horizontal-relative:text;mso-position-vertical-relative:text;mso-width-percent:0;mso-height-percent:0;mso-width-relative:margin;mso-height-relative:margin" o:spt="32" o:oned="t" path="m,l21600,21600e" filled="f" strokecolor="#00b050" strokeweight="3pt">
            <v:stroke endarrow="block"/>
            <v:path arrowok="t" fillok="f" o:connecttype="none"/>
            <o:lock v:ext="edit" shapetype="t"/>
          </v:shape>
        </w:pict>
      </w:r>
      <w:r>
        <w:rPr>
          <w:rFonts w:ascii="Times New Roman" w:hAnsi="Times New Roman" w:cs="Times New Roman"/>
          <w:noProof/>
          <w:sz w:val="24"/>
          <w:szCs w:val="24"/>
        </w:rPr>
        <w:pict w14:anchorId="24BBD365">
          <v:shape id="1058" o:spid="_x0000_s2071" type="#_x0000_m2095" style="position:absolute;left:0;text-align:left;margin-left:126.75pt;margin-top:81.3pt;width:12.75pt;height:17.25pt;flip:y;z-index:251661824;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54A98A5B">
          <v:shape id="1059" o:spid="_x0000_s2070" type="#_x0000_m2095" style="position:absolute;left:0;text-align:left;margin-left:201pt;margin-top:7.8pt;width:34.5pt;height:17.25pt;flip:x;z-index:251664896;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072D9589">
          <v:shape id="1060" o:spid="_x0000_s2069" type="#_x0000_m2095" style="position:absolute;left:0;text-align:left;margin-left:185.25pt;margin-top:149.55pt;width:3.6pt;height:30pt;flip:x y;z-index:251662848;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7ACE5F64">
          <v:shape id="1061" o:spid="_x0000_s2068" type="#_x0000_m2095" style="position:absolute;left:0;text-align:left;margin-left:35.25pt;margin-top:175.2pt;width:9pt;height:24pt;flip:x;z-index:251663872;mso-width-percent:0;mso-height-percent:0;mso-wrap-distance-left:0;mso-wrap-distance-right:0;mso-position-horizontal-relative:text;mso-position-vertical-relative:text;mso-width-percent:0;mso-height-percent:0;mso-width-relative:margin;mso-height-relative:margin" o:spt="32" o:oned="t" path="m,l21600,21600e" filled="f" strokecolor="yellow" strokeweight="3pt">
            <v:stroke endarrow="block"/>
            <v:path arrowok="t" fillok="f" o:connecttype="none"/>
            <o:lock v:ext="edit" shapetype="t"/>
          </v:shape>
        </w:pict>
      </w:r>
      <w:r>
        <w:rPr>
          <w:rFonts w:ascii="Times New Roman" w:hAnsi="Times New Roman" w:cs="Times New Roman"/>
          <w:noProof/>
          <w:sz w:val="24"/>
          <w:szCs w:val="24"/>
        </w:rPr>
        <w:pict w14:anchorId="5A2E6920">
          <v:shape id="1062" o:spid="_x0000_s2067" type="#_x0000_m2095" style="position:absolute;left:0;text-align:left;margin-left:241.5pt;margin-top:70.2pt;width:3.75pt;height:19.5pt;flip:x;z-index:251659776;mso-width-percent:0;mso-height-percent:0;mso-wrap-distance-left:0;mso-wrap-distance-right:0;mso-position-horizontal-relative:text;mso-position-vertical-relative:text;mso-width-percent:0;mso-height-percent:0;mso-width-relative:margin;mso-height-relative:margin" o:spt="32" o:oned="t" path="m,l21600,21600e" filled="f" strokecolor="#0d0d0d" strokeweight="3pt">
            <v:stroke endarrow="block"/>
            <v:path arrowok="t" fillok="f" o:connecttype="none"/>
            <o:lock v:ext="edit" shapetype="t"/>
          </v:shape>
        </w:pict>
      </w:r>
      <w:r>
        <w:rPr>
          <w:rFonts w:ascii="Times New Roman" w:hAnsi="Times New Roman" w:cs="Times New Roman"/>
          <w:noProof/>
          <w:sz w:val="24"/>
          <w:szCs w:val="24"/>
        </w:rPr>
        <w:pict w14:anchorId="4183DCBF">
          <v:shape id="1063" o:spid="_x0000_s2066" type="#_x0000_m2095" style="position:absolute;left:0;text-align:left;margin-left:336.75pt;margin-top:63.45pt;width:26.25pt;height:29.25pt;flip:x;z-index:25166080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7AB86958" wp14:editId="0FAE4CA2">
            <wp:extent cx="5373479" cy="3267075"/>
            <wp:effectExtent l="0" t="0" r="0" b="0"/>
            <wp:docPr id="106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rot="10800000">
                      <a:off x="0" y="0"/>
                      <a:ext cx="5373479" cy="3267075"/>
                    </a:xfrm>
                    <a:prstGeom prst="rect">
                      <a:avLst/>
                    </a:prstGeom>
                  </pic:spPr>
                </pic:pic>
              </a:graphicData>
            </a:graphic>
          </wp:inline>
        </w:drawing>
      </w:r>
    </w:p>
    <w:p w14:paraId="4BCF3620" w14:textId="5D1521BB"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Figure.8. Photomicrograph of a section of Skin tissue from a patient with Lichen Planus. Section showed the epidermis with well demonstrated hyper keratinization (blue arrows) and pigmentation in the stratified epithelial tissue with infiltration of melanocytes (red arrows) and myxoid dermis (green arrows) with focal thinning and thickened granular layer (yellow arrow) with irregular epidermal hyperplasia. (H &amp; 95% Ethanol Extract x400).</w:t>
      </w:r>
    </w:p>
    <w:p w14:paraId="675C39DF"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58250E74" w14:textId="77777777" w:rsidR="007A6B09" w:rsidRPr="00C25EB7" w:rsidRDefault="007A6B09">
      <w:pPr>
        <w:spacing w:after="0" w:line="240" w:lineRule="auto"/>
        <w:jc w:val="both"/>
        <w:rPr>
          <w:rFonts w:ascii="Times New Roman" w:hAnsi="Times New Roman" w:cs="Times New Roman"/>
          <w:bCs/>
          <w:sz w:val="24"/>
          <w:szCs w:val="24"/>
        </w:rPr>
      </w:pPr>
    </w:p>
    <w:p w14:paraId="20A86E4E" w14:textId="77777777" w:rsidR="007A6B09" w:rsidRPr="00C25EB7" w:rsidRDefault="007A6B09">
      <w:pPr>
        <w:spacing w:after="0" w:line="240" w:lineRule="auto"/>
        <w:jc w:val="both"/>
        <w:rPr>
          <w:rFonts w:ascii="Times New Roman" w:hAnsi="Times New Roman" w:cs="Times New Roman"/>
          <w:b/>
          <w:sz w:val="24"/>
          <w:szCs w:val="24"/>
        </w:rPr>
      </w:pPr>
    </w:p>
    <w:p w14:paraId="789C6AF8"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2CBE997A">
          <v:shape id="1065" o:spid="_x0000_s2065" type="#_x0000_m2095" style="position:absolute;left:0;text-align:left;margin-left:301.45pt;margin-top:198.1pt;width:24pt;height:10.5pt;flip:x;z-index:25166694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2712A0C2">
          <v:shape id="1066" o:spid="_x0000_s2064" type="#_x0000_m2095" style="position:absolute;left:0;text-align:left;margin-left:90pt;margin-top:218.25pt;width:15.75pt;height:23.25pt;z-index:251668992;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10ADF83D">
          <v:shape id="1067" o:spid="_x0000_s2063" type="#_x0000_m2095" style="position:absolute;left:0;text-align:left;margin-left:124.5pt;margin-top:108.75pt;width:15.75pt;height:23.25pt;z-index:251670016;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7D18F3C1">
          <v:shape id="1068" o:spid="_x0000_s2062" type="#_x0000_m2095" style="position:absolute;left:0;text-align:left;margin-left:201pt;margin-top:183pt;width:15.75pt;height:23.25pt;z-index:25166796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414C2AC6" wp14:editId="2211CAEB">
            <wp:extent cx="5454869" cy="3279057"/>
            <wp:effectExtent l="0" t="0" r="0" b="0"/>
            <wp:docPr id="106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21" cstate="print">
                      <a:extLst>
                        <a:ext uri="{28A0092B-C50C-407E-A947-70E740481C1C}">
                          <a14:useLocalDpi xmlns:a14="http://schemas.microsoft.com/office/drawing/2010/main" val="0"/>
                        </a:ext>
                      </a:extLst>
                    </a:blip>
                    <a:srcRect/>
                    <a:stretch>
                      <a:fillRect/>
                    </a:stretch>
                  </pic:blipFill>
                  <pic:spPr>
                    <a:xfrm>
                      <a:off x="0" y="0"/>
                      <a:ext cx="5454869" cy="3279057"/>
                    </a:xfrm>
                    <a:prstGeom prst="rect">
                      <a:avLst/>
                    </a:prstGeom>
                  </pic:spPr>
                </pic:pic>
              </a:graphicData>
            </a:graphic>
          </wp:inline>
        </w:drawing>
      </w:r>
    </w:p>
    <w:p w14:paraId="23C0949F" w14:textId="0EBBEB50"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Figure.9 Photomicrograph of a section of Skin tissue from a patient with Chronic Spongiotic Dermatitis. Section showed dermal elements with fluid collection (blue arrows). (H &amp; 95% Ethanol x100)</w:t>
      </w:r>
    </w:p>
    <w:p w14:paraId="2E125A39"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noProof/>
          <w:sz w:val="24"/>
          <w:szCs w:val="24"/>
        </w:rPr>
        <w:lastRenderedPageBreak/>
        <w:drawing>
          <wp:inline distT="0" distB="0" distL="0" distR="0" wp14:anchorId="1FA25CCF" wp14:editId="32CF36F5">
            <wp:extent cx="4913194" cy="5227696"/>
            <wp:effectExtent l="0" t="0" r="0" b="0"/>
            <wp:docPr id="107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22" cstate="print">
                      <a:extLst>
                        <a:ext uri="{28A0092B-C50C-407E-A947-70E740481C1C}">
                          <a14:useLocalDpi xmlns:a14="http://schemas.microsoft.com/office/drawing/2010/main" val="0"/>
                        </a:ext>
                      </a:extLst>
                    </a:blip>
                    <a:srcRect/>
                    <a:stretch>
                      <a:fillRect/>
                    </a:stretch>
                  </pic:blipFill>
                  <pic:spPr>
                    <a:xfrm>
                      <a:off x="0" y="0"/>
                      <a:ext cx="4913194" cy="5227696"/>
                    </a:xfrm>
                    <a:prstGeom prst="rect">
                      <a:avLst/>
                    </a:prstGeom>
                  </pic:spPr>
                </pic:pic>
              </a:graphicData>
            </a:graphic>
          </wp:inline>
        </w:drawing>
      </w:r>
      <w:r w:rsidR="00000000">
        <w:rPr>
          <w:rFonts w:ascii="Times New Roman" w:hAnsi="Times New Roman" w:cs="Times New Roman"/>
          <w:noProof/>
          <w:sz w:val="24"/>
          <w:szCs w:val="24"/>
        </w:rPr>
        <w:pict w14:anchorId="527C32F7">
          <v:shape id="1071" o:spid="_x0000_s2061" type="#_x0000_m2095" style="position:absolute;left:0;text-align:left;margin-left:171.75pt;margin-top:194.1pt;width:15.75pt;height:23.25pt;z-index:25167104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000000">
        <w:rPr>
          <w:rFonts w:ascii="Times New Roman" w:hAnsi="Times New Roman" w:cs="Times New Roman"/>
          <w:noProof/>
          <w:sz w:val="24"/>
          <w:szCs w:val="24"/>
        </w:rPr>
        <w:pict w14:anchorId="01BBFF08">
          <v:shape id="1072" o:spid="_x0000_s2060" type="#_x0000_m2095" style="position:absolute;left:0;text-align:left;margin-left:271.5pt;margin-top:26.1pt;width:15.75pt;height:23.25pt;z-index:25167206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000000">
        <w:rPr>
          <w:rFonts w:ascii="Times New Roman" w:hAnsi="Times New Roman" w:cs="Times New Roman"/>
          <w:noProof/>
          <w:sz w:val="24"/>
          <w:szCs w:val="24"/>
        </w:rPr>
        <w:pict w14:anchorId="24338C75">
          <v:shape id="1073" o:spid="_x0000_s2059" type="#_x0000_m2095" style="position:absolute;left:0;text-align:left;margin-left:81.75pt;margin-top:165.6pt;width:15.75pt;height:23.25pt;z-index:25167308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000000">
        <w:rPr>
          <w:rFonts w:ascii="Times New Roman" w:hAnsi="Times New Roman" w:cs="Times New Roman"/>
          <w:noProof/>
          <w:sz w:val="24"/>
          <w:szCs w:val="24"/>
        </w:rPr>
        <w:pict w14:anchorId="68A020F9">
          <v:shape id="1074" o:spid="_x0000_s2058" type="#_x0000_m2095" style="position:absolute;left:0;text-align:left;margin-left:224.25pt;margin-top:145.35pt;width:15.75pt;height:23.25pt;z-index:251674112;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p>
    <w:p w14:paraId="111C1AF8" w14:textId="5A3F1083" w:rsidR="007A6B09" w:rsidRPr="00C25EB7" w:rsidRDefault="00E720F9">
      <w:pPr>
        <w:spacing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 10 Photomicrograph of a section of skin tissue from a patient with Chronic Granulomatous Inflammation. Section showed granuloma dermal reaction (blue arrows). (H &amp; Acetone Extract x100)</w:t>
      </w:r>
    </w:p>
    <w:p w14:paraId="7E4362E6" w14:textId="77777777" w:rsidR="007A6B09" w:rsidRPr="00C25EB7" w:rsidRDefault="007A6B09">
      <w:pPr>
        <w:spacing w:line="240" w:lineRule="auto"/>
        <w:jc w:val="both"/>
        <w:rPr>
          <w:rFonts w:ascii="Times New Roman" w:hAnsi="Times New Roman" w:cs="Times New Roman"/>
          <w:b/>
          <w:sz w:val="24"/>
          <w:szCs w:val="24"/>
        </w:rPr>
      </w:pPr>
    </w:p>
    <w:p w14:paraId="7A360457" w14:textId="77777777" w:rsidR="007A6B09" w:rsidRPr="00C25EB7" w:rsidRDefault="007A6B09">
      <w:pPr>
        <w:spacing w:after="0" w:line="240" w:lineRule="auto"/>
        <w:jc w:val="both"/>
        <w:rPr>
          <w:rFonts w:ascii="Times New Roman" w:hAnsi="Times New Roman" w:cs="Times New Roman"/>
          <w:b/>
          <w:sz w:val="24"/>
          <w:szCs w:val="24"/>
        </w:rPr>
      </w:pPr>
    </w:p>
    <w:p w14:paraId="0551884D"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23E6ADD8"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lastRenderedPageBreak/>
        <w:pict w14:anchorId="621DD156">
          <v:shape id="1075" o:spid="_x0000_s2057" type="#_x0000_m2095" style="position:absolute;left:0;text-align:left;margin-left:160.5pt;margin-top:117pt;width:15.75pt;height:23.25pt;z-index:251678208;mso-width-percent:0;mso-height-percent:0;mso-wrap-distance-left:0;mso-wrap-distance-right:0;mso-position-horizontal-relative:text;mso-position-vertical-relative:text;mso-width-percent:0;mso-height-percent:0;mso-width-relative:margin;mso-height-relative:margin" o:spt="32" o:oned="t" path="m,l21600,21600e" filled="f" strokecolor="#ffc000" strokeweight="3pt">
            <v:stroke endarrow="block"/>
            <v:path arrowok="t" fillok="f" o:connecttype="none"/>
            <o:lock v:ext="edit" shapetype="t"/>
          </v:shape>
        </w:pict>
      </w:r>
      <w:r>
        <w:rPr>
          <w:rFonts w:ascii="Times New Roman" w:hAnsi="Times New Roman" w:cs="Times New Roman"/>
          <w:noProof/>
          <w:sz w:val="24"/>
          <w:szCs w:val="24"/>
        </w:rPr>
        <w:pict w14:anchorId="2CF4CB20">
          <v:shape id="1076" o:spid="_x0000_s2056" type="#_x0000_m2095" style="position:absolute;left:0;text-align:left;margin-left:297pt;margin-top:217.5pt;width:15.75pt;height:23.25pt;z-index:251677184;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46216045">
          <v:shape id="1077" o:spid="_x0000_s2055" type="#_x0000_m2095" style="position:absolute;left:0;text-align:left;margin-left:184.5pt;margin-top:73.5pt;width:15.75pt;height:23.25pt;z-index:251675136;mso-width-percent:0;mso-height-percent:0;mso-wrap-distance-left:0;mso-wrap-distance-right:0;mso-position-horizontal-relative:text;mso-position-vertical-relative:text;mso-width-percent:0;mso-height-percent:0;mso-width-relative:margin;mso-height-relative:margin" o:spt="32" o:oned="t" path="m,l21600,21600e" filled="f" strokeweight="3pt">
            <v:stroke endarrow="block"/>
            <v:path arrowok="t" fillok="f" o:connecttype="none"/>
            <o:lock v:ext="edit" shapetype="t"/>
          </v:shape>
        </w:pict>
      </w:r>
      <w:r>
        <w:rPr>
          <w:rFonts w:ascii="Times New Roman" w:hAnsi="Times New Roman" w:cs="Times New Roman"/>
          <w:noProof/>
          <w:sz w:val="24"/>
          <w:szCs w:val="24"/>
        </w:rPr>
        <w:pict w14:anchorId="09770226">
          <v:shape id="1078" o:spid="_x0000_s2054" type="#_x0000_m2095" style="position:absolute;left:0;text-align:left;margin-left:21.75pt;margin-top:107.25pt;width:15.75pt;height:23.25pt;z-index:251676160;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359A1F6E" wp14:editId="74B49E91">
            <wp:extent cx="5095874" cy="3517576"/>
            <wp:effectExtent l="0" t="0" r="0" b="6985"/>
            <wp:docPr id="107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23" cstate="print">
                      <a:extLst>
                        <a:ext uri="{28A0092B-C50C-407E-A947-70E740481C1C}">
                          <a14:useLocalDpi xmlns:a14="http://schemas.microsoft.com/office/drawing/2010/main" val="0"/>
                        </a:ext>
                      </a:extLst>
                    </a:blip>
                    <a:srcRect/>
                    <a:stretch>
                      <a:fillRect/>
                    </a:stretch>
                  </pic:blipFill>
                  <pic:spPr>
                    <a:xfrm rot="10800000">
                      <a:off x="0" y="0"/>
                      <a:ext cx="5095874" cy="3517576"/>
                    </a:xfrm>
                    <a:prstGeom prst="rect">
                      <a:avLst/>
                    </a:prstGeom>
                  </pic:spPr>
                </pic:pic>
              </a:graphicData>
            </a:graphic>
          </wp:inline>
        </w:drawing>
      </w:r>
    </w:p>
    <w:p w14:paraId="63A7EFF6" w14:textId="40695120"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Figure.11 Photomicrograph of a section of skin tissue taken from a patient with Lichen planus. Section showed thickened epidermal layer with hyperkeratosis (black arrow) and infiltration of melanin pigments in keratinocytes. There is also infiltration of melanocytes at the hypodermis and epithelial tissue hyper-keratinization (red arrows), (H &amp;Acetone x400)</w:t>
      </w:r>
    </w:p>
    <w:p w14:paraId="3CADAEEC"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6E1C658E" w14:textId="77777777" w:rsidR="007A6B09" w:rsidRPr="00C25EB7" w:rsidRDefault="007A6B09">
      <w:pPr>
        <w:spacing w:line="240" w:lineRule="auto"/>
        <w:jc w:val="both"/>
        <w:rPr>
          <w:rFonts w:ascii="Times New Roman" w:hAnsi="Times New Roman" w:cs="Times New Roman"/>
          <w:sz w:val="24"/>
          <w:szCs w:val="24"/>
        </w:rPr>
      </w:pPr>
    </w:p>
    <w:p w14:paraId="5270DFE9" w14:textId="77777777" w:rsidR="007A6B09" w:rsidRPr="00C25EB7" w:rsidRDefault="007A6B09">
      <w:pPr>
        <w:spacing w:after="0" w:line="240" w:lineRule="auto"/>
        <w:jc w:val="both"/>
        <w:rPr>
          <w:rFonts w:ascii="Times New Roman" w:hAnsi="Times New Roman" w:cs="Times New Roman"/>
          <w:b/>
          <w:sz w:val="24"/>
          <w:szCs w:val="24"/>
        </w:rPr>
      </w:pPr>
      <w:bookmarkStart w:id="3" w:name="_Hlk232612561"/>
    </w:p>
    <w:p w14:paraId="4F4ADA11" w14:textId="77777777" w:rsidR="007A6B09" w:rsidRPr="00C25EB7" w:rsidRDefault="007A6B09">
      <w:pPr>
        <w:spacing w:after="0" w:line="240" w:lineRule="auto"/>
        <w:jc w:val="both"/>
        <w:rPr>
          <w:rFonts w:ascii="Times New Roman" w:hAnsi="Times New Roman" w:cs="Times New Roman"/>
          <w:b/>
          <w:sz w:val="24"/>
          <w:szCs w:val="24"/>
        </w:rPr>
      </w:pPr>
    </w:p>
    <w:p w14:paraId="059C91A6" w14:textId="77777777" w:rsidR="007A6B09" w:rsidRPr="00C25EB7" w:rsidRDefault="007A6B09">
      <w:pPr>
        <w:spacing w:after="0" w:line="240" w:lineRule="auto"/>
        <w:jc w:val="both"/>
        <w:rPr>
          <w:rFonts w:ascii="Times New Roman" w:hAnsi="Times New Roman" w:cs="Times New Roman"/>
          <w:b/>
          <w:sz w:val="24"/>
          <w:szCs w:val="24"/>
        </w:rPr>
      </w:pPr>
    </w:p>
    <w:p w14:paraId="628C4E1E" w14:textId="77777777" w:rsidR="007A6B09" w:rsidRPr="00C25EB7" w:rsidRDefault="007A6B09">
      <w:pPr>
        <w:spacing w:after="0" w:line="240" w:lineRule="auto"/>
        <w:jc w:val="both"/>
        <w:rPr>
          <w:rFonts w:ascii="Times New Roman" w:hAnsi="Times New Roman" w:cs="Times New Roman"/>
          <w:b/>
          <w:sz w:val="24"/>
          <w:szCs w:val="24"/>
        </w:rPr>
      </w:pPr>
    </w:p>
    <w:p w14:paraId="3B9DB34F" w14:textId="77777777" w:rsidR="007A6B09" w:rsidRPr="00C25EB7" w:rsidRDefault="007A6B09">
      <w:pPr>
        <w:spacing w:after="0" w:line="240" w:lineRule="auto"/>
        <w:jc w:val="both"/>
        <w:rPr>
          <w:rFonts w:ascii="Times New Roman" w:hAnsi="Times New Roman" w:cs="Times New Roman"/>
          <w:b/>
          <w:sz w:val="24"/>
          <w:szCs w:val="24"/>
        </w:rPr>
      </w:pPr>
    </w:p>
    <w:p w14:paraId="2BF4B272" w14:textId="77777777" w:rsidR="007A6B09" w:rsidRPr="00C25EB7" w:rsidRDefault="007A6B09">
      <w:pPr>
        <w:spacing w:after="0" w:line="240" w:lineRule="auto"/>
        <w:jc w:val="both"/>
        <w:rPr>
          <w:rFonts w:ascii="Times New Roman" w:hAnsi="Times New Roman" w:cs="Times New Roman"/>
          <w:b/>
          <w:sz w:val="24"/>
          <w:szCs w:val="24"/>
        </w:rPr>
      </w:pPr>
    </w:p>
    <w:p w14:paraId="656E8399" w14:textId="77777777" w:rsidR="007A6B09" w:rsidRPr="00C25EB7" w:rsidRDefault="007A6B09">
      <w:pPr>
        <w:spacing w:after="0" w:line="240" w:lineRule="auto"/>
        <w:jc w:val="both"/>
        <w:rPr>
          <w:rFonts w:ascii="Times New Roman" w:hAnsi="Times New Roman" w:cs="Times New Roman"/>
          <w:b/>
          <w:sz w:val="24"/>
          <w:szCs w:val="24"/>
        </w:rPr>
      </w:pPr>
    </w:p>
    <w:p w14:paraId="5BBB69A9" w14:textId="77777777" w:rsidR="007A6B09" w:rsidRPr="00C25EB7" w:rsidRDefault="00000000">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pict w14:anchorId="50341830">
          <v:shape id="1080" o:spid="_x0000_s2053" type="#_x0000_m2095" style="position:absolute;left:0;text-align:left;margin-left:171.2pt;margin-top:80.4pt;width:15.75pt;height:23.25pt;z-index:251680256;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7990B87C">
          <v:shape id="1081" o:spid="_x0000_s2052" type="#_x0000_m2095" style="position:absolute;left:0;text-align:left;margin-left:333.5pt;margin-top:123.15pt;width:15.75pt;height:23.25pt;z-index:251679232;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40025F17">
          <v:shape id="1082" o:spid="_x0000_s2051" type="#_x0000_m2095" style="position:absolute;left:0;text-align:left;margin-left:95.65pt;margin-top:230.25pt;width:15.75pt;height:23.25pt;z-index:25168230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3606BA84">
          <v:shape id="1083" o:spid="_x0000_s2050" type="#_x0000_m2095" style="position:absolute;left:0;text-align:left;margin-left:141.65pt;margin-top:179.65pt;width:15.75pt;height:23.25pt;z-index:25168128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3B2E2688" wp14:editId="7488FB4E">
            <wp:extent cx="3561883" cy="4797026"/>
            <wp:effectExtent l="0" t="7936" r="0" b="0"/>
            <wp:docPr id="108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24" cstate="print">
                      <a:extLst>
                        <a:ext uri="{28A0092B-C50C-407E-A947-70E740481C1C}">
                          <a14:useLocalDpi xmlns:a14="http://schemas.microsoft.com/office/drawing/2010/main" val="0"/>
                        </a:ext>
                      </a:extLst>
                    </a:blip>
                    <a:srcRect/>
                    <a:stretch>
                      <a:fillRect/>
                    </a:stretch>
                  </pic:blipFill>
                  <pic:spPr>
                    <a:xfrm rot="16200000">
                      <a:off x="0" y="0"/>
                      <a:ext cx="3561883" cy="4797026"/>
                    </a:xfrm>
                    <a:prstGeom prst="rect">
                      <a:avLst/>
                    </a:prstGeom>
                  </pic:spPr>
                </pic:pic>
              </a:graphicData>
            </a:graphic>
          </wp:inline>
        </w:drawing>
      </w:r>
    </w:p>
    <w:p w14:paraId="3FD15382" w14:textId="235A02CE"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Cs/>
          <w:sz w:val="24"/>
          <w:szCs w:val="24"/>
        </w:rPr>
        <w:t>Figure.12 Photomicrograph of a section of skin tissue taken from a patient with Chronic Spongiotic Dermatitis. Section showed dermal elements with inflammatory cells (blue arrows) (H &amp; Acetone Extract x400)</w:t>
      </w:r>
    </w:p>
    <w:bookmarkEnd w:id="3"/>
    <w:p w14:paraId="5C7D7745" w14:textId="77777777" w:rsidR="007A6B09" w:rsidRPr="00C25EB7" w:rsidRDefault="007A6B09">
      <w:pPr>
        <w:spacing w:after="0" w:line="240" w:lineRule="auto"/>
        <w:jc w:val="both"/>
        <w:rPr>
          <w:rFonts w:ascii="Times New Roman" w:hAnsi="Times New Roman" w:cs="Times New Roman"/>
          <w:b/>
          <w:sz w:val="24"/>
          <w:szCs w:val="24"/>
        </w:rPr>
      </w:pPr>
    </w:p>
    <w:p w14:paraId="54557220"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6D080A37"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687CE2F4" w14:textId="77777777" w:rsidR="007A6B09" w:rsidRPr="00C25EB7" w:rsidRDefault="007A6B09">
      <w:pPr>
        <w:spacing w:line="240" w:lineRule="auto"/>
        <w:jc w:val="both"/>
        <w:rPr>
          <w:rFonts w:ascii="Times New Roman" w:hAnsi="Times New Roman" w:cs="Times New Roman"/>
          <w:sz w:val="24"/>
          <w:szCs w:val="24"/>
        </w:rPr>
      </w:pPr>
    </w:p>
    <w:p w14:paraId="1A1B97F7" w14:textId="77777777" w:rsidR="007A6B09" w:rsidRPr="00C25EB7" w:rsidRDefault="007A6B09">
      <w:pPr>
        <w:spacing w:line="240" w:lineRule="auto"/>
        <w:jc w:val="both"/>
        <w:rPr>
          <w:rFonts w:ascii="Times New Roman" w:hAnsi="Times New Roman" w:cs="Times New Roman"/>
          <w:sz w:val="24"/>
          <w:szCs w:val="24"/>
        </w:rPr>
      </w:pPr>
    </w:p>
    <w:p w14:paraId="2FA192BB" w14:textId="77777777" w:rsidR="007A6B09" w:rsidRPr="00C25EB7" w:rsidRDefault="007A6B09">
      <w:pPr>
        <w:spacing w:line="240" w:lineRule="auto"/>
        <w:jc w:val="both"/>
        <w:rPr>
          <w:rFonts w:ascii="Times New Roman" w:hAnsi="Times New Roman" w:cs="Times New Roman"/>
          <w:sz w:val="24"/>
          <w:szCs w:val="24"/>
        </w:rPr>
      </w:pPr>
    </w:p>
    <w:p w14:paraId="6486EC05" w14:textId="77777777" w:rsidR="007A6B09" w:rsidRPr="00C25EB7" w:rsidRDefault="007A6B09">
      <w:pPr>
        <w:spacing w:line="240" w:lineRule="auto"/>
        <w:jc w:val="both"/>
        <w:rPr>
          <w:rFonts w:ascii="Times New Roman" w:hAnsi="Times New Roman" w:cs="Times New Roman"/>
          <w:sz w:val="24"/>
          <w:szCs w:val="24"/>
        </w:rPr>
      </w:pPr>
    </w:p>
    <w:p w14:paraId="27195EB9" w14:textId="77777777" w:rsidR="007A6B09" w:rsidRPr="00C25EB7" w:rsidRDefault="007A6B09">
      <w:pPr>
        <w:spacing w:line="240" w:lineRule="auto"/>
        <w:jc w:val="both"/>
        <w:rPr>
          <w:rFonts w:ascii="Times New Roman" w:hAnsi="Times New Roman" w:cs="Times New Roman"/>
          <w:sz w:val="24"/>
          <w:szCs w:val="24"/>
        </w:rPr>
      </w:pPr>
    </w:p>
    <w:p w14:paraId="1353B00F" w14:textId="77777777" w:rsidR="007A6B09" w:rsidRPr="00C25EB7" w:rsidRDefault="007A6B09">
      <w:pPr>
        <w:spacing w:line="240" w:lineRule="auto"/>
        <w:jc w:val="both"/>
        <w:rPr>
          <w:rFonts w:ascii="Times New Roman" w:hAnsi="Times New Roman" w:cs="Times New Roman"/>
          <w:sz w:val="24"/>
          <w:szCs w:val="24"/>
        </w:rPr>
      </w:pPr>
    </w:p>
    <w:p w14:paraId="0C95E28E" w14:textId="77777777" w:rsidR="007A6B09" w:rsidRPr="00C25EB7" w:rsidRDefault="007A6B09">
      <w:pPr>
        <w:spacing w:line="240" w:lineRule="auto"/>
        <w:jc w:val="both"/>
        <w:rPr>
          <w:rFonts w:ascii="Times New Roman" w:hAnsi="Times New Roman" w:cs="Times New Roman"/>
          <w:sz w:val="24"/>
          <w:szCs w:val="24"/>
        </w:rPr>
      </w:pPr>
    </w:p>
    <w:p w14:paraId="6D21106A" w14:textId="77777777" w:rsidR="007A6B09" w:rsidRPr="00C25EB7" w:rsidRDefault="007A6B09">
      <w:pPr>
        <w:spacing w:line="240" w:lineRule="auto"/>
        <w:jc w:val="both"/>
        <w:rPr>
          <w:rFonts w:ascii="Times New Roman" w:hAnsi="Times New Roman" w:cs="Times New Roman"/>
          <w:sz w:val="24"/>
          <w:szCs w:val="24"/>
        </w:rPr>
      </w:pPr>
    </w:p>
    <w:p w14:paraId="287FA081" w14:textId="77777777" w:rsidR="007A6B09" w:rsidRPr="00C25EB7" w:rsidRDefault="00E720F9">
      <w:pPr>
        <w:spacing w:line="240" w:lineRule="auto"/>
        <w:ind w:left="2880" w:firstLine="720"/>
        <w:jc w:val="both"/>
        <w:rPr>
          <w:rFonts w:ascii="Times New Roman" w:hAnsi="Times New Roman" w:cs="Times New Roman"/>
          <w:b/>
          <w:bCs/>
          <w:sz w:val="24"/>
          <w:szCs w:val="24"/>
        </w:rPr>
      </w:pPr>
      <w:r w:rsidRPr="00C25EB7">
        <w:rPr>
          <w:rFonts w:ascii="Times New Roman" w:hAnsi="Times New Roman" w:cs="Times New Roman"/>
          <w:b/>
          <w:bCs/>
          <w:sz w:val="24"/>
          <w:szCs w:val="24"/>
        </w:rPr>
        <w:lastRenderedPageBreak/>
        <w:t>5. DISCUSSION</w:t>
      </w:r>
    </w:p>
    <w:p w14:paraId="433D4137"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Phytochemical screening of the annatto (</w:t>
      </w:r>
      <w:r w:rsidRPr="00C25EB7">
        <w:rPr>
          <w:rFonts w:ascii="Times New Roman" w:eastAsia="Times New Roman" w:hAnsi="Times New Roman" w:cs="Times New Roman"/>
          <w:i/>
          <w:iCs/>
          <w:color w:val="000000"/>
          <w:sz w:val="24"/>
          <w:szCs w:val="24"/>
          <w:lang w:eastAsia="en-GB"/>
        </w:rPr>
        <w:t>Bixa orellana</w:t>
      </w:r>
      <w:r w:rsidRPr="00C25EB7">
        <w:rPr>
          <w:rFonts w:ascii="Times New Roman" w:eastAsia="Times New Roman" w:hAnsi="Times New Roman" w:cs="Times New Roman"/>
          <w:color w:val="000000"/>
          <w:sz w:val="24"/>
          <w:szCs w:val="24"/>
          <w:lang w:eastAsia="en-GB"/>
        </w:rPr>
        <w:t>) seed pigment used in this study revealed the presence of two major pigment-related groups: polyphenols and carotenoids. The polyphenolic compounds identified included phenolic acids, lignans,</w:t>
      </w:r>
      <w:r w:rsidRPr="00C25EB7">
        <w:rPr>
          <w:rFonts w:ascii="Times New Roman" w:eastAsia="Times New Roman" w:hAnsi="Times New Roman" w:cs="Times New Roman"/>
          <w:b/>
          <w:bCs/>
          <w:color w:val="000000"/>
          <w:sz w:val="24"/>
          <w:szCs w:val="24"/>
          <w:lang w:eastAsia="en-GB"/>
        </w:rPr>
        <w:t xml:space="preserve"> </w:t>
      </w:r>
      <w:r w:rsidRPr="00C25EB7">
        <w:rPr>
          <w:rFonts w:ascii="Times New Roman" w:eastAsia="Times New Roman" w:hAnsi="Times New Roman" w:cs="Times New Roman"/>
          <w:color w:val="000000"/>
          <w:sz w:val="24"/>
          <w:szCs w:val="24"/>
          <w:lang w:eastAsia="en-GB"/>
        </w:rPr>
        <w:t>stilbenes, and phenols, while the carotenoid fraction comprised alpha carotene, beta carotene and</w:t>
      </w:r>
      <w:r w:rsidRPr="00C25EB7">
        <w:rPr>
          <w:rFonts w:ascii="Times New Roman" w:eastAsia="Times New Roman" w:hAnsi="Times New Roman" w:cs="Times New Roman"/>
          <w:b/>
          <w:bCs/>
          <w:color w:val="000000"/>
          <w:sz w:val="24"/>
          <w:szCs w:val="24"/>
          <w:lang w:eastAsia="en-GB"/>
        </w:rPr>
        <w:t xml:space="preserve"> </w:t>
      </w:r>
      <w:r w:rsidRPr="00C25EB7">
        <w:rPr>
          <w:rFonts w:ascii="Times New Roman" w:eastAsia="Times New Roman" w:hAnsi="Times New Roman" w:cs="Times New Roman"/>
          <w:color w:val="000000"/>
          <w:sz w:val="24"/>
          <w:szCs w:val="24"/>
          <w:lang w:eastAsia="en-GB"/>
        </w:rPr>
        <w:t xml:space="preserve">lycopene. Polyphenols are known to have several hydroxyl (-OH) groups, enabling them to form hydrogen bonds and electrostatic interactions with tissue proteins, especially denatured and inflammatory proteins (Shahid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2013). Carotenoids, on the other hand, are greatly conjugated, lipophilic pigments responsible for yellow to orange coloration and have affinity for lipid-rich and proteinaceous cellular components (Rodriguez-Amaya, 2016). The predominance of polyphenols in the extract therefore contributed substantially to the dye-tissue interactions observed in this study.</w:t>
      </w:r>
    </w:p>
    <w:p w14:paraId="1FFBB858"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The observed differences in staining performance between the two annatto extracts can be largely explained by their pH values. Annatto pigments behave as weak acidic</w:t>
      </w:r>
      <w:r w:rsidRPr="00C25EB7">
        <w:rPr>
          <w:rFonts w:ascii="Times New Roman" w:eastAsia="Times New Roman" w:hAnsi="Times New Roman" w:cs="Times New Roman"/>
          <w:b/>
          <w:bCs/>
          <w:color w:val="000000"/>
          <w:sz w:val="24"/>
          <w:szCs w:val="24"/>
          <w:lang w:eastAsia="en-GB"/>
        </w:rPr>
        <w:t xml:space="preserve"> </w:t>
      </w:r>
      <w:r w:rsidRPr="00C25EB7">
        <w:rPr>
          <w:rFonts w:ascii="Times New Roman" w:eastAsia="Times New Roman" w:hAnsi="Times New Roman" w:cs="Times New Roman"/>
          <w:color w:val="000000"/>
          <w:sz w:val="24"/>
          <w:szCs w:val="24"/>
          <w:lang w:eastAsia="en-GB"/>
        </w:rPr>
        <w:t xml:space="preserve">dyes, and their binding to tissue components is highly dependent on the degree of ionization, which is influenced by pH (Rodriguez-Amaya, 2016; Culling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2014).</w:t>
      </w:r>
    </w:p>
    <w:p w14:paraId="16DBC7E3"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At a moderately acidic pH, such as 5.8, annatto pigments are sufficiently ionized to bind effectively to basic amino groups of cytoplasmic and stromal proteins. This explains the improved cytoplasmic staining, clearer stromal definition, and better contrast with hematoxylin-stained nuclei observed with the ethanol extract. Conversely, at a lower pH of 4.5, excessive protonation of tissue binding sites may reduce dye-protein interactions, resulting in weaker overall staining intensity, as observed with the acetone extract (Bancroft &amp; Gamble, 2019).</w:t>
      </w:r>
    </w:p>
    <w:p w14:paraId="0890009F"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Acetone and 95% ethanol extracts maintained physical and chemical stability at 25</w:t>
      </w:r>
      <w:r w:rsidRPr="00C25EB7">
        <w:rPr>
          <w:rFonts w:ascii="Times New Roman" w:eastAsia="Times New Roman" w:hAnsi="Times New Roman" w:cs="Times New Roman"/>
          <w:color w:val="000000"/>
          <w:sz w:val="24"/>
          <w:szCs w:val="24"/>
          <w:vertAlign w:val="superscript"/>
          <w:lang w:eastAsia="en-GB"/>
        </w:rPr>
        <w:t>o</w:t>
      </w:r>
      <w:r w:rsidRPr="00C25EB7">
        <w:rPr>
          <w:rFonts w:ascii="Times New Roman" w:eastAsia="Times New Roman" w:hAnsi="Times New Roman" w:cs="Times New Roman"/>
          <w:color w:val="000000"/>
          <w:sz w:val="24"/>
          <w:szCs w:val="24"/>
          <w:lang w:eastAsia="en-GB"/>
        </w:rPr>
        <w:t xml:space="preserve">C during 8-week storage. They maintained stable pH and no significant change in colour intensity. There was equally absence of foul odour, minimal sedimentation and little or no change in absorbance. This entails that the solvents are capable of maintaining the integrity of the extract over a long time. Othman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(2019) recorded that polarity of solvents are enablers of pigment stability and that ethanol and acetone are among the most potent in retention of pigment and oxidative stability. This, therefore, is consistent with the results.</w:t>
      </w:r>
    </w:p>
    <w:p w14:paraId="17748D3C" w14:textId="4F2A6BEE"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 xml:space="preserve">The hematoxylin and eosin (H&amp;E) stained section of chronic granulomatous inflammation provides the baseline for evaluating the performance of the experimental annatto seed extract. In the H&amp;E slide, the epidermis is clearly stratified, with a discernible keratin layer that appears partly separated. The granular layer is focally thinned, and acanthosis is evident, driven by mononuclear inflammatory infiltration. Within the dermis, there are multiple clusters of inflammatory cells, including mononucleated giant-cell forms distributed within a thin fibrous stroma which indicated stromal staining at 10.5 mean rank and tissue morphology preservation represented 10.5. These features, especially the presence of giant cells and chronic inflammatory infiltrates, are characteristic of chronic granulomatous inflammation (Kumar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xml:space="preserve">., 2021; Rosai, 2011) at mean rank of 10.5 of the pathologic features. H&amp;E achieves its typical excellent contrast, with sharply defined nuclei stained by hematoxylin and vividly eosinophilic cytoplasm and stroma, enabling easy recognition of pathological structures (Bancroft &amp; Gamble, 2019; Suvarna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xml:space="preserve">., 2019) accounted to nuclear-cytoplasm contrast mean rank 10.5. In comparison, therefore, in figure 7, the section stained with the 95% ethanol annatto extract demonstrates a moderate degree of cytoplasmic and stromal coloration, with the stain extracts imparting light </w:t>
      </w:r>
      <w:r w:rsidRPr="00C25EB7">
        <w:rPr>
          <w:rFonts w:ascii="Times New Roman" w:eastAsia="Times New Roman" w:hAnsi="Times New Roman" w:cs="Times New Roman"/>
          <w:color w:val="000000"/>
          <w:sz w:val="24"/>
          <w:szCs w:val="24"/>
          <w:lang w:eastAsia="en-GB"/>
        </w:rPr>
        <w:lastRenderedPageBreak/>
        <w:t xml:space="preserve">orange hue. Nuclear details remain fairly distinct, allowing identification of nuclear outlines, though with reduced crispness relative to eosin, resulting in 6.5 mean rank. The stroma is lightly stained of 6.5 mean rank, resulting in a weak cytoplasmic-to-nuclear contrast with result showing 5.5 mean rank. Despite this limited contrast, important histological features, including inflammatory cell clusters, fibrous tissue, and giant-cell formations-remain identifiable, which gave rise to pathologic features having a mean rank of 6.5. The orange tone produced by the extract on paraffin wax processed tissue slides is consistent with carotenoid-based dyes such as bixin and norbixin derived from </w:t>
      </w:r>
      <w:r w:rsidRPr="00C25EB7">
        <w:rPr>
          <w:rFonts w:ascii="Times New Roman" w:eastAsia="Times New Roman" w:hAnsi="Times New Roman" w:cs="Times New Roman"/>
          <w:i/>
          <w:iCs/>
          <w:color w:val="000000"/>
          <w:sz w:val="24"/>
          <w:szCs w:val="24"/>
          <w:lang w:eastAsia="en-GB"/>
        </w:rPr>
        <w:t>Bixa orellana</w:t>
      </w:r>
      <w:r w:rsidRPr="00C25EB7">
        <w:rPr>
          <w:rFonts w:ascii="Times New Roman" w:eastAsia="Times New Roman" w:hAnsi="Times New Roman" w:cs="Times New Roman"/>
          <w:color w:val="000000"/>
          <w:sz w:val="24"/>
          <w:szCs w:val="24"/>
          <w:lang w:eastAsia="en-GB"/>
        </w:rPr>
        <w:t>, which are known to impart yellow-orange within distinct wavelength of light that cells cytoplasmic contents were coloured differentially intense as when counter stained with eosin dye. This was considered less intense in two studies than eosin (Avwioro, 2011; Rodriguez-Amaya, 2016). However, the stain adequately demonstrates tissue architecture and cellular distribution, supporting its potential diagnostic utility (Prento, 2009).</w:t>
      </w:r>
    </w:p>
    <w:p w14:paraId="6D5AF67C" w14:textId="297B7429"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The acetone extract of annatto produces an even lighter orange staining reaction compared with the ethanol extract, showing weaker cytoplasmic intensity of 2.5 mean rank and low stromal uptake of the same mean rank of 2.5 as shown in figure 10. This lack of increasing binding capacity of lipophenolic group on acidic contents of cells should have favoured nuclear colour prominence over cytoplasm. Nuclear features remain visible at mean rank of 2.5 but with noticeably less contrast than observed in both the ethanol extract and the standard eosin stain showing that binding power of lipophenolic group is dependent on another factor in this study. Therefore, the lighter staining produced by the acetone extract is likely attributable to reduced pigment solubility and extraction efficiency in acetone solvent when compared with ethanol, resulting in a lower concentration of dye components available for binding to tissue proteins (Shahidi &amp; Ambigaipalan, 2015). Although all major tissue structures such as epidermal layers, inflammatory infiltrates, fibrous stroma, and giant cells remained demonstrable showing both tissue morphology preservation and pathologic features demonstration at mean rank of 3.5. Their visualization requires more careful assessment due to reduced optical contrast, as consistent with reports on weaker plant dye uptake under suboptimal extraction conditions (Avwioro, 2011).</w:t>
      </w:r>
    </w:p>
    <w:p w14:paraId="55AEDC05"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 xml:space="preserve">The H&amp;E-stained section of lichen planus served as the diagnostic benchmark for evaluating the staining performance of the annatto extracts. In the H&amp;E preparation, the epidermis demonstrates prominent acanthosis, focal thinning, and a thickened granular layer-findings typical of lichen planus, in which hypergranulosis and irregular epidermal hyperplasia are hallmark features (Kumar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xml:space="preserve">., 2021). The whorl-like separation of keratin strands due to edema reflects surface orthokeratosis, another feature reported in chronic lichenoid dermatitis. The presence of colloid bodies (Civatte bodies) is especially significant, as these apoptotic keratinocytes are classic indicators of interface dermatitis and are characteristic of lichen planus (Bancroft &amp; Gamble, 2019; Prasad &amp; Prabhu, 2019). Although the dermis is scanty in this section, the dense inflammatory infiltrate limiting stromal visibility aligns with the band-like lichenoid infiltrate composed predominantly of lymphocytes, which is diagnostic of lichen planus (Kumar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xml:space="preserve"> 2021). This gave rise to all the parameters having a mean rank of 10.5.</w:t>
      </w:r>
    </w:p>
    <w:p w14:paraId="303B9817" w14:textId="0024158D"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 xml:space="preserve">On the slide counterstained with the 95% ethanol annatto extract of pH 5.8 as shown in figure.8, epidermal and dermal features remain clearly distinguishable, despite the light orange coloration imparted by carotenoid-based pigments. Acanthosis, granular layer thickening, keratin separation, and Civatte bodies are well visualized, indicating that the ethanol extract preserved </w:t>
      </w:r>
      <w:r w:rsidRPr="00C25EB7">
        <w:rPr>
          <w:rFonts w:ascii="Times New Roman" w:eastAsia="Times New Roman" w:hAnsi="Times New Roman" w:cs="Times New Roman"/>
          <w:color w:val="000000"/>
          <w:sz w:val="24"/>
          <w:szCs w:val="24"/>
          <w:lang w:eastAsia="en-GB"/>
        </w:rPr>
        <w:lastRenderedPageBreak/>
        <w:t>the architectural integrity required for recognition of lichenoid interface dermatitis which gave rise to tissue morphology preservation and pathologic features demonstration of mean rank 6.5. The moderately acidic pH of 5.8 favoured optimal ionization of annatto seed pigments, enhancing their interaction with basic cytoplasmic and stromal proteins (Kiernan, 2015; Bancroft &amp; Gamble, 2019). Notably, the darker orange staining of Civatte bodies suggests increased dye affinity for apoptotic keratinocytes. This enhanced uptake is attributable to protein denaturation within Civatte bodies, which exposes binding sites for acidic, protein-reactive dyes such as polyphenol-rich plant pigments (Prasad &amp; Prabhu, 2019).</w:t>
      </w:r>
    </w:p>
    <w:p w14:paraId="79466FE3" w14:textId="035B6EBC"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 xml:space="preserve">The acetone extract of pH 4.5 in figure 11 with a mean rank 2.5 allowed also identification of key diagnostic features of lichen planus, including acanthosis, granular layer thickening, keratin separation, and Civatte bodies, but produced a much lighter staining reaction than the ethanol extract. The lower pH likely resulted in excessive protonation of tissue binding sites, reducing electrostatic interactions between dye molecules and cytoplasmic proteins and thereby diminishing staining intensity (Kiernan, 2015; Culling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2014). Furthermore, acetone has a lower extraction efficiency for annatto seed pigments compared with ethanol, resulting in reduced availability of carotenoids and polyphenols for lipophenolic group tissue binding (Rodriguez-Amaya, 2016).</w:t>
      </w:r>
    </w:p>
    <w:p w14:paraId="1E3F46E3"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 xml:space="preserve">The basal cell cytoplasm was particularly faint in the acetone extract with a mean rank of 2.5, likely because basal keratinocytes are rich in nucleoproteins that require adequate acidic dye concentration for optimal visualization (Culling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xml:space="preserve">., 2014; Suvarna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2019).</w:t>
      </w:r>
    </w:p>
    <w:p w14:paraId="7C8F29D5"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 xml:space="preserve">The H&amp;E section of chronic spongiotic dermatitis revealed a pathological pattern characterized by epidermal vesiculation, disruption of the granular layer, and variable acanthosis, together with a conspicuous inflammatory reaction in the dermis. The presence of intraepidermal vesicles elevating and thinning the epidermis reflects epidermal spongiosis or micro vesiculation, a common feature of inflammatory and interface dermatoses, including lupus erythematosus (Kumar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xml:space="preserve">., 2021; Elder </w:t>
      </w:r>
      <w:r w:rsidRPr="00C25EB7">
        <w:rPr>
          <w:rFonts w:ascii="Times New Roman" w:eastAsia="Times New Roman" w:hAnsi="Times New Roman" w:cs="Times New Roman"/>
          <w:i/>
          <w:iCs/>
          <w:color w:val="000000"/>
          <w:sz w:val="24"/>
          <w:szCs w:val="24"/>
          <w:lang w:eastAsia="en-GB"/>
        </w:rPr>
        <w:t>et al</w:t>
      </w:r>
      <w:r w:rsidRPr="00C25EB7">
        <w:rPr>
          <w:rFonts w:ascii="Times New Roman" w:eastAsia="Times New Roman" w:hAnsi="Times New Roman" w:cs="Times New Roman"/>
          <w:color w:val="000000"/>
          <w:sz w:val="24"/>
          <w:szCs w:val="24"/>
          <w:lang w:eastAsia="en-GB"/>
        </w:rPr>
        <w:t>., 2020). It showed a high mean rank of 10.5 for pathologic features and other parameters.</w:t>
      </w:r>
    </w:p>
    <w:p w14:paraId="1B44D980" w14:textId="65B3D1BA" w:rsidR="007A6B09" w:rsidRPr="00C25EB7" w:rsidRDefault="00E720F9">
      <w:pPr>
        <w:spacing w:line="240" w:lineRule="auto"/>
        <w:jc w:val="both"/>
        <w:rPr>
          <w:rFonts w:ascii="Times New Roman" w:eastAsia="Times New Roman" w:hAnsi="Times New Roman" w:cs="Times New Roman"/>
          <w:sz w:val="24"/>
          <w:szCs w:val="24"/>
          <w:lang w:eastAsia="en-GB"/>
        </w:rPr>
      </w:pPr>
      <w:r w:rsidRPr="00C25EB7">
        <w:rPr>
          <w:rFonts w:ascii="Times New Roman" w:eastAsia="Times New Roman" w:hAnsi="Times New Roman" w:cs="Times New Roman"/>
          <w:color w:val="000000"/>
          <w:sz w:val="24"/>
          <w:szCs w:val="24"/>
          <w:lang w:eastAsia="en-GB"/>
        </w:rPr>
        <w:t>In the section counterstained with the 95% ethanol annatto extract of pH 5.8 in figure 9, all histological features, including vesiculation, granular layer disruption, acanthosis, and dermal inflammatory infiltration were preserved and clearly recognizable. Tissue morphology preservation represented mean rank of 6.5 as well as the pathologic features. The moderately acidic pH of 5.8 favored effective ionization of annatto pigments, thereby enhancing electrostatic interaction with basic cytoplasmic and stromal proteins involved in inflammatory reactions (Kiernan, 2015; Bancroft &amp; Gamble, 2019). The orange cytoplasmic staining imparted by annatto seed pigment provided sufficient contrast with mean rank 6.5 to delineate epidermal layers and stromal changes of same mean rank of 6.5, maintaining diagnostic clarity despite being lighter than eosin.</w:t>
      </w:r>
    </w:p>
    <w:p w14:paraId="3B58C690" w14:textId="3E81B3F5"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The acetone extract of pH 4.5 shown in figure 12 also allowed identification of essential pathological features, including vesicles, acanthosis, granular layer disruption, and dermal inflammation with a mean rank of 2.5. However, staining intensity was noticeably weaker than that produced by the ethanol extract.</w:t>
      </w:r>
    </w:p>
    <w:p w14:paraId="57C64B97" w14:textId="77777777" w:rsidR="007A6B09" w:rsidRPr="00C25EB7" w:rsidRDefault="007A6B09">
      <w:pPr>
        <w:spacing w:line="240" w:lineRule="auto"/>
        <w:jc w:val="both"/>
        <w:rPr>
          <w:rFonts w:ascii="Times New Roman" w:eastAsia="Times New Roman" w:hAnsi="Times New Roman" w:cs="Times New Roman"/>
          <w:b/>
          <w:bCs/>
          <w:color w:val="000000"/>
          <w:sz w:val="24"/>
          <w:szCs w:val="24"/>
          <w:lang w:eastAsia="en-GB"/>
        </w:rPr>
      </w:pPr>
    </w:p>
    <w:p w14:paraId="01378942" w14:textId="77777777" w:rsidR="00B37C24" w:rsidRPr="00C25EB7" w:rsidRDefault="00B37C24" w:rsidP="00B37C2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25EB7">
        <w:rPr>
          <w:rFonts w:ascii="Times New Roman" w:eastAsia="Times New Roman" w:hAnsi="Times New Roman" w:cs="Times New Roman"/>
          <w:b/>
          <w:bCs/>
          <w:kern w:val="0"/>
          <w:sz w:val="27"/>
          <w:szCs w:val="27"/>
          <w14:ligatures w14:val="none"/>
        </w:rPr>
        <w:lastRenderedPageBreak/>
        <w:t>Conclusions</w:t>
      </w:r>
    </w:p>
    <w:p w14:paraId="4A99691D" w14:textId="77777777" w:rsidR="00B37C24" w:rsidRPr="00C25EB7" w:rsidRDefault="00B37C24" w:rsidP="00B37C2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25EB7">
        <w:rPr>
          <w:rFonts w:ascii="Times New Roman" w:eastAsia="Times New Roman" w:hAnsi="Times New Roman" w:cs="Times New Roman"/>
          <w:kern w:val="0"/>
          <w:sz w:val="24"/>
          <w:szCs w:val="24"/>
          <w14:ligatures w14:val="none"/>
        </w:rPr>
        <w:t>The study showed that annatto seed pigment extract can demonstrate cytoplasmic and stromal components in selected diseased skin tissues when used with Mayer’s hematoxylin. Phytochemical analysis identified polyphenols and carotenoids as the major pigment-related constituents, and both 95% ethanol and acetone extracts remained stable during the eight-week observation period at 25°C. Among the experimental extracts, the 95% ethanol annatto extract provided better staining performance than the acetone extract, particularly for cytoplasmic and stromal visualization. However, conventional hematoxylin and eosin staining consistently produced superior nuclear clarity, cytoplasmic contrast, stromal definition, tissue morphology preservation, staining uniformity, and background clarity. Therefore, annatto seed pigment extract should not yet be considered a complete substitute for eosin in routine diagnostic histopathology. With further optimization of extraction conditions, pH, staining time, concentration, and validation by blinded observers, annatto extract may serve as a useful plant-derived counterstain in histological teaching, research, or selected laboratory settings.</w:t>
      </w:r>
    </w:p>
    <w:p w14:paraId="7A6269F4" w14:textId="77777777" w:rsidR="00B37C24" w:rsidRPr="00C25EB7" w:rsidRDefault="00B37C24" w:rsidP="00B37C2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25EB7">
        <w:rPr>
          <w:rFonts w:ascii="Times New Roman" w:eastAsia="Times New Roman" w:hAnsi="Times New Roman" w:cs="Times New Roman"/>
          <w:b/>
          <w:bCs/>
          <w:kern w:val="0"/>
          <w:sz w:val="27"/>
          <w:szCs w:val="27"/>
          <w14:ligatures w14:val="none"/>
        </w:rPr>
        <w:t>Limitations</w:t>
      </w:r>
    </w:p>
    <w:p w14:paraId="2C87BAF1" w14:textId="77777777" w:rsidR="00B37C24" w:rsidRPr="00C25EB7" w:rsidRDefault="00B37C24" w:rsidP="00B37C2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25EB7">
        <w:rPr>
          <w:rFonts w:ascii="Times New Roman" w:eastAsia="Times New Roman" w:hAnsi="Times New Roman" w:cs="Times New Roman"/>
          <w:kern w:val="0"/>
          <w:sz w:val="24"/>
          <w:szCs w:val="24"/>
          <w14:ligatures w14:val="none"/>
        </w:rPr>
        <w:t>This study was limited to three skin disease categories and archived tissue blocks from one setting. The staining assessment method, observer number, scoring scale, and blinding procedure require clearer description. Inter-observer agreement was not reported. The extracts were evaluated for only eight weeks, and long-term stability was not assessed. Advanced chemical characterization of pigment fractions was not performed. Further validation using larger tissue sets, optimized protocols, and blinded comparison with routine eosin staining is required.</w:t>
      </w:r>
    </w:p>
    <w:p w14:paraId="5B4CB147" w14:textId="77777777" w:rsidR="00B37C24" w:rsidRPr="00C25EB7" w:rsidRDefault="00B37C24" w:rsidP="00B37C24">
      <w:pPr>
        <w:spacing w:after="0" w:line="240" w:lineRule="auto"/>
        <w:rPr>
          <w:rFonts w:ascii="Times New Roman" w:eastAsia="Calibri" w:hAnsi="Times New Roman" w:cs="Times New Roman"/>
          <w:b/>
          <w:kern w:val="0"/>
          <w14:ligatures w14:val="none"/>
        </w:rPr>
      </w:pPr>
      <w:r w:rsidRPr="00C25EB7">
        <w:rPr>
          <w:rFonts w:ascii="Times New Roman" w:eastAsia="Calibri" w:hAnsi="Times New Roman" w:cs="Times New Roman"/>
          <w:b/>
          <w:kern w:val="0"/>
          <w14:ligatures w14:val="none"/>
        </w:rPr>
        <w:t>Declaration of AI Use</w:t>
      </w:r>
    </w:p>
    <w:p w14:paraId="2839DC3E" w14:textId="77777777" w:rsidR="00B37C24" w:rsidRPr="00C25EB7" w:rsidRDefault="00B37C24" w:rsidP="00B37C24">
      <w:pPr>
        <w:spacing w:after="0" w:line="240" w:lineRule="auto"/>
        <w:rPr>
          <w:rFonts w:ascii="Times New Roman" w:eastAsia="Calibri" w:hAnsi="Times New Roman" w:cs="Times New Roman"/>
          <w:kern w:val="0"/>
          <w14:ligatures w14:val="none"/>
        </w:rPr>
      </w:pPr>
    </w:p>
    <w:p w14:paraId="4EC2FC22" w14:textId="77777777" w:rsidR="00B37C24" w:rsidRPr="00C25EB7" w:rsidRDefault="00B37C24" w:rsidP="00B37C24">
      <w:pPr>
        <w:spacing w:after="0" w:line="240" w:lineRule="auto"/>
        <w:jc w:val="both"/>
        <w:rPr>
          <w:rFonts w:ascii="Times New Roman" w:eastAsia="Calibri" w:hAnsi="Times New Roman" w:cs="Times New Roman"/>
          <w:kern w:val="0"/>
          <w14:ligatures w14:val="none"/>
        </w:rPr>
      </w:pPr>
      <w:r w:rsidRPr="00C25EB7">
        <w:rPr>
          <w:rFonts w:ascii="Times New Roman" w:eastAsia="Calibri" w:hAnsi="Times New Roman" w:cs="Times New Roman"/>
          <w:kern w:val="0"/>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44F438C" w14:textId="77777777" w:rsidR="007A6B09" w:rsidRPr="00C25EB7" w:rsidRDefault="007A6B09">
      <w:pPr>
        <w:spacing w:line="240" w:lineRule="auto"/>
        <w:jc w:val="both"/>
        <w:rPr>
          <w:rFonts w:ascii="Times New Roman" w:eastAsia="Times New Roman" w:hAnsi="Times New Roman" w:cs="Times New Roman"/>
          <w:b/>
          <w:bCs/>
          <w:color w:val="000000"/>
          <w:sz w:val="8"/>
          <w:szCs w:val="24"/>
          <w:lang w:eastAsia="en-GB"/>
        </w:rPr>
      </w:pPr>
    </w:p>
    <w:p w14:paraId="1FDF4EFE" w14:textId="77777777" w:rsidR="007A6B09" w:rsidRPr="00C25EB7" w:rsidRDefault="00E720F9">
      <w:pPr>
        <w:spacing w:line="240" w:lineRule="auto"/>
        <w:jc w:val="both"/>
        <w:rPr>
          <w:rFonts w:ascii="Times New Roman" w:eastAsia="Times New Roman" w:hAnsi="Times New Roman" w:cs="Times New Roman"/>
          <w:b/>
          <w:bCs/>
          <w:color w:val="000000"/>
          <w:sz w:val="24"/>
          <w:szCs w:val="24"/>
          <w:lang w:eastAsia="en-GB"/>
        </w:rPr>
      </w:pPr>
      <w:r w:rsidRPr="00C25EB7">
        <w:rPr>
          <w:rFonts w:ascii="Times New Roman" w:eastAsia="Times New Roman" w:hAnsi="Times New Roman" w:cs="Times New Roman"/>
          <w:b/>
          <w:bCs/>
          <w:color w:val="000000"/>
          <w:sz w:val="24"/>
          <w:szCs w:val="24"/>
          <w:lang w:eastAsia="en-GB"/>
        </w:rPr>
        <w:t>Ethical Permit</w:t>
      </w:r>
    </w:p>
    <w:p w14:paraId="54E626F0"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All authors hereby declare that all experiments have been examined and approved by the appropriate ethics research committee.</w:t>
      </w:r>
    </w:p>
    <w:p w14:paraId="1C7095AA" w14:textId="77777777" w:rsidR="007A6B09" w:rsidRPr="00C25EB7" w:rsidRDefault="00E720F9">
      <w:pPr>
        <w:spacing w:line="240" w:lineRule="auto"/>
        <w:jc w:val="both"/>
        <w:rPr>
          <w:rFonts w:ascii="Times New Roman" w:eastAsia="Times New Roman" w:hAnsi="Times New Roman" w:cs="Times New Roman"/>
          <w:b/>
          <w:bCs/>
          <w:color w:val="000000"/>
          <w:sz w:val="24"/>
          <w:szCs w:val="24"/>
          <w:lang w:eastAsia="en-GB"/>
        </w:rPr>
      </w:pPr>
      <w:r w:rsidRPr="00C25EB7">
        <w:rPr>
          <w:rFonts w:ascii="Times New Roman" w:eastAsia="Times New Roman" w:hAnsi="Times New Roman" w:cs="Times New Roman"/>
          <w:b/>
          <w:bCs/>
          <w:color w:val="000000"/>
          <w:sz w:val="24"/>
          <w:szCs w:val="24"/>
          <w:lang w:eastAsia="en-GB"/>
        </w:rPr>
        <w:t>Conflict of interest</w:t>
      </w:r>
    </w:p>
    <w:p w14:paraId="262A5162"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All authors declare there is no conflict of interest.</w:t>
      </w:r>
    </w:p>
    <w:p w14:paraId="4080E00A" w14:textId="77777777" w:rsidR="007A6B09" w:rsidRPr="00C25EB7" w:rsidRDefault="007A6B09">
      <w:pPr>
        <w:spacing w:line="240" w:lineRule="auto"/>
        <w:jc w:val="both"/>
        <w:rPr>
          <w:rFonts w:ascii="Times New Roman" w:eastAsia="Times New Roman" w:hAnsi="Times New Roman" w:cs="Times New Roman"/>
          <w:color w:val="000000"/>
          <w:sz w:val="24"/>
          <w:szCs w:val="24"/>
          <w:lang w:eastAsia="en-GB"/>
        </w:rPr>
      </w:pPr>
    </w:p>
    <w:p w14:paraId="2B1FA565" w14:textId="77777777" w:rsidR="007A6B09" w:rsidRPr="00C25EB7" w:rsidRDefault="00E720F9">
      <w:pPr>
        <w:spacing w:line="240" w:lineRule="auto"/>
        <w:ind w:left="2880" w:firstLine="720"/>
        <w:jc w:val="both"/>
        <w:rPr>
          <w:rFonts w:ascii="Times New Roman" w:eastAsia="Times New Roman" w:hAnsi="Times New Roman" w:cs="Times New Roman"/>
          <w:b/>
          <w:bCs/>
          <w:color w:val="000000"/>
          <w:sz w:val="24"/>
          <w:szCs w:val="24"/>
          <w:lang w:eastAsia="en-GB"/>
        </w:rPr>
      </w:pPr>
      <w:r w:rsidRPr="00C25EB7">
        <w:rPr>
          <w:rFonts w:ascii="Times New Roman" w:eastAsia="Times New Roman" w:hAnsi="Times New Roman" w:cs="Times New Roman"/>
          <w:b/>
          <w:bCs/>
          <w:color w:val="000000"/>
          <w:sz w:val="24"/>
          <w:szCs w:val="24"/>
          <w:lang w:eastAsia="en-GB"/>
        </w:rPr>
        <w:t>REFERENCES</w:t>
      </w:r>
    </w:p>
    <w:p w14:paraId="7818CB49" w14:textId="77777777" w:rsidR="007A6B09" w:rsidRPr="00C25EB7" w:rsidRDefault="00E720F9">
      <w:pPr>
        <w:pStyle w:val="Pa17"/>
        <w:numPr>
          <w:ilvl w:val="0"/>
          <w:numId w:val="6"/>
        </w:numPr>
        <w:spacing w:before="240" w:line="240" w:lineRule="auto"/>
        <w:jc w:val="both"/>
        <w:rPr>
          <w:rFonts w:ascii="Times New Roman" w:hAnsi="Times New Roman" w:cs="Times New Roman"/>
        </w:rPr>
      </w:pPr>
      <w:r w:rsidRPr="00C25EB7">
        <w:rPr>
          <w:rFonts w:ascii="Times New Roman" w:hAnsi="Times New Roman" w:cs="Times New Roman"/>
          <w:color w:val="000000"/>
        </w:rPr>
        <w:lastRenderedPageBreak/>
        <w:t xml:space="preserve">Gaikwad, S.L., Kumawat, U.D., Sakhare, N.A. &amp; Grace, F. (2016). Histopathological spectrum of skin lesions experience at rural based hospital. </w:t>
      </w:r>
      <w:r w:rsidRPr="00C25EB7">
        <w:rPr>
          <w:rFonts w:ascii="Times New Roman" w:hAnsi="Times New Roman" w:cs="Times New Roman"/>
          <w:i/>
          <w:color w:val="000000"/>
        </w:rPr>
        <w:t>International Journal of Current Research</w:t>
      </w:r>
      <w:r w:rsidRPr="00C25EB7">
        <w:rPr>
          <w:rFonts w:ascii="Times New Roman" w:hAnsi="Times New Roman" w:cs="Times New Roman"/>
          <w:color w:val="000000"/>
        </w:rPr>
        <w:t>,</w:t>
      </w:r>
      <w:r w:rsidRPr="00C25EB7">
        <w:rPr>
          <w:rFonts w:ascii="Times New Roman" w:hAnsi="Times New Roman" w:cs="Times New Roman"/>
          <w:i/>
          <w:iCs/>
          <w:color w:val="000000"/>
        </w:rPr>
        <w:t>8</w:t>
      </w:r>
      <w:r w:rsidRPr="00C25EB7">
        <w:rPr>
          <w:rFonts w:ascii="Times New Roman" w:hAnsi="Times New Roman" w:cs="Times New Roman"/>
          <w:color w:val="000000"/>
        </w:rPr>
        <w:t>(08), 36223-36227.</w:t>
      </w:r>
    </w:p>
    <w:p w14:paraId="6A3BA72E" w14:textId="77777777" w:rsidR="007A6B09" w:rsidRPr="00C25EB7" w:rsidRDefault="00E720F9">
      <w:pPr>
        <w:pStyle w:val="Pa17"/>
        <w:numPr>
          <w:ilvl w:val="0"/>
          <w:numId w:val="6"/>
        </w:numPr>
        <w:spacing w:before="240" w:line="240" w:lineRule="auto"/>
        <w:jc w:val="both"/>
        <w:rPr>
          <w:rFonts w:ascii="Times New Roman" w:hAnsi="Times New Roman" w:cs="Times New Roman"/>
        </w:rPr>
      </w:pPr>
      <w:r w:rsidRPr="00C25EB7">
        <w:rPr>
          <w:rFonts w:ascii="Times New Roman" w:hAnsi="Times New Roman" w:cs="Times New Roman"/>
        </w:rPr>
        <w:t xml:space="preserve">Chambers, E. S. &amp; Vukmanovic-Stejic, M. (2020). Skin barrier immunity and ageing. </w:t>
      </w:r>
      <w:r w:rsidRPr="00C25EB7">
        <w:rPr>
          <w:rFonts w:ascii="Times New Roman" w:hAnsi="Times New Roman" w:cs="Times New Roman"/>
          <w:i/>
          <w:iCs/>
        </w:rPr>
        <w:t>Immunology</w:t>
      </w:r>
      <w:r w:rsidRPr="00C25EB7">
        <w:rPr>
          <w:rFonts w:ascii="Times New Roman" w:hAnsi="Times New Roman" w:cs="Times New Roman"/>
        </w:rPr>
        <w:t>,</w:t>
      </w:r>
      <w:r w:rsidRPr="00C25EB7">
        <w:rPr>
          <w:rFonts w:ascii="Times New Roman" w:hAnsi="Times New Roman" w:cs="Times New Roman"/>
          <w:i/>
          <w:iCs/>
        </w:rPr>
        <w:t>160</w:t>
      </w:r>
      <w:r w:rsidRPr="00C25EB7">
        <w:rPr>
          <w:rFonts w:ascii="Times New Roman" w:hAnsi="Times New Roman" w:cs="Times New Roman"/>
        </w:rPr>
        <w:t>, 116–125.</w:t>
      </w:r>
    </w:p>
    <w:p w14:paraId="0D896CB3" w14:textId="77777777" w:rsidR="007A6B09" w:rsidRPr="00C25EB7" w:rsidRDefault="00E720F9">
      <w:pPr>
        <w:pStyle w:val="Pa17"/>
        <w:numPr>
          <w:ilvl w:val="0"/>
          <w:numId w:val="6"/>
        </w:numPr>
        <w:spacing w:before="240" w:line="240" w:lineRule="auto"/>
        <w:jc w:val="both"/>
        <w:rPr>
          <w:rFonts w:ascii="Times New Roman" w:hAnsi="Times New Roman" w:cs="Times New Roman"/>
        </w:rPr>
      </w:pPr>
      <w:r w:rsidRPr="00C25EB7">
        <w:rPr>
          <w:rStyle w:val="Strong"/>
          <w:rFonts w:ascii="Times New Roman" w:hAnsi="Times New Roman" w:cs="Times New Roman"/>
          <w:b w:val="0"/>
          <w:bCs w:val="0"/>
          <w:color w:val="333333"/>
          <w:shd w:val="clear" w:color="auto" w:fill="FFFFFF"/>
        </w:rPr>
        <w:t>Ndubuka, G.I.N., Ngwogu, K.O., Ejeta, K.O., Okafor, C.W., Ajugo, E., Nwosu, I.O. &amp;</w:t>
      </w:r>
      <w:r w:rsidRPr="00C25EB7">
        <w:rPr>
          <w:rStyle w:val="Strong"/>
          <w:rFonts w:ascii="Times New Roman" w:hAnsi="Times New Roman" w:cs="Times New Roman"/>
          <w:color w:val="333333"/>
          <w:shd w:val="clear" w:color="auto" w:fill="FFFFFF"/>
        </w:rPr>
        <w:t xml:space="preserve"> Nwosu, </w:t>
      </w:r>
      <w:r w:rsidRPr="00C25EB7">
        <w:rPr>
          <w:rStyle w:val="Strong"/>
          <w:rFonts w:ascii="Times New Roman" w:hAnsi="Times New Roman" w:cs="Times New Roman"/>
          <w:b w:val="0"/>
          <w:bCs w:val="0"/>
          <w:color w:val="333333"/>
          <w:shd w:val="clear" w:color="auto" w:fill="FFFFFF"/>
        </w:rPr>
        <w:t>I.L</w:t>
      </w:r>
      <w:r w:rsidRPr="00C25EB7">
        <w:rPr>
          <w:rStyle w:val="super"/>
          <w:rFonts w:ascii="Times New Roman" w:hAnsi="Times New Roman" w:cs="Times New Roman"/>
          <w:b/>
          <w:bCs/>
          <w:color w:val="333333"/>
          <w:shd w:val="clear" w:color="auto" w:fill="FFFFFF"/>
        </w:rPr>
        <w:t xml:space="preserve">. </w:t>
      </w:r>
      <w:r w:rsidRPr="00C25EB7">
        <w:rPr>
          <w:rFonts w:ascii="Times New Roman" w:eastAsia="Times New Roman" w:hAnsi="Times New Roman" w:cs="Times New Roman"/>
          <w:color w:val="000000"/>
          <w:kern w:val="36"/>
          <w:lang w:val="en-GB" w:eastAsia="en-GB"/>
        </w:rPr>
        <w:t xml:space="preserve">(2019a). The Occurrence and Pattern of Uterine Cervix Lesions in the Tropics: The Igbo Women of Eastern Nigeria Experience. </w:t>
      </w:r>
      <w:r w:rsidRPr="00C25EB7">
        <w:rPr>
          <w:rFonts w:ascii="Times New Roman" w:hAnsi="Times New Roman" w:cs="Times New Roman"/>
          <w:i/>
          <w:color w:val="333333"/>
          <w:shd w:val="clear" w:color="auto" w:fill="FFFFFF"/>
        </w:rPr>
        <w:t>International Journal of Forensic Science and Pathology</w:t>
      </w:r>
      <w:r w:rsidRPr="00C25EB7">
        <w:rPr>
          <w:rFonts w:ascii="Times New Roman" w:hAnsi="Times New Roman" w:cs="Times New Roman"/>
          <w:color w:val="333333"/>
          <w:shd w:val="clear" w:color="auto" w:fill="FFFFFF"/>
        </w:rPr>
        <w:t>,</w:t>
      </w:r>
      <w:r w:rsidRPr="00C25EB7">
        <w:rPr>
          <w:rFonts w:ascii="Times New Roman" w:hAnsi="Times New Roman" w:cs="Times New Roman"/>
          <w:i/>
          <w:iCs/>
          <w:color w:val="333333"/>
          <w:shd w:val="clear" w:color="auto" w:fill="FFFFFF"/>
        </w:rPr>
        <w:t xml:space="preserve"> 6</w:t>
      </w:r>
      <w:r w:rsidRPr="00C25EB7">
        <w:rPr>
          <w:rFonts w:ascii="Times New Roman" w:hAnsi="Times New Roman" w:cs="Times New Roman"/>
          <w:color w:val="333333"/>
          <w:shd w:val="clear" w:color="auto" w:fill="FFFFFF"/>
        </w:rPr>
        <w:t>(1), 400-406.</w:t>
      </w:r>
    </w:p>
    <w:p w14:paraId="6C1BD276" w14:textId="77777777" w:rsidR="007A6B09" w:rsidRPr="00C25EB7" w:rsidRDefault="00E720F9">
      <w:pPr>
        <w:pStyle w:val="ListParagraph"/>
        <w:numPr>
          <w:ilvl w:val="0"/>
          <w:numId w:val="6"/>
        </w:numPr>
        <w:spacing w:before="240" w:after="0" w:line="240" w:lineRule="auto"/>
        <w:jc w:val="both"/>
        <w:rPr>
          <w:rStyle w:val="element-citation"/>
          <w:rFonts w:ascii="Times New Roman" w:hAnsi="Times New Roman" w:cs="Times New Roman"/>
          <w:sz w:val="24"/>
          <w:szCs w:val="24"/>
        </w:rPr>
      </w:pPr>
      <w:r w:rsidRPr="00C25EB7">
        <w:rPr>
          <w:rStyle w:val="element-citation"/>
          <w:rFonts w:ascii="Times New Roman" w:hAnsi="Times New Roman" w:cs="Times New Roman"/>
          <w:sz w:val="24"/>
          <w:szCs w:val="24"/>
        </w:rPr>
        <w:t xml:space="preserve">Hay, R.J., Johns, N.E., Williams, H.C., Bolliger, I.W., Dellavalle, R.P., Margolis, D.J., Marks, R., Naldi, L., Weinstock, M.A. &amp;Wulf, S.K. (2014). The global burden of skin disease in 2010: An analysis of the prevalence and impact of skin conditions. </w:t>
      </w:r>
      <w:r w:rsidRPr="00C25EB7">
        <w:rPr>
          <w:rStyle w:val="ref-journal"/>
          <w:rFonts w:ascii="Times New Roman" w:hAnsi="Times New Roman" w:cs="Times New Roman"/>
          <w:i/>
          <w:sz w:val="24"/>
          <w:szCs w:val="24"/>
        </w:rPr>
        <w:t>Journal of Investigative Dermatology,</w:t>
      </w:r>
      <w:r w:rsidRPr="00C25EB7">
        <w:rPr>
          <w:rStyle w:val="ref-vol"/>
          <w:rFonts w:ascii="Times New Roman" w:hAnsi="Times New Roman" w:cs="Times New Roman"/>
          <w:i/>
          <w:sz w:val="24"/>
          <w:szCs w:val="24"/>
        </w:rPr>
        <w:t>134</w:t>
      </w:r>
      <w:r w:rsidRPr="00C25EB7">
        <w:rPr>
          <w:rStyle w:val="ref-vol"/>
          <w:rFonts w:ascii="Times New Roman" w:hAnsi="Times New Roman" w:cs="Times New Roman"/>
          <w:sz w:val="24"/>
          <w:szCs w:val="24"/>
        </w:rPr>
        <w:t xml:space="preserve">, </w:t>
      </w:r>
      <w:r w:rsidRPr="00C25EB7">
        <w:rPr>
          <w:rStyle w:val="element-citation"/>
          <w:rFonts w:ascii="Times New Roman" w:hAnsi="Times New Roman" w:cs="Times New Roman"/>
          <w:sz w:val="24"/>
          <w:szCs w:val="24"/>
        </w:rPr>
        <w:t>1527–1534.</w:t>
      </w:r>
    </w:p>
    <w:p w14:paraId="0265E4FE" w14:textId="77777777" w:rsidR="007A6B09" w:rsidRPr="00C25EB7" w:rsidRDefault="007A6B09">
      <w:pPr>
        <w:pStyle w:val="ListParagraph"/>
        <w:spacing w:before="240" w:after="0" w:line="240" w:lineRule="auto"/>
        <w:jc w:val="both"/>
        <w:rPr>
          <w:rStyle w:val="element-citation"/>
          <w:rFonts w:ascii="Times New Roman" w:hAnsi="Times New Roman" w:cs="Times New Roman"/>
          <w:sz w:val="24"/>
          <w:szCs w:val="24"/>
        </w:rPr>
      </w:pPr>
    </w:p>
    <w:p w14:paraId="1A0E9BF3"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Style w:val="element-citation"/>
          <w:rFonts w:ascii="Times New Roman" w:hAnsi="Times New Roman" w:cs="Times New Roman"/>
          <w:sz w:val="24"/>
          <w:szCs w:val="24"/>
        </w:rPr>
        <w:t xml:space="preserve">Tomislavia, S., Vladimir, T., Marin, R., Anja, D. &amp; Bosko, D. (2022). Analysis of Types of Skin Lesions &amp; Diseases in Everyday Infectious Disease Practice-How Experienced Are We? </w:t>
      </w:r>
      <w:r w:rsidRPr="00C25EB7">
        <w:rPr>
          <w:rStyle w:val="element-citation"/>
          <w:rFonts w:ascii="Times New Roman" w:hAnsi="Times New Roman" w:cs="Times New Roman"/>
          <w:i/>
          <w:sz w:val="24"/>
          <w:szCs w:val="24"/>
        </w:rPr>
        <w:t>Life (Basel),</w:t>
      </w:r>
      <w:r w:rsidRPr="00C25EB7">
        <w:rPr>
          <w:rStyle w:val="element-citation"/>
          <w:rFonts w:ascii="Times New Roman" w:hAnsi="Times New Roman" w:cs="Times New Roman"/>
          <w:sz w:val="24"/>
          <w:szCs w:val="24"/>
        </w:rPr>
        <w:t xml:space="preserve"> 12(7), 978.</w:t>
      </w:r>
    </w:p>
    <w:p w14:paraId="3D816B2F" w14:textId="77777777" w:rsidR="007A6B09" w:rsidRPr="00C25EB7" w:rsidRDefault="007A6B09">
      <w:pPr>
        <w:pStyle w:val="NormalWeb"/>
        <w:tabs>
          <w:tab w:val="left" w:pos="0"/>
          <w:tab w:val="left" w:pos="900"/>
        </w:tabs>
        <w:spacing w:before="240" w:beforeAutospacing="0" w:after="0" w:afterAutospacing="0"/>
        <w:ind w:left="900" w:hanging="900"/>
        <w:jc w:val="both"/>
      </w:pPr>
    </w:p>
    <w:p w14:paraId="28F9B381" w14:textId="77777777" w:rsidR="007A6B09" w:rsidRPr="00C25EB7" w:rsidRDefault="00E720F9">
      <w:pPr>
        <w:pStyle w:val="NormalWeb"/>
        <w:numPr>
          <w:ilvl w:val="0"/>
          <w:numId w:val="6"/>
        </w:numPr>
        <w:tabs>
          <w:tab w:val="left" w:pos="0"/>
          <w:tab w:val="left" w:pos="900"/>
        </w:tabs>
        <w:spacing w:before="240" w:beforeAutospacing="0" w:after="0" w:afterAutospacing="0"/>
        <w:jc w:val="both"/>
      </w:pPr>
      <w:r w:rsidRPr="00C25EB7">
        <w:t xml:space="preserve">Patterson, J. W. (2016). Diagnostic clues.In J. W. Patterson (Edition), </w:t>
      </w:r>
      <w:r w:rsidRPr="00C25EB7">
        <w:rPr>
          <w:rStyle w:val="Emphasis"/>
          <w:rFonts w:eastAsiaTheme="majorEastAsia"/>
        </w:rPr>
        <w:t>Weedon’s skin pathology</w:t>
      </w:r>
      <w:r w:rsidRPr="00C25EB7">
        <w:t>,19–33. Churchill Livingstone.</w:t>
      </w:r>
    </w:p>
    <w:p w14:paraId="0E683601" w14:textId="77777777" w:rsidR="007A6B09" w:rsidRPr="00C25EB7" w:rsidRDefault="00E720F9">
      <w:pPr>
        <w:pStyle w:val="ListParagraph"/>
        <w:numPr>
          <w:ilvl w:val="0"/>
          <w:numId w:val="6"/>
        </w:numPr>
        <w:spacing w:before="240"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t>Avwioro, O. G. (2010). Theory of staining: Histochemistry &amp; Tissue Pathology, Principles &amp;Techniques (3</w:t>
      </w:r>
      <w:r w:rsidRPr="00C25EB7">
        <w:rPr>
          <w:rFonts w:ascii="Times New Roman" w:eastAsia="Times New Roman" w:hAnsi="Times New Roman" w:cs="Times New Roman"/>
          <w:sz w:val="24"/>
          <w:szCs w:val="24"/>
          <w:vertAlign w:val="superscript"/>
        </w:rPr>
        <w:t>rd</w:t>
      </w:r>
      <w:r w:rsidRPr="00C25EB7">
        <w:rPr>
          <w:rFonts w:ascii="Times New Roman" w:eastAsia="Times New Roman" w:hAnsi="Times New Roman" w:cs="Times New Roman"/>
          <w:sz w:val="24"/>
          <w:szCs w:val="24"/>
        </w:rPr>
        <w:t xml:space="preserve"> Edition). Nigeria: Claverianum Press Limited.</w:t>
      </w:r>
    </w:p>
    <w:p w14:paraId="4EEC8B8B" w14:textId="77777777" w:rsidR="007A6B09" w:rsidRPr="00C25EB7" w:rsidRDefault="007A6B09">
      <w:pPr>
        <w:pStyle w:val="ListParagraph"/>
        <w:spacing w:before="240" w:after="0" w:line="240" w:lineRule="auto"/>
        <w:jc w:val="both"/>
        <w:rPr>
          <w:rFonts w:ascii="Times New Roman" w:eastAsia="Times New Roman" w:hAnsi="Times New Roman" w:cs="Times New Roman"/>
          <w:sz w:val="24"/>
          <w:szCs w:val="24"/>
        </w:rPr>
      </w:pPr>
    </w:p>
    <w:p w14:paraId="63B242C3" w14:textId="77777777" w:rsidR="007A6B09" w:rsidRPr="00C25EB7" w:rsidRDefault="00E720F9">
      <w:pPr>
        <w:pStyle w:val="ListParagraph"/>
        <w:numPr>
          <w:ilvl w:val="0"/>
          <w:numId w:val="6"/>
        </w:numPr>
        <w:spacing w:before="240" w:after="0" w:line="240" w:lineRule="auto"/>
        <w:jc w:val="both"/>
        <w:rPr>
          <w:rFonts w:ascii="Times New Roman" w:eastAsia="Times New Roman" w:hAnsi="Times New Roman" w:cs="Times New Roman"/>
          <w:sz w:val="24"/>
          <w:szCs w:val="24"/>
        </w:rPr>
      </w:pPr>
      <w:r w:rsidRPr="00C25EB7">
        <w:rPr>
          <w:rFonts w:ascii="Times New Roman" w:hAnsi="Times New Roman" w:cs="Times New Roman"/>
          <w:sz w:val="24"/>
          <w:szCs w:val="24"/>
        </w:rPr>
        <w:t xml:space="preserve">Bhuyan, R. &amp; Saikia, C.N. (2005). Isolation of Colour Components from Native Dye-Bearing Plants in Northeastern India. </w:t>
      </w:r>
      <w:r w:rsidRPr="00C25EB7">
        <w:rPr>
          <w:rFonts w:ascii="Times New Roman" w:hAnsi="Times New Roman" w:cs="Times New Roman"/>
          <w:i/>
          <w:sz w:val="24"/>
          <w:szCs w:val="24"/>
        </w:rPr>
        <w:t>Bioresource Technology</w:t>
      </w:r>
      <w:r w:rsidRPr="00C25EB7">
        <w:rPr>
          <w:rFonts w:ascii="Times New Roman" w:hAnsi="Times New Roman" w:cs="Times New Roman"/>
          <w:sz w:val="24"/>
          <w:szCs w:val="24"/>
        </w:rPr>
        <w:t xml:space="preserve">, </w:t>
      </w:r>
      <w:r w:rsidRPr="00C25EB7">
        <w:rPr>
          <w:rFonts w:ascii="Times New Roman" w:hAnsi="Times New Roman" w:cs="Times New Roman"/>
          <w:i/>
          <w:iCs/>
          <w:sz w:val="24"/>
          <w:szCs w:val="24"/>
        </w:rPr>
        <w:t>96</w:t>
      </w:r>
      <w:r w:rsidRPr="00C25EB7">
        <w:rPr>
          <w:rFonts w:ascii="Times New Roman" w:hAnsi="Times New Roman" w:cs="Times New Roman"/>
          <w:sz w:val="24"/>
          <w:szCs w:val="24"/>
        </w:rPr>
        <w:t>, 363-372.</w:t>
      </w:r>
    </w:p>
    <w:p w14:paraId="48B828ED"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5C06F020"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Suvarna, S. K., Layton, C. &amp; Bancroft, J. D. (Eds.). (2019). </w:t>
      </w:r>
      <w:r w:rsidRPr="00C25EB7">
        <w:rPr>
          <w:rFonts w:ascii="Times New Roman" w:hAnsi="Times New Roman" w:cs="Times New Roman"/>
          <w:i/>
          <w:iCs/>
          <w:sz w:val="24"/>
          <w:szCs w:val="24"/>
        </w:rPr>
        <w:t>Bancroft’s theory and practice of histological techniques</w:t>
      </w:r>
      <w:r w:rsidRPr="00C25EB7">
        <w:rPr>
          <w:rFonts w:ascii="Times New Roman" w:hAnsi="Times New Roman" w:cs="Times New Roman"/>
          <w:sz w:val="24"/>
          <w:szCs w:val="24"/>
        </w:rPr>
        <w:t xml:space="preserve"> (8th ed.). Elsevier.</w:t>
      </w:r>
    </w:p>
    <w:p w14:paraId="1136E846"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02798772"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Yadav, S., Singh, R. &amp; Kumar, N. (2020). Exploration of herbal dyes as potential substitutes for eosin in histopathology. </w:t>
      </w:r>
      <w:r w:rsidRPr="00C25EB7">
        <w:rPr>
          <w:rFonts w:ascii="Times New Roman" w:hAnsi="Times New Roman" w:cs="Times New Roman"/>
          <w:i/>
          <w:iCs/>
          <w:sz w:val="24"/>
          <w:szCs w:val="24"/>
        </w:rPr>
        <w:t>Journal of Oral and Maxillofacial Pathology, 24</w:t>
      </w:r>
      <w:r w:rsidRPr="00C25EB7">
        <w:rPr>
          <w:rFonts w:ascii="Times New Roman" w:hAnsi="Times New Roman" w:cs="Times New Roman"/>
          <w:sz w:val="24"/>
          <w:szCs w:val="24"/>
        </w:rPr>
        <w:t>(3), 550–556.</w:t>
      </w:r>
    </w:p>
    <w:p w14:paraId="0B4DD4DE"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43EC01D2"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Rodriguez-Amaya, D. B. (2016). </w:t>
      </w:r>
      <w:r w:rsidRPr="00C25EB7">
        <w:rPr>
          <w:rFonts w:ascii="Times New Roman" w:hAnsi="Times New Roman" w:cs="Times New Roman"/>
          <w:i/>
          <w:iCs/>
          <w:sz w:val="24"/>
          <w:szCs w:val="24"/>
        </w:rPr>
        <w:t>Natural food pigments and colorants</w:t>
      </w:r>
      <w:r w:rsidRPr="00C25EB7">
        <w:rPr>
          <w:rFonts w:ascii="Times New Roman" w:hAnsi="Times New Roman" w:cs="Times New Roman"/>
          <w:sz w:val="24"/>
          <w:szCs w:val="24"/>
        </w:rPr>
        <w:t>. Wiley-Blackwell.</w:t>
      </w:r>
    </w:p>
    <w:p w14:paraId="500EB676"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5F7AADF9"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Scotter, M.J. (1995). The chemistry and analysis of annatto in food and cosmetics. </w:t>
      </w:r>
      <w:r w:rsidRPr="00C25EB7">
        <w:rPr>
          <w:rFonts w:ascii="Times New Roman" w:hAnsi="Times New Roman" w:cs="Times New Roman"/>
          <w:i/>
          <w:sz w:val="24"/>
          <w:szCs w:val="24"/>
        </w:rPr>
        <w:t>Food Chemistry</w:t>
      </w:r>
      <w:r w:rsidRPr="00C25EB7">
        <w:rPr>
          <w:rFonts w:ascii="Times New Roman" w:hAnsi="Times New Roman" w:cs="Times New Roman"/>
          <w:sz w:val="24"/>
          <w:szCs w:val="24"/>
        </w:rPr>
        <w:t xml:space="preserve">, </w:t>
      </w:r>
      <w:r w:rsidRPr="00C25EB7">
        <w:rPr>
          <w:rFonts w:ascii="Times New Roman" w:hAnsi="Times New Roman" w:cs="Times New Roman"/>
          <w:i/>
          <w:iCs/>
          <w:sz w:val="24"/>
          <w:szCs w:val="24"/>
        </w:rPr>
        <w:t>53</w:t>
      </w:r>
      <w:r w:rsidRPr="00C25EB7">
        <w:rPr>
          <w:rFonts w:ascii="Times New Roman" w:hAnsi="Times New Roman" w:cs="Times New Roman"/>
          <w:sz w:val="24"/>
          <w:szCs w:val="24"/>
        </w:rPr>
        <w:t xml:space="preserve">(2), 177-185. </w:t>
      </w:r>
    </w:p>
    <w:p w14:paraId="007112E3"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0CEE3163"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Lawless, H.T. &amp; Heymann, H. (2010). Sensory evaluation of food: Principles and practice (second edition) Springer. </w:t>
      </w:r>
    </w:p>
    <w:p w14:paraId="28E948CE"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189AE1C4"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lastRenderedPageBreak/>
        <w:t xml:space="preserve">McGuire, R.G. (1992). Reporting of objective colour measurements. </w:t>
      </w:r>
      <w:r w:rsidRPr="00C25EB7">
        <w:rPr>
          <w:rFonts w:ascii="Times New Roman" w:hAnsi="Times New Roman" w:cs="Times New Roman"/>
          <w:i/>
          <w:sz w:val="24"/>
          <w:szCs w:val="24"/>
        </w:rPr>
        <w:t>HortScience,</w:t>
      </w:r>
      <w:r w:rsidRPr="00C25EB7">
        <w:rPr>
          <w:rFonts w:ascii="Times New Roman" w:hAnsi="Times New Roman" w:cs="Times New Roman"/>
          <w:sz w:val="24"/>
          <w:szCs w:val="24"/>
        </w:rPr>
        <w:t xml:space="preserve"> </w:t>
      </w:r>
      <w:r w:rsidRPr="00C25EB7">
        <w:rPr>
          <w:rFonts w:ascii="Times New Roman" w:hAnsi="Times New Roman" w:cs="Times New Roman"/>
          <w:i/>
          <w:iCs/>
          <w:sz w:val="24"/>
          <w:szCs w:val="24"/>
        </w:rPr>
        <w:t>27</w:t>
      </w:r>
      <w:r w:rsidRPr="00C25EB7">
        <w:rPr>
          <w:rFonts w:ascii="Times New Roman" w:hAnsi="Times New Roman" w:cs="Times New Roman"/>
          <w:sz w:val="24"/>
          <w:szCs w:val="24"/>
        </w:rPr>
        <w:t>(12), 1254-1255.</w:t>
      </w:r>
    </w:p>
    <w:p w14:paraId="08D3CCA6"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405EAD1F"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Shahid, M., Shahid-ul-Islam &amp; Mohammad, F. (2013). Recent advancements in natural dye application: A review. </w:t>
      </w:r>
      <w:r w:rsidRPr="00C25EB7">
        <w:rPr>
          <w:rFonts w:ascii="Times New Roman" w:hAnsi="Times New Roman" w:cs="Times New Roman"/>
          <w:i/>
          <w:iCs/>
          <w:sz w:val="24"/>
          <w:szCs w:val="24"/>
        </w:rPr>
        <w:t>Journal of Cleaner Production</w:t>
      </w:r>
      <w:r w:rsidRPr="00C25EB7">
        <w:rPr>
          <w:rFonts w:ascii="Times New Roman" w:hAnsi="Times New Roman" w:cs="Times New Roman"/>
          <w:sz w:val="24"/>
          <w:szCs w:val="24"/>
        </w:rPr>
        <w:t>,</w:t>
      </w:r>
      <w:r w:rsidRPr="00C25EB7">
        <w:rPr>
          <w:rFonts w:ascii="Times New Roman" w:hAnsi="Times New Roman" w:cs="Times New Roman"/>
          <w:i/>
          <w:iCs/>
          <w:sz w:val="24"/>
          <w:szCs w:val="24"/>
        </w:rPr>
        <w:t>53</w:t>
      </w:r>
      <w:r w:rsidRPr="00C25EB7">
        <w:rPr>
          <w:rFonts w:ascii="Times New Roman" w:hAnsi="Times New Roman" w:cs="Times New Roman"/>
          <w:sz w:val="24"/>
          <w:szCs w:val="24"/>
        </w:rPr>
        <w:t xml:space="preserve">,310-331. </w:t>
      </w:r>
      <w:hyperlink r:id="rId25" w:history="1">
        <w:r w:rsidRPr="00C25EB7">
          <w:rPr>
            <w:rStyle w:val="Hyperlink"/>
            <w:rFonts w:ascii="Times New Roman" w:hAnsi="Times New Roman" w:cs="Times New Roman"/>
            <w:color w:val="auto"/>
            <w:sz w:val="24"/>
            <w:szCs w:val="24"/>
            <w:u w:val="none"/>
          </w:rPr>
          <w:t>https://doi.org/10.1016/j.jcle.pro.2013.03.031</w:t>
        </w:r>
      </w:hyperlink>
    </w:p>
    <w:p w14:paraId="0B2451EC"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0B6789D4"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Culling, C. F. A., Allison, R. T. &amp; Barr, W. T. (2014). Cellular pathology technique (5th edition). Butterworth-Heinemann.</w:t>
      </w:r>
    </w:p>
    <w:p w14:paraId="1E1F3B3F"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2F30A054"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Bancroft, J. D., &amp; Gamble, M. (2019). </w:t>
      </w:r>
      <w:r w:rsidRPr="00C25EB7">
        <w:rPr>
          <w:rFonts w:ascii="Times New Roman" w:hAnsi="Times New Roman" w:cs="Times New Roman"/>
          <w:i/>
          <w:iCs/>
          <w:sz w:val="24"/>
          <w:szCs w:val="24"/>
        </w:rPr>
        <w:t>Theory and practice of histological techniques</w:t>
      </w:r>
      <w:r w:rsidRPr="00C25EB7">
        <w:rPr>
          <w:rFonts w:ascii="Times New Roman" w:hAnsi="Times New Roman" w:cs="Times New Roman"/>
          <w:sz w:val="24"/>
          <w:szCs w:val="24"/>
        </w:rPr>
        <w:t xml:space="preserve"> (8th ed.). Elsevier.</w:t>
      </w:r>
    </w:p>
    <w:p w14:paraId="77837215"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08BC78FB"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Othman, A., Ismail, A., Ghani, N. A. &amp; Adenan, I. (2019). Effect of solvent extraction on antioxidant and antimicrobial properties of different parts of </w:t>
      </w:r>
      <w:r w:rsidRPr="00C25EB7">
        <w:rPr>
          <w:rFonts w:ascii="Times New Roman" w:hAnsi="Times New Roman" w:cs="Times New Roman"/>
          <w:i/>
          <w:iCs/>
          <w:sz w:val="24"/>
          <w:szCs w:val="24"/>
        </w:rPr>
        <w:t>Bixa orellana</w:t>
      </w:r>
      <w:r w:rsidRPr="00C25EB7">
        <w:rPr>
          <w:rFonts w:ascii="Times New Roman" w:hAnsi="Times New Roman" w:cs="Times New Roman"/>
          <w:sz w:val="24"/>
          <w:szCs w:val="24"/>
        </w:rPr>
        <w:t xml:space="preserve">. </w:t>
      </w:r>
      <w:r w:rsidRPr="00C25EB7">
        <w:rPr>
          <w:rFonts w:ascii="Times New Roman" w:hAnsi="Times New Roman" w:cs="Times New Roman"/>
          <w:i/>
          <w:iCs/>
          <w:sz w:val="24"/>
          <w:szCs w:val="24"/>
        </w:rPr>
        <w:t>Food Chemistry</w:t>
      </w:r>
      <w:r w:rsidRPr="00C25EB7">
        <w:rPr>
          <w:rFonts w:ascii="Times New Roman" w:hAnsi="Times New Roman" w:cs="Times New Roman"/>
          <w:sz w:val="24"/>
          <w:szCs w:val="24"/>
        </w:rPr>
        <w:t xml:space="preserve">, </w:t>
      </w:r>
      <w:r w:rsidRPr="00C25EB7">
        <w:rPr>
          <w:rFonts w:ascii="Times New Roman" w:hAnsi="Times New Roman" w:cs="Times New Roman"/>
          <w:i/>
          <w:iCs/>
          <w:sz w:val="24"/>
          <w:szCs w:val="24"/>
        </w:rPr>
        <w:t>114</w:t>
      </w:r>
      <w:r w:rsidRPr="00C25EB7">
        <w:rPr>
          <w:rFonts w:ascii="Times New Roman" w:hAnsi="Times New Roman" w:cs="Times New Roman"/>
          <w:sz w:val="24"/>
          <w:szCs w:val="24"/>
        </w:rPr>
        <w:t>(1), 45–49.</w:t>
      </w:r>
    </w:p>
    <w:p w14:paraId="4179F7A5"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7F1E5333"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lang w:val="de-DE"/>
        </w:rPr>
        <w:t xml:space="preserve">Kumar, V., Abbas, A. K. &amp; Aster, J. C. (2021). </w:t>
      </w:r>
      <w:r w:rsidRPr="00C25EB7">
        <w:rPr>
          <w:rFonts w:ascii="Times New Roman" w:hAnsi="Times New Roman" w:cs="Times New Roman"/>
          <w:sz w:val="24"/>
          <w:szCs w:val="24"/>
        </w:rPr>
        <w:t>Robbins and Cotran pathologic basis of disease (10th edition). Elsevier.</w:t>
      </w:r>
    </w:p>
    <w:p w14:paraId="496AB8B3"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1E3C7788"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Rosai, J. (2011). </w:t>
      </w:r>
      <w:r w:rsidRPr="00C25EB7">
        <w:rPr>
          <w:rFonts w:ascii="Times New Roman" w:hAnsi="Times New Roman" w:cs="Times New Roman"/>
          <w:i/>
          <w:iCs/>
          <w:sz w:val="24"/>
          <w:szCs w:val="24"/>
        </w:rPr>
        <w:t>Rosai and Ackerman’s surgical pathology</w:t>
      </w:r>
      <w:r w:rsidRPr="00C25EB7">
        <w:rPr>
          <w:rFonts w:ascii="Times New Roman" w:hAnsi="Times New Roman" w:cs="Times New Roman"/>
          <w:sz w:val="24"/>
          <w:szCs w:val="24"/>
        </w:rPr>
        <w:t xml:space="preserve"> (10th edition). Elsevier.</w:t>
      </w:r>
    </w:p>
    <w:p w14:paraId="10C26158" w14:textId="77777777" w:rsidR="007A6B09" w:rsidRPr="00C25EB7" w:rsidRDefault="007A6B09">
      <w:pPr>
        <w:pStyle w:val="ListParagraph"/>
        <w:spacing w:before="240" w:after="0" w:line="240" w:lineRule="auto"/>
        <w:jc w:val="both"/>
        <w:rPr>
          <w:rFonts w:ascii="Times New Roman" w:eastAsia="Times New Roman" w:hAnsi="Times New Roman" w:cs="Times New Roman"/>
          <w:sz w:val="24"/>
          <w:szCs w:val="24"/>
        </w:rPr>
      </w:pPr>
    </w:p>
    <w:p w14:paraId="0C1D24A5" w14:textId="77777777" w:rsidR="007A6B09" w:rsidRPr="00C25EB7" w:rsidRDefault="00E720F9">
      <w:pPr>
        <w:pStyle w:val="ListParagraph"/>
        <w:numPr>
          <w:ilvl w:val="0"/>
          <w:numId w:val="6"/>
        </w:numPr>
        <w:spacing w:before="240" w:after="0" w:line="240" w:lineRule="auto"/>
        <w:jc w:val="both"/>
        <w:rPr>
          <w:rFonts w:ascii="Times New Roman" w:eastAsia="Times New Roman" w:hAnsi="Times New Roman" w:cs="Times New Roman"/>
          <w:sz w:val="24"/>
          <w:szCs w:val="24"/>
        </w:rPr>
      </w:pPr>
      <w:r w:rsidRPr="00C25EB7">
        <w:rPr>
          <w:rFonts w:ascii="Times New Roman" w:eastAsia="Times New Roman" w:hAnsi="Times New Roman" w:cs="Times New Roman"/>
          <w:sz w:val="24"/>
          <w:szCs w:val="24"/>
        </w:rPr>
        <w:t xml:space="preserve">Avwioro, O. G. (2011). Histochemical uses of plant dyes. </w:t>
      </w:r>
      <w:r w:rsidRPr="00C25EB7">
        <w:rPr>
          <w:rFonts w:ascii="Times New Roman" w:eastAsia="Times New Roman" w:hAnsi="Times New Roman" w:cs="Times New Roman"/>
          <w:i/>
          <w:iCs/>
          <w:sz w:val="24"/>
          <w:szCs w:val="24"/>
        </w:rPr>
        <w:t>African Journal of Biotechnology, 10</w:t>
      </w:r>
      <w:r w:rsidRPr="00C25EB7">
        <w:rPr>
          <w:rFonts w:ascii="Times New Roman" w:eastAsia="Times New Roman" w:hAnsi="Times New Roman" w:cs="Times New Roman"/>
          <w:sz w:val="24"/>
          <w:szCs w:val="24"/>
        </w:rPr>
        <w:t>(46), 9475–9482.</w:t>
      </w:r>
    </w:p>
    <w:p w14:paraId="55137FD8"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681C5A42"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Prento, P. (2009). Staining of macromolecules: Possible mechanisms and examples. </w:t>
      </w:r>
      <w:r w:rsidRPr="00C25EB7">
        <w:rPr>
          <w:rFonts w:ascii="Times New Roman" w:hAnsi="Times New Roman" w:cs="Times New Roman"/>
          <w:i/>
          <w:iCs/>
          <w:sz w:val="24"/>
          <w:szCs w:val="24"/>
        </w:rPr>
        <w:t>Biotechnic &amp; Histochemistry, 84</w:t>
      </w:r>
      <w:r w:rsidRPr="00C25EB7">
        <w:rPr>
          <w:rFonts w:ascii="Times New Roman" w:hAnsi="Times New Roman" w:cs="Times New Roman"/>
          <w:sz w:val="24"/>
          <w:szCs w:val="24"/>
        </w:rPr>
        <w:t>(4), 139–158.</w:t>
      </w:r>
    </w:p>
    <w:p w14:paraId="22BF792F"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2698C66F"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Shahidi, F. &amp; Ambigaipalan, P. (2015). Phenolics and polyphenolics in foods, beverages and spices: Antioxidant activity and health effects-A review. </w:t>
      </w:r>
      <w:r w:rsidRPr="00C25EB7">
        <w:rPr>
          <w:rFonts w:ascii="Times New Roman" w:hAnsi="Times New Roman" w:cs="Times New Roman"/>
          <w:i/>
          <w:iCs/>
          <w:sz w:val="24"/>
          <w:szCs w:val="24"/>
        </w:rPr>
        <w:t>Journal of Functional Foods,18</w:t>
      </w:r>
      <w:r w:rsidRPr="00C25EB7">
        <w:rPr>
          <w:rFonts w:ascii="Times New Roman" w:hAnsi="Times New Roman" w:cs="Times New Roman"/>
          <w:sz w:val="24"/>
          <w:szCs w:val="24"/>
        </w:rPr>
        <w:t>,820-897. https://doi.org/10.1016/j.jff.2015.06.018</w:t>
      </w:r>
    </w:p>
    <w:p w14:paraId="4E01594E"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24CBDC08"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Prasad, N. &amp; Prabhu, V. (2019). Evaluation of plant-derived pigments as histological stains. </w:t>
      </w:r>
      <w:r w:rsidRPr="00C25EB7">
        <w:rPr>
          <w:rFonts w:ascii="Times New Roman" w:hAnsi="Times New Roman" w:cs="Times New Roman"/>
          <w:i/>
          <w:iCs/>
          <w:sz w:val="24"/>
          <w:szCs w:val="24"/>
        </w:rPr>
        <w:t>International Journal of Scientific Research, 8</w:t>
      </w:r>
      <w:r w:rsidRPr="00C25EB7">
        <w:rPr>
          <w:rFonts w:ascii="Times New Roman" w:hAnsi="Times New Roman" w:cs="Times New Roman"/>
          <w:sz w:val="24"/>
          <w:szCs w:val="24"/>
        </w:rPr>
        <w:t>(2), 40–44.</w:t>
      </w:r>
    </w:p>
    <w:p w14:paraId="3BC4D874"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09B0A0CD"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Kiernan, J. A. (2015). </w:t>
      </w:r>
      <w:r w:rsidRPr="00C25EB7">
        <w:rPr>
          <w:rFonts w:ascii="Times New Roman" w:hAnsi="Times New Roman" w:cs="Times New Roman"/>
          <w:i/>
          <w:iCs/>
          <w:sz w:val="24"/>
          <w:szCs w:val="24"/>
        </w:rPr>
        <w:t>Histological and histochemical methods: Theory and practice</w:t>
      </w:r>
      <w:r w:rsidRPr="00C25EB7">
        <w:rPr>
          <w:rFonts w:ascii="Times New Roman" w:hAnsi="Times New Roman" w:cs="Times New Roman"/>
          <w:sz w:val="24"/>
          <w:szCs w:val="24"/>
        </w:rPr>
        <w:t xml:space="preserve"> (5th edition). Scion Publishing.</w:t>
      </w:r>
    </w:p>
    <w:p w14:paraId="581596F6" w14:textId="77777777" w:rsidR="007A6B09" w:rsidRPr="00C25EB7" w:rsidRDefault="007A6B09">
      <w:pPr>
        <w:pStyle w:val="ListParagraph"/>
        <w:spacing w:before="240" w:after="0" w:line="240" w:lineRule="auto"/>
        <w:jc w:val="both"/>
        <w:rPr>
          <w:rFonts w:ascii="Times New Roman" w:hAnsi="Times New Roman" w:cs="Times New Roman"/>
          <w:sz w:val="24"/>
          <w:szCs w:val="24"/>
        </w:rPr>
      </w:pPr>
    </w:p>
    <w:p w14:paraId="4F4D47F0" w14:textId="77777777" w:rsidR="007A6B09" w:rsidRPr="00C25EB7" w:rsidRDefault="00E720F9">
      <w:pPr>
        <w:pStyle w:val="ListParagraph"/>
        <w:numPr>
          <w:ilvl w:val="0"/>
          <w:numId w:val="6"/>
        </w:numPr>
        <w:spacing w:before="240"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Elder, D. E., Massi, D., Scolyer, R. A. &amp; Willemze, R. (2020). </w:t>
      </w:r>
      <w:r w:rsidRPr="00C25EB7">
        <w:rPr>
          <w:rFonts w:ascii="Times New Roman" w:hAnsi="Times New Roman" w:cs="Times New Roman"/>
          <w:i/>
          <w:iCs/>
          <w:sz w:val="24"/>
          <w:szCs w:val="24"/>
        </w:rPr>
        <w:t>WHO classification of skin tumours</w:t>
      </w:r>
      <w:r w:rsidRPr="00C25EB7">
        <w:rPr>
          <w:rFonts w:ascii="Times New Roman" w:hAnsi="Times New Roman" w:cs="Times New Roman"/>
          <w:sz w:val="24"/>
          <w:szCs w:val="24"/>
        </w:rPr>
        <w:t xml:space="preserve"> (4th ed.). IARC.</w:t>
      </w:r>
    </w:p>
    <w:p w14:paraId="62CDA398" w14:textId="77777777" w:rsidR="007A6B09" w:rsidRDefault="007A6B09">
      <w:pPr>
        <w:spacing w:line="240" w:lineRule="auto"/>
        <w:jc w:val="both"/>
        <w:rPr>
          <w:rFonts w:ascii="Times New Roman" w:hAnsi="Times New Roman" w:cs="Times New Roman"/>
          <w:b/>
          <w:bCs/>
          <w:sz w:val="24"/>
          <w:szCs w:val="24"/>
        </w:rPr>
      </w:pPr>
    </w:p>
    <w:sectPr w:rsidR="007A6B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6D22" w14:textId="77777777" w:rsidR="00FB6A75" w:rsidRDefault="00FB6A75">
      <w:pPr>
        <w:spacing w:after="0" w:line="240" w:lineRule="auto"/>
      </w:pPr>
      <w:r>
        <w:separator/>
      </w:r>
    </w:p>
  </w:endnote>
  <w:endnote w:type="continuationSeparator" w:id="0">
    <w:p w14:paraId="337C03A2" w14:textId="77777777" w:rsidR="00FB6A75" w:rsidRDefault="00FB6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imSun"/>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93DC" w14:textId="77777777" w:rsidR="002059E0" w:rsidRDefault="002059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DDB5" w14:textId="77777777" w:rsidR="007A6B09" w:rsidRDefault="00E720F9">
    <w:pPr>
      <w:pStyle w:val="Footer"/>
      <w:jc w:val="center"/>
    </w:pPr>
    <w:r>
      <w:fldChar w:fldCharType="begin"/>
    </w:r>
    <w:r>
      <w:instrText xml:space="preserve"> PAGE   \* MERGEFORMAT </w:instrText>
    </w:r>
    <w:r>
      <w:fldChar w:fldCharType="separate"/>
    </w:r>
    <w:r>
      <w:rPr>
        <w:noProof/>
      </w:rPr>
      <w:t>40</w:t>
    </w:r>
    <w:r>
      <w:rPr>
        <w:noProof/>
      </w:rPr>
      <w:fldChar w:fldCharType="end"/>
    </w:r>
  </w:p>
  <w:p w14:paraId="1E661111" w14:textId="77777777" w:rsidR="007A6B09" w:rsidRDefault="007A6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DBFF" w14:textId="77777777" w:rsidR="002059E0" w:rsidRDefault="00205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48C8" w14:textId="77777777" w:rsidR="00FB6A75" w:rsidRDefault="00FB6A75">
      <w:pPr>
        <w:spacing w:after="0" w:line="240" w:lineRule="auto"/>
      </w:pPr>
      <w:r>
        <w:separator/>
      </w:r>
    </w:p>
  </w:footnote>
  <w:footnote w:type="continuationSeparator" w:id="0">
    <w:p w14:paraId="5D0E72CA" w14:textId="77777777" w:rsidR="00FB6A75" w:rsidRDefault="00FB6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528C" w14:textId="5834EB7B" w:rsidR="002059E0" w:rsidRDefault="002059E0">
    <w:pPr>
      <w:pStyle w:val="Header"/>
    </w:pPr>
    <w:r>
      <w:rPr>
        <w:noProof/>
      </w:rPr>
      <w:pict w14:anchorId="2F3D2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65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2DD2" w14:textId="1AE56B60" w:rsidR="002059E0" w:rsidRDefault="002059E0">
    <w:pPr>
      <w:pStyle w:val="Header"/>
    </w:pPr>
    <w:r>
      <w:rPr>
        <w:noProof/>
      </w:rPr>
      <w:pict w14:anchorId="6DB6DA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65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B047" w14:textId="6B09E5CD" w:rsidR="002059E0" w:rsidRDefault="002059E0">
    <w:pPr>
      <w:pStyle w:val="Header"/>
    </w:pPr>
    <w:r>
      <w:rPr>
        <w:noProof/>
      </w:rPr>
      <w:pict w14:anchorId="3755A0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65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EE42094"/>
    <w:lvl w:ilvl="0" w:tplc="D4B24034">
      <w:start w:val="1"/>
      <w:numFmt w:val="decimal"/>
      <w:lvlText w:val="%1."/>
      <w:lvlJc w:val="left"/>
      <w:pPr>
        <w:ind w:left="720" w:hanging="360"/>
      </w:pPr>
      <w:rPr>
        <w:rFonts w:hint="default"/>
      </w:rPr>
    </w:lvl>
    <w:lvl w:ilvl="1" w:tplc="7B5E6338">
      <w:start w:val="1"/>
      <w:numFmt w:val="lowerLetter"/>
      <w:lvlText w:val="%2."/>
      <w:lvlJc w:val="left"/>
      <w:pPr>
        <w:ind w:left="1440" w:hanging="360"/>
      </w:pPr>
    </w:lvl>
    <w:lvl w:ilvl="2" w:tplc="B8B8FBBE" w:tentative="1">
      <w:start w:val="1"/>
      <w:numFmt w:val="lowerRoman"/>
      <w:lvlText w:val="%3."/>
      <w:lvlJc w:val="right"/>
      <w:pPr>
        <w:ind w:left="2160" w:hanging="180"/>
      </w:pPr>
    </w:lvl>
    <w:lvl w:ilvl="3" w:tplc="5A283794" w:tentative="1">
      <w:start w:val="1"/>
      <w:numFmt w:val="decimal"/>
      <w:lvlText w:val="%4."/>
      <w:lvlJc w:val="left"/>
      <w:pPr>
        <w:ind w:left="2880" w:hanging="360"/>
      </w:pPr>
    </w:lvl>
    <w:lvl w:ilvl="4" w:tplc="733890D0" w:tentative="1">
      <w:start w:val="1"/>
      <w:numFmt w:val="lowerLetter"/>
      <w:lvlText w:val="%5."/>
      <w:lvlJc w:val="left"/>
      <w:pPr>
        <w:ind w:left="3600" w:hanging="360"/>
      </w:pPr>
    </w:lvl>
    <w:lvl w:ilvl="5" w:tplc="213EAEF8" w:tentative="1">
      <w:start w:val="1"/>
      <w:numFmt w:val="lowerRoman"/>
      <w:lvlText w:val="%6."/>
      <w:lvlJc w:val="right"/>
      <w:pPr>
        <w:ind w:left="4320" w:hanging="180"/>
      </w:pPr>
    </w:lvl>
    <w:lvl w:ilvl="6" w:tplc="CCDEE332" w:tentative="1">
      <w:start w:val="1"/>
      <w:numFmt w:val="decimal"/>
      <w:lvlText w:val="%7."/>
      <w:lvlJc w:val="left"/>
      <w:pPr>
        <w:ind w:left="5040" w:hanging="360"/>
      </w:pPr>
    </w:lvl>
    <w:lvl w:ilvl="7" w:tplc="7834D3E6" w:tentative="1">
      <w:start w:val="1"/>
      <w:numFmt w:val="lowerLetter"/>
      <w:lvlText w:val="%8."/>
      <w:lvlJc w:val="left"/>
      <w:pPr>
        <w:ind w:left="5760" w:hanging="360"/>
      </w:pPr>
    </w:lvl>
    <w:lvl w:ilvl="8" w:tplc="A6081904" w:tentative="1">
      <w:start w:val="1"/>
      <w:numFmt w:val="lowerRoman"/>
      <w:lvlText w:val="%9."/>
      <w:lvlJc w:val="right"/>
      <w:pPr>
        <w:ind w:left="6480" w:hanging="180"/>
      </w:pPr>
    </w:lvl>
  </w:abstractNum>
  <w:abstractNum w:abstractNumId="1" w15:restartNumberingAfterBreak="0">
    <w:nsid w:val="00000002"/>
    <w:multiLevelType w:val="hybridMultilevel"/>
    <w:tmpl w:val="3EE42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3CD4FCCA"/>
    <w:lvl w:ilvl="0" w:tplc="4DB6A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F1643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EC005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286260"/>
    <w:multiLevelType w:val="hybridMultilevel"/>
    <w:tmpl w:val="8C88E8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843388">
    <w:abstractNumId w:val="4"/>
  </w:num>
  <w:num w:numId="2" w16cid:durableId="679477666">
    <w:abstractNumId w:val="5"/>
  </w:num>
  <w:num w:numId="3" w16cid:durableId="1281113395">
    <w:abstractNumId w:val="1"/>
  </w:num>
  <w:num w:numId="4" w16cid:durableId="1837573579">
    <w:abstractNumId w:val="0"/>
  </w:num>
  <w:num w:numId="5" w16cid:durableId="1780754815">
    <w:abstractNumId w:val="2"/>
  </w:num>
  <w:num w:numId="6" w16cid:durableId="901327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9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B09"/>
    <w:rsid w:val="001374A2"/>
    <w:rsid w:val="002059E0"/>
    <w:rsid w:val="0039731A"/>
    <w:rsid w:val="005912C0"/>
    <w:rsid w:val="007A6B09"/>
    <w:rsid w:val="007C3148"/>
    <w:rsid w:val="007F0262"/>
    <w:rsid w:val="009E25AB"/>
    <w:rsid w:val="00A10595"/>
    <w:rsid w:val="00B04B05"/>
    <w:rsid w:val="00B37C24"/>
    <w:rsid w:val="00C25EB7"/>
    <w:rsid w:val="00E31F72"/>
    <w:rsid w:val="00E720F9"/>
    <w:rsid w:val="00FB6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2"/>
      <o:rules v:ext="edit">
        <o:r id="V:Rule1" type="connector" idref="#1040"/>
        <o:r id="V:Rule2" type="connector" idref="#1076"/>
        <o:r id="V:Rule3" type="connector" idref="#1054"/>
        <o:r id="V:Rule4" type="connector" idref="#1057"/>
        <o:r id="V:Rule5" type="connector" idref="#1075"/>
        <o:r id="V:Rule6" type="connector" idref="#1038"/>
        <o:r id="V:Rule7" type="connector" idref="#1030"/>
        <o:r id="V:Rule8" type="connector" idref="#1067"/>
        <o:r id="V:Rule9" type="connector" idref="#1068"/>
        <o:r id="V:Rule10" type="connector" idref="#1031"/>
        <o:r id="V:Rule11" type="connector" idref="#1035"/>
        <o:r id="V:Rule12" type="connector" idref="#1052"/>
        <o:r id="V:Rule13" type="connector" idref="#1074"/>
        <o:r id="V:Rule14" type="connector" idref="#1080"/>
        <o:r id="V:Rule15" type="connector" idref="#1063"/>
        <o:r id="V:Rule16" type="connector" idref="#1073"/>
        <o:r id="V:Rule17" type="connector" idref="#1066"/>
        <o:r id="V:Rule18" type="connector" idref="#1032"/>
        <o:r id="V:Rule19" type="connector" idref="#1082"/>
        <o:r id="V:Rule20" type="connector" idref="#1037"/>
        <o:r id="V:Rule21" type="connector" idref="#1061"/>
        <o:r id="V:Rule22" type="connector" idref="#1041"/>
        <o:r id="V:Rule23" type="connector" idref="#1058"/>
        <o:r id="V:Rule24" type="connector" idref="#1060"/>
        <o:r id="V:Rule25" type="connector" idref="#1036"/>
        <o:r id="V:Rule26" type="connector" idref="#1083"/>
        <o:r id="V:Rule27" type="connector" idref="#1078"/>
        <o:r id="V:Rule28" type="connector" idref="#1042"/>
        <o:r id="V:Rule29" type="connector" idref="#_x0000_m2095"/>
        <o:r id="V:Rule30" type="connector" idref="#1081"/>
        <o:r id="V:Rule31" type="connector" idref="#1072"/>
        <o:r id="V:Rule32" type="connector" idref="#1034"/>
        <o:r id="V:Rule33" type="connector" idref="#1077"/>
        <o:r id="V:Rule34" type="connector" idref="#1050"/>
        <o:r id="V:Rule35" type="connector" idref="#1059"/>
        <o:r id="V:Rule36" type="connector" idref="#1065"/>
        <o:r id="V:Rule37" type="connector" idref="#1051"/>
        <o:r id="V:Rule38" type="connector" idref="#1062"/>
        <o:r id="V:Rule39" type="connector" idref="#1071"/>
        <o:r id="V:Rule40" type="connector" idref="#1053"/>
      </o:rules>
    </o:shapelayout>
  </w:shapeDefaults>
  <w:decimalSymbol w:val="."/>
  <w:listSeparator w:val=","/>
  <w14:docId w14:val="02061956"/>
  <w15:docId w15:val="{F705128E-C314-45F1-BC95-186CEE45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365F9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365F9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365F9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sz w:val="32"/>
      <w:szCs w:val="32"/>
    </w:rPr>
  </w:style>
  <w:style w:type="character" w:customStyle="1" w:styleId="Heading3Char">
    <w:name w:val="Heading 3 Char"/>
    <w:basedOn w:val="DefaultParagraphFont"/>
    <w:link w:val="Heading3"/>
    <w:uiPriority w:val="9"/>
    <w:rPr>
      <w:rFonts w:eastAsiaTheme="majorEastAsia" w:cstheme="majorBidi"/>
      <w:color w:val="365F91"/>
      <w:sz w:val="28"/>
      <w:szCs w:val="28"/>
    </w:rPr>
  </w:style>
  <w:style w:type="character" w:customStyle="1" w:styleId="Heading4Char">
    <w:name w:val="Heading 4 Char"/>
    <w:basedOn w:val="DefaultParagraphFont"/>
    <w:link w:val="Heading4"/>
    <w:uiPriority w:val="9"/>
    <w:rPr>
      <w:rFonts w:eastAsiaTheme="majorEastAsia" w:cstheme="majorBidi"/>
      <w:i/>
      <w:iCs/>
      <w:color w:val="365F91"/>
    </w:rPr>
  </w:style>
  <w:style w:type="character" w:customStyle="1" w:styleId="Heading5Char">
    <w:name w:val="Heading 5 Char"/>
    <w:basedOn w:val="DefaultParagraphFont"/>
    <w:link w:val="Heading5"/>
    <w:uiPriority w:val="9"/>
    <w:rPr>
      <w:rFonts w:eastAsiaTheme="majorEastAsia" w:cstheme="majorBidi"/>
      <w:color w:val="365F9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eastAsiaTheme="majorEastAsia" w:cstheme="majorBidi"/>
      <w:color w:val="595959"/>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Quote">
    <w:name w:val="Quote"/>
    <w:basedOn w:val="Normal"/>
    <w:next w:val="Normal"/>
    <w:link w:val="QuoteChar"/>
    <w:uiPriority w:val="29"/>
    <w:qFormat/>
    <w:pPr>
      <w:spacing w:before="160" w:after="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basedOn w:val="DefaultParagraphFont"/>
    <w:link w:val="IntenseQuote"/>
    <w:uiPriority w:val="30"/>
    <w:rPr>
      <w:i/>
      <w:iCs/>
      <w:color w:val="365F91"/>
    </w:rPr>
  </w:style>
  <w:style w:type="character" w:styleId="IntenseReference">
    <w:name w:val="Intense Reference"/>
    <w:basedOn w:val="DefaultParagraphFont"/>
    <w:uiPriority w:val="32"/>
    <w:qFormat/>
    <w:rPr>
      <w:b/>
      <w:bCs/>
      <w:smallCaps/>
      <w:color w:val="365F91"/>
      <w:spacing w:val="5"/>
    </w:rPr>
  </w:style>
  <w:style w:type="paragraph" w:styleId="NoSpacing">
    <w:name w:val="No Spacing"/>
    <w:uiPriority w:val="1"/>
    <w:qFormat/>
    <w:pPr>
      <w:spacing w:after="0" w:line="240" w:lineRule="auto"/>
    </w:pPr>
    <w:rPr>
      <w:rFonts w:eastAsiaTheme="minorEastAsia"/>
      <w:kern w:val="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odyText">
    <w:name w:val="Body Text"/>
    <w:basedOn w:val="Normal"/>
    <w:link w:val="BodyTextChar"/>
    <w:uiPriority w:val="1"/>
    <w:qFormat/>
    <w:pPr>
      <w:widowControl w:val="0"/>
      <w:spacing w:after="0" w:line="240" w:lineRule="auto"/>
      <w:ind w:left="120"/>
    </w:pPr>
    <w:rPr>
      <w:rFonts w:ascii="Times New Roman" w:eastAsia="Times New Roman" w:hAnsi="Times New Roman"/>
      <w:kern w:val="0"/>
      <w:sz w:val="24"/>
      <w:szCs w:val="24"/>
    </w:rPr>
  </w:style>
  <w:style w:type="character" w:customStyle="1" w:styleId="BodyTextChar">
    <w:name w:val="Body Text Char"/>
    <w:basedOn w:val="DefaultParagraphFont"/>
    <w:link w:val="BodyText"/>
    <w:uiPriority w:val="1"/>
    <w:rPr>
      <w:rFonts w:ascii="Times New Roman" w:eastAsia="Times New Roman" w:hAnsi="Times New Roman"/>
      <w:kern w:val="0"/>
      <w:sz w:val="24"/>
      <w:szCs w:val="24"/>
    </w:rPr>
  </w:style>
  <w:style w:type="table" w:styleId="TableGrid">
    <w:name w:val="Table Grid"/>
    <w:basedOn w:val="TableNormal"/>
    <w:uiPriority w:val="59"/>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pPr>
      <w:tabs>
        <w:tab w:val="center" w:pos="4680"/>
        <w:tab w:val="right" w:pos="9360"/>
      </w:tabs>
      <w:spacing w:after="0" w:line="240" w:lineRule="auto"/>
    </w:pPr>
    <w:rPr>
      <w:rFonts w:eastAsiaTheme="minorEastAsia"/>
      <w:kern w:val="0"/>
    </w:rPr>
  </w:style>
  <w:style w:type="character" w:customStyle="1" w:styleId="FooterChar">
    <w:name w:val="Footer Char"/>
    <w:basedOn w:val="DefaultParagraphFont"/>
    <w:link w:val="Footer"/>
    <w:uiPriority w:val="99"/>
    <w:rPr>
      <w:rFonts w:eastAsiaTheme="minorEastAsia"/>
      <w:kern w:val="0"/>
    </w:rPr>
  </w:style>
  <w:style w:type="table" w:styleId="LightShading">
    <w:name w:val="Light Shading"/>
    <w:basedOn w:val="TableNormal"/>
    <w:uiPriority w:val="60"/>
    <w:pPr>
      <w:spacing w:after="0" w:line="240" w:lineRule="auto"/>
    </w:pPr>
    <w:rPr>
      <w:rFonts w:ascii="Calibri" w:eastAsia="Calibri" w:hAnsi="Calibri" w:cs="SimSun"/>
      <w:color w:val="000000"/>
      <w:kern w:val="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7">
    <w:name w:val="Pa17"/>
    <w:basedOn w:val="Normal"/>
    <w:next w:val="Normal"/>
    <w:uiPriority w:val="99"/>
    <w:pPr>
      <w:autoSpaceDE w:val="0"/>
      <w:autoSpaceDN w:val="0"/>
      <w:adjustRightInd w:val="0"/>
      <w:spacing w:after="0" w:line="141" w:lineRule="atLeast"/>
    </w:pPr>
    <w:rPr>
      <w:rFonts w:ascii="Helvetica Neue" w:eastAsiaTheme="minorEastAsia" w:hAnsi="Helvetica Neue"/>
      <w:kern w:val="0"/>
      <w:sz w:val="24"/>
      <w:szCs w:val="24"/>
    </w:rPr>
  </w:style>
  <w:style w:type="character" w:styleId="Strong">
    <w:name w:val="Strong"/>
    <w:basedOn w:val="DefaultParagraphFont"/>
    <w:uiPriority w:val="22"/>
    <w:qFormat/>
    <w:rPr>
      <w:b/>
      <w:bCs/>
    </w:rPr>
  </w:style>
  <w:style w:type="character" w:customStyle="1" w:styleId="super">
    <w:name w:val="super"/>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hyperlink" Target="https://doi.org/10.1016/j.jcle.pro.2013.03.031"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40</Pages>
  <Words>8367</Words>
  <Characters>47695</Characters>
  <Application>Microsoft Office Word</Application>
  <DocSecurity>0</DocSecurity>
  <Lines>397</Lines>
  <Paragraphs>111</Paragraphs>
  <ScaleCrop>false</ScaleCrop>
  <Company/>
  <LinksUpToDate>false</LinksUpToDate>
  <CharactersWithSpaces>55951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dc:creator>
  <cp:lastModifiedBy>SDI 1166</cp:lastModifiedBy>
  <cp:revision>76</cp:revision>
  <dcterms:created xsi:type="dcterms:W3CDTF">2026-06-25T22:22:00Z</dcterms:created>
  <dcterms:modified xsi:type="dcterms:W3CDTF">2026-06-26T12:24:00Z</dcterms:modified>
</cp:coreProperties>
</file>