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4028" w14:textId="77777777" w:rsidR="00EF14F7" w:rsidRPr="00EF14F7" w:rsidRDefault="00EF14F7" w:rsidP="00EF14F7">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EF14F7">
        <w:rPr>
          <w:rFonts w:ascii="Times New Roman" w:eastAsia="Times New Roman" w:hAnsi="Times New Roman" w:cs="Times New Roman"/>
          <w:b/>
          <w:bCs/>
          <w:i/>
          <w:iCs/>
          <w:sz w:val="36"/>
          <w:szCs w:val="36"/>
          <w:u w:val="single"/>
          <w:lang w:val="en-US" w:eastAsia="en-GB"/>
        </w:rPr>
        <w:t>Review Article</w:t>
      </w:r>
    </w:p>
    <w:p w14:paraId="08319D1F" w14:textId="77777777" w:rsidR="00A13324" w:rsidRPr="00A13324" w:rsidRDefault="00A13324" w:rsidP="00A13324">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A13324">
        <w:rPr>
          <w:rFonts w:ascii="Times New Roman" w:eastAsia="Times New Roman" w:hAnsi="Times New Roman" w:cs="Times New Roman"/>
          <w:b/>
          <w:bCs/>
          <w:sz w:val="36"/>
          <w:szCs w:val="36"/>
          <w:lang w:eastAsia="en-GB"/>
        </w:rPr>
        <w:t>Artificial Intelligence and Machine Learning in Pest and Disease Surveillance: From Detection to Decision Support</w:t>
      </w:r>
    </w:p>
    <w:p w14:paraId="72656688"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Abstract</w:t>
      </w:r>
    </w:p>
    <w:p w14:paraId="371B590E"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Plant pests and diseases remain among the most persistent threats to global food security, reducing potential crop yields substantially every year and imposing heavy economic losses on producers across both smallholder and industrial farming systems. Conventional surveillance relies on manual scouting and visual diagnosis, approaches that are slow, subjective, and poorly suited to the scale and speed at which modern outbreaks develop. Over the past decade, artificial intelligence and machine learning have reshaped the surveillance landscape, offering tools that span image-based detection, sensor-driven monitoring, predictive modelling, and decision support. This review synthesises developments across this continuum, tracing the progression from convolutional neural networks and vision transformers used for leaf-level disease classification, through object detection frameworks and Internet of Things-enabled smart traps used for insect pest monitoring, to remote sensing and species distribution models used for landscape-scale forecasting, and finally to decision support systems that translate model outputs into actionable field guidance. Particular attention is given to persistent technical constraints, including the scarcity and imbalance of labelled field data, poor generalisation of models trained on curated datasets when deployed under variable field conditions, and the limited interpretability of deep architectures, alongside emerging responses such as transfer learning, generative data augmentation, and explainable artificial intelligence. The review further considers infrastructural and adoption barriers relevant to resource-constrained farming systems, including connectivity, computational cost, and the integration of artificial intelligence outputs into existing extension and decision-making structures. Drawing on this synthesis, priority directions for future research are identified, including federated and privacy-preserving learning across distributed agricultural datasets, multimodal sensor fusion, and closer coupling between predictive analytics and site-specific intervention. The findings indicate that while detection accuracy has advanced considerably, the translation of artificial intelligence outputs into reliable, trusted, and economically viable decision support remains the central unresolved challenge for the field.</w:t>
      </w:r>
    </w:p>
    <w:p w14:paraId="2F344C6C"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Keywords:</w:t>
      </w:r>
      <w:r w:rsidRPr="00A13324">
        <w:rPr>
          <w:rFonts w:ascii="Times New Roman" w:eastAsia="Times New Roman" w:hAnsi="Times New Roman" w:cs="Times New Roman"/>
          <w:sz w:val="24"/>
          <w:szCs w:val="24"/>
          <w:lang w:eastAsia="en-GB"/>
        </w:rPr>
        <w:t xml:space="preserve"> artificial intelligence; machine learning; deep learning; plant disease detection; pest surveillance; precision agriculture; decision support systems</w:t>
      </w:r>
    </w:p>
    <w:p w14:paraId="04649904"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224ED066"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1. Introduction</w:t>
      </w:r>
    </w:p>
    <w:p w14:paraId="449D9765"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1.1 Background</w:t>
      </w:r>
    </w:p>
    <w:p w14:paraId="6CC5DC53"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Agricultural production systems face a persistent and escalating challenge from plant pests and pathogens, one that has grown more acute as climate variability alters the range, phenology, and virulence of many organisms. Pests and diseases are estimated by the Food and Agriculture Organization of the United Nations to account for the loss of a substantial </w:t>
      </w:r>
      <w:r w:rsidRPr="00A13324">
        <w:rPr>
          <w:rFonts w:ascii="Times New Roman" w:eastAsia="Times New Roman" w:hAnsi="Times New Roman" w:cs="Times New Roman"/>
          <w:sz w:val="24"/>
          <w:szCs w:val="24"/>
          <w:lang w:eastAsia="en-GB"/>
        </w:rPr>
        <w:lastRenderedPageBreak/>
        <w:t>proportion of global crop production every year, with associated costs to the global economy running into hundreds of billions of United States dollars annually (Food and Agriculture Organization of the United Nations, 2025). These losses are distributed unevenly, falling hardest on smallholder farmers in regions where extension services are thin and diagnostic expertise is scarce. The consequences extend beyond farm-level income, touching food security, trade, and rural livelihoods at a scale that has prompted sustained international attention to surveillance and early warning as pillars of plant health policy.</w:t>
      </w:r>
    </w:p>
    <w:p w14:paraId="7DA245CC"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Traditional surveillance of pests and diseases has depended on manual field scouting, visual symptom recognition by trained agronomists, and, where available, laboratory diagnostics such as polymerase chain reaction assays or serological testing. These methods, while often accurate under controlled conditions, are labour-intensive, slow to scale across large cropping areas, and dependent on a cadre of experts that remains thin relative to the number of farmers who need their services. The problem is compounded by the sheer diversity of causal agents involved: fungal, bacterial, and viral pathogens each present distinct symptom profiles and spread dynamics, and viral diseases alone account for a substantial share of global crop losses, adding further complexity to a diagnostic task that visual inspection alone struggles to resolve reliably (Jones &amp; Naidu, 2019). By the time symptoms are visible to the human eye, the causal agent may already have spread beyond the point where intervention is economically efficient.</w:t>
      </w:r>
    </w:p>
    <w:p w14:paraId="555CA7CE"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1.2 The Emergence of Artificial Intelligence in Plant Health Surveillance</w:t>
      </w:r>
    </w:p>
    <w:p w14:paraId="5E9E7E0C"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Advances in computer vision, sensor miniaturisation, and computational infrastructure have converged over the past decade to create a substantially different technical landscape for surveillance. Convolutional neural networks demonstrated an early and striking capacity to classify plant disease symptoms from leaf images with accuracy comparable to, and in some benchmark settings exceeding, that of trained specialists (Mohanty et al., 2016). This foundational demonstration catalysed a large and rapidly diversifying body of research applying deep learning to plant disease classification, object detection frameworks to insect pest identification, and a widening array of sensing modalities, from hyperspectral cameras to acoustic and volatile-compound sensors, to the broader task of crop health monitoring (Pacal et al., 2024).</w:t>
      </w:r>
    </w:p>
    <w:p w14:paraId="01568800"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Parallel to this growth in detection capability, an equally important stream of work has sought to connect these outputs to the practical needs of growers and plant protection services. Detecting a pathogen or an insect in an image is of limited value unless that detection can be translated into a timely and economically sound recommendation: whether and when to intervene, with what method, and at what intensity. This translation, from raw sensing to decision support, has proven considerably harder than the underlying detection problem, and it forms a central theme of the present review.</w:t>
      </w:r>
    </w:p>
    <w:p w14:paraId="6FAC2237"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1.3 Scope, Research Gap, and Objectives</w:t>
      </w:r>
    </w:p>
    <w:p w14:paraId="39A99D5B"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Several recent reviews have addressed either plant disease detection using deep learning or insect pest monitoring using computer vision as separate literatures, typically with a narrow technical focus on model architecture and benchmark accuracy. Comparatively fewer treatments consider pest and disease surveillance jointly, or extend the analysis beyond detection accuracy to examine how artificial intelligence outputs are, or could be, integrated into functioning decision support systems that growers and plant protection agencies can trust </w:t>
      </w:r>
      <w:r w:rsidRPr="00A13324">
        <w:rPr>
          <w:rFonts w:ascii="Times New Roman" w:eastAsia="Times New Roman" w:hAnsi="Times New Roman" w:cs="Times New Roman"/>
          <w:sz w:val="24"/>
          <w:szCs w:val="24"/>
          <w:lang w:eastAsia="en-GB"/>
        </w:rPr>
        <w:lastRenderedPageBreak/>
        <w:t>and act upon. There is likewise limited synthesis of the practical constraints, data scarcity, model generalisability, interpretability, computational cost, and connectivity, that determine whether a given technical advance is deployable outside the research setting in which it was developed.</w:t>
      </w:r>
    </w:p>
    <w:p w14:paraId="3B06775D"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This review addresses that gap by tracing the continuum from sensing and detection through to decision support, treating pest and disease surveillance as a single, related problem space rather than two separate literatures. Its objectives are threefold: first, to characterise the principal machine learning and deep learning approaches applied across imaging, sensor, and remote sensing modalities for pest and disease surveillance; second, to critically evaluate the technical and practical barriers that constrain translation of these approaches into reliable decision support tools; and third, to identify priority directions for research capable of closing the gap between detection performance reported in controlled studies and dependable performance under field deployment conditions. The review is deliberately narrative rather than systematic in structure, reflecting the breadth of methods and application domains under consideration, and is intended to be of use to computer scientists, plant pathologists, entomologists, and agricultural policy audiences alike.</w:t>
      </w:r>
    </w:p>
    <w:p w14:paraId="021DF352"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520C3DAC"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2. Methods for Literature Selection</w:t>
      </w:r>
    </w:p>
    <w:p w14:paraId="3AA6C1C2"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2.1 Databases Searched</w:t>
      </w:r>
    </w:p>
    <w:p w14:paraId="2A640AE4"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Literature for this review was identified through structured searches of Web of Science, Scopus, Google Scholar, and PubMed, supplemented by five field-specific indexing resources selected for their coverage of agricultural technology, plant pathology, and entomology: AGRICOLA, CAB Abstracts, AGRIS, the IEEE Xplore digital library for engineering and computing literature relevant to sensor and computer vision methods, and the Directory of Open Access Journals for verification of open-access peer-reviewed sources. This combination was chosen to capture both the computational literature, in which much of the methodological innovation in deep learning and computer vision originates, and the applied agricultural and entomological literature, in which validation under field conditions and domain-specific framing of the pest and disease problem are more commonly reported.</w:t>
      </w:r>
    </w:p>
    <w:p w14:paraId="5B029761"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2.2 Search Strings and Date Range</w:t>
      </w:r>
    </w:p>
    <w:p w14:paraId="0D765A2E"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Search strings combined controlled vocabulary and free-text terms across three conceptual clusters, connected with Boolean operators: an artificial intelligence cluster ("artificial intelligence" OR "machine learning" OR "deep learning" OR "convolutional neural network" OR "computer vision"); a surveillance target cluster ("plant disease" OR "crop disease" OR "insect pest" OR "pest detection" OR "pest monitoring" OR "pest surveillance"); and an application cluster ("decision support" OR "precision agriculture" OR "early warning" OR "remote sensing" OR "Internet of Things"). The literature search covered publications from January 2015 to 26 March 2026. The 2015 start point was selected to capture the period immediately preceding, and including, the emergence of deep learning-based plant disease detection as a distinct research stream, allowing the review to trace the field's development from its early convolutional neural network applications through to current transformer-based and multimodal approaches.</w:t>
      </w:r>
    </w:p>
    <w:p w14:paraId="106E4672"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lastRenderedPageBreak/>
        <w:t>2.3 Inclusion and Exclusion Criteria</w:t>
      </w:r>
    </w:p>
    <w:p w14:paraId="71912B93"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Studies were included if they reported the application of a machine learning or deep learning method to the detection, classification, monitoring, forecasting, or management of plant pests or diseases, and were published as peer-reviewed journal articles in English. Reviews, systematic reviews, and primary research articles were both eligible where they met methodological and topical relevance criteria. Authoritative institutional reports from bodies such as the Food and Agriculture Organization of the United Nations were included where they supplied verifiable statistics on crop losses or plant health policy, provided a stable and verifiable uniform resource locator was available. Studies were excluded if they concerned only conventional statistical modelling without a machine learning component, addressed animal or human disease surveillance without direct relevance to plant health, were published as conference proceedings, theses, books, preprints, or patents, or were not available in a peer-reviewed, indexed form. Studies focused exclusively on weed identification were excluded unless they formed part of a broader pest and disease monitoring framework, keeping the review's scope aligned with its stated focus.</w:t>
      </w:r>
    </w:p>
    <w:p w14:paraId="69418E07"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2.4 Rationale for a Narrative Review Approach</w:t>
      </w:r>
    </w:p>
    <w:p w14:paraId="12F2847A"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 narrative rather than systematic review methodology was adopted because the objective of this article is to synthesise and critically integrate a technically and disciplinarily heterogeneous literature, spanning computer science, plant pathology, entomology, and agricultural engineering, in a manner that supports conceptual development of the detection-to-decision-support continuum. Systematic reviews are best suited to narrow, well-defined questions amenable to structured effectiveness comparison, whereas narrative reviews permit the broader synthesis, cross-disciplinary integration, and interpretive discussion required when the aim is to characterise the trajectory and coherence of a rapidly diversifying field rather than to quantify the effect size of a single intervention (Grant &amp; Booth, 2009). This choice does not relax the expectation of a transparent and reasonably comprehensive search; it allows the reviewer greater latitude in selecting illustrative and influential studies capable of representing the diversity of methodological approaches under consideration.</w:t>
      </w:r>
    </w:p>
    <w:p w14:paraId="7CD0FF4E"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2.5 Screening Workflow and Selection of Influential Studies</w:t>
      </w:r>
    </w:p>
    <w:p w14:paraId="78DF3C02"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Records retrieved from database searches were first screened by title and abstract to remove studies clearly outside scope, such as those addressing unrelated domains of computer vision or agricultural mechanisation without a pest or disease surveillance component. Duplicate records arising from overlapping database coverage were identified by matching digital object identifiers and title strings and were removed prior to full-text screening. Full texts of remaining records were then assessed against the inclusion and exclusion criteria above. Where multiple studies addressed a closely related technical problem, such as convolutional neural network classification of a particular crop disease, preference was given to studies published in higher-impact venues, studies reporting validation on field-collected rather than exclusively laboratory-curated images, and studies with substantial citation counts as an indicator of influence within the field, consistent with the guidance on identifying seminal contributions within a defined typology of review types (Grant &amp; Booth, 2009). No language restriction beyond the requirement for English-language publication was applied at the search stage, though the final selected corpus consists predominantly of English-language articles, reflecting the composition of the indexed databases searched.</w:t>
      </w:r>
    </w:p>
    <w:p w14:paraId="270E0F7D"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lastRenderedPageBreak/>
        <w:t>2.6 Summary of Search Strategy</w:t>
      </w:r>
    </w:p>
    <w:p w14:paraId="61750480"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1 summarises the principal elements of the search strategy described above, including the databases consulted, the date range applied, and the inclusion and exclusion criteria used to screen candidate studies. The table is intended to make the review's search process transparent and, so far as a narrative format allows, reproducible.</w:t>
      </w:r>
    </w:p>
    <w:p w14:paraId="613A9763"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1. Summary of the literature search strategy</w:t>
      </w:r>
    </w:p>
    <w:tbl>
      <w:tblPr>
        <w:tblStyle w:val="LightList-Accent5"/>
        <w:tblW w:w="0" w:type="auto"/>
        <w:tblLook w:val="04A0" w:firstRow="1" w:lastRow="0" w:firstColumn="1" w:lastColumn="0" w:noHBand="0" w:noVBand="1"/>
      </w:tblPr>
      <w:tblGrid>
        <w:gridCol w:w="1595"/>
        <w:gridCol w:w="7647"/>
      </w:tblGrid>
      <w:tr w:rsidR="00A13324" w:rsidRPr="00A13324" w14:paraId="23C7BA80"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E9898" w14:textId="77777777" w:rsidR="00A13324" w:rsidRPr="00A13324" w:rsidRDefault="00A13324" w:rsidP="00A13324">
            <w:pPr>
              <w:jc w:val="cente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Element</w:t>
            </w:r>
          </w:p>
        </w:tc>
        <w:tc>
          <w:tcPr>
            <w:tcW w:w="0" w:type="auto"/>
            <w:hideMark/>
          </w:tcPr>
          <w:p w14:paraId="53C0BAB6"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Specification</w:t>
            </w:r>
          </w:p>
        </w:tc>
      </w:tr>
      <w:tr w:rsidR="00A13324" w:rsidRPr="00A13324" w14:paraId="2D05D481"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4A86EF"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Databases</w:t>
            </w:r>
          </w:p>
        </w:tc>
        <w:tc>
          <w:tcPr>
            <w:tcW w:w="0" w:type="auto"/>
            <w:hideMark/>
          </w:tcPr>
          <w:p w14:paraId="06274EC7"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Web of Science, Scopus, Google Scholar, PubMed, AGRICOLA, CAB Abstracts, AGRIS, IEEE Xplore, DOAJ</w:t>
            </w:r>
          </w:p>
        </w:tc>
      </w:tr>
      <w:tr w:rsidR="00A13324" w:rsidRPr="00A13324" w14:paraId="6A710AC7"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53B612C8"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Date range</w:t>
            </w:r>
          </w:p>
        </w:tc>
        <w:tc>
          <w:tcPr>
            <w:tcW w:w="0" w:type="auto"/>
            <w:hideMark/>
          </w:tcPr>
          <w:p w14:paraId="0AFB6C29"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January 2015 – 26 March 2026</w:t>
            </w:r>
          </w:p>
        </w:tc>
      </w:tr>
      <w:tr w:rsidR="00A13324" w:rsidRPr="00A13324" w14:paraId="5A71BF80"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B762BE"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Core search clusters</w:t>
            </w:r>
          </w:p>
        </w:tc>
        <w:tc>
          <w:tcPr>
            <w:tcW w:w="0" w:type="auto"/>
            <w:hideMark/>
          </w:tcPr>
          <w:p w14:paraId="4F53BC75"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Artificial intelligence/machine learning; pest/disease surveillance target; application domain (decision support, precision agriculture, remote sensing)</w:t>
            </w:r>
          </w:p>
        </w:tc>
      </w:tr>
      <w:tr w:rsidR="00A13324" w:rsidRPr="00A13324" w14:paraId="306621C1"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58CC7A06"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Inclusion criteria</w:t>
            </w:r>
          </w:p>
        </w:tc>
        <w:tc>
          <w:tcPr>
            <w:tcW w:w="0" w:type="auto"/>
            <w:hideMark/>
          </w:tcPr>
          <w:p w14:paraId="377220EE"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Peer-reviewed journal articles; English language; machine learning/deep learning component; direct relevance to plant pest or disease surveillance</w:t>
            </w:r>
          </w:p>
        </w:tc>
      </w:tr>
      <w:tr w:rsidR="00A13324" w:rsidRPr="00A13324" w14:paraId="2BDC7236"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29B40A"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Exclusion criteria</w:t>
            </w:r>
          </w:p>
        </w:tc>
        <w:tc>
          <w:tcPr>
            <w:tcW w:w="0" w:type="auto"/>
            <w:hideMark/>
          </w:tcPr>
          <w:p w14:paraId="2FECD60D"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Conference proceedings, theses, books, preprints, patents; non-peer-reviewed sources; studies without a machine learning component; weed-only studies outside a broader pest/disease framework</w:t>
            </w:r>
          </w:p>
        </w:tc>
      </w:tr>
      <w:tr w:rsidR="00A13324" w:rsidRPr="00A13324" w14:paraId="428A9E84"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43165204"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Review type</w:t>
            </w:r>
          </w:p>
        </w:tc>
        <w:tc>
          <w:tcPr>
            <w:tcW w:w="0" w:type="auto"/>
            <w:hideMark/>
          </w:tcPr>
          <w:p w14:paraId="4A553978"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Narrative, with structured multi-database search and documented screening</w:t>
            </w:r>
          </w:p>
        </w:tc>
      </w:tr>
      <w:tr w:rsidR="00A13324" w:rsidRPr="00A13324" w14:paraId="20699E1D"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EFF356"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Duplicate handling</w:t>
            </w:r>
          </w:p>
        </w:tc>
        <w:tc>
          <w:tcPr>
            <w:tcW w:w="0" w:type="auto"/>
            <w:hideMark/>
          </w:tcPr>
          <w:p w14:paraId="42570BB9"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Digital object identifier and title matching prior to full-text screening</w:t>
            </w:r>
          </w:p>
        </w:tc>
      </w:tr>
    </w:tbl>
    <w:p w14:paraId="0EE37337"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t>Source: search strategy design informed by Grant and Booth (2009).</w:t>
      </w:r>
    </w:p>
    <w:p w14:paraId="46C7ACB1"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7538E67A"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3. Foundations of Machine Learning and Deep Learning for Surveillance</w:t>
      </w:r>
    </w:p>
    <w:p w14:paraId="22EED0E8"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3.1 From Classical Machine Learning to Deep Architectures</w:t>
      </w:r>
    </w:p>
    <w:p w14:paraId="3ED10E0D"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Early applications of computational methods to pest and disease identification relied on classical machine learning algorithms operating on hand-engineered features, such as colour histograms, texture descriptors, and shape measurements extracted from leaf or insect images, classified using support vector machines, random forests, or k-nearest neighbour algorithms (</w:t>
      </w:r>
      <w:proofErr w:type="spellStart"/>
      <w:r w:rsidRPr="00A13324">
        <w:rPr>
          <w:rFonts w:ascii="Times New Roman" w:eastAsia="Times New Roman" w:hAnsi="Times New Roman" w:cs="Times New Roman"/>
          <w:sz w:val="24"/>
          <w:szCs w:val="24"/>
          <w:lang w:eastAsia="en-GB"/>
        </w:rPr>
        <w:t>Pydipati</w:t>
      </w:r>
      <w:proofErr w:type="spellEnd"/>
      <w:r w:rsidRPr="00A13324">
        <w:rPr>
          <w:rFonts w:ascii="Times New Roman" w:eastAsia="Times New Roman" w:hAnsi="Times New Roman" w:cs="Times New Roman"/>
          <w:sz w:val="24"/>
          <w:szCs w:val="24"/>
          <w:lang w:eastAsia="en-GB"/>
        </w:rPr>
        <w:t xml:space="preserve"> et al., 2006). These approaches demonstrated the feasibility of automated classification but required considerable domain expertise to design effective feature extractors and generalised poorly when lighting, background, or symptom presentation varied from the conditions under which the feature set was designed.</w:t>
      </w:r>
    </w:p>
    <w:p w14:paraId="7514E448"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The introduction of convolutional neural networks capable of learning hierarchical feature representations directly from raw pixel data removed much of this manual feature engineering burden and produced a substantial improvement in classification accuracy across plant disease benchmarks (Mohanty et al., 2016). Convolutional architectures such as residual networks, densely connected networks, and lightweight mobile architectures have since become the dominant approach for image-based classification of both plant disease symptoms and insect pests, with systematic reviews reporting their consistent superiority over classical feature-based methods across a wide range of crop and disease combinations (Pacal </w:t>
      </w:r>
      <w:r w:rsidRPr="00A13324">
        <w:rPr>
          <w:rFonts w:ascii="Times New Roman" w:eastAsia="Times New Roman" w:hAnsi="Times New Roman" w:cs="Times New Roman"/>
          <w:sz w:val="24"/>
          <w:szCs w:val="24"/>
          <w:lang w:eastAsia="en-GB"/>
        </w:rPr>
        <w:lastRenderedPageBreak/>
        <w:t>et al., 2024; Shoaib et al., 2023). More recently, vision transformer architectures, which model long-range spatial dependencies through self-attention mechanisms rather than local convolutional filters, have been applied to plant disease classification with competitive or superior performance in several benchmark comparisons, particularly where subtle or diffuse symptom patterns are involved.</w:t>
      </w:r>
    </w:p>
    <w:p w14:paraId="3D869D03"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3.2 Object Detection and Localisation Frameworks</w:t>
      </w:r>
    </w:p>
    <w:p w14:paraId="7042437E"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Classification models assign a single label to an image and are well suited to controlled settings in which a single symptom or specimen dominates the frame. Field deployment, however, more often requires localisation of multiple instances within a cluttered scene, for example several insects on a sticky trap or several disease lesions on a single leaf. Object detection frameworks address this requirement by simultaneously predicting bounding boxes and class labels for each instance present. Two-stage detectors such as Faster region-based convolutional neural networks offer high localisation accuracy at the cost of inference speed, whereas single-stage detectors in the You Only Look Once family have become increasingly favoured for pest and disease surveillance applications owing to their substantially faster inference, a property of particular importance for real-time deployment on embedded or mobile hardware in the field (</w:t>
      </w:r>
      <w:proofErr w:type="spellStart"/>
      <w:r w:rsidRPr="00A13324">
        <w:rPr>
          <w:rFonts w:ascii="Times New Roman" w:eastAsia="Times New Roman" w:hAnsi="Times New Roman" w:cs="Times New Roman"/>
          <w:sz w:val="24"/>
          <w:szCs w:val="24"/>
          <w:lang w:eastAsia="en-GB"/>
        </w:rPr>
        <w:t>Aldakheel</w:t>
      </w:r>
      <w:proofErr w:type="spellEnd"/>
      <w:r w:rsidRPr="00A13324">
        <w:rPr>
          <w:rFonts w:ascii="Times New Roman" w:eastAsia="Times New Roman" w:hAnsi="Times New Roman" w:cs="Times New Roman"/>
          <w:sz w:val="24"/>
          <w:szCs w:val="24"/>
          <w:lang w:eastAsia="en-GB"/>
        </w:rPr>
        <w:t xml:space="preserve"> et al., 2024).</w:t>
      </w:r>
    </w:p>
    <w:p w14:paraId="39243CF3"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Successive iterations of the You Only Look Once architecture have been adapted specifically for agricultural pest detection tasks. A maize-focused variant incorporating adjustments for small object detection and dense insect clustering achieved high precision while maintaining inference speeds compatible with field deployment (Yang et al., 2023). Comparable adaptations have addressed the particular challenge posed by pest datasets, in which target objects are frequently small relative to the image frame, occur at highly variable scales, and belong to visually similar classes that are difficult even for trained entomologists to distinguish without magnification. These architectural adaptations illustrate a broader pattern in the literature: general-purpose computer vision architectures require domain-specific modification to perform reliably on the particular visual statistics of pest and disease imagery, rather than being deployable unmodified from benchmark datasets designed for other object categories.</w:t>
      </w:r>
    </w:p>
    <w:p w14:paraId="3E42F9A3"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3.3 Summary of Core Model Families</w:t>
      </w:r>
    </w:p>
    <w:p w14:paraId="2A6FC75F"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2 draws together the model families discussed above, from classical feature-based classifiers through to modern object detectors, and links each to a representative study. The progression down the table broadly tracks the historical development of the field, with each successive family addressing a limitation of the one before it, whether that is manual feature engineering, limited representational capacity, or slow inference speed.</w:t>
      </w:r>
    </w:p>
    <w:p w14:paraId="1D40433B"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2. Principal machine learning and deep learning approaches applied to pest and disease surveillance</w:t>
      </w:r>
    </w:p>
    <w:tbl>
      <w:tblPr>
        <w:tblStyle w:val="LightList-Accent5"/>
        <w:tblW w:w="0" w:type="auto"/>
        <w:tblLook w:val="04A0" w:firstRow="1" w:lastRow="0" w:firstColumn="1" w:lastColumn="0" w:noHBand="0" w:noVBand="1"/>
      </w:tblPr>
      <w:tblGrid>
        <w:gridCol w:w="2723"/>
        <w:gridCol w:w="2336"/>
        <w:gridCol w:w="2661"/>
        <w:gridCol w:w="1522"/>
      </w:tblGrid>
      <w:tr w:rsidR="00A13324" w:rsidRPr="00A13324" w14:paraId="0E0B1D04"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5FFF5B" w14:textId="77777777" w:rsidR="00A13324" w:rsidRPr="00A13324" w:rsidRDefault="00A13324" w:rsidP="00A13324">
            <w:pPr>
              <w:jc w:val="cente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Model family</w:t>
            </w:r>
          </w:p>
        </w:tc>
        <w:tc>
          <w:tcPr>
            <w:tcW w:w="0" w:type="auto"/>
            <w:hideMark/>
          </w:tcPr>
          <w:p w14:paraId="0ED4267F"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Representative task</w:t>
            </w:r>
          </w:p>
        </w:tc>
        <w:tc>
          <w:tcPr>
            <w:tcW w:w="0" w:type="auto"/>
            <w:hideMark/>
          </w:tcPr>
          <w:p w14:paraId="7BD580D8"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Key characteristics</w:t>
            </w:r>
          </w:p>
        </w:tc>
        <w:tc>
          <w:tcPr>
            <w:tcW w:w="0" w:type="auto"/>
            <w:hideMark/>
          </w:tcPr>
          <w:p w14:paraId="48BCCCD7"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Illustrative reference</w:t>
            </w:r>
          </w:p>
        </w:tc>
      </w:tr>
      <w:tr w:rsidR="00A13324" w:rsidRPr="00A13324" w14:paraId="55A82530"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64CBD0"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Classical machine learning (support vector machine, random forest)</w:t>
            </w:r>
          </w:p>
        </w:tc>
        <w:tc>
          <w:tcPr>
            <w:tcW w:w="0" w:type="auto"/>
            <w:hideMark/>
          </w:tcPr>
          <w:p w14:paraId="44EBCE97"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Feature-based disease/pest classification</w:t>
            </w:r>
          </w:p>
        </w:tc>
        <w:tc>
          <w:tcPr>
            <w:tcW w:w="0" w:type="auto"/>
            <w:hideMark/>
          </w:tcPr>
          <w:p w14:paraId="25616381"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Requires hand-engineered features; limited generalisation across conditions</w:t>
            </w:r>
          </w:p>
        </w:tc>
        <w:tc>
          <w:tcPr>
            <w:tcW w:w="0" w:type="auto"/>
            <w:hideMark/>
          </w:tcPr>
          <w:p w14:paraId="24330DE1"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Pydipati</w:t>
            </w:r>
            <w:proofErr w:type="spellEnd"/>
            <w:r w:rsidRPr="00A13324">
              <w:rPr>
                <w:rFonts w:ascii="Times New Roman" w:eastAsia="Times New Roman" w:hAnsi="Times New Roman" w:cs="Times New Roman"/>
                <w:sz w:val="24"/>
                <w:szCs w:val="24"/>
                <w:lang w:eastAsia="en-GB"/>
              </w:rPr>
              <w:t xml:space="preserve"> et al. (2006)</w:t>
            </w:r>
          </w:p>
        </w:tc>
      </w:tr>
      <w:tr w:rsidR="00A13324" w:rsidRPr="00A13324" w14:paraId="663425A6"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2EA781F9"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Convolutional neural networks</w:t>
            </w:r>
          </w:p>
        </w:tc>
        <w:tc>
          <w:tcPr>
            <w:tcW w:w="0" w:type="auto"/>
            <w:hideMark/>
          </w:tcPr>
          <w:p w14:paraId="6B31F7A2"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Leaf disease classification</w:t>
            </w:r>
          </w:p>
        </w:tc>
        <w:tc>
          <w:tcPr>
            <w:tcW w:w="0" w:type="auto"/>
            <w:hideMark/>
          </w:tcPr>
          <w:p w14:paraId="76F5FB4F"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Learns hierarchical features from raw images; strong benchmark performance</w:t>
            </w:r>
          </w:p>
        </w:tc>
        <w:tc>
          <w:tcPr>
            <w:tcW w:w="0" w:type="auto"/>
            <w:hideMark/>
          </w:tcPr>
          <w:p w14:paraId="55B6F079"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Mohanty et al. (2016)</w:t>
            </w:r>
          </w:p>
        </w:tc>
      </w:tr>
      <w:tr w:rsidR="00A13324" w:rsidRPr="00A13324" w14:paraId="1A022C4D"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954D62"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Vision transformers</w:t>
            </w:r>
          </w:p>
        </w:tc>
        <w:tc>
          <w:tcPr>
            <w:tcW w:w="0" w:type="auto"/>
            <w:hideMark/>
          </w:tcPr>
          <w:p w14:paraId="6FC6A102"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Disease classification with complex symptom patterns</w:t>
            </w:r>
          </w:p>
        </w:tc>
        <w:tc>
          <w:tcPr>
            <w:tcW w:w="0" w:type="auto"/>
            <w:hideMark/>
          </w:tcPr>
          <w:p w14:paraId="321BC609"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Models long-range spatial dependencies via self-attention</w:t>
            </w:r>
          </w:p>
        </w:tc>
        <w:tc>
          <w:tcPr>
            <w:tcW w:w="0" w:type="auto"/>
            <w:hideMark/>
          </w:tcPr>
          <w:p w14:paraId="6E8907EE"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Pacal et al. (2024)</w:t>
            </w:r>
          </w:p>
        </w:tc>
      </w:tr>
      <w:tr w:rsidR="00A13324" w:rsidRPr="00A13324" w14:paraId="67AF7ED1"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606A3CBE"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Two-stage object detectors (Faster region-based convolutional neural network)</w:t>
            </w:r>
          </w:p>
        </w:tc>
        <w:tc>
          <w:tcPr>
            <w:tcW w:w="0" w:type="auto"/>
            <w:hideMark/>
          </w:tcPr>
          <w:p w14:paraId="66A93CC2"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Multi-instance pest/disease localisation</w:t>
            </w:r>
          </w:p>
        </w:tc>
        <w:tc>
          <w:tcPr>
            <w:tcW w:w="0" w:type="auto"/>
            <w:hideMark/>
          </w:tcPr>
          <w:p w14:paraId="058CC25C"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High localisation accuracy; slower inference</w:t>
            </w:r>
          </w:p>
        </w:tc>
        <w:tc>
          <w:tcPr>
            <w:tcW w:w="0" w:type="auto"/>
            <w:hideMark/>
          </w:tcPr>
          <w:p w14:paraId="0408FBC6"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Aldakheel</w:t>
            </w:r>
            <w:proofErr w:type="spellEnd"/>
            <w:r w:rsidRPr="00A13324">
              <w:rPr>
                <w:rFonts w:ascii="Times New Roman" w:eastAsia="Times New Roman" w:hAnsi="Times New Roman" w:cs="Times New Roman"/>
                <w:sz w:val="24"/>
                <w:szCs w:val="24"/>
                <w:lang w:eastAsia="en-GB"/>
              </w:rPr>
              <w:t xml:space="preserve"> et al. (2024)</w:t>
            </w:r>
          </w:p>
        </w:tc>
      </w:tr>
      <w:tr w:rsidR="00A13324" w:rsidRPr="00A13324" w14:paraId="2710CEC0"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A1185A"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Single-stage object detectors (You Only Look Once family)</w:t>
            </w:r>
          </w:p>
        </w:tc>
        <w:tc>
          <w:tcPr>
            <w:tcW w:w="0" w:type="auto"/>
            <w:hideMark/>
          </w:tcPr>
          <w:p w14:paraId="09301B47"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Real-time pest detection</w:t>
            </w:r>
          </w:p>
        </w:tc>
        <w:tc>
          <w:tcPr>
            <w:tcW w:w="0" w:type="auto"/>
            <w:hideMark/>
          </w:tcPr>
          <w:p w14:paraId="15931975"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Fast inference suited to field and embedded deployment</w:t>
            </w:r>
          </w:p>
        </w:tc>
        <w:tc>
          <w:tcPr>
            <w:tcW w:w="0" w:type="auto"/>
            <w:hideMark/>
          </w:tcPr>
          <w:p w14:paraId="47446CDA"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Yang et al. (2023)</w:t>
            </w:r>
          </w:p>
        </w:tc>
      </w:tr>
    </w:tbl>
    <w:p w14:paraId="4AD85046"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t xml:space="preserve">Sources: </w:t>
      </w:r>
      <w:proofErr w:type="spellStart"/>
      <w:r w:rsidRPr="00A13324">
        <w:rPr>
          <w:rFonts w:ascii="Times New Roman" w:eastAsia="Times New Roman" w:hAnsi="Times New Roman" w:cs="Times New Roman"/>
          <w:i/>
          <w:iCs/>
          <w:sz w:val="24"/>
          <w:szCs w:val="24"/>
          <w:lang w:eastAsia="en-GB"/>
        </w:rPr>
        <w:t>Pydipati</w:t>
      </w:r>
      <w:proofErr w:type="spellEnd"/>
      <w:r w:rsidRPr="00A13324">
        <w:rPr>
          <w:rFonts w:ascii="Times New Roman" w:eastAsia="Times New Roman" w:hAnsi="Times New Roman" w:cs="Times New Roman"/>
          <w:i/>
          <w:iCs/>
          <w:sz w:val="24"/>
          <w:szCs w:val="24"/>
          <w:lang w:eastAsia="en-GB"/>
        </w:rPr>
        <w:t xml:space="preserve"> et al. (2006); Mohanty et al. (2016); Pacal et al. (2024); </w:t>
      </w:r>
      <w:proofErr w:type="spellStart"/>
      <w:r w:rsidRPr="00A13324">
        <w:rPr>
          <w:rFonts w:ascii="Times New Roman" w:eastAsia="Times New Roman" w:hAnsi="Times New Roman" w:cs="Times New Roman"/>
          <w:i/>
          <w:iCs/>
          <w:sz w:val="24"/>
          <w:szCs w:val="24"/>
          <w:lang w:eastAsia="en-GB"/>
        </w:rPr>
        <w:t>Aldakheel</w:t>
      </w:r>
      <w:proofErr w:type="spellEnd"/>
      <w:r w:rsidRPr="00A13324">
        <w:rPr>
          <w:rFonts w:ascii="Times New Roman" w:eastAsia="Times New Roman" w:hAnsi="Times New Roman" w:cs="Times New Roman"/>
          <w:i/>
          <w:iCs/>
          <w:sz w:val="24"/>
          <w:szCs w:val="24"/>
          <w:lang w:eastAsia="en-GB"/>
        </w:rPr>
        <w:t xml:space="preserve"> et al. (2024); Yang et al. (2023).</w:t>
      </w:r>
    </w:p>
    <w:p w14:paraId="678C73EE"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12485DE3"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4. Sensing Modalities and Data Acquisition for Surveillance</w:t>
      </w:r>
    </w:p>
    <w:p w14:paraId="7D467A91"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4.1 Imaging Sensors: From Visible Light to Hyperspectral Data</w:t>
      </w:r>
    </w:p>
    <w:p w14:paraId="13D91A38"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The overwhelming majority of published pest and disease detection studies rely on red-green-blue imagery captured by conventional cameras or smartphones, reflecting the low cost and wide availability of this sensing modality. Hyperspectral and multispectral imaging extend this capability by capturing reflectance across dozens or hundreds of narrow spectral bands, enabling detection of physiological changes associated with early-stage infection or infestation before visible symptoms appear. Hyperspectral approaches have demonstrated the capacity to distinguish among multiple insect pest species within cereal crops based on subtle spectral signatures arising from differences in colouration and surface morphology, achieving high classification accuracy for species with distinct spectral properties while showing somewhat reduced accuracy for smaller or darker-coloured insects whose spectral signal is weaker (Yamada et al., 2024). Comparable hyperspectral pipelines have been applied to early detection of fungal pathogens such as wheat stem rust, where machine learning classifiers trained on carefully </w:t>
      </w:r>
      <w:proofErr w:type="spellStart"/>
      <w:r w:rsidRPr="00A13324">
        <w:rPr>
          <w:rFonts w:ascii="Times New Roman" w:eastAsia="Times New Roman" w:hAnsi="Times New Roman" w:cs="Times New Roman"/>
          <w:sz w:val="24"/>
          <w:szCs w:val="24"/>
          <w:lang w:eastAsia="en-GB"/>
        </w:rPr>
        <w:t>preprocessed</w:t>
      </w:r>
      <w:proofErr w:type="spellEnd"/>
      <w:r w:rsidRPr="00A13324">
        <w:rPr>
          <w:rFonts w:ascii="Times New Roman" w:eastAsia="Times New Roman" w:hAnsi="Times New Roman" w:cs="Times New Roman"/>
          <w:sz w:val="24"/>
          <w:szCs w:val="24"/>
          <w:lang w:eastAsia="en-GB"/>
        </w:rPr>
        <w:t xml:space="preserve"> spectral data achieved substantial improvements in classification accuracy relative to raw spectral input, underscoring the importance of preprocessing pipelines in extracting usable signal from noisy hyperspectral data streams (Fedotov et al., 2025). Complementary work coupling proximal remote sensing with molecular diagnostics has shown that machine learning classifiers can detect wheat stripe rust during its latent, pre-symptomatic period, offering a diagnostic window considerably earlier than visual inspection alone (Liu et al., 2023), while vibrational spectroscopy combined with machine learning has similarly been used to flag corn leaf disease at a stage before symptoms become visually apparent (Ni et al., 2024). Taken together, these spectroscopic approaches point toward a diagnostic capability that operates ahead of, rather than merely alongside, visual symptom recognition.</w:t>
      </w:r>
    </w:p>
    <w:p w14:paraId="0ACF8E78"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4.2 Internet of Things Devices and Smart Traps</w:t>
      </w:r>
    </w:p>
    <w:p w14:paraId="579946F1"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A parallel stream of development has focused on networked sensor devices deployed directly in the field. Smart insect traps equipped with cameras, environmental sensors, and onboard or cloud-connected processing capability allow continuous, unattended monitoring of pest populations, replacing the labour-intensive practice of manual trap inspection. Reviews of Internet of Things-enabled disease monitoring systems emphasise the complementary strengths of networked sensing for data collection, storage, and communication, and deep learning for automated feature extraction and classification, arguing that the integration of these two technology streams constitutes a key enabling combination for scalable plant health monitoring (Dhaka et al., 2023). Multi-model architectures that combine Internet of Things sensor data with several deep learning classifiers running in parallel have likewise been proposed for early corn disease detection, with the intention of using agreement across models as an additional signal of diagnostic confidence rather than relying on any single classifier in isolation (Rashid et al., 2024). Comparable architectures for remote insect trap monitoring have paired convolutional detection models with wireless connectivity to deliver near real-time pest counts to central servers, substantially reducing the labour burden associated with manual trap inspection while introducing new engineering challenges around power supply, connectivity in remote agricultural settings, and on-device computational constraints.</w:t>
      </w:r>
    </w:p>
    <w:p w14:paraId="2E4371FB"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Broader reviews of smart sensor technologies for precision agriculture situate insect and disease sensing within a wider ecosystem of soil, weather, and crop-health sensors, arguing that the value of any individual sensing modality is substantially enhanced when integrated with complementary data streams within a unified monitoring architecture rather than deployed in isolation (Soussi et al., 2024).</w:t>
      </w:r>
    </w:p>
    <w:p w14:paraId="6C786945"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4.3 Unmanned Aerial Vehicles and Satellite Remote Sensing</w:t>
      </w:r>
    </w:p>
    <w:p w14:paraId="626B7A0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At the field and landscape scale, unmanned aerial vehicles equipped with multispectral or thermal sensors have extended pest and disease surveillance beyond the point-based measurements available from ground sensors, enabling systematic mapping of disease progression or pest infestation across entire fields. Systematic reviews of remote sensing technologies applied to agricultural insect pest monitoring highlight their particular value for species exhibiting large-scale, migratory population dynamics, where ground-based sampling alone cannot capture the spatial extent of an emerging outbreak, drawing specific lessons from efforts to monitor and control locust populations across large and often inaccessible geographic areas (</w:t>
      </w: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 At still larger scales, satellite-derived vegetation indices and soil moisture products have been coupled with machine learning classifiers to identify environmental conditions favourable to outbreak development, an approach discussed further in Section 7 in relation to landscape-scale pest forecasting.</w:t>
      </w:r>
    </w:p>
    <w:p w14:paraId="5034F8B1"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4.4 Data Fusion Across Modalities</w:t>
      </w:r>
    </w:p>
    <w:p w14:paraId="1B358734"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A recurring theme across the sensing-focused studies reviewed in this section is the recognition that no single modality captures the full complexity of pest and disease dynamics: imaging sensors excel at symptom or specimen identification but offer limited insight into underlying environmental drivers, while environmental and meteorological sensors capture conditions favourable to outbreak development without directly confirming pest or pathogen presence. Integrating these complementary data streams, whether through simple rule-based fusion or through machine learning models trained on combined feature sets, has been consistently identified as a means of improving both detection sensitivity and the timeliness </w:t>
      </w:r>
      <w:r w:rsidRPr="00A13324">
        <w:rPr>
          <w:rFonts w:ascii="Times New Roman" w:eastAsia="Times New Roman" w:hAnsi="Times New Roman" w:cs="Times New Roman"/>
          <w:sz w:val="24"/>
          <w:szCs w:val="24"/>
          <w:lang w:eastAsia="en-GB"/>
        </w:rPr>
        <w:lastRenderedPageBreak/>
        <w:t>of early warning, though the practical implementation of such fusion pipelines remains considerably less mature than single-modality detection systems and is identified in Section 8 as an area warranting further methodological development.</w:t>
      </w:r>
    </w:p>
    <w:p w14:paraId="6F9094C1"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18A7992A"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5. From Detection to Diagnosis: Artificial Intelligence in Plant Disease Identification</w:t>
      </w:r>
    </w:p>
    <w:p w14:paraId="70ABAD35"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5.1 Convolutional Classification of Disease Symptoms</w:t>
      </w:r>
    </w:p>
    <w:p w14:paraId="0520B900"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The classification of plant disease symptoms from leaf imagery remains the most extensively studied application within this literature, with systematic reviews analysing well over one hundred primary studies published between 2020 and 2024 alone, spanning classification, detection, and segmentation tasks across a wide range of crop species (Pacal et al., 2024). Comparative studies evaluating multiple classification architectures side by side against shared performance benchmarks have similarly found that the relative ranking of models depends heavily on the specific crop, disease, and imaging condition under test, cautioning against treating any single architecture as universally superior (</w:t>
      </w:r>
      <w:proofErr w:type="spellStart"/>
      <w:r w:rsidRPr="00A13324">
        <w:rPr>
          <w:rFonts w:ascii="Times New Roman" w:eastAsia="Times New Roman" w:hAnsi="Times New Roman" w:cs="Times New Roman"/>
          <w:sz w:val="24"/>
          <w:szCs w:val="24"/>
          <w:lang w:eastAsia="en-GB"/>
        </w:rPr>
        <w:t>Demilie</w:t>
      </w:r>
      <w:proofErr w:type="spellEnd"/>
      <w:r w:rsidRPr="00A13324">
        <w:rPr>
          <w:rFonts w:ascii="Times New Roman" w:eastAsia="Times New Roman" w:hAnsi="Times New Roman" w:cs="Times New Roman"/>
          <w:sz w:val="24"/>
          <w:szCs w:val="24"/>
          <w:lang w:eastAsia="en-GB"/>
        </w:rPr>
        <w:t xml:space="preserve">, 2024). A representative example of this body of work applied a residual network architecture with more than one hundred layers to the classification of four corn leaf conditions, achieving very high training and testing accuracy while incorporating gradient-based visualisation to highlight the image regions driving each classification decision (Gopalan et al., 2025). Attention-based architectures have been applied to a related problem, that of correctly identifying compound infections in which more than one disease affects the same leaf simultaneously, a scenario poorly represented in single-label benchmark datasets but common under field conditions (Dong et al., 2024). Reported accuracy on curated benchmark datasets such as </w:t>
      </w:r>
      <w:proofErr w:type="spellStart"/>
      <w:r w:rsidRPr="00A13324">
        <w:rPr>
          <w:rFonts w:ascii="Times New Roman" w:eastAsia="Times New Roman" w:hAnsi="Times New Roman" w:cs="Times New Roman"/>
          <w:sz w:val="24"/>
          <w:szCs w:val="24"/>
          <w:lang w:eastAsia="en-GB"/>
        </w:rPr>
        <w:t>PlantVillage</w:t>
      </w:r>
      <w:proofErr w:type="spellEnd"/>
      <w:r w:rsidRPr="00A13324">
        <w:rPr>
          <w:rFonts w:ascii="Times New Roman" w:eastAsia="Times New Roman" w:hAnsi="Times New Roman" w:cs="Times New Roman"/>
          <w:sz w:val="24"/>
          <w:szCs w:val="24"/>
          <w:lang w:eastAsia="en-GB"/>
        </w:rPr>
        <w:t xml:space="preserve"> frequently exceeds ninety-five per cent, though, as discussed in Section 8, this performance often declines substantially when models are evaluated on field-collected imagery exhibiting greater variability in background, lighting, and symptom presentation than the curated training data.</w:t>
      </w:r>
    </w:p>
    <w:p w14:paraId="5365FA7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Lightweight architectures optimised for deployment on mobile or resource-constrained devices have received particular attention given the practical requirement that diagnostic tools be usable by farmers and extension officers without access to high-performance computing infrastructure. Mobile-oriented systems trained to detect maize leaf diseases and deployed via smartphone applications have demonstrated that acceptable classification accuracy can be achieved even with the computational constraints imposed by mobile hardware, an important consideration for adoption in resource-limited farming contexts (Khan et al., 2023). Field evaluation of a comparable offline smartphone application, tested against expert diagnosticians, extension officers, and farmers in East Africa for the detection of cassava viral diseases, found that the application's diagnostic accuracy exceeded that of both extension officers and farmers and approached that of trained researchers, offering direct evidence that mobile artificial intelligence tools can meaningfully close the expertise gap in regions where diagnostic specialists are scarce (Mrisho et al., 2020).</w:t>
      </w:r>
    </w:p>
    <w:p w14:paraId="0A4642F5"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5.2 Transfer Learning and Data-Efficient Approaches</w:t>
      </w:r>
    </w:p>
    <w:p w14:paraId="44836C6C"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A persistent constraint on deep learning-based disease classification is the substantial volume of labelled training data typically required to achieve robust performance, a requirement </w:t>
      </w:r>
      <w:r w:rsidRPr="00A13324">
        <w:rPr>
          <w:rFonts w:ascii="Times New Roman" w:eastAsia="Times New Roman" w:hAnsi="Times New Roman" w:cs="Times New Roman"/>
          <w:sz w:val="24"/>
          <w:szCs w:val="24"/>
          <w:lang w:eastAsia="en-GB"/>
        </w:rPr>
        <w:lastRenderedPageBreak/>
        <w:t>poorly matched to the practical reality that field-collected, expert-annotated disease imagery remains scarce for many crop and pathogen combinations, particularly for minor or regionally specific diseases. Transfer learning, in which a model pretrained on a large generic image dataset is fine-tuned on a smaller domain-specific dataset, has become the default strategy for addressing this constraint. Foundational work demonstrated that both dataset size and the diversity of imaging conditions represented within that dataset substantially influence the effectiveness of transfer learning for plant disease classification, with models trained on narrow, homogeneous datasets showing markedly reduced generalisation when applied to images collected under different conditions (</w:t>
      </w: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2018). This finding has proven durable across subsequent years of research and underpins much of the current emphasis on dataset diversity, rather than dataset size alone, as the primary lever for improving model robustness.</w:t>
      </w:r>
    </w:p>
    <w:p w14:paraId="00E346A7"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Generative adversarial networks have emerged as a complementary strategy for addressing data scarcity, synthesising additional training images that expand the effective diversity of limited datasets without requiring additional field data collection. Systematic reviews of generative adversarial network applications in agricultural image augmentation report consistent improvements in downstream classification accuracy when synthetic images are incorporated into training pipelines, particularly for disease classes with very few available field examples (Lu et al., 2022). Architectures combining a generator, discriminator, and classifier within a single framework have demonstrated further gains by using the generative component not merely to augment training data but to directly balance class distributions within imbalanced plant disease datasets (Wang &amp; Cao, 2023). Earlier work applying generative adversarial networks under explicitly limited training conditions similarly demonstrated meaningful accuracy improvements over conventional data augmentation techniques such as rotation and flipping, which fail to capture the genuine visual diversity present in field conditions (Bi &amp; Hu, 2020).</w:t>
      </w:r>
    </w:p>
    <w:p w14:paraId="2A1A18DC"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5.3 Explainable Artificial Intelligence in Diagnostic Systems</w:t>
      </w:r>
    </w:p>
    <w:p w14:paraId="46387F7F"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The adoption of deep learning-based diagnostic tools by farmers, agronomists, and plant protection services depends substantially on the degree to which model outputs can be trusted and verified rather than treated as an opaque black box. This concern has motivated growing use of explainable artificial intelligence techniques within the plant disease detection literature, most commonly gradient-weighted class activation mapping, which generates visual heatmaps indicating the image regions most influential to a given classification decision. Application of this technique alongside a residual network classifier for corn leaf disease diagnosis demonstrated that the resulting heatmaps generally aligned with regions of visible disease symptoms, providing a mechanism by which farmers and agronomists could verify that the model's predictions were grounded in biologically meaningful evidence rather than spurious correlations with background or lighting artefacts (Gopalan et al., 2025). Comparable explainability approaches applied to corn disease classification using a different convolutional architecture have similarly emphasised the role of visual explanation in bridging the gap between raw model accuracy and the practical trust required for field adoption (Tariq et al., 2024). Complementary interpretability methods, including local interpretable model-agnostic explanations and integrated gradients, have been used alongside gradient-based visualisation to provide multiple, cross-validating perspectives on model decision-making, an approach that appears increasingly favoured over reliance on any single explanation technique in isolation.</w:t>
      </w:r>
    </w:p>
    <w:p w14:paraId="00800CBC"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5.4 Summary of Diagnostic Approaches</w:t>
      </w:r>
    </w:p>
    <w:p w14:paraId="4B753F2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Table 3 consolidates the diagnostic approaches discussed in this section, moving from core classification methods through to the data-efficiency and interpretability techniques that have grown up around them. Read as a whole, the table illustrates that progress in this area has come less from any single dominant architecture and more from a layered set of complementary techniques, each addressing a specific weakness in the classification pipeline.</w:t>
      </w:r>
    </w:p>
    <w:p w14:paraId="6C0446C8"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3. Summary of artificial intelligence approaches to plant disease diagnosis</w:t>
      </w:r>
    </w:p>
    <w:tbl>
      <w:tblPr>
        <w:tblStyle w:val="LightList-Accent5"/>
        <w:tblW w:w="0" w:type="auto"/>
        <w:tblLook w:val="04A0" w:firstRow="1" w:lastRow="0" w:firstColumn="1" w:lastColumn="0" w:noHBand="0" w:noVBand="1"/>
      </w:tblPr>
      <w:tblGrid>
        <w:gridCol w:w="2981"/>
        <w:gridCol w:w="1940"/>
        <w:gridCol w:w="2493"/>
        <w:gridCol w:w="1828"/>
      </w:tblGrid>
      <w:tr w:rsidR="00A13324" w:rsidRPr="00A13324" w14:paraId="2B0DF715"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1C51E0" w14:textId="77777777" w:rsidR="00A13324" w:rsidRPr="00A13324" w:rsidRDefault="00A13324" w:rsidP="00A13324">
            <w:pPr>
              <w:jc w:val="cente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Approach</w:t>
            </w:r>
          </w:p>
        </w:tc>
        <w:tc>
          <w:tcPr>
            <w:tcW w:w="0" w:type="auto"/>
            <w:hideMark/>
          </w:tcPr>
          <w:p w14:paraId="087DFBE2"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Primary purpose</w:t>
            </w:r>
          </w:p>
        </w:tc>
        <w:tc>
          <w:tcPr>
            <w:tcW w:w="0" w:type="auto"/>
            <w:hideMark/>
          </w:tcPr>
          <w:p w14:paraId="6434CA2B"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Reported benefit</w:t>
            </w:r>
          </w:p>
        </w:tc>
        <w:tc>
          <w:tcPr>
            <w:tcW w:w="0" w:type="auto"/>
            <w:hideMark/>
          </w:tcPr>
          <w:p w14:paraId="583CAEE2"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Illustrative reference</w:t>
            </w:r>
          </w:p>
        </w:tc>
      </w:tr>
      <w:tr w:rsidR="00A13324" w:rsidRPr="00A13324" w14:paraId="5F881BB4"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CCB872"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Deep convolutional classification</w:t>
            </w:r>
          </w:p>
        </w:tc>
        <w:tc>
          <w:tcPr>
            <w:tcW w:w="0" w:type="auto"/>
            <w:hideMark/>
          </w:tcPr>
          <w:p w14:paraId="35CCC2C2"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Symptom-based disease identification</w:t>
            </w:r>
          </w:p>
        </w:tc>
        <w:tc>
          <w:tcPr>
            <w:tcW w:w="0" w:type="auto"/>
            <w:hideMark/>
          </w:tcPr>
          <w:p w14:paraId="0B58620C"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High accuracy on curated benchmark datasets</w:t>
            </w:r>
          </w:p>
        </w:tc>
        <w:tc>
          <w:tcPr>
            <w:tcW w:w="0" w:type="auto"/>
            <w:hideMark/>
          </w:tcPr>
          <w:p w14:paraId="58B62A78"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Mohanty et al. (2016); Gopalan et al. (2025)</w:t>
            </w:r>
          </w:p>
        </w:tc>
      </w:tr>
      <w:tr w:rsidR="00A13324" w:rsidRPr="00A13324" w14:paraId="7AC6106E"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039BA7A1"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Mobile-optimised lightweight models</w:t>
            </w:r>
          </w:p>
        </w:tc>
        <w:tc>
          <w:tcPr>
            <w:tcW w:w="0" w:type="auto"/>
            <w:hideMark/>
          </w:tcPr>
          <w:p w14:paraId="057A79CC"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On-device diagnosis for smallholder use</w:t>
            </w:r>
          </w:p>
        </w:tc>
        <w:tc>
          <w:tcPr>
            <w:tcW w:w="0" w:type="auto"/>
            <w:hideMark/>
          </w:tcPr>
          <w:p w14:paraId="469F4453"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Feasible deployment without high-performance computing</w:t>
            </w:r>
          </w:p>
        </w:tc>
        <w:tc>
          <w:tcPr>
            <w:tcW w:w="0" w:type="auto"/>
            <w:hideMark/>
          </w:tcPr>
          <w:p w14:paraId="670D0D59"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Khan et al. (2023); Mrisho et al. (2020)</w:t>
            </w:r>
          </w:p>
        </w:tc>
      </w:tr>
      <w:tr w:rsidR="00A13324" w:rsidRPr="00A13324" w14:paraId="3DA2B61F"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714AE4"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Transfer learning</w:t>
            </w:r>
          </w:p>
        </w:tc>
        <w:tc>
          <w:tcPr>
            <w:tcW w:w="0" w:type="auto"/>
            <w:hideMark/>
          </w:tcPr>
          <w:p w14:paraId="6452DB47"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Mitigating limited labelled data</w:t>
            </w:r>
          </w:p>
        </w:tc>
        <w:tc>
          <w:tcPr>
            <w:tcW w:w="0" w:type="auto"/>
            <w:hideMark/>
          </w:tcPr>
          <w:p w14:paraId="59B31373"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Faster convergence; improved generalisation when source data is diverse</w:t>
            </w:r>
          </w:p>
        </w:tc>
        <w:tc>
          <w:tcPr>
            <w:tcW w:w="0" w:type="auto"/>
            <w:hideMark/>
          </w:tcPr>
          <w:p w14:paraId="45FE08C1"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xml:space="preserve"> (2018)</w:t>
            </w:r>
          </w:p>
        </w:tc>
      </w:tr>
      <w:tr w:rsidR="00A13324" w:rsidRPr="00A13324" w14:paraId="6818ACB2"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26318D38"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Generative adversarial network augmentation</w:t>
            </w:r>
          </w:p>
        </w:tc>
        <w:tc>
          <w:tcPr>
            <w:tcW w:w="0" w:type="auto"/>
            <w:hideMark/>
          </w:tcPr>
          <w:p w14:paraId="56035B89"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Synthetic expansion of scarce datasets</w:t>
            </w:r>
          </w:p>
        </w:tc>
        <w:tc>
          <w:tcPr>
            <w:tcW w:w="0" w:type="auto"/>
            <w:hideMark/>
          </w:tcPr>
          <w:p w14:paraId="59DB6777"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Improved classification accuracy for underrepresented classes</w:t>
            </w:r>
          </w:p>
        </w:tc>
        <w:tc>
          <w:tcPr>
            <w:tcW w:w="0" w:type="auto"/>
            <w:hideMark/>
          </w:tcPr>
          <w:p w14:paraId="511D321F"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Lu et al. (2022); Wang &amp; Cao (2023); Bi &amp; Hu (2020)</w:t>
            </w:r>
          </w:p>
        </w:tc>
      </w:tr>
      <w:tr w:rsidR="00A13324" w:rsidRPr="00A13324" w14:paraId="75382595"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A615EA"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Explainable artificial intelligence (gradient-weighted class activation mapping, local interpretable model-agnostic explanations)</w:t>
            </w:r>
          </w:p>
        </w:tc>
        <w:tc>
          <w:tcPr>
            <w:tcW w:w="0" w:type="auto"/>
            <w:hideMark/>
          </w:tcPr>
          <w:p w14:paraId="1FA35F0B"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Interpretability and trust building</w:t>
            </w:r>
          </w:p>
        </w:tc>
        <w:tc>
          <w:tcPr>
            <w:tcW w:w="0" w:type="auto"/>
            <w:hideMark/>
          </w:tcPr>
          <w:p w14:paraId="5981E2D7"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Verifiable alignment between predictions and visible symptoms</w:t>
            </w:r>
          </w:p>
        </w:tc>
        <w:tc>
          <w:tcPr>
            <w:tcW w:w="0" w:type="auto"/>
            <w:hideMark/>
          </w:tcPr>
          <w:p w14:paraId="66E834A2"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Gopalan et al. (2025); Tariq et al. (2024)</w:t>
            </w:r>
          </w:p>
        </w:tc>
      </w:tr>
    </w:tbl>
    <w:p w14:paraId="0606B334"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t xml:space="preserve">Sources: Mohanty et al. (2016); </w:t>
      </w:r>
      <w:proofErr w:type="spellStart"/>
      <w:r w:rsidRPr="00A13324">
        <w:rPr>
          <w:rFonts w:ascii="Times New Roman" w:eastAsia="Times New Roman" w:hAnsi="Times New Roman" w:cs="Times New Roman"/>
          <w:i/>
          <w:iCs/>
          <w:sz w:val="24"/>
          <w:szCs w:val="24"/>
          <w:lang w:eastAsia="en-GB"/>
        </w:rPr>
        <w:t>Barbedo</w:t>
      </w:r>
      <w:proofErr w:type="spellEnd"/>
      <w:r w:rsidRPr="00A13324">
        <w:rPr>
          <w:rFonts w:ascii="Times New Roman" w:eastAsia="Times New Roman" w:hAnsi="Times New Roman" w:cs="Times New Roman"/>
          <w:i/>
          <w:iCs/>
          <w:sz w:val="24"/>
          <w:szCs w:val="24"/>
          <w:lang w:eastAsia="en-GB"/>
        </w:rPr>
        <w:t xml:space="preserve"> (2018); Khan et al. (2023); Lu et al. (2022); Wang and Cao (2023); Bi and Hu (2020); Gopalan et al. (2025); Tariq et al. (2024); Mrisho et al. (2020).</w:t>
      </w:r>
    </w:p>
    <w:p w14:paraId="4A157EEC"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35B303F1"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6. Artificial Intelligence Applications in Pest Detection and Monitoring</w:t>
      </w:r>
    </w:p>
    <w:p w14:paraId="2FAB1715"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6.1 Object Detection for Insect Pest Identification</w:t>
      </w:r>
    </w:p>
    <w:p w14:paraId="51A154FF"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Insect pest surveillance presents distinctive computer vision challenges relative to plant disease classification: pest specimens are frequently small relative to the image frame, occur in clusters that require accurate instance separation, and belong to species that are often visually similar to non-target or beneficial insects. Object detection architectures adapted specifically for these conditions have shown consistent improvement over generic detection frameworks. A maize-focused adaptation of the You Only Look Once architecture, incorporating modifications to improve detection of small and densely clustered targets, </w:t>
      </w:r>
      <w:r w:rsidRPr="00A13324">
        <w:rPr>
          <w:rFonts w:ascii="Times New Roman" w:eastAsia="Times New Roman" w:hAnsi="Times New Roman" w:cs="Times New Roman"/>
          <w:sz w:val="24"/>
          <w:szCs w:val="24"/>
          <w:lang w:eastAsia="en-GB"/>
        </w:rPr>
        <w:lastRenderedPageBreak/>
        <w:t>achieved high precision and real-time inference speed on field-collected pest imagery, illustrating the value of domain-specific architectural tuning over unmodified application of general-purpose detectors (Yang et al., 2023). Detection accuracy in this literature is consistently reported to decline for pest classes exhibiting fine-grained morphological similarity, motivating continued research into attention mechanisms and multi-scale feature extraction techniques capable of resolving these subtle distinctions.</w:t>
      </w:r>
    </w:p>
    <w:p w14:paraId="3546A8B5"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6.2 Smart Traps and Internet of Things-Enabled Monitoring</w:t>
      </w:r>
    </w:p>
    <w:p w14:paraId="72C2FB12"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The integration of computer vision detection models with networked trap infrastructure has enabled a shift from manual, periodic trap inspection toward continuous, automated pest population monitoring. Systems combining wireless sensor networks with deep learning-based image classification allow pest counts and species identification data to be transmitted to centralised servers in near real time, providing plant protection services and growers with substantially more current information than traditional weekly or biweekly manual scouting can offer (Dhaka et al., 2023). These systems nonetheless face persistent engineering constraints around power supply in remote field locations, connectivity in areas with limited cellular coverage, and the computational cost of running detection models on resource-constrained embedded hardware, factors that continue to limit the scale at which such systems have been deployed operationally relative to the scale demonstrated in research prototypes.</w:t>
      </w:r>
    </w:p>
    <w:p w14:paraId="3D26E124"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6.3 Landscape-Scale Forecasting of Migratory and Climate-Sensitive Pests</w:t>
      </w:r>
    </w:p>
    <w:p w14:paraId="179808CF"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For pest species capable of rapid, large-scale population growth and long-distance migration, most notably locust species, image-based detection at the individual specimen level is of limited practical value relative to landscape-scale forecasting of the environmental conditions likely to precede an outbreak. Reviews of remote sensing approaches to insect pest monitoring emphasise the particular importance of satellite-derived soil moisture, vegetation greenness, and temperature data as predictors of breeding conditions for such species, arguing that machine learning models trained on these environmental covariates offer meaningful lead time for intervention relative to reactive, ground-based detection alone (</w:t>
      </w: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 This forecasting orientation extends naturally to the broader challenge of anticipating how climate change will reshape pest distributions over coming decades, a topic addressed further in Section 7 in relation to predictive decision support.</w:t>
      </w:r>
    </w:p>
    <w:p w14:paraId="3E96A1CD"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6.4 Summary of Pest Monitoring Approaches</w:t>
      </w:r>
    </w:p>
    <w:p w14:paraId="33C9FC9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4 brings together the pest surveillance approaches discussed above according to the spatial scale at which each operates, from individual specimen detection through to landscape-level environmental modelling. The progression across the table reflects a genuine trade-off in this literature: finer spatial resolution generally comes at the cost of narrower geographic coverage, and the choice of approach in practice depends on whether the target pest behaves as a localised, field-level problem or a wide-ranging, migratory one.</w:t>
      </w:r>
    </w:p>
    <w:p w14:paraId="66EBA210"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4. Summary of artificial intelligence approaches to insect pest surveillance</w:t>
      </w:r>
    </w:p>
    <w:tbl>
      <w:tblPr>
        <w:tblStyle w:val="LightList-Accent5"/>
        <w:tblW w:w="0" w:type="auto"/>
        <w:tblLook w:val="04A0" w:firstRow="1" w:lastRow="0" w:firstColumn="1" w:lastColumn="0" w:noHBand="0" w:noVBand="1"/>
      </w:tblPr>
      <w:tblGrid>
        <w:gridCol w:w="2741"/>
        <w:gridCol w:w="2418"/>
        <w:gridCol w:w="2450"/>
        <w:gridCol w:w="1633"/>
      </w:tblGrid>
      <w:tr w:rsidR="00A13324" w:rsidRPr="00A13324" w14:paraId="45D8B43A"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B53A04" w14:textId="77777777" w:rsidR="00A13324" w:rsidRPr="00A13324" w:rsidRDefault="00A13324" w:rsidP="00A13324">
            <w:pPr>
              <w:jc w:val="cente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Approach</w:t>
            </w:r>
          </w:p>
        </w:tc>
        <w:tc>
          <w:tcPr>
            <w:tcW w:w="0" w:type="auto"/>
            <w:hideMark/>
          </w:tcPr>
          <w:p w14:paraId="5B7FB578"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Spatial scale</w:t>
            </w:r>
          </w:p>
        </w:tc>
        <w:tc>
          <w:tcPr>
            <w:tcW w:w="0" w:type="auto"/>
            <w:hideMark/>
          </w:tcPr>
          <w:p w14:paraId="4D61ACE9"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Primary data source</w:t>
            </w:r>
          </w:p>
        </w:tc>
        <w:tc>
          <w:tcPr>
            <w:tcW w:w="0" w:type="auto"/>
            <w:hideMark/>
          </w:tcPr>
          <w:p w14:paraId="37334B33"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Illustrative reference</w:t>
            </w:r>
          </w:p>
        </w:tc>
      </w:tr>
      <w:tr w:rsidR="00A13324" w:rsidRPr="00A13324" w14:paraId="453C6A84"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86E09A"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Domain-adapted object </w:t>
            </w:r>
            <w:r w:rsidRPr="00A13324">
              <w:rPr>
                <w:rFonts w:ascii="Times New Roman" w:eastAsia="Times New Roman" w:hAnsi="Times New Roman" w:cs="Times New Roman"/>
                <w:sz w:val="24"/>
                <w:szCs w:val="24"/>
                <w:lang w:eastAsia="en-GB"/>
              </w:rPr>
              <w:lastRenderedPageBreak/>
              <w:t>detection</w:t>
            </w:r>
          </w:p>
        </w:tc>
        <w:tc>
          <w:tcPr>
            <w:tcW w:w="0" w:type="auto"/>
            <w:hideMark/>
          </w:tcPr>
          <w:p w14:paraId="42632B05"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 xml:space="preserve">Individual </w:t>
            </w:r>
            <w:r w:rsidRPr="00A13324">
              <w:rPr>
                <w:rFonts w:ascii="Times New Roman" w:eastAsia="Times New Roman" w:hAnsi="Times New Roman" w:cs="Times New Roman"/>
                <w:sz w:val="24"/>
                <w:szCs w:val="24"/>
                <w:lang w:eastAsia="en-GB"/>
              </w:rPr>
              <w:lastRenderedPageBreak/>
              <w:t>specimen/trap image</w:t>
            </w:r>
          </w:p>
        </w:tc>
        <w:tc>
          <w:tcPr>
            <w:tcW w:w="0" w:type="auto"/>
            <w:hideMark/>
          </w:tcPr>
          <w:p w14:paraId="717625B2"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 xml:space="preserve">Red-green-blue </w:t>
            </w:r>
            <w:r w:rsidRPr="00A13324">
              <w:rPr>
                <w:rFonts w:ascii="Times New Roman" w:eastAsia="Times New Roman" w:hAnsi="Times New Roman" w:cs="Times New Roman"/>
                <w:sz w:val="24"/>
                <w:szCs w:val="24"/>
                <w:lang w:eastAsia="en-GB"/>
              </w:rPr>
              <w:lastRenderedPageBreak/>
              <w:t>camera imagery</w:t>
            </w:r>
          </w:p>
        </w:tc>
        <w:tc>
          <w:tcPr>
            <w:tcW w:w="0" w:type="auto"/>
            <w:hideMark/>
          </w:tcPr>
          <w:p w14:paraId="5C91176C"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 xml:space="preserve">Yang et al. </w:t>
            </w:r>
            <w:r w:rsidRPr="00A13324">
              <w:rPr>
                <w:rFonts w:ascii="Times New Roman" w:eastAsia="Times New Roman" w:hAnsi="Times New Roman" w:cs="Times New Roman"/>
                <w:sz w:val="24"/>
                <w:szCs w:val="24"/>
                <w:lang w:eastAsia="en-GB"/>
              </w:rPr>
              <w:lastRenderedPageBreak/>
              <w:t>(2023)</w:t>
            </w:r>
          </w:p>
        </w:tc>
      </w:tr>
      <w:tr w:rsidR="00A13324" w:rsidRPr="00A13324" w14:paraId="7A07088C"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39CF3374"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Hyperspectral species discrimination</w:t>
            </w:r>
          </w:p>
        </w:tc>
        <w:tc>
          <w:tcPr>
            <w:tcW w:w="0" w:type="auto"/>
            <w:hideMark/>
          </w:tcPr>
          <w:p w14:paraId="5CF5B963"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Individual specimen/canopy</w:t>
            </w:r>
          </w:p>
        </w:tc>
        <w:tc>
          <w:tcPr>
            <w:tcW w:w="0" w:type="auto"/>
            <w:hideMark/>
          </w:tcPr>
          <w:p w14:paraId="59D5F968"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Hyperspectral reflectance</w:t>
            </w:r>
          </w:p>
        </w:tc>
        <w:tc>
          <w:tcPr>
            <w:tcW w:w="0" w:type="auto"/>
            <w:hideMark/>
          </w:tcPr>
          <w:p w14:paraId="00CE00F3"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Yamada et al. (2024)</w:t>
            </w:r>
          </w:p>
        </w:tc>
      </w:tr>
      <w:tr w:rsidR="00A13324" w:rsidRPr="00A13324" w14:paraId="2E6C1F59"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DFCB62"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Internet of Things-enabled smart traps</w:t>
            </w:r>
          </w:p>
        </w:tc>
        <w:tc>
          <w:tcPr>
            <w:tcW w:w="0" w:type="auto"/>
            <w:hideMark/>
          </w:tcPr>
          <w:p w14:paraId="768A62F6"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Field/farm</w:t>
            </w:r>
          </w:p>
        </w:tc>
        <w:tc>
          <w:tcPr>
            <w:tcW w:w="0" w:type="auto"/>
            <w:hideMark/>
          </w:tcPr>
          <w:p w14:paraId="36037B04"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Networked camera and environmental sensors</w:t>
            </w:r>
          </w:p>
        </w:tc>
        <w:tc>
          <w:tcPr>
            <w:tcW w:w="0" w:type="auto"/>
            <w:hideMark/>
          </w:tcPr>
          <w:p w14:paraId="3E9327D6"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Dhaka et al. (2023)</w:t>
            </w:r>
          </w:p>
        </w:tc>
      </w:tr>
      <w:tr w:rsidR="00A13324" w:rsidRPr="00A13324" w14:paraId="7D04DCFF"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04FB74AC"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Satellite-based environmental suitability modelling</w:t>
            </w:r>
          </w:p>
        </w:tc>
        <w:tc>
          <w:tcPr>
            <w:tcW w:w="0" w:type="auto"/>
            <w:hideMark/>
          </w:tcPr>
          <w:p w14:paraId="3DB7AE12"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Landscape/regional</w:t>
            </w:r>
          </w:p>
        </w:tc>
        <w:tc>
          <w:tcPr>
            <w:tcW w:w="0" w:type="auto"/>
            <w:hideMark/>
          </w:tcPr>
          <w:p w14:paraId="4A9DBC3C"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Satellite vegetation and soil moisture indices</w:t>
            </w:r>
          </w:p>
        </w:tc>
        <w:tc>
          <w:tcPr>
            <w:tcW w:w="0" w:type="auto"/>
            <w:hideMark/>
          </w:tcPr>
          <w:p w14:paraId="204B1F84"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w:t>
            </w:r>
          </w:p>
        </w:tc>
      </w:tr>
    </w:tbl>
    <w:p w14:paraId="3E9F1EDE"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t xml:space="preserve">Sources: Yang et al. (2023); Yamada et al. (2024); Dhaka et al. (2023); </w:t>
      </w:r>
      <w:proofErr w:type="spellStart"/>
      <w:r w:rsidRPr="00A13324">
        <w:rPr>
          <w:rFonts w:ascii="Times New Roman" w:eastAsia="Times New Roman" w:hAnsi="Times New Roman" w:cs="Times New Roman"/>
          <w:i/>
          <w:iCs/>
          <w:sz w:val="24"/>
          <w:szCs w:val="24"/>
          <w:lang w:eastAsia="en-GB"/>
        </w:rPr>
        <w:t>Mpisane</w:t>
      </w:r>
      <w:proofErr w:type="spellEnd"/>
      <w:r w:rsidRPr="00A13324">
        <w:rPr>
          <w:rFonts w:ascii="Times New Roman" w:eastAsia="Times New Roman" w:hAnsi="Times New Roman" w:cs="Times New Roman"/>
          <w:i/>
          <w:iCs/>
          <w:sz w:val="24"/>
          <w:szCs w:val="24"/>
          <w:lang w:eastAsia="en-GB"/>
        </w:rPr>
        <w:t xml:space="preserve"> et al. (2025).</w:t>
      </w:r>
    </w:p>
    <w:p w14:paraId="79700AC7"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5A5A7638"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7. From Detection to Decision Support</w:t>
      </w:r>
    </w:p>
    <w:p w14:paraId="5B761AFC"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7.1 Architectures of Agricultural Decision Support Systems</w:t>
      </w:r>
    </w:p>
    <w:p w14:paraId="5CF60AD0"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 decision support system, in the agricultural context, is a computational tool that integrates data collection, processing, and analysis to generate actionable recommendations for growers, functioning as the interface between raw model outputs and the practical intervention decisions that determine field outcomes. The value of an increasingly sophisticated detection model is only realised when its output is embedded within a system capable of translating a classification or forecast into a specific, timed, and economically justified recommendation, whether that concerns the choice of fungicide, the timing of an insecticide application, or the decision to forgo intervention where predicted losses do not justify the cost of treatment. The field evaluation of the offline smartphone application discussed in Section 5.1 illustrates this point directly: the tool was designed not merely to classify a symptom but to deliver, in real time and without an internet connection, management advice tailored to the specific disease identified, a design choice explicitly aimed at reaching farmers and extension officers in areas with limited connectivity and few available specialists (Mrisho et al., 2020). Such design considerations matter because decision support tools requiring expensive hardware, stable high-bandwidth connectivity, or subscription-based cloud services risk excluding precisely the farming populations who stand to benefit most from timely, low-cost diagnostic support.</w:t>
      </w:r>
    </w:p>
    <w:p w14:paraId="6609C286"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7.2 Predictive and Forecasting Models for Anticipatory Management</w:t>
      </w:r>
    </w:p>
    <w:p w14:paraId="1F787D47"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Beyond reactive detection of existing pest or disease presence, a growing segment of the literature addresses predictive modelling intended to forecast outbreak risk ahead of onset, drawing on climatic, environmental, and historical outbreak data. The satellite-driven forecasting approaches for migratory pests discussed in Section 6.3 are one expression of this anticipatory logic, using environmental covariates to flag breeding conditions before a population reaches outbreak density (</w:t>
      </w: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 A longer-horizon version of the same problem concerns how the geographic range of a given pest species is likely to shift as climate conditions change. Species distribution modelling, using algorithms such as generalised additive models, classification and regression trees, and maximum entropy modelling, has been applied to project such shifts, and work using the invasive tomato red spider mite as a case study has shown that the resulting projections carry substantial uncertainty, arising not only from the choice of statistical modelling method but also from </w:t>
      </w:r>
      <w:r w:rsidRPr="00A13324">
        <w:rPr>
          <w:rFonts w:ascii="Times New Roman" w:eastAsia="Times New Roman" w:hAnsi="Times New Roman" w:cs="Times New Roman"/>
          <w:sz w:val="24"/>
          <w:szCs w:val="24"/>
          <w:lang w:eastAsia="en-GB"/>
        </w:rPr>
        <w:lastRenderedPageBreak/>
        <w:t>limited knowledge of a species' true prevalence and from biological variation between distinct populations of the same organism (Meynard et al., 2013). This finding is a useful corrective to any expectation that machine learning-based range projections can be treated as precise forecasts rather than as one input, with a quantifiable margin of error, into longer-term strategic planning around crop selection, quarantine policy, and surveillance resource allocation.</w:t>
      </w:r>
    </w:p>
    <w:p w14:paraId="6C6AC42A"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7.3 Precision Intervention and Variable-Rate Application</w:t>
      </w:r>
    </w:p>
    <w:p w14:paraId="56F46203"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At the point of intervention, artificial intelligence-derived detection and mapping outputs are increasingly coupled with variable-rate application technologies, most notably unmanned aerial spraying systems capable of adjusting pesticide application rate and location according to real-time or recently mapped pest and disease distribution data. Reviews of unmanned aerial vehicle-based variable-rate spraying systems highlight their capacity to concentrate chemical application on affected zones rather than applying uniform treatment across an entire field, a shift with meaningful implications for input cost reduction and environmental impact mitigation, while also noting that the control systems required to translate a detection map into a precise, spatially varying spray prescription introduce their own engineering complexity around flight path optimisation, droplet size control, and calibration under variable wind conditions (Hanif et al., 2022). The coupling of detection, mapping, and variable-rate application represents, in principle, the fullest realisation of the detection-to-decision-support continuum that this review addresses, though the operational literature validating this full pipeline under commercial farming conditions remains considerably thinner than the literature validating each individual component in isolation.</w:t>
      </w:r>
    </w:p>
    <w:p w14:paraId="7860F683" w14:textId="77777777" w:rsidR="00A13324" w:rsidRPr="00A13324" w:rsidRDefault="00A13324" w:rsidP="00A1332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7.4 Summary of Decision Support Approaches</w:t>
      </w:r>
    </w:p>
    <w:p w14:paraId="3ADDEF3C"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5 sets out the decision support and predictive management approaches discussed in this section against the specific function each performs within the broader detection-to-intervention pipeline, together with the deployment consideration most likely to determine whether a given approach succeeds outside the research setting in which it was developed.</w:t>
      </w:r>
    </w:p>
    <w:p w14:paraId="6F2F9D2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5. Summary of decision support and predictive management approaches</w:t>
      </w:r>
    </w:p>
    <w:tbl>
      <w:tblPr>
        <w:tblStyle w:val="LightList-Accent5"/>
        <w:tblW w:w="0" w:type="auto"/>
        <w:tblLook w:val="04A0" w:firstRow="1" w:lastRow="0" w:firstColumn="1" w:lastColumn="0" w:noHBand="0" w:noVBand="1"/>
      </w:tblPr>
      <w:tblGrid>
        <w:gridCol w:w="2422"/>
        <w:gridCol w:w="2714"/>
        <w:gridCol w:w="2579"/>
        <w:gridCol w:w="1527"/>
      </w:tblGrid>
      <w:tr w:rsidR="00A13324" w:rsidRPr="00A13324" w14:paraId="4A483727"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AC982B" w14:textId="77777777" w:rsidR="00A13324" w:rsidRPr="00A13324" w:rsidRDefault="00A13324" w:rsidP="00A13324">
            <w:pPr>
              <w:jc w:val="cente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Approach</w:t>
            </w:r>
          </w:p>
        </w:tc>
        <w:tc>
          <w:tcPr>
            <w:tcW w:w="0" w:type="auto"/>
            <w:hideMark/>
          </w:tcPr>
          <w:p w14:paraId="485669AF"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Function within decision support pipeline</w:t>
            </w:r>
          </w:p>
        </w:tc>
        <w:tc>
          <w:tcPr>
            <w:tcW w:w="0" w:type="auto"/>
            <w:hideMark/>
          </w:tcPr>
          <w:p w14:paraId="36214407"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Key consideration for deployment</w:t>
            </w:r>
          </w:p>
        </w:tc>
        <w:tc>
          <w:tcPr>
            <w:tcW w:w="0" w:type="auto"/>
            <w:hideMark/>
          </w:tcPr>
          <w:p w14:paraId="353B9823" w14:textId="77777777" w:rsidR="00A13324" w:rsidRPr="00A13324" w:rsidRDefault="00A13324" w:rsidP="00A133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Illustrative reference</w:t>
            </w:r>
          </w:p>
        </w:tc>
      </w:tr>
      <w:tr w:rsidR="00A13324" w:rsidRPr="00A13324" w14:paraId="2C90372F"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78B519"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Offline mobile diagnostic and advisory tools</w:t>
            </w:r>
          </w:p>
        </w:tc>
        <w:tc>
          <w:tcPr>
            <w:tcW w:w="0" w:type="auto"/>
            <w:hideMark/>
          </w:tcPr>
          <w:p w14:paraId="64C8696E"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Translating classification output into grower-facing guidance</w:t>
            </w:r>
          </w:p>
        </w:tc>
        <w:tc>
          <w:tcPr>
            <w:tcW w:w="0" w:type="auto"/>
            <w:hideMark/>
          </w:tcPr>
          <w:p w14:paraId="778189A2"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Accessibility for smallholder and low-connectivity users</w:t>
            </w:r>
          </w:p>
        </w:tc>
        <w:tc>
          <w:tcPr>
            <w:tcW w:w="0" w:type="auto"/>
            <w:hideMark/>
          </w:tcPr>
          <w:p w14:paraId="3F8A028A"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Mrisho et al. (2020)</w:t>
            </w:r>
          </w:p>
        </w:tc>
      </w:tr>
      <w:tr w:rsidR="00A13324" w:rsidRPr="00A13324" w14:paraId="661441FF"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33A1D1C1"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Satellite-driven environmental forecasting</w:t>
            </w:r>
          </w:p>
        </w:tc>
        <w:tc>
          <w:tcPr>
            <w:tcW w:w="0" w:type="auto"/>
            <w:hideMark/>
          </w:tcPr>
          <w:p w14:paraId="61F89E1F"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Anticipatory forecasting ahead of outbreak onset</w:t>
            </w:r>
          </w:p>
        </w:tc>
        <w:tc>
          <w:tcPr>
            <w:tcW w:w="0" w:type="auto"/>
            <w:hideMark/>
          </w:tcPr>
          <w:p w14:paraId="19D6F045"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Timeliness relative to migratory pest population growth</w:t>
            </w:r>
          </w:p>
        </w:tc>
        <w:tc>
          <w:tcPr>
            <w:tcW w:w="0" w:type="auto"/>
            <w:hideMark/>
          </w:tcPr>
          <w:p w14:paraId="65CC34D8"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w:t>
            </w:r>
          </w:p>
        </w:tc>
      </w:tr>
      <w:tr w:rsidR="00A13324" w:rsidRPr="00A13324" w14:paraId="3063A415"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34B352"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Species distribution modelling under climate scenarios</w:t>
            </w:r>
          </w:p>
        </w:tc>
        <w:tc>
          <w:tcPr>
            <w:tcW w:w="0" w:type="auto"/>
            <w:hideMark/>
          </w:tcPr>
          <w:p w14:paraId="2AD028E8"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Strategic, longer-horizon range-shift projection</w:t>
            </w:r>
          </w:p>
        </w:tc>
        <w:tc>
          <w:tcPr>
            <w:tcW w:w="0" w:type="auto"/>
            <w:hideMark/>
          </w:tcPr>
          <w:p w14:paraId="0EBE1723"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Quantifiable uncertainty in projections; model and prevalence sensitivity</w:t>
            </w:r>
          </w:p>
        </w:tc>
        <w:tc>
          <w:tcPr>
            <w:tcW w:w="0" w:type="auto"/>
            <w:hideMark/>
          </w:tcPr>
          <w:p w14:paraId="2D8A5ECD" w14:textId="77777777" w:rsidR="00A13324" w:rsidRPr="00A13324" w:rsidRDefault="00A13324" w:rsidP="00A133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Meynard et al. (2013)</w:t>
            </w:r>
          </w:p>
        </w:tc>
      </w:tr>
      <w:tr w:rsidR="00A13324" w:rsidRPr="00A13324" w14:paraId="0DD43039"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799A89A6" w14:textId="77777777" w:rsidR="00A13324" w:rsidRPr="00A13324" w:rsidRDefault="00A13324" w:rsidP="00A13324">
            <w:pPr>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Unmanned aerial vehicle variable-rate application</w:t>
            </w:r>
          </w:p>
        </w:tc>
        <w:tc>
          <w:tcPr>
            <w:tcW w:w="0" w:type="auto"/>
            <w:hideMark/>
          </w:tcPr>
          <w:p w14:paraId="389FA535"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Precision intervention following detection/mapping</w:t>
            </w:r>
          </w:p>
        </w:tc>
        <w:tc>
          <w:tcPr>
            <w:tcW w:w="0" w:type="auto"/>
            <w:hideMark/>
          </w:tcPr>
          <w:p w14:paraId="5F91BE7D"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Flight control complexity; calibration under field conditions</w:t>
            </w:r>
          </w:p>
        </w:tc>
        <w:tc>
          <w:tcPr>
            <w:tcW w:w="0" w:type="auto"/>
            <w:hideMark/>
          </w:tcPr>
          <w:p w14:paraId="7545B240" w14:textId="77777777" w:rsidR="00A13324" w:rsidRPr="00A13324" w:rsidRDefault="00A13324" w:rsidP="00A133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Hanif et al. (2022)</w:t>
            </w:r>
          </w:p>
        </w:tc>
      </w:tr>
    </w:tbl>
    <w:p w14:paraId="204AAEA2"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lastRenderedPageBreak/>
        <w:t xml:space="preserve">Sources: Mrisho et al. (2020); </w:t>
      </w:r>
      <w:proofErr w:type="spellStart"/>
      <w:r w:rsidRPr="00A13324">
        <w:rPr>
          <w:rFonts w:ascii="Times New Roman" w:eastAsia="Times New Roman" w:hAnsi="Times New Roman" w:cs="Times New Roman"/>
          <w:i/>
          <w:iCs/>
          <w:sz w:val="24"/>
          <w:szCs w:val="24"/>
          <w:lang w:eastAsia="en-GB"/>
        </w:rPr>
        <w:t>Mpisane</w:t>
      </w:r>
      <w:proofErr w:type="spellEnd"/>
      <w:r w:rsidRPr="00A13324">
        <w:rPr>
          <w:rFonts w:ascii="Times New Roman" w:eastAsia="Times New Roman" w:hAnsi="Times New Roman" w:cs="Times New Roman"/>
          <w:i/>
          <w:iCs/>
          <w:sz w:val="24"/>
          <w:szCs w:val="24"/>
          <w:lang w:eastAsia="en-GB"/>
        </w:rPr>
        <w:t xml:space="preserve"> et al. (2025); Meynard et al. (2013); Hanif et al. (2022).</w:t>
      </w:r>
    </w:p>
    <w:p w14:paraId="6C1A51F8"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48C77E1F"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8. Persistent Challenges Constraining Translation to Practice</w:t>
      </w:r>
    </w:p>
    <w:p w14:paraId="283E3BD0"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Despite the substantial technical progress documented above, several interlinked challenges continue to constrain the translation of research-grade artificial intelligence systems into dependable field-deployed surveillance and decision support tools. The first and most frequently cited concerns the gap between accuracy reported on curated, often laboratory-collected, benchmark datasets and accuracy achieved on genuinely field-collected imagery exhibiting variable lighting, cluttered backgrounds, occlusion, and mixed disease or pest presentations; foundational work identifying dataset size and diversity as the dominant determinants of transfer learning effectiveness remains directly relevant to this concern (</w:t>
      </w: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2018). A second, closely related challenge is class imbalance, since minor or regionally uncommon pests and diseases are systematically underrepresented in training datasets relative to major, well-studied threats, a problem that generative data augmentation techniques partially but not fully address (Wang &amp; Cao, 2023). Third, interpretability remains incomplete even where explainable artificial intelligence techniques are applied, since gradient-based visualisation methods indicate which image regions influenced a prediction without necessarily confirming that the underlying reasoning is biologically sound, a limitation acknowledged even within studies specifically designed to improve model transparency (Gopalan et al., 2025). Fourth, computational and infrastructural constraints, including limited connectivity, intermittent power supply, and the cost of high-performance computing hardware, continue to disproportionately limit deployment of otherwise promising systems in precisely the low-resource farming contexts where diagnostic support is most needed. Finally, the literature on decision support integration remains considerably less mature than the literature on detection accuracy in isolation, with comparatively few studies validating complete pipelines from sensing through to intervention under real commercial farming conditions rather than controlled research trials.</w:t>
      </w:r>
    </w:p>
    <w:p w14:paraId="76895827"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0E07B5D9"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9. Future Directions</w:t>
      </w:r>
    </w:p>
    <w:p w14:paraId="58D80C0A"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Building on the challenges identified above, several research directions appear particularly likely to advance the field toward reliable, field-deployable surveillance and decision support. Federated learning architectures, in which model training occurs across distributed data sources without centralising raw data on a single server, offer a promising route to expanding effective training data diversity across geographically dispersed farms while addressing the data ownership and privacy concerns that might otherwise discourage growers from contributing field imagery to shared model development efforts. Applied work on federated learning for crop disease detection has shown that decentralised training across distributed image sources can achieve classification performance comparable to centralised training on pooled data, indicating that this approach need not come at a significant accuracy cost while substantially improving the geographic and environmental diversity of the underlying training data (Mamba Kabala et al., 2023). Continued development of multimodal sensor fusion frameworks, combining imaging, environmental, and acoustic or chemical sensing modalities within unified predictive pipelines, represents a second priority, given the consistent finding </w:t>
      </w:r>
      <w:r w:rsidRPr="00A13324">
        <w:rPr>
          <w:rFonts w:ascii="Times New Roman" w:eastAsia="Times New Roman" w:hAnsi="Times New Roman" w:cs="Times New Roman"/>
          <w:sz w:val="24"/>
          <w:szCs w:val="24"/>
          <w:lang w:eastAsia="en-GB"/>
        </w:rPr>
        <w:lastRenderedPageBreak/>
        <w:t xml:space="preserve">that no single sensing modality captures the full complexity of pest and disease dynamics in isolation. Closer methodological integration between predictive forecasting models and precision intervention technologies, extending the variable-rate application literature discussed in Section 7.3 toward fully validated closed-loop systems tested under commercial farming conditions, would meaningfully narrow the gap between research demonstration and operational deployment. Finally, sustained investment in field-collected, expert-annotated, and geographically diverse benchmark datasets, spanning a wider range of crop, pest, and disease combinations than currently well-represented collections such as </w:t>
      </w:r>
      <w:proofErr w:type="spellStart"/>
      <w:r w:rsidRPr="00A13324">
        <w:rPr>
          <w:rFonts w:ascii="Times New Roman" w:eastAsia="Times New Roman" w:hAnsi="Times New Roman" w:cs="Times New Roman"/>
          <w:sz w:val="24"/>
          <w:szCs w:val="24"/>
          <w:lang w:eastAsia="en-GB"/>
        </w:rPr>
        <w:t>PlantVillage</w:t>
      </w:r>
      <w:proofErr w:type="spellEnd"/>
      <w:r w:rsidRPr="00A13324">
        <w:rPr>
          <w:rFonts w:ascii="Times New Roman" w:eastAsia="Times New Roman" w:hAnsi="Times New Roman" w:cs="Times New Roman"/>
          <w:sz w:val="24"/>
          <w:szCs w:val="24"/>
          <w:lang w:eastAsia="en-GB"/>
        </w:rPr>
        <w:t>, would directly address the generalisation limitations identified as the most consistently cited barrier throughout this review (</w:t>
      </w: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2018; Pacal et al., 2024).</w:t>
      </w:r>
    </w:p>
    <w:p w14:paraId="7352BD09"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482B0791"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10. Conclusions</w:t>
      </w:r>
    </w:p>
    <w:p w14:paraId="35CE24E9"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Artificial intelligence and machine learning have fundamentally reshaped the technical landscape of plant pest and disease surveillance over the past decade, moving the field from manual visual inspection toward automated, image- and sensor-driven detection capable of operating at a scale and speed unattainable through traditional scouting alone. Convolutional neural networks and, more recently, vision transformer architectures have achieved consistently high accuracy in classifying disease symptoms and identifying insect pests from image data, while object detection frameworks have extended this capability to the localisation of multiple instances within complex field scenes. Sensing has diversified correspondingly, from conventional imaging toward hyperspectral, Internet of Things-enabled, and remote sensing modalities capable of capturing signals invisible to the unaided eye or accessible only at landscape scale. Yet the review's central finding is that detection accuracy, however impressive within controlled research settings, does not by itself constitute surveillance capability. The translation of detection outputs into decision support that farmers, agronomists, and plant protection services can trust and act upon remains considerably less developed than the underlying detection technology, constrained by persistent gaps in field generalisation, data scarcity for minor pests and diseases, incomplete interpretability, and infrastructural barriers that fall most heavily on the resource-limited farming systems where the need for accessible diagnostic support is greatest. Closing this gap will require not further incremental gains in benchmark classification accuracy, but sustained attention to data diversity, model transparency, and the practical integration of predictive analytics with the decision-making structures and intervention technologies that ultimately determine field outcomes.</w:t>
      </w:r>
    </w:p>
    <w:p w14:paraId="406AD350"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5D3987A4"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11. Limitations</w:t>
      </w:r>
    </w:p>
    <w:p w14:paraId="031587C8"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As a narrative rather than systematic review, this article does not report a fully quantified, reproducible search yield at each screening stage, and the selection of illustrative studies, while guided by explicit inclusion and exclusion criteria, retains an element of reviewer judgement regarding which contributions best represent a given technical approach. The literature search, while spanning multiple databases and field-specific indexing resources, was restricted to English-language, peer-reviewed journal publications, which may have led to the omission of relevant regionally focused research published in other languages or through non-indexed regional agricultural journals, particularly research addressing pest and </w:t>
      </w:r>
      <w:r w:rsidRPr="00A13324">
        <w:rPr>
          <w:rFonts w:ascii="Times New Roman" w:eastAsia="Times New Roman" w:hAnsi="Times New Roman" w:cs="Times New Roman"/>
          <w:sz w:val="24"/>
          <w:szCs w:val="24"/>
          <w:lang w:eastAsia="en-GB"/>
        </w:rPr>
        <w:lastRenderedPageBreak/>
        <w:t>disease challenges specific to smallholder farming contexts in parts of Africa, Asia, and Latin America. The rapid pace of publication in this field also means that the corpus reviewed, current as of the search cut-off date, will not capture subsequent developments, and given the exceptionally high volume of primary studies applying broadly similar convolutional or object detection architectures to individual crop-pest or crop-disease combinations, this review has necessarily prioritised depth of synthesis across major technical themes over exhaustive enumeration of every published application study.</w:t>
      </w:r>
    </w:p>
    <w:p w14:paraId="4B838CA3" w14:textId="77777777" w:rsidR="00EF14F7" w:rsidRPr="000839CE" w:rsidRDefault="00EF14F7" w:rsidP="00EF14F7">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10B7272E" w14:textId="77777777" w:rsidR="00EF14F7" w:rsidRPr="000839CE" w:rsidRDefault="00EF14F7" w:rsidP="00EF14F7">
      <w:pPr>
        <w:spacing w:after="0" w:line="240" w:lineRule="auto"/>
        <w:rPr>
          <w:rFonts w:ascii="Times New Roman" w:hAnsi="Times New Roman" w:cs="Times New Roman"/>
        </w:rPr>
      </w:pPr>
    </w:p>
    <w:p w14:paraId="5D66BAA5" w14:textId="77777777" w:rsidR="00EF14F7" w:rsidRPr="000839CE" w:rsidRDefault="00EF14F7" w:rsidP="00EF14F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C06B807" w14:textId="77777777" w:rsidR="00A13324" w:rsidRPr="00A13324" w:rsidRDefault="00A13324" w:rsidP="00A13324">
      <w:pPr>
        <w:spacing w:after="0" w:line="240" w:lineRule="auto"/>
        <w:rPr>
          <w:rFonts w:ascii="Times New Roman" w:eastAsia="Times New Roman" w:hAnsi="Times New Roman" w:cs="Times New Roman"/>
          <w:sz w:val="24"/>
          <w:szCs w:val="24"/>
          <w:lang w:eastAsia="en-GB"/>
        </w:rPr>
      </w:pPr>
    </w:p>
    <w:p w14:paraId="58CEE379" w14:textId="77777777" w:rsidR="00A13324" w:rsidRPr="00A13324" w:rsidRDefault="00A13324" w:rsidP="00A1332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References</w:t>
      </w:r>
    </w:p>
    <w:p w14:paraId="13F97E57"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Aldakheel</w:t>
      </w:r>
      <w:proofErr w:type="spellEnd"/>
      <w:r w:rsidRPr="00A13324">
        <w:rPr>
          <w:rFonts w:ascii="Times New Roman" w:eastAsia="Times New Roman" w:hAnsi="Times New Roman" w:cs="Times New Roman"/>
          <w:sz w:val="24"/>
          <w:szCs w:val="24"/>
          <w:lang w:eastAsia="en-GB"/>
        </w:rPr>
        <w:t xml:space="preserve">, E. A., Zakariah, M., &amp; </w:t>
      </w:r>
      <w:proofErr w:type="spellStart"/>
      <w:r w:rsidRPr="00A13324">
        <w:rPr>
          <w:rFonts w:ascii="Times New Roman" w:eastAsia="Times New Roman" w:hAnsi="Times New Roman" w:cs="Times New Roman"/>
          <w:sz w:val="24"/>
          <w:szCs w:val="24"/>
          <w:lang w:eastAsia="en-GB"/>
        </w:rPr>
        <w:t>Alabdalall</w:t>
      </w:r>
      <w:proofErr w:type="spellEnd"/>
      <w:r w:rsidRPr="00A13324">
        <w:rPr>
          <w:rFonts w:ascii="Times New Roman" w:eastAsia="Times New Roman" w:hAnsi="Times New Roman" w:cs="Times New Roman"/>
          <w:sz w:val="24"/>
          <w:szCs w:val="24"/>
          <w:lang w:eastAsia="en-GB"/>
        </w:rPr>
        <w:t xml:space="preserve">, A. H. (2024). Detection and identification of plant leaf diseases using YOLOv4. </w:t>
      </w:r>
      <w:r w:rsidRPr="00A13324">
        <w:rPr>
          <w:rFonts w:ascii="Times New Roman" w:eastAsia="Times New Roman" w:hAnsi="Times New Roman" w:cs="Times New Roman"/>
          <w:i/>
          <w:iCs/>
          <w:sz w:val="24"/>
          <w:szCs w:val="24"/>
          <w:lang w:eastAsia="en-GB"/>
        </w:rPr>
        <w:t>Frontiers in Plant Science, 15</w:t>
      </w:r>
      <w:r w:rsidRPr="00A13324">
        <w:rPr>
          <w:rFonts w:ascii="Times New Roman" w:eastAsia="Times New Roman" w:hAnsi="Times New Roman" w:cs="Times New Roman"/>
          <w:sz w:val="24"/>
          <w:szCs w:val="24"/>
          <w:lang w:eastAsia="en-GB"/>
        </w:rPr>
        <w:t xml:space="preserve">, 1355941. </w:t>
      </w:r>
      <w:r w:rsidRPr="00A13324">
        <w:rPr>
          <w:rFonts w:ascii="Times New Roman" w:eastAsia="Times New Roman" w:hAnsi="Times New Roman" w:cs="Times New Roman"/>
          <w:color w:val="0000FF"/>
          <w:sz w:val="24"/>
          <w:szCs w:val="24"/>
          <w:u w:val="single"/>
          <w:lang w:eastAsia="en-GB"/>
        </w:rPr>
        <w:t>https://doi.org/10.3389/fpls.2024.1355941</w:t>
      </w:r>
    </w:p>
    <w:p w14:paraId="657079DD"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xml:space="preserve">, J. G. A. (2018). Impact of dataset size and variety on the effectiveness of deep learning and transfer learning for plant disease classification. </w:t>
      </w:r>
      <w:r w:rsidRPr="00A13324">
        <w:rPr>
          <w:rFonts w:ascii="Times New Roman" w:eastAsia="Times New Roman" w:hAnsi="Times New Roman" w:cs="Times New Roman"/>
          <w:i/>
          <w:iCs/>
          <w:sz w:val="24"/>
          <w:szCs w:val="24"/>
          <w:lang w:eastAsia="en-GB"/>
        </w:rPr>
        <w:t>Computers and Electronics in Agriculture, 153</w:t>
      </w:r>
      <w:r w:rsidRPr="00A13324">
        <w:rPr>
          <w:rFonts w:ascii="Times New Roman" w:eastAsia="Times New Roman" w:hAnsi="Times New Roman" w:cs="Times New Roman"/>
          <w:sz w:val="24"/>
          <w:szCs w:val="24"/>
          <w:lang w:eastAsia="en-GB"/>
        </w:rPr>
        <w:t xml:space="preserve">, 46–53. </w:t>
      </w:r>
      <w:r w:rsidRPr="00A13324">
        <w:rPr>
          <w:rFonts w:ascii="Times New Roman" w:eastAsia="Times New Roman" w:hAnsi="Times New Roman" w:cs="Times New Roman"/>
          <w:color w:val="0000FF"/>
          <w:sz w:val="24"/>
          <w:szCs w:val="24"/>
          <w:u w:val="single"/>
          <w:lang w:eastAsia="en-GB"/>
        </w:rPr>
        <w:t>https://doi.org/10.1016/j.compag.2018.08.013</w:t>
      </w:r>
    </w:p>
    <w:p w14:paraId="26FFFE36"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Bi, L., &amp; Hu, G. (2020). Improving image-based plant disease classification with generative adversarial network under limited training set. </w:t>
      </w:r>
      <w:r w:rsidRPr="00A13324">
        <w:rPr>
          <w:rFonts w:ascii="Times New Roman" w:eastAsia="Times New Roman" w:hAnsi="Times New Roman" w:cs="Times New Roman"/>
          <w:i/>
          <w:iCs/>
          <w:sz w:val="24"/>
          <w:szCs w:val="24"/>
          <w:lang w:eastAsia="en-GB"/>
        </w:rPr>
        <w:t>Frontiers in Plant Science, 11</w:t>
      </w:r>
      <w:r w:rsidRPr="00A13324">
        <w:rPr>
          <w:rFonts w:ascii="Times New Roman" w:eastAsia="Times New Roman" w:hAnsi="Times New Roman" w:cs="Times New Roman"/>
          <w:sz w:val="24"/>
          <w:szCs w:val="24"/>
          <w:lang w:eastAsia="en-GB"/>
        </w:rPr>
        <w:t xml:space="preserve">, 583438. </w:t>
      </w:r>
      <w:r w:rsidRPr="00A13324">
        <w:rPr>
          <w:rFonts w:ascii="Times New Roman" w:eastAsia="Times New Roman" w:hAnsi="Times New Roman" w:cs="Times New Roman"/>
          <w:color w:val="0000FF"/>
          <w:sz w:val="24"/>
          <w:szCs w:val="24"/>
          <w:u w:val="single"/>
          <w:lang w:eastAsia="en-GB"/>
        </w:rPr>
        <w:t>https://doi.org/10.3389/fpls.2020.583438</w:t>
      </w:r>
    </w:p>
    <w:p w14:paraId="45C818CF"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Demilie, W. B. (2024). Plant disease detection and classification techniques: A comparative study of the performances. </w:t>
      </w:r>
      <w:r w:rsidRPr="00A13324">
        <w:rPr>
          <w:rFonts w:ascii="Times New Roman" w:eastAsia="Times New Roman" w:hAnsi="Times New Roman" w:cs="Times New Roman"/>
          <w:i/>
          <w:iCs/>
          <w:sz w:val="24"/>
          <w:szCs w:val="24"/>
          <w:lang w:eastAsia="en-GB"/>
        </w:rPr>
        <w:t>Journal of Big Data, 11</w:t>
      </w:r>
      <w:r w:rsidRPr="00A13324">
        <w:rPr>
          <w:rFonts w:ascii="Times New Roman" w:eastAsia="Times New Roman" w:hAnsi="Times New Roman" w:cs="Times New Roman"/>
          <w:sz w:val="24"/>
          <w:szCs w:val="24"/>
          <w:lang w:eastAsia="en-GB"/>
        </w:rPr>
        <w:t xml:space="preserve">, Article 5. </w:t>
      </w:r>
      <w:r w:rsidRPr="00A13324">
        <w:rPr>
          <w:rFonts w:ascii="Times New Roman" w:eastAsia="Times New Roman" w:hAnsi="Times New Roman" w:cs="Times New Roman"/>
          <w:color w:val="0000FF"/>
          <w:sz w:val="24"/>
          <w:szCs w:val="24"/>
          <w:u w:val="single"/>
          <w:lang w:eastAsia="en-GB"/>
        </w:rPr>
        <w:t>https://doi.org/10.1186/s40537-023-00863-9</w:t>
      </w:r>
    </w:p>
    <w:p w14:paraId="286CAA12"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Dhaka, V. S., Kundu, N., Rani, G., Zumpano, E., &amp; Vocaturo, E. (2023). Role of Internet of Things and deep learning techniques in plant disease detection and classification: A focused review. </w:t>
      </w:r>
      <w:r w:rsidRPr="00A13324">
        <w:rPr>
          <w:rFonts w:ascii="Times New Roman" w:eastAsia="Times New Roman" w:hAnsi="Times New Roman" w:cs="Times New Roman"/>
          <w:i/>
          <w:iCs/>
          <w:sz w:val="24"/>
          <w:szCs w:val="24"/>
          <w:lang w:eastAsia="en-GB"/>
        </w:rPr>
        <w:t>Sensors, 23</w:t>
      </w:r>
      <w:r w:rsidRPr="00A13324">
        <w:rPr>
          <w:rFonts w:ascii="Times New Roman" w:eastAsia="Times New Roman" w:hAnsi="Times New Roman" w:cs="Times New Roman"/>
          <w:sz w:val="24"/>
          <w:szCs w:val="24"/>
          <w:lang w:eastAsia="en-GB"/>
        </w:rPr>
        <w:t xml:space="preserve">(18), 7877. </w:t>
      </w:r>
      <w:r w:rsidRPr="00A13324">
        <w:rPr>
          <w:rFonts w:ascii="Times New Roman" w:eastAsia="Times New Roman" w:hAnsi="Times New Roman" w:cs="Times New Roman"/>
          <w:color w:val="0000FF"/>
          <w:sz w:val="24"/>
          <w:szCs w:val="24"/>
          <w:u w:val="single"/>
          <w:lang w:eastAsia="en-GB"/>
        </w:rPr>
        <w:t>https://doi.org/10.3390/s23187877</w:t>
      </w:r>
    </w:p>
    <w:p w14:paraId="6BC54B74"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Dong, P., Li, K., Wang, M., Li, F., Guo, W., &amp; Si, H. (2024). Maize leaf compound disease recognition based on attention mechanism. </w:t>
      </w:r>
      <w:r w:rsidRPr="00A13324">
        <w:rPr>
          <w:rFonts w:ascii="Times New Roman" w:eastAsia="Times New Roman" w:hAnsi="Times New Roman" w:cs="Times New Roman"/>
          <w:i/>
          <w:iCs/>
          <w:sz w:val="24"/>
          <w:szCs w:val="24"/>
          <w:lang w:eastAsia="en-GB"/>
        </w:rPr>
        <w:t>Agriculture, 14</w:t>
      </w:r>
      <w:r w:rsidRPr="00A13324">
        <w:rPr>
          <w:rFonts w:ascii="Times New Roman" w:eastAsia="Times New Roman" w:hAnsi="Times New Roman" w:cs="Times New Roman"/>
          <w:sz w:val="24"/>
          <w:szCs w:val="24"/>
          <w:lang w:eastAsia="en-GB"/>
        </w:rPr>
        <w:t xml:space="preserve">(1), 74. </w:t>
      </w:r>
      <w:r w:rsidRPr="00A13324">
        <w:rPr>
          <w:rFonts w:ascii="Times New Roman" w:eastAsia="Times New Roman" w:hAnsi="Times New Roman" w:cs="Times New Roman"/>
          <w:color w:val="0000FF"/>
          <w:sz w:val="24"/>
          <w:szCs w:val="24"/>
          <w:u w:val="single"/>
          <w:lang w:eastAsia="en-GB"/>
        </w:rPr>
        <w:t>https://doi.org/10.3390/agriculture14010074</w:t>
      </w:r>
    </w:p>
    <w:p w14:paraId="0AEC95F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Fedotov, A., Eremenko, D., Kuznetsova, D., Baranova, O., &amp; Terentev, A. (2025). Advanced hyperspectral image processing and machine learning approaches for early detection of wheat stem rust. </w:t>
      </w:r>
      <w:r w:rsidRPr="00A13324">
        <w:rPr>
          <w:rFonts w:ascii="Times New Roman" w:eastAsia="Times New Roman" w:hAnsi="Times New Roman" w:cs="Times New Roman"/>
          <w:i/>
          <w:iCs/>
          <w:sz w:val="24"/>
          <w:szCs w:val="24"/>
          <w:lang w:eastAsia="en-GB"/>
        </w:rPr>
        <w:t>Frontiers in Plant Science, 16</w:t>
      </w:r>
      <w:r w:rsidRPr="00A13324">
        <w:rPr>
          <w:rFonts w:ascii="Times New Roman" w:eastAsia="Times New Roman" w:hAnsi="Times New Roman" w:cs="Times New Roman"/>
          <w:sz w:val="24"/>
          <w:szCs w:val="24"/>
          <w:lang w:eastAsia="en-GB"/>
        </w:rPr>
        <w:t xml:space="preserve">, 1725017. </w:t>
      </w:r>
      <w:r w:rsidRPr="00A13324">
        <w:rPr>
          <w:rFonts w:ascii="Times New Roman" w:eastAsia="Times New Roman" w:hAnsi="Times New Roman" w:cs="Times New Roman"/>
          <w:color w:val="0000FF"/>
          <w:sz w:val="24"/>
          <w:szCs w:val="24"/>
          <w:u w:val="single"/>
          <w:lang w:eastAsia="en-GB"/>
        </w:rPr>
        <w:t>https://doi.org/10.3389/fpls.2025.1725017</w:t>
      </w:r>
    </w:p>
    <w:p w14:paraId="31419260"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 xml:space="preserve">Food and Agriculture Organization of the United Nations. (2025). </w:t>
      </w:r>
      <w:r w:rsidRPr="00A13324">
        <w:rPr>
          <w:rFonts w:ascii="Times New Roman" w:eastAsia="Times New Roman" w:hAnsi="Times New Roman" w:cs="Times New Roman"/>
          <w:i/>
          <w:iCs/>
          <w:sz w:val="24"/>
          <w:szCs w:val="24"/>
          <w:lang w:eastAsia="en-GB"/>
        </w:rPr>
        <w:t>Plant production and protection</w:t>
      </w:r>
      <w:r w:rsidRPr="00A13324">
        <w:rPr>
          <w:rFonts w:ascii="Times New Roman" w:eastAsia="Times New Roman" w:hAnsi="Times New Roman" w:cs="Times New Roman"/>
          <w:sz w:val="24"/>
          <w:szCs w:val="24"/>
          <w:lang w:eastAsia="en-GB"/>
        </w:rPr>
        <w:t xml:space="preserve">. </w:t>
      </w:r>
      <w:r w:rsidRPr="00A13324">
        <w:rPr>
          <w:rFonts w:ascii="Times New Roman" w:eastAsia="Times New Roman" w:hAnsi="Times New Roman" w:cs="Times New Roman"/>
          <w:color w:val="0000FF"/>
          <w:sz w:val="24"/>
          <w:szCs w:val="24"/>
          <w:u w:val="single"/>
          <w:lang w:eastAsia="en-GB"/>
        </w:rPr>
        <w:t>https://www.fao.org/plant-production-protection/about/en</w:t>
      </w:r>
    </w:p>
    <w:p w14:paraId="3B99337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Gopalan, K., Srinivasan, S., Pragya, Singh, M., Mathivanan, S. K., &amp; Moorthy, U. (2025). Corn leaf disease diagnosis: Enhancing accuracy with ResNet152 and Grad-CAM for explainable AI. </w:t>
      </w:r>
      <w:r w:rsidRPr="00A13324">
        <w:rPr>
          <w:rFonts w:ascii="Times New Roman" w:eastAsia="Times New Roman" w:hAnsi="Times New Roman" w:cs="Times New Roman"/>
          <w:i/>
          <w:iCs/>
          <w:sz w:val="24"/>
          <w:szCs w:val="24"/>
          <w:lang w:eastAsia="en-GB"/>
        </w:rPr>
        <w:t>BMC Plant Biology, 25</w:t>
      </w:r>
      <w:r w:rsidRPr="00A13324">
        <w:rPr>
          <w:rFonts w:ascii="Times New Roman" w:eastAsia="Times New Roman" w:hAnsi="Times New Roman" w:cs="Times New Roman"/>
          <w:sz w:val="24"/>
          <w:szCs w:val="24"/>
          <w:lang w:eastAsia="en-GB"/>
        </w:rPr>
        <w:t xml:space="preserve">, Article 440. </w:t>
      </w:r>
      <w:r w:rsidRPr="00A13324">
        <w:rPr>
          <w:rFonts w:ascii="Times New Roman" w:eastAsia="Times New Roman" w:hAnsi="Times New Roman" w:cs="Times New Roman"/>
          <w:color w:val="0000FF"/>
          <w:sz w:val="24"/>
          <w:szCs w:val="24"/>
          <w:u w:val="single"/>
          <w:lang w:eastAsia="en-GB"/>
        </w:rPr>
        <w:t>https://doi.org/10.1186/s12870-025-06386-0</w:t>
      </w:r>
    </w:p>
    <w:p w14:paraId="7F57ED63"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Grant, M. J., &amp; Booth, A. (2009). A typology of reviews: An analysis of 14 review types and associated methodologies. </w:t>
      </w:r>
      <w:r w:rsidRPr="00A13324">
        <w:rPr>
          <w:rFonts w:ascii="Times New Roman" w:eastAsia="Times New Roman" w:hAnsi="Times New Roman" w:cs="Times New Roman"/>
          <w:i/>
          <w:iCs/>
          <w:sz w:val="24"/>
          <w:szCs w:val="24"/>
          <w:lang w:eastAsia="en-GB"/>
        </w:rPr>
        <w:t>Health Information &amp; Libraries Journal, 26</w:t>
      </w:r>
      <w:r w:rsidRPr="00A13324">
        <w:rPr>
          <w:rFonts w:ascii="Times New Roman" w:eastAsia="Times New Roman" w:hAnsi="Times New Roman" w:cs="Times New Roman"/>
          <w:sz w:val="24"/>
          <w:szCs w:val="24"/>
          <w:lang w:eastAsia="en-GB"/>
        </w:rPr>
        <w:t xml:space="preserve">(2), 91–108. </w:t>
      </w:r>
      <w:r w:rsidRPr="00A13324">
        <w:rPr>
          <w:rFonts w:ascii="Times New Roman" w:eastAsia="Times New Roman" w:hAnsi="Times New Roman" w:cs="Times New Roman"/>
          <w:color w:val="0000FF"/>
          <w:sz w:val="24"/>
          <w:szCs w:val="24"/>
          <w:u w:val="single"/>
          <w:lang w:eastAsia="en-GB"/>
        </w:rPr>
        <w:t>https://doi.org/10.1111/j.1471-1842.2009.00848.x</w:t>
      </w:r>
    </w:p>
    <w:p w14:paraId="6B3ADFA8"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Hanif, A. S., Han, X., &amp; Yu, S.-H. (2022). Independent control spraying system for UAV-based precise variable sprayer: A review. </w:t>
      </w:r>
      <w:r w:rsidRPr="00A13324">
        <w:rPr>
          <w:rFonts w:ascii="Times New Roman" w:eastAsia="Times New Roman" w:hAnsi="Times New Roman" w:cs="Times New Roman"/>
          <w:i/>
          <w:iCs/>
          <w:sz w:val="24"/>
          <w:szCs w:val="24"/>
          <w:lang w:eastAsia="en-GB"/>
        </w:rPr>
        <w:t>Drones, 6</w:t>
      </w:r>
      <w:r w:rsidRPr="00A13324">
        <w:rPr>
          <w:rFonts w:ascii="Times New Roman" w:eastAsia="Times New Roman" w:hAnsi="Times New Roman" w:cs="Times New Roman"/>
          <w:sz w:val="24"/>
          <w:szCs w:val="24"/>
          <w:lang w:eastAsia="en-GB"/>
        </w:rPr>
        <w:t xml:space="preserve">(12), 383. </w:t>
      </w:r>
      <w:r w:rsidRPr="00A13324">
        <w:rPr>
          <w:rFonts w:ascii="Times New Roman" w:eastAsia="Times New Roman" w:hAnsi="Times New Roman" w:cs="Times New Roman"/>
          <w:color w:val="0000FF"/>
          <w:sz w:val="24"/>
          <w:szCs w:val="24"/>
          <w:u w:val="single"/>
          <w:lang w:eastAsia="en-GB"/>
        </w:rPr>
        <w:t>https://doi.org/10.3390/drones6120383</w:t>
      </w:r>
    </w:p>
    <w:p w14:paraId="4CA31110"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Jones, R. A. C., &amp; Naidu, R. A. (2019). Global dimensions of plant virus diseases: Current status and future perspectives. </w:t>
      </w:r>
      <w:r w:rsidRPr="00A13324">
        <w:rPr>
          <w:rFonts w:ascii="Times New Roman" w:eastAsia="Times New Roman" w:hAnsi="Times New Roman" w:cs="Times New Roman"/>
          <w:i/>
          <w:iCs/>
          <w:sz w:val="24"/>
          <w:szCs w:val="24"/>
          <w:lang w:eastAsia="en-GB"/>
        </w:rPr>
        <w:t>Annual Review of Virology, 6</w:t>
      </w:r>
      <w:r w:rsidRPr="00A13324">
        <w:rPr>
          <w:rFonts w:ascii="Times New Roman" w:eastAsia="Times New Roman" w:hAnsi="Times New Roman" w:cs="Times New Roman"/>
          <w:sz w:val="24"/>
          <w:szCs w:val="24"/>
          <w:lang w:eastAsia="en-GB"/>
        </w:rPr>
        <w:t xml:space="preserve">, 387–409. </w:t>
      </w:r>
      <w:r w:rsidRPr="00A13324">
        <w:rPr>
          <w:rFonts w:ascii="Times New Roman" w:eastAsia="Times New Roman" w:hAnsi="Times New Roman" w:cs="Times New Roman"/>
          <w:color w:val="0000FF"/>
          <w:sz w:val="24"/>
          <w:szCs w:val="24"/>
          <w:u w:val="single"/>
          <w:lang w:eastAsia="en-GB"/>
        </w:rPr>
        <w:t>https://doi.org/10.1146/annurev-virology-092818-015606</w:t>
      </w:r>
    </w:p>
    <w:p w14:paraId="26D27558"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Khan, F., Zafar, N., Tahir, M. N., Aqib, M., Waheed, H., &amp; Haroon, Z. (2023). A mobile-based system for maize plant leaf disease detection and classification using deep learning. </w:t>
      </w:r>
      <w:r w:rsidRPr="00A13324">
        <w:rPr>
          <w:rFonts w:ascii="Times New Roman" w:eastAsia="Times New Roman" w:hAnsi="Times New Roman" w:cs="Times New Roman"/>
          <w:i/>
          <w:iCs/>
          <w:sz w:val="24"/>
          <w:szCs w:val="24"/>
          <w:lang w:eastAsia="en-GB"/>
        </w:rPr>
        <w:t>Frontiers in Plant Science, 14</w:t>
      </w:r>
      <w:r w:rsidRPr="00A13324">
        <w:rPr>
          <w:rFonts w:ascii="Times New Roman" w:eastAsia="Times New Roman" w:hAnsi="Times New Roman" w:cs="Times New Roman"/>
          <w:sz w:val="24"/>
          <w:szCs w:val="24"/>
          <w:lang w:eastAsia="en-GB"/>
        </w:rPr>
        <w:t xml:space="preserve">, 1079366. </w:t>
      </w:r>
      <w:r w:rsidRPr="00A13324">
        <w:rPr>
          <w:rFonts w:ascii="Times New Roman" w:eastAsia="Times New Roman" w:hAnsi="Times New Roman" w:cs="Times New Roman"/>
          <w:color w:val="0000FF"/>
          <w:sz w:val="24"/>
          <w:szCs w:val="24"/>
          <w:u w:val="single"/>
          <w:lang w:eastAsia="en-GB"/>
        </w:rPr>
        <w:t>https://doi.org/10.3389/fpls.2023.1079366</w:t>
      </w:r>
    </w:p>
    <w:p w14:paraId="72EC8556"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Liu, Q., Sun, T., Wen, X., Zeng, M., &amp; Chen, J. (2023). Detecting the minimum limit on wheat stripe rust in the latent period using proximal remote sensing coupled with duplex real-time PCR and machine learning. </w:t>
      </w:r>
      <w:r w:rsidRPr="00A13324">
        <w:rPr>
          <w:rFonts w:ascii="Times New Roman" w:eastAsia="Times New Roman" w:hAnsi="Times New Roman" w:cs="Times New Roman"/>
          <w:i/>
          <w:iCs/>
          <w:sz w:val="24"/>
          <w:szCs w:val="24"/>
          <w:lang w:eastAsia="en-GB"/>
        </w:rPr>
        <w:t>Plants, 12</w:t>
      </w:r>
      <w:r w:rsidRPr="00A13324">
        <w:rPr>
          <w:rFonts w:ascii="Times New Roman" w:eastAsia="Times New Roman" w:hAnsi="Times New Roman" w:cs="Times New Roman"/>
          <w:sz w:val="24"/>
          <w:szCs w:val="24"/>
          <w:lang w:eastAsia="en-GB"/>
        </w:rPr>
        <w:t xml:space="preserve">(15), 2814. </w:t>
      </w:r>
      <w:r w:rsidRPr="00A13324">
        <w:rPr>
          <w:rFonts w:ascii="Times New Roman" w:eastAsia="Times New Roman" w:hAnsi="Times New Roman" w:cs="Times New Roman"/>
          <w:color w:val="0000FF"/>
          <w:sz w:val="24"/>
          <w:szCs w:val="24"/>
          <w:u w:val="single"/>
          <w:lang w:eastAsia="en-GB"/>
        </w:rPr>
        <w:t>https://doi.org/10.3390/plants12152814</w:t>
      </w:r>
    </w:p>
    <w:p w14:paraId="76C4224F"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Lu, Y., Chen, D., Olaniyi, E., &amp; Huang, Y. (2022). Generative adversarial networks (GANs) for image augmentation in agriculture: A systematic review. </w:t>
      </w:r>
      <w:r w:rsidRPr="00A13324">
        <w:rPr>
          <w:rFonts w:ascii="Times New Roman" w:eastAsia="Times New Roman" w:hAnsi="Times New Roman" w:cs="Times New Roman"/>
          <w:i/>
          <w:iCs/>
          <w:sz w:val="24"/>
          <w:szCs w:val="24"/>
          <w:lang w:eastAsia="en-GB"/>
        </w:rPr>
        <w:t>Computers and Electronics in Agriculture, 200</w:t>
      </w:r>
      <w:r w:rsidRPr="00A13324">
        <w:rPr>
          <w:rFonts w:ascii="Times New Roman" w:eastAsia="Times New Roman" w:hAnsi="Times New Roman" w:cs="Times New Roman"/>
          <w:sz w:val="24"/>
          <w:szCs w:val="24"/>
          <w:lang w:eastAsia="en-GB"/>
        </w:rPr>
        <w:t xml:space="preserve">, 107208. </w:t>
      </w:r>
      <w:r w:rsidRPr="00A13324">
        <w:rPr>
          <w:rFonts w:ascii="Times New Roman" w:eastAsia="Times New Roman" w:hAnsi="Times New Roman" w:cs="Times New Roman"/>
          <w:color w:val="0000FF"/>
          <w:sz w:val="24"/>
          <w:szCs w:val="24"/>
          <w:u w:val="single"/>
          <w:lang w:eastAsia="en-GB"/>
        </w:rPr>
        <w:t>https://doi.org/10.1016/j.compag.2022.107208</w:t>
      </w:r>
    </w:p>
    <w:p w14:paraId="5D652A7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Mamba Kabala, D., Hafiane, A., </w:t>
      </w:r>
      <w:proofErr w:type="spellStart"/>
      <w:r w:rsidRPr="00A13324">
        <w:rPr>
          <w:rFonts w:ascii="Times New Roman" w:eastAsia="Times New Roman" w:hAnsi="Times New Roman" w:cs="Times New Roman"/>
          <w:sz w:val="24"/>
          <w:szCs w:val="24"/>
          <w:lang w:eastAsia="en-GB"/>
        </w:rPr>
        <w:t>Bobelin</w:t>
      </w:r>
      <w:proofErr w:type="spellEnd"/>
      <w:r w:rsidRPr="00A13324">
        <w:rPr>
          <w:rFonts w:ascii="Times New Roman" w:eastAsia="Times New Roman" w:hAnsi="Times New Roman" w:cs="Times New Roman"/>
          <w:sz w:val="24"/>
          <w:szCs w:val="24"/>
          <w:lang w:eastAsia="en-GB"/>
        </w:rPr>
        <w:t xml:space="preserve">, L., &amp; Canals, R. (2023). Image-based crop disease detection with federated learning. </w:t>
      </w:r>
      <w:r w:rsidRPr="00A13324">
        <w:rPr>
          <w:rFonts w:ascii="Times New Roman" w:eastAsia="Times New Roman" w:hAnsi="Times New Roman" w:cs="Times New Roman"/>
          <w:i/>
          <w:iCs/>
          <w:sz w:val="24"/>
          <w:szCs w:val="24"/>
          <w:lang w:eastAsia="en-GB"/>
        </w:rPr>
        <w:t>Scientific Reports, 13</w:t>
      </w:r>
      <w:r w:rsidRPr="00A13324">
        <w:rPr>
          <w:rFonts w:ascii="Times New Roman" w:eastAsia="Times New Roman" w:hAnsi="Times New Roman" w:cs="Times New Roman"/>
          <w:sz w:val="24"/>
          <w:szCs w:val="24"/>
          <w:lang w:eastAsia="en-GB"/>
        </w:rPr>
        <w:t xml:space="preserve">, 19220. </w:t>
      </w:r>
      <w:r w:rsidRPr="00A13324">
        <w:rPr>
          <w:rFonts w:ascii="Times New Roman" w:eastAsia="Times New Roman" w:hAnsi="Times New Roman" w:cs="Times New Roman"/>
          <w:color w:val="0000FF"/>
          <w:sz w:val="24"/>
          <w:szCs w:val="24"/>
          <w:u w:val="single"/>
          <w:lang w:eastAsia="en-GB"/>
        </w:rPr>
        <w:t>https://doi.org/10.1038/s41598-023-46218-5</w:t>
      </w:r>
    </w:p>
    <w:p w14:paraId="0D1AAACA"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Meynard, C. N., </w:t>
      </w:r>
      <w:proofErr w:type="spellStart"/>
      <w:r w:rsidRPr="00A13324">
        <w:rPr>
          <w:rFonts w:ascii="Times New Roman" w:eastAsia="Times New Roman" w:hAnsi="Times New Roman" w:cs="Times New Roman"/>
          <w:sz w:val="24"/>
          <w:szCs w:val="24"/>
          <w:lang w:eastAsia="en-GB"/>
        </w:rPr>
        <w:t>Migeon</w:t>
      </w:r>
      <w:proofErr w:type="spellEnd"/>
      <w:r w:rsidRPr="00A13324">
        <w:rPr>
          <w:rFonts w:ascii="Times New Roman" w:eastAsia="Times New Roman" w:hAnsi="Times New Roman" w:cs="Times New Roman"/>
          <w:sz w:val="24"/>
          <w:szCs w:val="24"/>
          <w:lang w:eastAsia="en-GB"/>
        </w:rPr>
        <w:t xml:space="preserve">, A., &amp; </w:t>
      </w:r>
      <w:proofErr w:type="spellStart"/>
      <w:r w:rsidRPr="00A13324">
        <w:rPr>
          <w:rFonts w:ascii="Times New Roman" w:eastAsia="Times New Roman" w:hAnsi="Times New Roman" w:cs="Times New Roman"/>
          <w:sz w:val="24"/>
          <w:szCs w:val="24"/>
          <w:lang w:eastAsia="en-GB"/>
        </w:rPr>
        <w:t>Navajas</w:t>
      </w:r>
      <w:proofErr w:type="spellEnd"/>
      <w:r w:rsidRPr="00A13324">
        <w:rPr>
          <w:rFonts w:ascii="Times New Roman" w:eastAsia="Times New Roman" w:hAnsi="Times New Roman" w:cs="Times New Roman"/>
          <w:sz w:val="24"/>
          <w:szCs w:val="24"/>
          <w:lang w:eastAsia="en-GB"/>
        </w:rPr>
        <w:t xml:space="preserve">, M. (2013). Uncertainties in predicting species distributions under climate change: A case study using </w:t>
      </w:r>
      <w:proofErr w:type="spellStart"/>
      <w:r w:rsidRPr="00A13324">
        <w:rPr>
          <w:rFonts w:ascii="Times New Roman" w:eastAsia="Times New Roman" w:hAnsi="Times New Roman" w:cs="Times New Roman"/>
          <w:i/>
          <w:iCs/>
          <w:sz w:val="24"/>
          <w:szCs w:val="24"/>
          <w:lang w:eastAsia="en-GB"/>
        </w:rPr>
        <w:t>Tetranychus</w:t>
      </w:r>
      <w:proofErr w:type="spellEnd"/>
      <w:r w:rsidRPr="00A13324">
        <w:rPr>
          <w:rFonts w:ascii="Times New Roman" w:eastAsia="Times New Roman" w:hAnsi="Times New Roman" w:cs="Times New Roman"/>
          <w:i/>
          <w:iCs/>
          <w:sz w:val="24"/>
          <w:szCs w:val="24"/>
          <w:lang w:eastAsia="en-GB"/>
        </w:rPr>
        <w:t xml:space="preserve"> </w:t>
      </w:r>
      <w:proofErr w:type="spellStart"/>
      <w:r w:rsidRPr="00A13324">
        <w:rPr>
          <w:rFonts w:ascii="Times New Roman" w:eastAsia="Times New Roman" w:hAnsi="Times New Roman" w:cs="Times New Roman"/>
          <w:i/>
          <w:iCs/>
          <w:sz w:val="24"/>
          <w:szCs w:val="24"/>
          <w:lang w:eastAsia="en-GB"/>
        </w:rPr>
        <w:t>evansi</w:t>
      </w:r>
      <w:proofErr w:type="spellEnd"/>
      <w:r w:rsidRPr="00A13324">
        <w:rPr>
          <w:rFonts w:ascii="Times New Roman" w:eastAsia="Times New Roman" w:hAnsi="Times New Roman" w:cs="Times New Roman"/>
          <w:sz w:val="24"/>
          <w:szCs w:val="24"/>
          <w:lang w:eastAsia="en-GB"/>
        </w:rPr>
        <w:t xml:space="preserve"> (Acari: Tetranychidae), a widespread agricultural pest. </w:t>
      </w:r>
      <w:r w:rsidRPr="00A13324">
        <w:rPr>
          <w:rFonts w:ascii="Times New Roman" w:eastAsia="Times New Roman" w:hAnsi="Times New Roman" w:cs="Times New Roman"/>
          <w:i/>
          <w:iCs/>
          <w:sz w:val="24"/>
          <w:szCs w:val="24"/>
          <w:lang w:eastAsia="en-GB"/>
        </w:rPr>
        <w:t>PLOS One, 8</w:t>
      </w:r>
      <w:r w:rsidRPr="00A13324">
        <w:rPr>
          <w:rFonts w:ascii="Times New Roman" w:eastAsia="Times New Roman" w:hAnsi="Times New Roman" w:cs="Times New Roman"/>
          <w:sz w:val="24"/>
          <w:szCs w:val="24"/>
          <w:lang w:eastAsia="en-GB"/>
        </w:rPr>
        <w:t xml:space="preserve">(6), e66445. </w:t>
      </w:r>
      <w:r w:rsidRPr="00A13324">
        <w:rPr>
          <w:rFonts w:ascii="Times New Roman" w:eastAsia="Times New Roman" w:hAnsi="Times New Roman" w:cs="Times New Roman"/>
          <w:color w:val="0000FF"/>
          <w:sz w:val="24"/>
          <w:szCs w:val="24"/>
          <w:u w:val="single"/>
          <w:lang w:eastAsia="en-GB"/>
        </w:rPr>
        <w:t>https://doi.org/10.1371/journal.pone.0066445</w:t>
      </w:r>
    </w:p>
    <w:p w14:paraId="5316CA85"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Mohanty, S. P., Hughes, D. P., &amp; </w:t>
      </w:r>
      <w:proofErr w:type="spellStart"/>
      <w:r w:rsidRPr="00A13324">
        <w:rPr>
          <w:rFonts w:ascii="Times New Roman" w:eastAsia="Times New Roman" w:hAnsi="Times New Roman" w:cs="Times New Roman"/>
          <w:sz w:val="24"/>
          <w:szCs w:val="24"/>
          <w:lang w:eastAsia="en-GB"/>
        </w:rPr>
        <w:t>Salathé</w:t>
      </w:r>
      <w:proofErr w:type="spellEnd"/>
      <w:r w:rsidRPr="00A13324">
        <w:rPr>
          <w:rFonts w:ascii="Times New Roman" w:eastAsia="Times New Roman" w:hAnsi="Times New Roman" w:cs="Times New Roman"/>
          <w:sz w:val="24"/>
          <w:szCs w:val="24"/>
          <w:lang w:eastAsia="en-GB"/>
        </w:rPr>
        <w:t xml:space="preserve">, M. (2016). Using deep learning for image-based plant disease detection. </w:t>
      </w:r>
      <w:r w:rsidRPr="00A13324">
        <w:rPr>
          <w:rFonts w:ascii="Times New Roman" w:eastAsia="Times New Roman" w:hAnsi="Times New Roman" w:cs="Times New Roman"/>
          <w:i/>
          <w:iCs/>
          <w:sz w:val="24"/>
          <w:szCs w:val="24"/>
          <w:lang w:eastAsia="en-GB"/>
        </w:rPr>
        <w:t>Frontiers in Plant Science, 7</w:t>
      </w:r>
      <w:r w:rsidRPr="00A13324">
        <w:rPr>
          <w:rFonts w:ascii="Times New Roman" w:eastAsia="Times New Roman" w:hAnsi="Times New Roman" w:cs="Times New Roman"/>
          <w:sz w:val="24"/>
          <w:szCs w:val="24"/>
          <w:lang w:eastAsia="en-GB"/>
        </w:rPr>
        <w:t xml:space="preserve">, 1419. </w:t>
      </w:r>
      <w:r w:rsidRPr="00A13324">
        <w:rPr>
          <w:rFonts w:ascii="Times New Roman" w:eastAsia="Times New Roman" w:hAnsi="Times New Roman" w:cs="Times New Roman"/>
          <w:color w:val="0000FF"/>
          <w:sz w:val="24"/>
          <w:szCs w:val="24"/>
          <w:u w:val="single"/>
          <w:lang w:eastAsia="en-GB"/>
        </w:rPr>
        <w:t>https://doi.org/10.3389/fpls.2016.01419</w:t>
      </w:r>
    </w:p>
    <w:p w14:paraId="2C642091"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K., Kganyago, M., </w:t>
      </w:r>
      <w:proofErr w:type="spellStart"/>
      <w:r w:rsidRPr="00A13324">
        <w:rPr>
          <w:rFonts w:ascii="Times New Roman" w:eastAsia="Times New Roman" w:hAnsi="Times New Roman" w:cs="Times New Roman"/>
          <w:sz w:val="24"/>
          <w:szCs w:val="24"/>
          <w:lang w:eastAsia="en-GB"/>
        </w:rPr>
        <w:t>Munghemezulu</w:t>
      </w:r>
      <w:proofErr w:type="spellEnd"/>
      <w:r w:rsidRPr="00A13324">
        <w:rPr>
          <w:rFonts w:ascii="Times New Roman" w:eastAsia="Times New Roman" w:hAnsi="Times New Roman" w:cs="Times New Roman"/>
          <w:sz w:val="24"/>
          <w:szCs w:val="24"/>
          <w:lang w:eastAsia="en-GB"/>
        </w:rPr>
        <w:t xml:space="preserve">, C., Price, R., &amp; Nduku, L. (2025). A systematic review of remote sensing technologies and techniques for agricultural insect pest monitoring: Lessons for </w:t>
      </w:r>
      <w:proofErr w:type="spellStart"/>
      <w:r w:rsidRPr="00A13324">
        <w:rPr>
          <w:rFonts w:ascii="Times New Roman" w:eastAsia="Times New Roman" w:hAnsi="Times New Roman" w:cs="Times New Roman"/>
          <w:i/>
          <w:iCs/>
          <w:sz w:val="24"/>
          <w:szCs w:val="24"/>
          <w:lang w:eastAsia="en-GB"/>
        </w:rPr>
        <w:t>Locustana</w:t>
      </w:r>
      <w:proofErr w:type="spellEnd"/>
      <w:r w:rsidRPr="00A13324">
        <w:rPr>
          <w:rFonts w:ascii="Times New Roman" w:eastAsia="Times New Roman" w:hAnsi="Times New Roman" w:cs="Times New Roman"/>
          <w:i/>
          <w:iCs/>
          <w:sz w:val="24"/>
          <w:szCs w:val="24"/>
          <w:lang w:eastAsia="en-GB"/>
        </w:rPr>
        <w:t xml:space="preserve"> </w:t>
      </w:r>
      <w:proofErr w:type="spellStart"/>
      <w:r w:rsidRPr="00A13324">
        <w:rPr>
          <w:rFonts w:ascii="Times New Roman" w:eastAsia="Times New Roman" w:hAnsi="Times New Roman" w:cs="Times New Roman"/>
          <w:i/>
          <w:iCs/>
          <w:sz w:val="24"/>
          <w:szCs w:val="24"/>
          <w:lang w:eastAsia="en-GB"/>
        </w:rPr>
        <w:t>pardalina</w:t>
      </w:r>
      <w:proofErr w:type="spellEnd"/>
      <w:r w:rsidRPr="00A13324">
        <w:rPr>
          <w:rFonts w:ascii="Times New Roman" w:eastAsia="Times New Roman" w:hAnsi="Times New Roman" w:cs="Times New Roman"/>
          <w:sz w:val="24"/>
          <w:szCs w:val="24"/>
          <w:lang w:eastAsia="en-GB"/>
        </w:rPr>
        <w:t xml:space="preserve"> (brown locust) control in South Africa. </w:t>
      </w:r>
      <w:r w:rsidRPr="00A13324">
        <w:rPr>
          <w:rFonts w:ascii="Times New Roman" w:eastAsia="Times New Roman" w:hAnsi="Times New Roman" w:cs="Times New Roman"/>
          <w:i/>
          <w:iCs/>
          <w:sz w:val="24"/>
          <w:szCs w:val="24"/>
          <w:lang w:eastAsia="en-GB"/>
        </w:rPr>
        <w:t>Frontiers in Remote Sensing, 6</w:t>
      </w:r>
      <w:r w:rsidRPr="00A13324">
        <w:rPr>
          <w:rFonts w:ascii="Times New Roman" w:eastAsia="Times New Roman" w:hAnsi="Times New Roman" w:cs="Times New Roman"/>
          <w:sz w:val="24"/>
          <w:szCs w:val="24"/>
          <w:lang w:eastAsia="en-GB"/>
        </w:rPr>
        <w:t xml:space="preserve">, 1571149. </w:t>
      </w:r>
      <w:r w:rsidRPr="00A13324">
        <w:rPr>
          <w:rFonts w:ascii="Times New Roman" w:eastAsia="Times New Roman" w:hAnsi="Times New Roman" w:cs="Times New Roman"/>
          <w:color w:val="0000FF"/>
          <w:sz w:val="24"/>
          <w:szCs w:val="24"/>
          <w:u w:val="single"/>
          <w:lang w:eastAsia="en-GB"/>
        </w:rPr>
        <w:t>https://doi.org/10.3389/frsen.2025.1571149</w:t>
      </w:r>
    </w:p>
    <w:p w14:paraId="184222C2"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 xml:space="preserve">Mrisho, L. M., </w:t>
      </w:r>
      <w:proofErr w:type="spellStart"/>
      <w:r w:rsidRPr="00A13324">
        <w:rPr>
          <w:rFonts w:ascii="Times New Roman" w:eastAsia="Times New Roman" w:hAnsi="Times New Roman" w:cs="Times New Roman"/>
          <w:sz w:val="24"/>
          <w:szCs w:val="24"/>
          <w:lang w:eastAsia="en-GB"/>
        </w:rPr>
        <w:t>Mbilinyi</w:t>
      </w:r>
      <w:proofErr w:type="spellEnd"/>
      <w:r w:rsidRPr="00A13324">
        <w:rPr>
          <w:rFonts w:ascii="Times New Roman" w:eastAsia="Times New Roman" w:hAnsi="Times New Roman" w:cs="Times New Roman"/>
          <w:sz w:val="24"/>
          <w:szCs w:val="24"/>
          <w:lang w:eastAsia="en-GB"/>
        </w:rPr>
        <w:t xml:space="preserve">, N. A., </w:t>
      </w:r>
      <w:proofErr w:type="spellStart"/>
      <w:r w:rsidRPr="00A13324">
        <w:rPr>
          <w:rFonts w:ascii="Times New Roman" w:eastAsia="Times New Roman" w:hAnsi="Times New Roman" w:cs="Times New Roman"/>
          <w:sz w:val="24"/>
          <w:szCs w:val="24"/>
          <w:lang w:eastAsia="en-GB"/>
        </w:rPr>
        <w:t>Ndalahwa</w:t>
      </w:r>
      <w:proofErr w:type="spellEnd"/>
      <w:r w:rsidRPr="00A13324">
        <w:rPr>
          <w:rFonts w:ascii="Times New Roman" w:eastAsia="Times New Roman" w:hAnsi="Times New Roman" w:cs="Times New Roman"/>
          <w:sz w:val="24"/>
          <w:szCs w:val="24"/>
          <w:lang w:eastAsia="en-GB"/>
        </w:rPr>
        <w:t xml:space="preserve">, M., Ramcharan, A. M., Kehs, A. K., McCloskey, P. C., Murithi, H., Hughes, D. P., &amp; Legg, J. P. (2020). Accuracy of a smartphone-based object detection model, </w:t>
      </w:r>
      <w:proofErr w:type="spellStart"/>
      <w:r w:rsidRPr="00A13324">
        <w:rPr>
          <w:rFonts w:ascii="Times New Roman" w:eastAsia="Times New Roman" w:hAnsi="Times New Roman" w:cs="Times New Roman"/>
          <w:sz w:val="24"/>
          <w:szCs w:val="24"/>
          <w:lang w:eastAsia="en-GB"/>
        </w:rPr>
        <w:t>PlantVillage</w:t>
      </w:r>
      <w:proofErr w:type="spellEnd"/>
      <w:r w:rsidRPr="00A13324">
        <w:rPr>
          <w:rFonts w:ascii="Times New Roman" w:eastAsia="Times New Roman" w:hAnsi="Times New Roman" w:cs="Times New Roman"/>
          <w:sz w:val="24"/>
          <w:szCs w:val="24"/>
          <w:lang w:eastAsia="en-GB"/>
        </w:rPr>
        <w:t xml:space="preserve"> Nuru, in identifying the foliar symptoms of the viral diseases of cassava–CMD and CBSD. </w:t>
      </w:r>
      <w:r w:rsidRPr="00A13324">
        <w:rPr>
          <w:rFonts w:ascii="Times New Roman" w:eastAsia="Times New Roman" w:hAnsi="Times New Roman" w:cs="Times New Roman"/>
          <w:i/>
          <w:iCs/>
          <w:sz w:val="24"/>
          <w:szCs w:val="24"/>
          <w:lang w:eastAsia="en-GB"/>
        </w:rPr>
        <w:t>Frontiers in Plant Science, 11</w:t>
      </w:r>
      <w:r w:rsidRPr="00A13324">
        <w:rPr>
          <w:rFonts w:ascii="Times New Roman" w:eastAsia="Times New Roman" w:hAnsi="Times New Roman" w:cs="Times New Roman"/>
          <w:sz w:val="24"/>
          <w:szCs w:val="24"/>
          <w:lang w:eastAsia="en-GB"/>
        </w:rPr>
        <w:t xml:space="preserve">, 590889. </w:t>
      </w:r>
      <w:r w:rsidRPr="00A13324">
        <w:rPr>
          <w:rFonts w:ascii="Times New Roman" w:eastAsia="Times New Roman" w:hAnsi="Times New Roman" w:cs="Times New Roman"/>
          <w:color w:val="0000FF"/>
          <w:sz w:val="24"/>
          <w:szCs w:val="24"/>
          <w:u w:val="single"/>
          <w:lang w:eastAsia="en-GB"/>
        </w:rPr>
        <w:t>https://doi.org/10.3389/fpls.2020.590889</w:t>
      </w:r>
    </w:p>
    <w:p w14:paraId="3C3C3C47"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Ni, Q., Zuo, Y., Zhi, Z., Shi, Y., Liu, G., &amp; Ou, Q. (2024). Diagnosis of corn leaf diseases by FTIR spectroscopy combined with machine learning. </w:t>
      </w:r>
      <w:r w:rsidRPr="00A13324">
        <w:rPr>
          <w:rFonts w:ascii="Times New Roman" w:eastAsia="Times New Roman" w:hAnsi="Times New Roman" w:cs="Times New Roman"/>
          <w:i/>
          <w:iCs/>
          <w:sz w:val="24"/>
          <w:szCs w:val="24"/>
          <w:lang w:eastAsia="en-GB"/>
        </w:rPr>
        <w:t>Vibrational Spectroscopy, 135</w:t>
      </w:r>
      <w:r w:rsidRPr="00A13324">
        <w:rPr>
          <w:rFonts w:ascii="Times New Roman" w:eastAsia="Times New Roman" w:hAnsi="Times New Roman" w:cs="Times New Roman"/>
          <w:sz w:val="24"/>
          <w:szCs w:val="24"/>
          <w:lang w:eastAsia="en-GB"/>
        </w:rPr>
        <w:t xml:space="preserve">, 103744. </w:t>
      </w:r>
      <w:r w:rsidRPr="00A13324">
        <w:rPr>
          <w:rFonts w:ascii="Times New Roman" w:eastAsia="Times New Roman" w:hAnsi="Times New Roman" w:cs="Times New Roman"/>
          <w:color w:val="0000FF"/>
          <w:sz w:val="24"/>
          <w:szCs w:val="24"/>
          <w:u w:val="single"/>
          <w:lang w:eastAsia="en-GB"/>
        </w:rPr>
        <w:t>https://doi.org/10.1016/j.vibspec.2024.103744</w:t>
      </w:r>
    </w:p>
    <w:p w14:paraId="6DE1346D"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Pacal, I., </w:t>
      </w:r>
      <w:proofErr w:type="spellStart"/>
      <w:r w:rsidRPr="00A13324">
        <w:rPr>
          <w:rFonts w:ascii="Times New Roman" w:eastAsia="Times New Roman" w:hAnsi="Times New Roman" w:cs="Times New Roman"/>
          <w:sz w:val="24"/>
          <w:szCs w:val="24"/>
          <w:lang w:eastAsia="en-GB"/>
        </w:rPr>
        <w:t>Kunduracioglu</w:t>
      </w:r>
      <w:proofErr w:type="spellEnd"/>
      <w:r w:rsidRPr="00A13324">
        <w:rPr>
          <w:rFonts w:ascii="Times New Roman" w:eastAsia="Times New Roman" w:hAnsi="Times New Roman" w:cs="Times New Roman"/>
          <w:sz w:val="24"/>
          <w:szCs w:val="24"/>
          <w:lang w:eastAsia="en-GB"/>
        </w:rPr>
        <w:t xml:space="preserve">, I., Alma, M. H., Deveci, M., Kadry, S., Nedoma, J., Slany, V., &amp; Martinek, R. (2024). A systematic review of deep learning techniques for plant diseases. </w:t>
      </w:r>
      <w:r w:rsidRPr="00A13324">
        <w:rPr>
          <w:rFonts w:ascii="Times New Roman" w:eastAsia="Times New Roman" w:hAnsi="Times New Roman" w:cs="Times New Roman"/>
          <w:i/>
          <w:iCs/>
          <w:sz w:val="24"/>
          <w:szCs w:val="24"/>
          <w:lang w:eastAsia="en-GB"/>
        </w:rPr>
        <w:t>Artificial Intelligence Review, 57</w:t>
      </w:r>
      <w:r w:rsidRPr="00A13324">
        <w:rPr>
          <w:rFonts w:ascii="Times New Roman" w:eastAsia="Times New Roman" w:hAnsi="Times New Roman" w:cs="Times New Roman"/>
          <w:sz w:val="24"/>
          <w:szCs w:val="24"/>
          <w:lang w:eastAsia="en-GB"/>
        </w:rPr>
        <w:t xml:space="preserve">, Article 304. </w:t>
      </w:r>
      <w:r w:rsidRPr="00A13324">
        <w:rPr>
          <w:rFonts w:ascii="Times New Roman" w:eastAsia="Times New Roman" w:hAnsi="Times New Roman" w:cs="Times New Roman"/>
          <w:color w:val="0000FF"/>
          <w:sz w:val="24"/>
          <w:szCs w:val="24"/>
          <w:u w:val="single"/>
          <w:lang w:eastAsia="en-GB"/>
        </w:rPr>
        <w:t>https://doi.org/10.1007/s10462-024-10944-7</w:t>
      </w:r>
    </w:p>
    <w:p w14:paraId="73A5221F"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Pydipati</w:t>
      </w:r>
      <w:proofErr w:type="spellEnd"/>
      <w:r w:rsidRPr="00A13324">
        <w:rPr>
          <w:rFonts w:ascii="Times New Roman" w:eastAsia="Times New Roman" w:hAnsi="Times New Roman" w:cs="Times New Roman"/>
          <w:sz w:val="24"/>
          <w:szCs w:val="24"/>
          <w:lang w:eastAsia="en-GB"/>
        </w:rPr>
        <w:t xml:space="preserve">, R., Burks, T. F., &amp; Lee, W. S. (2006). Identification of citrus disease using </w:t>
      </w:r>
      <w:proofErr w:type="spellStart"/>
      <w:r w:rsidRPr="00A13324">
        <w:rPr>
          <w:rFonts w:ascii="Times New Roman" w:eastAsia="Times New Roman" w:hAnsi="Times New Roman" w:cs="Times New Roman"/>
          <w:sz w:val="24"/>
          <w:szCs w:val="24"/>
          <w:lang w:eastAsia="en-GB"/>
        </w:rPr>
        <w:t>color</w:t>
      </w:r>
      <w:proofErr w:type="spellEnd"/>
      <w:r w:rsidRPr="00A13324">
        <w:rPr>
          <w:rFonts w:ascii="Times New Roman" w:eastAsia="Times New Roman" w:hAnsi="Times New Roman" w:cs="Times New Roman"/>
          <w:sz w:val="24"/>
          <w:szCs w:val="24"/>
          <w:lang w:eastAsia="en-GB"/>
        </w:rPr>
        <w:t xml:space="preserve"> texture features and discriminant analysis. </w:t>
      </w:r>
      <w:r w:rsidRPr="00A13324">
        <w:rPr>
          <w:rFonts w:ascii="Times New Roman" w:eastAsia="Times New Roman" w:hAnsi="Times New Roman" w:cs="Times New Roman"/>
          <w:i/>
          <w:iCs/>
          <w:sz w:val="24"/>
          <w:szCs w:val="24"/>
          <w:lang w:eastAsia="en-GB"/>
        </w:rPr>
        <w:t>Computers and Electronics in Agriculture, 52</w:t>
      </w:r>
      <w:r w:rsidRPr="00A13324">
        <w:rPr>
          <w:rFonts w:ascii="Times New Roman" w:eastAsia="Times New Roman" w:hAnsi="Times New Roman" w:cs="Times New Roman"/>
          <w:sz w:val="24"/>
          <w:szCs w:val="24"/>
          <w:lang w:eastAsia="en-GB"/>
        </w:rPr>
        <w:t xml:space="preserve">(1–2), 49–59. </w:t>
      </w:r>
      <w:r w:rsidRPr="00A13324">
        <w:rPr>
          <w:rFonts w:ascii="Times New Roman" w:eastAsia="Times New Roman" w:hAnsi="Times New Roman" w:cs="Times New Roman"/>
          <w:color w:val="0000FF"/>
          <w:sz w:val="24"/>
          <w:szCs w:val="24"/>
          <w:u w:val="single"/>
          <w:lang w:eastAsia="en-GB"/>
        </w:rPr>
        <w:t>https://doi.org/10.1016/j.compag.2006.01.004</w:t>
      </w:r>
    </w:p>
    <w:p w14:paraId="211AE817"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Rashid, R., Aslam, W., Aziz, R., &amp; </w:t>
      </w:r>
      <w:proofErr w:type="spellStart"/>
      <w:r w:rsidRPr="00A13324">
        <w:rPr>
          <w:rFonts w:ascii="Times New Roman" w:eastAsia="Times New Roman" w:hAnsi="Times New Roman" w:cs="Times New Roman"/>
          <w:sz w:val="24"/>
          <w:szCs w:val="24"/>
          <w:lang w:eastAsia="en-GB"/>
        </w:rPr>
        <w:t>Aldehim</w:t>
      </w:r>
      <w:proofErr w:type="spellEnd"/>
      <w:r w:rsidRPr="00A13324">
        <w:rPr>
          <w:rFonts w:ascii="Times New Roman" w:eastAsia="Times New Roman" w:hAnsi="Times New Roman" w:cs="Times New Roman"/>
          <w:sz w:val="24"/>
          <w:szCs w:val="24"/>
          <w:lang w:eastAsia="en-GB"/>
        </w:rPr>
        <w:t xml:space="preserve">, G. (2024). An early and smart detection of corn plant leaf diseases using IoT and deep learning multi-models. </w:t>
      </w:r>
      <w:r w:rsidRPr="00A13324">
        <w:rPr>
          <w:rFonts w:ascii="Times New Roman" w:eastAsia="Times New Roman" w:hAnsi="Times New Roman" w:cs="Times New Roman"/>
          <w:i/>
          <w:iCs/>
          <w:sz w:val="24"/>
          <w:szCs w:val="24"/>
          <w:lang w:eastAsia="en-GB"/>
        </w:rPr>
        <w:t>IEEE Access, 12</w:t>
      </w:r>
      <w:r w:rsidRPr="00A13324">
        <w:rPr>
          <w:rFonts w:ascii="Times New Roman" w:eastAsia="Times New Roman" w:hAnsi="Times New Roman" w:cs="Times New Roman"/>
          <w:sz w:val="24"/>
          <w:szCs w:val="24"/>
          <w:lang w:eastAsia="en-GB"/>
        </w:rPr>
        <w:t xml:space="preserve">, 23149–23162. </w:t>
      </w:r>
      <w:r w:rsidRPr="00A13324">
        <w:rPr>
          <w:rFonts w:ascii="Times New Roman" w:eastAsia="Times New Roman" w:hAnsi="Times New Roman" w:cs="Times New Roman"/>
          <w:color w:val="0000FF"/>
          <w:sz w:val="24"/>
          <w:szCs w:val="24"/>
          <w:u w:val="single"/>
          <w:lang w:eastAsia="en-GB"/>
        </w:rPr>
        <w:t>https://doi.org/10.1109/ACCESS.2024.3357099</w:t>
      </w:r>
    </w:p>
    <w:p w14:paraId="20467254"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Shoaib, M., Shah, B., El-</w:t>
      </w:r>
      <w:proofErr w:type="spellStart"/>
      <w:r w:rsidRPr="00A13324">
        <w:rPr>
          <w:rFonts w:ascii="Times New Roman" w:eastAsia="Times New Roman" w:hAnsi="Times New Roman" w:cs="Times New Roman"/>
          <w:sz w:val="24"/>
          <w:szCs w:val="24"/>
          <w:lang w:eastAsia="en-GB"/>
        </w:rPr>
        <w:t>Sappagh</w:t>
      </w:r>
      <w:proofErr w:type="spellEnd"/>
      <w:r w:rsidRPr="00A13324">
        <w:rPr>
          <w:rFonts w:ascii="Times New Roman" w:eastAsia="Times New Roman" w:hAnsi="Times New Roman" w:cs="Times New Roman"/>
          <w:sz w:val="24"/>
          <w:szCs w:val="24"/>
          <w:lang w:eastAsia="en-GB"/>
        </w:rPr>
        <w:t xml:space="preserve">, S., Ali, A., Ullah, A., </w:t>
      </w:r>
      <w:proofErr w:type="spellStart"/>
      <w:r w:rsidRPr="00A13324">
        <w:rPr>
          <w:rFonts w:ascii="Times New Roman" w:eastAsia="Times New Roman" w:hAnsi="Times New Roman" w:cs="Times New Roman"/>
          <w:sz w:val="24"/>
          <w:szCs w:val="24"/>
          <w:lang w:eastAsia="en-GB"/>
        </w:rPr>
        <w:t>Alenezi</w:t>
      </w:r>
      <w:proofErr w:type="spellEnd"/>
      <w:r w:rsidRPr="00A13324">
        <w:rPr>
          <w:rFonts w:ascii="Times New Roman" w:eastAsia="Times New Roman" w:hAnsi="Times New Roman" w:cs="Times New Roman"/>
          <w:sz w:val="24"/>
          <w:szCs w:val="24"/>
          <w:lang w:eastAsia="en-GB"/>
        </w:rPr>
        <w:t xml:space="preserve">, F., Gechev, T., Hussain, T., &amp; Ali, F. (2023). An advanced deep learning models-based plant disease detection: A review of recent research. </w:t>
      </w:r>
      <w:r w:rsidRPr="00A13324">
        <w:rPr>
          <w:rFonts w:ascii="Times New Roman" w:eastAsia="Times New Roman" w:hAnsi="Times New Roman" w:cs="Times New Roman"/>
          <w:i/>
          <w:iCs/>
          <w:sz w:val="24"/>
          <w:szCs w:val="24"/>
          <w:lang w:eastAsia="en-GB"/>
        </w:rPr>
        <w:t>Frontiers in Plant Science, 14</w:t>
      </w:r>
      <w:r w:rsidRPr="00A13324">
        <w:rPr>
          <w:rFonts w:ascii="Times New Roman" w:eastAsia="Times New Roman" w:hAnsi="Times New Roman" w:cs="Times New Roman"/>
          <w:sz w:val="24"/>
          <w:szCs w:val="24"/>
          <w:lang w:eastAsia="en-GB"/>
        </w:rPr>
        <w:t xml:space="preserve">, 1158933. </w:t>
      </w:r>
      <w:r w:rsidRPr="00A13324">
        <w:rPr>
          <w:rFonts w:ascii="Times New Roman" w:eastAsia="Times New Roman" w:hAnsi="Times New Roman" w:cs="Times New Roman"/>
          <w:color w:val="0000FF"/>
          <w:sz w:val="24"/>
          <w:szCs w:val="24"/>
          <w:u w:val="single"/>
          <w:lang w:eastAsia="en-GB"/>
        </w:rPr>
        <w:t>https://doi.org/10.3389/fpls.2023.1158933</w:t>
      </w:r>
    </w:p>
    <w:p w14:paraId="499CCE4A"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Soussi, A., Zero, E., </w:t>
      </w:r>
      <w:proofErr w:type="spellStart"/>
      <w:r w:rsidRPr="00A13324">
        <w:rPr>
          <w:rFonts w:ascii="Times New Roman" w:eastAsia="Times New Roman" w:hAnsi="Times New Roman" w:cs="Times New Roman"/>
          <w:sz w:val="24"/>
          <w:szCs w:val="24"/>
          <w:lang w:eastAsia="en-GB"/>
        </w:rPr>
        <w:t>Sacile</w:t>
      </w:r>
      <w:proofErr w:type="spellEnd"/>
      <w:r w:rsidRPr="00A13324">
        <w:rPr>
          <w:rFonts w:ascii="Times New Roman" w:eastAsia="Times New Roman" w:hAnsi="Times New Roman" w:cs="Times New Roman"/>
          <w:sz w:val="24"/>
          <w:szCs w:val="24"/>
          <w:lang w:eastAsia="en-GB"/>
        </w:rPr>
        <w:t xml:space="preserve">, R., </w:t>
      </w:r>
      <w:proofErr w:type="spellStart"/>
      <w:r w:rsidRPr="00A13324">
        <w:rPr>
          <w:rFonts w:ascii="Times New Roman" w:eastAsia="Times New Roman" w:hAnsi="Times New Roman" w:cs="Times New Roman"/>
          <w:sz w:val="24"/>
          <w:szCs w:val="24"/>
          <w:lang w:eastAsia="en-GB"/>
        </w:rPr>
        <w:t>Trinchero</w:t>
      </w:r>
      <w:proofErr w:type="spellEnd"/>
      <w:r w:rsidRPr="00A13324">
        <w:rPr>
          <w:rFonts w:ascii="Times New Roman" w:eastAsia="Times New Roman" w:hAnsi="Times New Roman" w:cs="Times New Roman"/>
          <w:sz w:val="24"/>
          <w:szCs w:val="24"/>
          <w:lang w:eastAsia="en-GB"/>
        </w:rPr>
        <w:t xml:space="preserve">, D., &amp; Fossa, M. (2024). Smart sensors and smart data for precision agriculture: A review. </w:t>
      </w:r>
      <w:r w:rsidRPr="00A13324">
        <w:rPr>
          <w:rFonts w:ascii="Times New Roman" w:eastAsia="Times New Roman" w:hAnsi="Times New Roman" w:cs="Times New Roman"/>
          <w:i/>
          <w:iCs/>
          <w:sz w:val="24"/>
          <w:szCs w:val="24"/>
          <w:lang w:eastAsia="en-GB"/>
        </w:rPr>
        <w:t>Sensors, 24</w:t>
      </w:r>
      <w:r w:rsidRPr="00A13324">
        <w:rPr>
          <w:rFonts w:ascii="Times New Roman" w:eastAsia="Times New Roman" w:hAnsi="Times New Roman" w:cs="Times New Roman"/>
          <w:sz w:val="24"/>
          <w:szCs w:val="24"/>
          <w:lang w:eastAsia="en-GB"/>
        </w:rPr>
        <w:t xml:space="preserve">(8), 2647. </w:t>
      </w:r>
      <w:r w:rsidRPr="00A13324">
        <w:rPr>
          <w:rFonts w:ascii="Times New Roman" w:eastAsia="Times New Roman" w:hAnsi="Times New Roman" w:cs="Times New Roman"/>
          <w:color w:val="0000FF"/>
          <w:sz w:val="24"/>
          <w:szCs w:val="24"/>
          <w:u w:val="single"/>
          <w:lang w:eastAsia="en-GB"/>
        </w:rPr>
        <w:t>https://doi.org/10.3390/s24082647</w:t>
      </w:r>
    </w:p>
    <w:p w14:paraId="1FA2DB8E"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Tariq, M., Ali, U., Abbas, S., Hassan, S., Naqvi, R. A., Khan, M. A., &amp; Jeong, D. (2024). Corn leaf disease: Insightful diagnosis using VGG16 empowered by explainable AI. </w:t>
      </w:r>
      <w:r w:rsidRPr="00A13324">
        <w:rPr>
          <w:rFonts w:ascii="Times New Roman" w:eastAsia="Times New Roman" w:hAnsi="Times New Roman" w:cs="Times New Roman"/>
          <w:i/>
          <w:iCs/>
          <w:sz w:val="24"/>
          <w:szCs w:val="24"/>
          <w:lang w:eastAsia="en-GB"/>
        </w:rPr>
        <w:t>Frontiers in Plant Science, 15</w:t>
      </w:r>
      <w:r w:rsidRPr="00A13324">
        <w:rPr>
          <w:rFonts w:ascii="Times New Roman" w:eastAsia="Times New Roman" w:hAnsi="Times New Roman" w:cs="Times New Roman"/>
          <w:sz w:val="24"/>
          <w:szCs w:val="24"/>
          <w:lang w:eastAsia="en-GB"/>
        </w:rPr>
        <w:t xml:space="preserve">, 1402835. </w:t>
      </w:r>
      <w:r w:rsidRPr="00A13324">
        <w:rPr>
          <w:rFonts w:ascii="Times New Roman" w:eastAsia="Times New Roman" w:hAnsi="Times New Roman" w:cs="Times New Roman"/>
          <w:color w:val="0000FF"/>
          <w:sz w:val="24"/>
          <w:szCs w:val="24"/>
          <w:u w:val="single"/>
          <w:lang w:eastAsia="en-GB"/>
        </w:rPr>
        <w:t>https://doi.org/10.3389/fpls.2024.1402835</w:t>
      </w:r>
    </w:p>
    <w:p w14:paraId="45CD94ED"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Wang, X., &amp; Cao, W. (2023). GACN: Generative adversarial classified network for balancing plant disease dataset and plant disease recognition. </w:t>
      </w:r>
      <w:r w:rsidRPr="00A13324">
        <w:rPr>
          <w:rFonts w:ascii="Times New Roman" w:eastAsia="Times New Roman" w:hAnsi="Times New Roman" w:cs="Times New Roman"/>
          <w:i/>
          <w:iCs/>
          <w:sz w:val="24"/>
          <w:szCs w:val="24"/>
          <w:lang w:eastAsia="en-GB"/>
        </w:rPr>
        <w:t>Sensors, 23</w:t>
      </w:r>
      <w:r w:rsidRPr="00A13324">
        <w:rPr>
          <w:rFonts w:ascii="Times New Roman" w:eastAsia="Times New Roman" w:hAnsi="Times New Roman" w:cs="Times New Roman"/>
          <w:sz w:val="24"/>
          <w:szCs w:val="24"/>
          <w:lang w:eastAsia="en-GB"/>
        </w:rPr>
        <w:t xml:space="preserve">(15), 6844. </w:t>
      </w:r>
      <w:r w:rsidRPr="00A13324">
        <w:rPr>
          <w:rFonts w:ascii="Times New Roman" w:eastAsia="Times New Roman" w:hAnsi="Times New Roman" w:cs="Times New Roman"/>
          <w:color w:val="0000FF"/>
          <w:sz w:val="24"/>
          <w:szCs w:val="24"/>
          <w:u w:val="single"/>
          <w:lang w:eastAsia="en-GB"/>
        </w:rPr>
        <w:t>https://doi.org/10.3390/s23156844</w:t>
      </w:r>
    </w:p>
    <w:p w14:paraId="7AD726BB"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Yamada, M., Thiesen, L. V., </w:t>
      </w:r>
      <w:proofErr w:type="spellStart"/>
      <w:r w:rsidRPr="00A13324">
        <w:rPr>
          <w:rFonts w:ascii="Times New Roman" w:eastAsia="Times New Roman" w:hAnsi="Times New Roman" w:cs="Times New Roman"/>
          <w:sz w:val="24"/>
          <w:szCs w:val="24"/>
          <w:lang w:eastAsia="en-GB"/>
        </w:rPr>
        <w:t>Iost</w:t>
      </w:r>
      <w:proofErr w:type="spellEnd"/>
      <w:r w:rsidRPr="00A13324">
        <w:rPr>
          <w:rFonts w:ascii="Times New Roman" w:eastAsia="Times New Roman" w:hAnsi="Times New Roman" w:cs="Times New Roman"/>
          <w:sz w:val="24"/>
          <w:szCs w:val="24"/>
          <w:lang w:eastAsia="en-GB"/>
        </w:rPr>
        <w:t xml:space="preserve"> Filho, F. H., &amp; Yamamoto, P. T. (2024). Hyperspectral imaging and machine learning: A promising tool for the early detection of </w:t>
      </w:r>
      <w:proofErr w:type="spellStart"/>
      <w:r w:rsidRPr="00A13324">
        <w:rPr>
          <w:rFonts w:ascii="Times New Roman" w:eastAsia="Times New Roman" w:hAnsi="Times New Roman" w:cs="Times New Roman"/>
          <w:i/>
          <w:iCs/>
          <w:sz w:val="24"/>
          <w:szCs w:val="24"/>
          <w:lang w:eastAsia="en-GB"/>
        </w:rPr>
        <w:t>Tetranychus</w:t>
      </w:r>
      <w:proofErr w:type="spellEnd"/>
      <w:r w:rsidRPr="00A13324">
        <w:rPr>
          <w:rFonts w:ascii="Times New Roman" w:eastAsia="Times New Roman" w:hAnsi="Times New Roman" w:cs="Times New Roman"/>
          <w:i/>
          <w:iCs/>
          <w:sz w:val="24"/>
          <w:szCs w:val="24"/>
          <w:lang w:eastAsia="en-GB"/>
        </w:rPr>
        <w:t xml:space="preserve"> </w:t>
      </w:r>
      <w:proofErr w:type="spellStart"/>
      <w:r w:rsidRPr="00A13324">
        <w:rPr>
          <w:rFonts w:ascii="Times New Roman" w:eastAsia="Times New Roman" w:hAnsi="Times New Roman" w:cs="Times New Roman"/>
          <w:i/>
          <w:iCs/>
          <w:sz w:val="24"/>
          <w:szCs w:val="24"/>
          <w:lang w:eastAsia="en-GB"/>
        </w:rPr>
        <w:t>urticae</w:t>
      </w:r>
      <w:proofErr w:type="spellEnd"/>
      <w:r w:rsidRPr="00A13324">
        <w:rPr>
          <w:rFonts w:ascii="Times New Roman" w:eastAsia="Times New Roman" w:hAnsi="Times New Roman" w:cs="Times New Roman"/>
          <w:sz w:val="24"/>
          <w:szCs w:val="24"/>
          <w:lang w:eastAsia="en-GB"/>
        </w:rPr>
        <w:t xml:space="preserve"> Koch infestation in cotton. </w:t>
      </w:r>
      <w:r w:rsidRPr="00A13324">
        <w:rPr>
          <w:rFonts w:ascii="Times New Roman" w:eastAsia="Times New Roman" w:hAnsi="Times New Roman" w:cs="Times New Roman"/>
          <w:i/>
          <w:iCs/>
          <w:sz w:val="24"/>
          <w:szCs w:val="24"/>
          <w:lang w:eastAsia="en-GB"/>
        </w:rPr>
        <w:t>Agriculture, 14</w:t>
      </w:r>
      <w:r w:rsidRPr="00A13324">
        <w:rPr>
          <w:rFonts w:ascii="Times New Roman" w:eastAsia="Times New Roman" w:hAnsi="Times New Roman" w:cs="Times New Roman"/>
          <w:sz w:val="24"/>
          <w:szCs w:val="24"/>
          <w:lang w:eastAsia="en-GB"/>
        </w:rPr>
        <w:t xml:space="preserve">(9), 1573. </w:t>
      </w:r>
      <w:r w:rsidRPr="00A13324">
        <w:rPr>
          <w:rFonts w:ascii="Times New Roman" w:eastAsia="Times New Roman" w:hAnsi="Times New Roman" w:cs="Times New Roman"/>
          <w:color w:val="0000FF"/>
          <w:sz w:val="24"/>
          <w:szCs w:val="24"/>
          <w:u w:val="single"/>
          <w:lang w:eastAsia="en-GB"/>
        </w:rPr>
        <w:t>https://doi.org/10.3390/agriculture14091573</w:t>
      </w:r>
    </w:p>
    <w:p w14:paraId="2AF5BD96" w14:textId="77777777" w:rsidR="00A13324" w:rsidRPr="00A13324" w:rsidRDefault="00A13324" w:rsidP="00A13324">
      <w:pPr>
        <w:spacing w:before="100" w:beforeAutospacing="1" w:after="100" w:afterAutospacing="1" w:line="240" w:lineRule="auto"/>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Yang, S., Xing, Z., Wang, H., Dong, X., Gao, X., Liu, Z., Zhang, X., Li, S., &amp; Zhao, Y. (2023). Maize-YOLO: A new high-precision and real-time method for maize pest detection. </w:t>
      </w:r>
      <w:r w:rsidRPr="00A13324">
        <w:rPr>
          <w:rFonts w:ascii="Times New Roman" w:eastAsia="Times New Roman" w:hAnsi="Times New Roman" w:cs="Times New Roman"/>
          <w:i/>
          <w:iCs/>
          <w:sz w:val="24"/>
          <w:szCs w:val="24"/>
          <w:lang w:eastAsia="en-GB"/>
        </w:rPr>
        <w:t>Insects, 14</w:t>
      </w:r>
      <w:r w:rsidRPr="00A13324">
        <w:rPr>
          <w:rFonts w:ascii="Times New Roman" w:eastAsia="Times New Roman" w:hAnsi="Times New Roman" w:cs="Times New Roman"/>
          <w:sz w:val="24"/>
          <w:szCs w:val="24"/>
          <w:lang w:eastAsia="en-GB"/>
        </w:rPr>
        <w:t xml:space="preserve">(3), 278. </w:t>
      </w:r>
      <w:r w:rsidRPr="00A13324">
        <w:rPr>
          <w:rFonts w:ascii="Times New Roman" w:eastAsia="Times New Roman" w:hAnsi="Times New Roman" w:cs="Times New Roman"/>
          <w:color w:val="0000FF"/>
          <w:sz w:val="24"/>
          <w:szCs w:val="24"/>
          <w:u w:val="single"/>
          <w:lang w:eastAsia="en-GB"/>
        </w:rPr>
        <w:t>https://doi.org/10.3390/insects14030278</w:t>
      </w:r>
    </w:p>
    <w:p w14:paraId="3076DB77"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FED9F" w14:textId="77777777" w:rsidR="001A4C56" w:rsidRDefault="001A4C56" w:rsidP="00B64EEF">
      <w:pPr>
        <w:spacing w:after="0" w:line="240" w:lineRule="auto"/>
      </w:pPr>
      <w:r>
        <w:separator/>
      </w:r>
    </w:p>
  </w:endnote>
  <w:endnote w:type="continuationSeparator" w:id="0">
    <w:p w14:paraId="026ED39F" w14:textId="77777777" w:rsidR="001A4C56" w:rsidRDefault="001A4C56" w:rsidP="00B6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1ADA" w14:textId="77777777" w:rsidR="00B64EEF" w:rsidRDefault="00B64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D850" w14:textId="77777777" w:rsidR="00B64EEF" w:rsidRDefault="00B64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DF6C" w14:textId="77777777" w:rsidR="00B64EEF" w:rsidRDefault="00B64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ABC4" w14:textId="77777777" w:rsidR="001A4C56" w:rsidRDefault="001A4C56" w:rsidP="00B64EEF">
      <w:pPr>
        <w:spacing w:after="0" w:line="240" w:lineRule="auto"/>
      </w:pPr>
      <w:r>
        <w:separator/>
      </w:r>
    </w:p>
  </w:footnote>
  <w:footnote w:type="continuationSeparator" w:id="0">
    <w:p w14:paraId="51F659F1" w14:textId="77777777" w:rsidR="001A4C56" w:rsidRDefault="001A4C56" w:rsidP="00B6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7421" w14:textId="58AEB40B" w:rsidR="00B64EEF" w:rsidRDefault="00B64EEF">
    <w:pPr>
      <w:pStyle w:val="Header"/>
    </w:pPr>
    <w:r>
      <w:rPr>
        <w:noProof/>
      </w:rPr>
      <w:pict w14:anchorId="686DD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4631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DCA5" w14:textId="3C90412F" w:rsidR="00B64EEF" w:rsidRDefault="00B64EEF">
    <w:pPr>
      <w:pStyle w:val="Header"/>
    </w:pPr>
    <w:r>
      <w:rPr>
        <w:noProof/>
      </w:rPr>
      <w:pict w14:anchorId="2AA950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4631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71BB" w14:textId="6617AD79" w:rsidR="00B64EEF" w:rsidRDefault="00B64EEF">
    <w:pPr>
      <w:pStyle w:val="Header"/>
    </w:pPr>
    <w:r>
      <w:rPr>
        <w:noProof/>
      </w:rPr>
      <w:pict w14:anchorId="3F16BB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4631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3324"/>
    <w:rsid w:val="001A4C56"/>
    <w:rsid w:val="00345F3B"/>
    <w:rsid w:val="004841B3"/>
    <w:rsid w:val="004B695B"/>
    <w:rsid w:val="00727054"/>
    <w:rsid w:val="00824882"/>
    <w:rsid w:val="00A13324"/>
    <w:rsid w:val="00B30FFC"/>
    <w:rsid w:val="00B64EEF"/>
    <w:rsid w:val="00EF1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A114F"/>
  <w15:docId w15:val="{D4A3BD27-15DE-4CB8-ADCE-4707F74B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A1332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1332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A1332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A1332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1332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13324"/>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A133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13324"/>
    <w:rPr>
      <w:b/>
      <w:bCs/>
    </w:rPr>
  </w:style>
  <w:style w:type="character" w:styleId="Emphasis">
    <w:name w:val="Emphasis"/>
    <w:basedOn w:val="DefaultParagraphFont"/>
    <w:uiPriority w:val="20"/>
    <w:qFormat/>
    <w:rsid w:val="00A13324"/>
    <w:rPr>
      <w:i/>
      <w:iCs/>
    </w:rPr>
  </w:style>
  <w:style w:type="character" w:styleId="Hyperlink">
    <w:name w:val="Hyperlink"/>
    <w:basedOn w:val="DefaultParagraphFont"/>
    <w:uiPriority w:val="99"/>
    <w:semiHidden/>
    <w:unhideWhenUsed/>
    <w:rsid w:val="00A13324"/>
    <w:rPr>
      <w:color w:val="0000FF"/>
      <w:u w:val="single"/>
    </w:rPr>
  </w:style>
  <w:style w:type="table" w:styleId="LightList-Accent5">
    <w:name w:val="Light List Accent 5"/>
    <w:basedOn w:val="TableNormal"/>
    <w:uiPriority w:val="61"/>
    <w:rsid w:val="00A1332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B64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EEF"/>
  </w:style>
  <w:style w:type="paragraph" w:styleId="Footer">
    <w:name w:val="footer"/>
    <w:basedOn w:val="Normal"/>
    <w:link w:val="FooterChar"/>
    <w:uiPriority w:val="99"/>
    <w:unhideWhenUsed/>
    <w:rsid w:val="00B64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960125">
      <w:bodyDiv w:val="1"/>
      <w:marLeft w:val="0"/>
      <w:marRight w:val="0"/>
      <w:marTop w:val="0"/>
      <w:marBottom w:val="0"/>
      <w:divBdr>
        <w:top w:val="none" w:sz="0" w:space="0" w:color="auto"/>
        <w:left w:val="none" w:sz="0" w:space="0" w:color="auto"/>
        <w:bottom w:val="none" w:sz="0" w:space="0" w:color="auto"/>
        <w:right w:val="none" w:sz="0" w:space="0" w:color="auto"/>
      </w:divBdr>
      <w:divsChild>
        <w:div w:id="992685245">
          <w:marLeft w:val="0"/>
          <w:marRight w:val="0"/>
          <w:marTop w:val="0"/>
          <w:marBottom w:val="0"/>
          <w:divBdr>
            <w:top w:val="none" w:sz="0" w:space="0" w:color="auto"/>
            <w:left w:val="none" w:sz="0" w:space="0" w:color="auto"/>
            <w:bottom w:val="none" w:sz="0" w:space="0" w:color="auto"/>
            <w:right w:val="none" w:sz="0" w:space="0" w:color="auto"/>
          </w:divBdr>
        </w:div>
        <w:div w:id="1755543779">
          <w:marLeft w:val="0"/>
          <w:marRight w:val="0"/>
          <w:marTop w:val="0"/>
          <w:marBottom w:val="0"/>
          <w:divBdr>
            <w:top w:val="none" w:sz="0" w:space="0" w:color="auto"/>
            <w:left w:val="none" w:sz="0" w:space="0" w:color="auto"/>
            <w:bottom w:val="none" w:sz="0" w:space="0" w:color="auto"/>
            <w:right w:val="none" w:sz="0" w:space="0" w:color="auto"/>
          </w:divBdr>
        </w:div>
        <w:div w:id="1049766446">
          <w:marLeft w:val="0"/>
          <w:marRight w:val="0"/>
          <w:marTop w:val="0"/>
          <w:marBottom w:val="0"/>
          <w:divBdr>
            <w:top w:val="none" w:sz="0" w:space="0" w:color="auto"/>
            <w:left w:val="none" w:sz="0" w:space="0" w:color="auto"/>
            <w:bottom w:val="none" w:sz="0" w:space="0" w:color="auto"/>
            <w:right w:val="none" w:sz="0" w:space="0" w:color="auto"/>
          </w:divBdr>
        </w:div>
        <w:div w:id="1207453573">
          <w:marLeft w:val="0"/>
          <w:marRight w:val="0"/>
          <w:marTop w:val="0"/>
          <w:marBottom w:val="0"/>
          <w:divBdr>
            <w:top w:val="none" w:sz="0" w:space="0" w:color="auto"/>
            <w:left w:val="none" w:sz="0" w:space="0" w:color="auto"/>
            <w:bottom w:val="none" w:sz="0" w:space="0" w:color="auto"/>
            <w:right w:val="none" w:sz="0" w:space="0" w:color="auto"/>
          </w:divBdr>
        </w:div>
        <w:div w:id="1505438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9351</Words>
  <Characters>53303</Characters>
  <Application>Microsoft Office Word</Application>
  <DocSecurity>0</DocSecurity>
  <Lines>444</Lines>
  <Paragraphs>125</Paragraphs>
  <ScaleCrop>false</ScaleCrop>
  <Company>HP</Company>
  <LinksUpToDate>false</LinksUpToDate>
  <CharactersWithSpaces>62529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5</cp:revision>
  <dcterms:created xsi:type="dcterms:W3CDTF">2026-07-04T09:50:00Z</dcterms:created>
  <dcterms:modified xsi:type="dcterms:W3CDTF">2026-07-04T13:47:00Z</dcterms:modified>
</cp:coreProperties>
</file>