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6EE3" w14:textId="77777777" w:rsidR="00190DFF" w:rsidRPr="00190DFF" w:rsidRDefault="00190DFF" w:rsidP="00190DFF">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190DFF">
        <w:rPr>
          <w:rFonts w:ascii="Times New Roman" w:eastAsia="Times New Roman" w:hAnsi="Times New Roman" w:cs="Times New Roman"/>
          <w:b/>
          <w:bCs/>
          <w:i/>
          <w:iCs/>
          <w:sz w:val="36"/>
          <w:szCs w:val="36"/>
          <w:u w:val="single"/>
          <w:lang w:val="en-US" w:eastAsia="en-GB"/>
        </w:rPr>
        <w:t>Review Article</w:t>
      </w:r>
    </w:p>
    <w:p w14:paraId="65E9827F" w14:textId="77777777" w:rsidR="00B52D07" w:rsidRPr="00B52D07" w:rsidRDefault="00B52D07" w:rsidP="00B52D0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roofErr w:type="spellStart"/>
      <w:r w:rsidRPr="00B52D07">
        <w:rPr>
          <w:rFonts w:ascii="Times New Roman" w:eastAsia="Times New Roman" w:hAnsi="Times New Roman" w:cs="Times New Roman"/>
          <w:b/>
          <w:bCs/>
          <w:sz w:val="36"/>
          <w:szCs w:val="36"/>
          <w:lang w:eastAsia="en-GB"/>
        </w:rPr>
        <w:t>Microsponge</w:t>
      </w:r>
      <w:proofErr w:type="spellEnd"/>
      <w:r w:rsidRPr="00B52D07">
        <w:rPr>
          <w:rFonts w:ascii="Times New Roman" w:eastAsia="Times New Roman" w:hAnsi="Times New Roman" w:cs="Times New Roman"/>
          <w:b/>
          <w:bCs/>
          <w:sz w:val="36"/>
          <w:szCs w:val="36"/>
          <w:lang w:eastAsia="en-GB"/>
        </w:rPr>
        <w:t>-Based Drug Delivery Systems: Recent Developments and Therapeutic Applications</w:t>
      </w:r>
    </w:p>
    <w:p w14:paraId="4A403A8C"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Abstract</w:t>
      </w:r>
    </w:p>
    <w:p w14:paraId="1D12E2BB"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delivery systems occupy a distinctive niche among particulate drug carriers, combining a porous, highly cross-linked polymeric architecture with the capacity to entrap, protect and gradually liberate a wide range of therapeutic agents. Unlike liposomes or polymeric nanoparticles,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are mechanically robust, chemically inert across a broad pH range and amenable to incorporation into conventional dosage forms such as gels, creams, capsules and tablets. Over the past decade, the field has moved well beyond its original dermatological remit, extending into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xml:space="preserve"> and colon-targeted oral delivery, ocular therapeutics, and, through the closely related cyclodextrin-based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platform, oncology and antimicrobial applications. This review synthesises the contemporary literature on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design, preparation and evaluation, with particular attention to the physicochemical determinants of drug loading and release, the comparative merits of quasi-emulsion solvent diffusion and related fabrication techniques, and the clinical evidence supporting microencapsulated benzoyl peroxide and tretinoin formulations in acne management. The regulatory pathway for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-based products, the expanding role of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variants in cancer drug delivery, and emerging computational approaches to formulation optimisation are also examined. The review concludes that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technology has matured from a niche cosmetic tool into a versatile platform with demonstrable clinical benefit, while identifying scale-up reproducibility, standardised characterisation and long-term biocompatibility data as the principal barriers to broader translation.</w:t>
      </w:r>
    </w:p>
    <w:p w14:paraId="7890D98D"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b/>
          <w:bCs/>
          <w:sz w:val="24"/>
          <w:szCs w:val="24"/>
          <w:lang w:eastAsia="en-GB"/>
        </w:rPr>
        <w:t>Keywords:</w:t>
      </w:r>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controlled drug release; topical drug delivery; colon-targeted delivery; quasi-emulsion solvent diffusion</w:t>
      </w:r>
    </w:p>
    <w:p w14:paraId="67F6EA36"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1. Introduction</w:t>
      </w:r>
    </w:p>
    <w:p w14:paraId="0683FA5A"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Topical, oral and ocular pharmacotherapy has long been constrained by an uncomfortable trade-off. Conventional formulations such as creams, ointments and immediate-release tablets tend to deliver their active ingredient in a burst, producing peaks of local or systemic concentration that are frequently associated with irritation, first-pass metabolism or gastrointestinal intolerance, followed by troughs during which therapeutic benefit wanes (</w:t>
      </w:r>
      <w:proofErr w:type="spellStart"/>
      <w:r w:rsidRPr="00B52D07">
        <w:rPr>
          <w:rFonts w:ascii="Times New Roman" w:eastAsia="Times New Roman" w:hAnsi="Times New Roman" w:cs="Times New Roman"/>
          <w:sz w:val="24"/>
          <w:szCs w:val="24"/>
          <w:lang w:eastAsia="en-GB"/>
        </w:rPr>
        <w:t>Chadawar</w:t>
      </w:r>
      <w:proofErr w:type="spellEnd"/>
      <w:r w:rsidRPr="00B52D07">
        <w:rPr>
          <w:rFonts w:ascii="Times New Roman" w:eastAsia="Times New Roman" w:hAnsi="Times New Roman" w:cs="Times New Roman"/>
          <w:sz w:val="24"/>
          <w:szCs w:val="24"/>
          <w:lang w:eastAsia="en-GB"/>
        </w:rPr>
        <w:t xml:space="preserve"> &amp; Shaji, 2007). Skin in particular presents a formulation challenge of its own: the stratum corneum barrier, together with individual variation in hydration and lipid composition, means that the same topical vehicle can behave quite differently from one patient to the next, a problem that has driven sustained interest in carrier systems capable of moderating drug flux independently of the skin's own barrier properties (Zhao et al., 2024). Particulate carrier systems were developed in large part to soften this profile, and among them the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occupies a particular position because it achieves controlled release not through a lipid bilayer or a soluble matrix but through a rigid, sponge-like polymeric skeleton perforated by an interconnected network of pores.</w:t>
      </w:r>
    </w:p>
    <w:p w14:paraId="10281548"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lastRenderedPageBreak/>
        <w:t xml:space="preserve">A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is conventionally defined as a porous, non-collapsible, highly cross-linked polymeric microsphere with a diameter ranging from approximately 5 to 300 micrometres, within which a single particle may contain several thousand interconnecting voids that together confer an internal pore volume sufficient to entrap ten times its own weight of active substance (</w:t>
      </w:r>
      <w:proofErr w:type="spellStart"/>
      <w:r w:rsidRPr="00B52D07">
        <w:rPr>
          <w:rFonts w:ascii="Times New Roman" w:eastAsia="Times New Roman" w:hAnsi="Times New Roman" w:cs="Times New Roman"/>
          <w:sz w:val="24"/>
          <w:szCs w:val="24"/>
          <w:lang w:eastAsia="en-GB"/>
        </w:rPr>
        <w:t>Biharee</w:t>
      </w:r>
      <w:proofErr w:type="spellEnd"/>
      <w:r w:rsidRPr="00B52D07">
        <w:rPr>
          <w:rFonts w:ascii="Times New Roman" w:eastAsia="Times New Roman" w:hAnsi="Times New Roman" w:cs="Times New Roman"/>
          <w:sz w:val="24"/>
          <w:szCs w:val="24"/>
          <w:lang w:eastAsia="en-GB"/>
        </w:rPr>
        <w:t xml:space="preserve"> et al., 2023). Early reviews of the technology, published soon after its commercial introduction, already recognised its potential to reduce the sensory greasiness and irritancy of topical actives while prolonging their residence time on the skin (</w:t>
      </w:r>
      <w:r w:rsidRPr="00B52D07">
        <w:rPr>
          <w:rFonts w:ascii="Times New Roman" w:eastAsia="Times New Roman" w:hAnsi="Times New Roman" w:cs="Times New Roman"/>
          <w:bCs/>
          <w:sz w:val="24"/>
          <w:szCs w:val="24"/>
          <w:lang w:eastAsia="en-GB"/>
        </w:rPr>
        <w:t>Kumari et al., 2016</w:t>
      </w:r>
      <w:r w:rsidRPr="00B52D07">
        <w:rPr>
          <w:rFonts w:ascii="Times New Roman" w:eastAsia="Times New Roman" w:hAnsi="Times New Roman" w:cs="Times New Roman"/>
          <w:sz w:val="24"/>
          <w:szCs w:val="24"/>
          <w:lang w:eastAsia="en-GB"/>
        </w:rPr>
        <w:t xml:space="preserve">; Mahant, Kumar, Nanda, &amp; Rao, 2020). What has changed substantially in the past ten to fifteen years is the breadth of therapeutic contexts in which the technology has been explored.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are no longer confined to acne creams and sunscreens; they have been investigated as carriers for non-steroidal anti-inflammatory drugs applied to arthritic joints, as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xml:space="preserve"> platforms for antidiabetic agents with narrow absorption windows, as colon-specific systems for drugs intended to act locally on inflamed bowel mucosa, and, in their cyclodextrin-based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variant, as vehicles for anticancer agents requiring both solubilisation and tumour-selective release (</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Rogacka-</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Gubica</w:t>
      </w:r>
      <w:proofErr w:type="spellEnd"/>
      <w:r w:rsidRPr="00B52D07">
        <w:rPr>
          <w:rFonts w:ascii="Times New Roman" w:eastAsia="Times New Roman" w:hAnsi="Times New Roman" w:cs="Times New Roman"/>
          <w:sz w:val="24"/>
          <w:szCs w:val="24"/>
          <w:lang w:eastAsia="en-GB"/>
        </w:rPr>
        <w:t xml:space="preserve">, &amp; </w:t>
      </w:r>
      <w:proofErr w:type="spellStart"/>
      <w:r w:rsidRPr="00B52D07">
        <w:rPr>
          <w:rFonts w:ascii="Times New Roman" w:eastAsia="Times New Roman" w:hAnsi="Times New Roman" w:cs="Times New Roman"/>
          <w:sz w:val="24"/>
          <w:szCs w:val="24"/>
          <w:lang w:eastAsia="en-GB"/>
        </w:rPr>
        <w:t>Szeleszczuk</w:t>
      </w:r>
      <w:proofErr w:type="spellEnd"/>
      <w:r w:rsidRPr="00B52D07">
        <w:rPr>
          <w:rFonts w:ascii="Times New Roman" w:eastAsia="Times New Roman" w:hAnsi="Times New Roman" w:cs="Times New Roman"/>
          <w:sz w:val="24"/>
          <w:szCs w:val="24"/>
          <w:lang w:eastAsia="en-GB"/>
        </w:rPr>
        <w:t>, 2024; Sardou et al., 2023).</w:t>
      </w:r>
    </w:p>
    <w:p w14:paraId="6CC522AD"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Two developments have been particularly consequential for the clinical credibility of the technology. First, large multicentre phase 3 trials of microencapsulated benzoyl peroxide combined with microencapsulated tretinoin have provided randomised, vehicle-controlled evidence of efficacy and tolerability in acne vulgaris, a level of clinical validation rarely available for particulate delivery systems more generally (Del Rosso et al., 2023). Second, the extension of the underlying cross-linked polymer concept into the nanoscale, principally through cyclodextrin-based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has opened a route into systemic oncology applications that the original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being essentially non-absorbable across intact epithelia, could never have reached (Iravani &amp; Varma, 2022). Taken together, these developments justify a fresh critical appraisal of where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and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technology now stands, what mechanistic and manufacturing questions remain unresolved, and which therapeutic areas are likely to see the most meaningful near-term translation.</w:t>
      </w:r>
    </w:p>
    <w:p w14:paraId="61D0378A"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This review adopts a narrative rather than a systematic format. The rationale for this choice, together with the databases searched, the search strings employed and the criteria used to select and exclude studies, is set out in Section 2. The remainder of the review is organised around the structural and physicochemical basis of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technology, the principal fabrication methods, the analytical techniques used to characterise finished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the mechanisms governing drug release, and the major therapeutic domains in which the technology has been applied, before closing with a consideration of future directions, overall conclusions and the limitations inherent in a review of this kind.</w:t>
      </w:r>
    </w:p>
    <w:p w14:paraId="0BEF8A2B"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The scope of this article is confined to polymeric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and closely related cyclodextrin-based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systems intended for pharmaceutical and biomedical drug delivery; general nanoparticulate carriers such as liposomes, </w:t>
      </w:r>
      <w:proofErr w:type="spellStart"/>
      <w:r w:rsidRPr="00B52D07">
        <w:rPr>
          <w:rFonts w:ascii="Times New Roman" w:eastAsia="Times New Roman" w:hAnsi="Times New Roman" w:cs="Times New Roman"/>
          <w:sz w:val="24"/>
          <w:szCs w:val="24"/>
          <w:lang w:eastAsia="en-GB"/>
        </w:rPr>
        <w:t>niosomes</w:t>
      </w:r>
      <w:proofErr w:type="spellEnd"/>
      <w:r w:rsidRPr="00B52D07">
        <w:rPr>
          <w:rFonts w:ascii="Times New Roman" w:eastAsia="Times New Roman" w:hAnsi="Times New Roman" w:cs="Times New Roman"/>
          <w:sz w:val="24"/>
          <w:szCs w:val="24"/>
          <w:lang w:eastAsia="en-GB"/>
        </w:rPr>
        <w:t xml:space="preserve"> and polymeric nanoparticles are referenced only where directly comparative. The principal gap this review addresses is the absence, in the recent literature, of a single synthesis that connects mechanistic and manufacturing considerations with the clinical trial evidence now available for microencapsulated dermatological products, while also situating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technology alongside its nanoscale cyclodextrin-based relatives. The objectives are threefold: to provide a critical, up-to-date account of preparation and characterisation methodology; to evaluate the therapeutic evidence base across dermatological, oral, colonic, ocular and oncological </w:t>
      </w:r>
      <w:r w:rsidRPr="00B52D07">
        <w:rPr>
          <w:rFonts w:ascii="Times New Roman" w:eastAsia="Times New Roman" w:hAnsi="Times New Roman" w:cs="Times New Roman"/>
          <w:sz w:val="24"/>
          <w:szCs w:val="24"/>
          <w:lang w:eastAsia="en-GB"/>
        </w:rPr>
        <w:lastRenderedPageBreak/>
        <w:t>applications; and to identify the technical and regulatory barriers that continue to constrain wider clinical adoption.</w:t>
      </w:r>
    </w:p>
    <w:p w14:paraId="7F944FB6"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2. Methods for Literature Selection</w:t>
      </w:r>
    </w:p>
    <w:p w14:paraId="77C2ECE1"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2.1 Rationale for a narrative review approach</w:t>
      </w:r>
    </w:p>
    <w:p w14:paraId="0C066602"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A systematic review, with its predefined protocol, quantitative synthesis and formal risk-of-bias assessment, is best suited to a narrowly defined clinical question amenable to meta-analysis.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-based drug delivery, by contrast, spans materials chemistry, pharmaceutical technology, dermatology, gastroenterology and oncology, and the primary literature consists overwhelmingly of heterogeneous formulation and in vitro or preclinical studies rather than comparable randomised trials. A narrative approach was therefore judged more appropriate, since it permits synthesis across this methodological diversity while still requiring, as emphasised by </w:t>
      </w:r>
      <w:proofErr w:type="spellStart"/>
      <w:r w:rsidRPr="00B52D07">
        <w:rPr>
          <w:rFonts w:ascii="Times New Roman" w:eastAsia="Times New Roman" w:hAnsi="Times New Roman" w:cs="Times New Roman"/>
          <w:sz w:val="24"/>
          <w:szCs w:val="24"/>
          <w:lang w:eastAsia="en-GB"/>
        </w:rPr>
        <w:t>Baethge</w:t>
      </w:r>
      <w:proofErr w:type="spellEnd"/>
      <w:r w:rsidRPr="00B52D07">
        <w:rPr>
          <w:rFonts w:ascii="Times New Roman" w:eastAsia="Times New Roman" w:hAnsi="Times New Roman" w:cs="Times New Roman"/>
          <w:sz w:val="24"/>
          <w:szCs w:val="24"/>
          <w:lang w:eastAsia="en-GB"/>
        </w:rPr>
        <w:t>, Goldbeck-Wood and Mertens (2019) in their development of the SANRA instrument for appraising narrative reviews, an explicit and traceable account of how the literature was identified, screened and selected.</w:t>
      </w:r>
    </w:p>
    <w:p w14:paraId="6C840E5A"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2.2 Databases and indexing sources searched</w:t>
      </w:r>
    </w:p>
    <w:p w14:paraId="2127724E"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The literature search drew on four general biomedical and scientific databases, namely Web of Science, Scopus, Google Scholar and PubMed, supplemented by six field-specific indexing resources selected for their coverage of pharmaceutical technology and materials science: Embase, the Cochrane Central Register of Controlled Trials, ScienceDirect, </w:t>
      </w:r>
      <w:proofErr w:type="spellStart"/>
      <w:r w:rsidRPr="00B52D07">
        <w:rPr>
          <w:rFonts w:ascii="Times New Roman" w:eastAsia="Times New Roman" w:hAnsi="Times New Roman" w:cs="Times New Roman"/>
          <w:sz w:val="24"/>
          <w:szCs w:val="24"/>
          <w:lang w:eastAsia="en-GB"/>
        </w:rPr>
        <w:t>SciFinder</w:t>
      </w:r>
      <w:proofErr w:type="spellEnd"/>
      <w:r w:rsidRPr="00B52D07">
        <w:rPr>
          <w:rFonts w:ascii="Times New Roman" w:eastAsia="Times New Roman" w:hAnsi="Times New Roman" w:cs="Times New Roman"/>
          <w:sz w:val="24"/>
          <w:szCs w:val="24"/>
          <w:lang w:eastAsia="en-GB"/>
        </w:rPr>
        <w:t>, the International Pharmaceutical Abstracts database, and the Directory of Open Access Journals. This combination was chosen to capture both clinically oriented dermatological and gastroenterological literature and the more materials-science-oriented formulation and characterisation studies that are less consistently indexed in clinically focused databases.</w:t>
      </w:r>
    </w:p>
    <w:p w14:paraId="0158EB7D"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2.3 Search strategy and date range</w:t>
      </w:r>
    </w:p>
    <w:p w14:paraId="4B4EC305"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Search strings combined the core terms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and "porous polymeric microsphere*" with delivery-route and application-specific terms including "topical", "dermal", "colon-targeted",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xml:space="preserve">", "ocular", "oral bioavailability", "cyclodextrin", and "controlled release", joined using Boolean operators (for example,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AND (colon OR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xml:space="preserve"> OR oral) AND drug delivery). Truncation and wildcard characters were used to capture morphological variants. The search was restricted to the period from January 2000 to 3 April 2026, a range chosen to capture the foundational mechanistic and characterisation literature published in the years following the technology's commercial introduction, while ensuring that the great majority of retrieved records reflect the substantial expansion of the field over the past decade.</w:t>
      </w:r>
    </w:p>
    <w:p w14:paraId="279C81E4"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2.4 Inclusion and exclusion criteria</w:t>
      </w:r>
    </w:p>
    <w:p w14:paraId="3A2FDC6C"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Studies were included if they reported original formulation, characterisation, preclinical or clinical data on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or cyclodextrin-based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drug delivery systems, or if they constituted a peer-reviewed review article synthesising such data, and if they were published in English in a peer-reviewed journal. Institutional and regulatory reports from bodies such as the United States Food and Drug Administration were considered where </w:t>
      </w:r>
      <w:r w:rsidRPr="00B52D07">
        <w:rPr>
          <w:rFonts w:ascii="Times New Roman" w:eastAsia="Times New Roman" w:hAnsi="Times New Roman" w:cs="Times New Roman"/>
          <w:sz w:val="24"/>
          <w:szCs w:val="24"/>
          <w:lang w:eastAsia="en-GB"/>
        </w:rPr>
        <w:lastRenderedPageBreak/>
        <w:t>directly relevant to marketing authorisation. Excluded from the reference list, in line with the objective of restricting the evidentiary base to reproducible, peer-reviewed primary literature, were books and book chapters, conference abstracts, trade or magazine articles, preprints that had not undergone peer review, and patent documents, notwithstanding that patents were consulted informally to trace the historical development of the technology.</w:t>
      </w:r>
    </w:p>
    <w:p w14:paraId="5927F7D8"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2.5 Screening workflow and duplicate handling</w:t>
      </w:r>
    </w:p>
    <w:p w14:paraId="6D5C06C9"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Records retrieved from each database were exported and duplicates removed on the basis of digital object identifier, title and author concordance. Titles and abstracts were screened for evident relevance to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or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drug delivery before full-text retrieval; articles whose primary focus lay outside pharmaceutical or biomedical delivery, for example purely industrial or environmental applications of porous polymers, were excluded at this stage. No formal record of the number of items excluded at each stage was maintained, consistent with the narrative rather than systematic character of this review, but citation chaining from key reviews (</w:t>
      </w:r>
      <w:proofErr w:type="spellStart"/>
      <w:r w:rsidRPr="00B52D07">
        <w:rPr>
          <w:rFonts w:ascii="Times New Roman" w:eastAsia="Times New Roman" w:hAnsi="Times New Roman" w:cs="Times New Roman"/>
          <w:sz w:val="24"/>
          <w:szCs w:val="24"/>
          <w:lang w:eastAsia="en-GB"/>
        </w:rPr>
        <w:t>Biharee</w:t>
      </w:r>
      <w:proofErr w:type="spellEnd"/>
      <w:r w:rsidRPr="00B52D07">
        <w:rPr>
          <w:rFonts w:ascii="Times New Roman" w:eastAsia="Times New Roman" w:hAnsi="Times New Roman" w:cs="Times New Roman"/>
          <w:sz w:val="24"/>
          <w:szCs w:val="24"/>
          <w:lang w:eastAsia="en-GB"/>
        </w:rPr>
        <w:t xml:space="preserve"> et al., 2023; Mahant et al., 2020; Qureshi, Alavi, &amp; Mohammed, 2024) was used to identify influential studies that might not have surfaced through keyword searching alone, an approach consistent with recommended practice for narrative reviews of a broad, technically heterogeneous literature.</w:t>
      </w:r>
    </w:p>
    <w:p w14:paraId="7E7D4DBE"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2.6 Summary of search strategy</w:t>
      </w:r>
    </w:p>
    <w:p w14:paraId="281C74A0"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The elements of the search strategy described above are summarised in Table 1, which is intended as a quick reference for readers wishing to replicate or extend the search rather than a substitute for the fuller account given in Sections 2.2 to 2.4.</w:t>
      </w:r>
    </w:p>
    <w:p w14:paraId="66B2E8AD"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b/>
          <w:bCs/>
          <w:sz w:val="24"/>
          <w:szCs w:val="24"/>
          <w:lang w:eastAsia="en-GB"/>
        </w:rPr>
        <w:t>Table 1. Summary of the literature search strategy</w:t>
      </w:r>
    </w:p>
    <w:tbl>
      <w:tblPr>
        <w:tblStyle w:val="TableGrid"/>
        <w:tblW w:w="0" w:type="auto"/>
        <w:tblLook w:val="04A0" w:firstRow="1" w:lastRow="0" w:firstColumn="1" w:lastColumn="0" w:noHBand="0" w:noVBand="1"/>
      </w:tblPr>
      <w:tblGrid>
        <w:gridCol w:w="1979"/>
        <w:gridCol w:w="7263"/>
      </w:tblGrid>
      <w:tr w:rsidR="00B52D07" w:rsidRPr="00B52D07" w14:paraId="7D2A2222" w14:textId="77777777" w:rsidTr="00B52D07">
        <w:tc>
          <w:tcPr>
            <w:tcW w:w="0" w:type="auto"/>
            <w:hideMark/>
          </w:tcPr>
          <w:p w14:paraId="78952AC8"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Element</w:t>
            </w:r>
          </w:p>
        </w:tc>
        <w:tc>
          <w:tcPr>
            <w:tcW w:w="0" w:type="auto"/>
            <w:hideMark/>
          </w:tcPr>
          <w:p w14:paraId="0D97371E"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Specification</w:t>
            </w:r>
          </w:p>
        </w:tc>
      </w:tr>
      <w:tr w:rsidR="00B52D07" w:rsidRPr="00B52D07" w14:paraId="32DC2010" w14:textId="77777777" w:rsidTr="00B52D07">
        <w:tc>
          <w:tcPr>
            <w:tcW w:w="0" w:type="auto"/>
            <w:hideMark/>
          </w:tcPr>
          <w:p w14:paraId="546C60F2"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Databases (general)</w:t>
            </w:r>
          </w:p>
        </w:tc>
        <w:tc>
          <w:tcPr>
            <w:tcW w:w="0" w:type="auto"/>
            <w:hideMark/>
          </w:tcPr>
          <w:p w14:paraId="5CD001A6"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Web of Science, Scopus, Google Scholar, PubMed</w:t>
            </w:r>
          </w:p>
        </w:tc>
      </w:tr>
      <w:tr w:rsidR="00B52D07" w:rsidRPr="00B52D07" w14:paraId="1E86DF74" w14:textId="77777777" w:rsidTr="00B52D07">
        <w:tc>
          <w:tcPr>
            <w:tcW w:w="0" w:type="auto"/>
            <w:hideMark/>
          </w:tcPr>
          <w:p w14:paraId="41C6C8B9"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Databases (field-specific)</w:t>
            </w:r>
          </w:p>
        </w:tc>
        <w:tc>
          <w:tcPr>
            <w:tcW w:w="0" w:type="auto"/>
            <w:hideMark/>
          </w:tcPr>
          <w:p w14:paraId="020F42EB"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Embase, Cochrane CENTRAL, ScienceDirect, </w:t>
            </w:r>
            <w:proofErr w:type="spellStart"/>
            <w:r w:rsidRPr="00B52D07">
              <w:rPr>
                <w:rFonts w:ascii="Times New Roman" w:eastAsia="Times New Roman" w:hAnsi="Times New Roman" w:cs="Times New Roman"/>
                <w:sz w:val="24"/>
                <w:szCs w:val="24"/>
                <w:lang w:eastAsia="en-GB"/>
              </w:rPr>
              <w:t>SciFinder</w:t>
            </w:r>
            <w:proofErr w:type="spellEnd"/>
            <w:r w:rsidRPr="00B52D07">
              <w:rPr>
                <w:rFonts w:ascii="Times New Roman" w:eastAsia="Times New Roman" w:hAnsi="Times New Roman" w:cs="Times New Roman"/>
                <w:sz w:val="24"/>
                <w:szCs w:val="24"/>
                <w:lang w:eastAsia="en-GB"/>
              </w:rPr>
              <w:t>, International Pharmaceutical Abstracts, DOAJ</w:t>
            </w:r>
          </w:p>
        </w:tc>
      </w:tr>
      <w:tr w:rsidR="00B52D07" w:rsidRPr="00B52D07" w14:paraId="3270258A" w14:textId="77777777" w:rsidTr="00B52D07">
        <w:tc>
          <w:tcPr>
            <w:tcW w:w="0" w:type="auto"/>
            <w:hideMark/>
          </w:tcPr>
          <w:p w14:paraId="373733D2"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Date range</w:t>
            </w:r>
          </w:p>
        </w:tc>
        <w:tc>
          <w:tcPr>
            <w:tcW w:w="0" w:type="auto"/>
            <w:hideMark/>
          </w:tcPr>
          <w:p w14:paraId="5BCBBF20"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January 2000 to 3 April 2026</w:t>
            </w:r>
          </w:p>
        </w:tc>
      </w:tr>
      <w:tr w:rsidR="00B52D07" w:rsidRPr="00B52D07" w14:paraId="66B8EC98" w14:textId="77777777" w:rsidTr="00B52D07">
        <w:tc>
          <w:tcPr>
            <w:tcW w:w="0" w:type="auto"/>
            <w:hideMark/>
          </w:tcPr>
          <w:p w14:paraId="135CDCBA"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Core search terms</w:t>
            </w:r>
          </w:p>
        </w:tc>
        <w:tc>
          <w:tcPr>
            <w:tcW w:w="0" w:type="auto"/>
            <w:hideMark/>
          </w:tcPr>
          <w:p w14:paraId="6C8C8AE2" w14:textId="77777777" w:rsidR="00B52D07" w:rsidRPr="00B52D07" w:rsidRDefault="00B52D07" w:rsidP="00B52D07">
            <w:pPr>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porous polymeric microsphere*</w:t>
            </w:r>
          </w:p>
        </w:tc>
      </w:tr>
      <w:tr w:rsidR="00B52D07" w:rsidRPr="00B52D07" w14:paraId="64EAC7CB" w14:textId="77777777" w:rsidTr="00B52D07">
        <w:tc>
          <w:tcPr>
            <w:tcW w:w="0" w:type="auto"/>
            <w:hideMark/>
          </w:tcPr>
          <w:p w14:paraId="5F598405"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Modifying terms</w:t>
            </w:r>
          </w:p>
        </w:tc>
        <w:tc>
          <w:tcPr>
            <w:tcW w:w="0" w:type="auto"/>
            <w:hideMark/>
          </w:tcPr>
          <w:p w14:paraId="082A96E0"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topical, dermal, colon-targeted,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ocular, oral bioavailability, cyclodextrin, controlled release</w:t>
            </w:r>
          </w:p>
        </w:tc>
      </w:tr>
      <w:tr w:rsidR="00B52D07" w:rsidRPr="00B52D07" w14:paraId="6258073D" w14:textId="77777777" w:rsidTr="00B52D07">
        <w:tc>
          <w:tcPr>
            <w:tcW w:w="0" w:type="auto"/>
            <w:hideMark/>
          </w:tcPr>
          <w:p w14:paraId="1DFFAE56"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Language restriction</w:t>
            </w:r>
          </w:p>
        </w:tc>
        <w:tc>
          <w:tcPr>
            <w:tcW w:w="0" w:type="auto"/>
            <w:hideMark/>
          </w:tcPr>
          <w:p w14:paraId="74CFC8D2"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English only</w:t>
            </w:r>
          </w:p>
        </w:tc>
      </w:tr>
      <w:tr w:rsidR="00B52D07" w:rsidRPr="00B52D07" w14:paraId="50398D82" w14:textId="77777777" w:rsidTr="00B52D07">
        <w:tc>
          <w:tcPr>
            <w:tcW w:w="0" w:type="auto"/>
            <w:hideMark/>
          </w:tcPr>
          <w:p w14:paraId="661A9F2D"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Study types included</w:t>
            </w:r>
          </w:p>
        </w:tc>
        <w:tc>
          <w:tcPr>
            <w:tcW w:w="0" w:type="auto"/>
            <w:hideMark/>
          </w:tcPr>
          <w:p w14:paraId="26597065"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Original formulation/preclinical/clinical studies; peer-reviewed reviews; institutional reports with verifiable URL</w:t>
            </w:r>
          </w:p>
        </w:tc>
      </w:tr>
      <w:tr w:rsidR="00B52D07" w:rsidRPr="00B52D07" w14:paraId="34C62650" w14:textId="77777777" w:rsidTr="00B52D07">
        <w:tc>
          <w:tcPr>
            <w:tcW w:w="0" w:type="auto"/>
            <w:hideMark/>
          </w:tcPr>
          <w:p w14:paraId="4AF6A49E"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Study types excluded</w:t>
            </w:r>
          </w:p>
        </w:tc>
        <w:tc>
          <w:tcPr>
            <w:tcW w:w="0" w:type="auto"/>
            <w:hideMark/>
          </w:tcPr>
          <w:p w14:paraId="73162CEB"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Books, conference abstracts, trade literature, preprints, patents</w:t>
            </w:r>
          </w:p>
        </w:tc>
      </w:tr>
    </w:tbl>
    <w:p w14:paraId="30B8971E"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i/>
          <w:iCs/>
          <w:sz w:val="24"/>
          <w:szCs w:val="24"/>
          <w:lang w:eastAsia="en-GB"/>
        </w:rPr>
        <w:t xml:space="preserve">Source: search strategy constructed by the authors for this review, informed by the methodological guidance of </w:t>
      </w:r>
      <w:proofErr w:type="spellStart"/>
      <w:r w:rsidRPr="00B52D07">
        <w:rPr>
          <w:rFonts w:ascii="Times New Roman" w:eastAsia="Times New Roman" w:hAnsi="Times New Roman" w:cs="Times New Roman"/>
          <w:i/>
          <w:iCs/>
          <w:sz w:val="24"/>
          <w:szCs w:val="24"/>
          <w:lang w:eastAsia="en-GB"/>
        </w:rPr>
        <w:t>Baethge</w:t>
      </w:r>
      <w:proofErr w:type="spellEnd"/>
      <w:r w:rsidRPr="00B52D07">
        <w:rPr>
          <w:rFonts w:ascii="Times New Roman" w:eastAsia="Times New Roman" w:hAnsi="Times New Roman" w:cs="Times New Roman"/>
          <w:i/>
          <w:iCs/>
          <w:sz w:val="24"/>
          <w:szCs w:val="24"/>
          <w:lang w:eastAsia="en-GB"/>
        </w:rPr>
        <w:t xml:space="preserve"> et al. (2019).</w:t>
      </w:r>
    </w:p>
    <w:p w14:paraId="348A1B63"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 xml:space="preserve">3. Structural and Physicochemical Foundations of </w:t>
      </w:r>
      <w:proofErr w:type="spellStart"/>
      <w:r w:rsidRPr="00B52D07">
        <w:rPr>
          <w:rFonts w:ascii="Times New Roman" w:eastAsia="Times New Roman" w:hAnsi="Times New Roman" w:cs="Times New Roman"/>
          <w:b/>
          <w:bCs/>
          <w:sz w:val="27"/>
          <w:szCs w:val="27"/>
          <w:lang w:eastAsia="en-GB"/>
        </w:rPr>
        <w:t>Microsponge</w:t>
      </w:r>
      <w:proofErr w:type="spellEnd"/>
      <w:r w:rsidRPr="00B52D07">
        <w:rPr>
          <w:rFonts w:ascii="Times New Roman" w:eastAsia="Times New Roman" w:hAnsi="Times New Roman" w:cs="Times New Roman"/>
          <w:b/>
          <w:bCs/>
          <w:sz w:val="27"/>
          <w:szCs w:val="27"/>
          <w:lang w:eastAsia="en-GB"/>
        </w:rPr>
        <w:t xml:space="preserve"> Technology</w:t>
      </w:r>
    </w:p>
    <w:p w14:paraId="3149755D"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lastRenderedPageBreak/>
        <w:t xml:space="preserve">The defining physical feature of a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is its porosity. Each particle is typically composed of a rigid polymer, most commonly ethyl cellulose or a member of the Eudragit family of poly(methacrylate) copolymers, cross-linked to form a three-dimensional lattice with a specific surface area that can exceed several hundred square metres per gram of material (Qureshi et al., 2024). This lattice is riddled with an interconnected network of pores whose diameter and tortuosity determine the rate at which entrapped drug can diffuse to the particle surface and, ultimately, to the site of absorption or action.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characteristically retain their structural integrity across a pH range of roughly 1 to 11 and withstand temperatures up to about 130 degrees Celsius, a stability profile that distinguishes them from liposomal and many polymeric nanoparticulate systems, which are considerably more sensitive to pH, ionic strength and thermal stress (Halder, Behera, Poddar, Khanam, &amp; Karmakar, 2024).</w:t>
      </w:r>
    </w:p>
    <w:p w14:paraId="6A2846CD"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Entrapment efficiency, generally reported in the range of 50 to 90 per cent depending on drug-polymer compatibility and processing conditions, depends jointly on the lipophilicity of the active substance, the degree of cross-linking of the polymer matrix and the ratio of drug to polymer employed during fabrication (Qureshi et al., 2024). Lipophilic, poorly water-soluble drugs are generally entrapped with higher efficiency because they partition favourably into the hydrophobic polymer matrix during the internal-phase formation step of manufacture, whereas hydrophilic drugs tend to migrate into the aqueous external phase before the particle wall has fully solidified, reducing loading and, in some formulations, necessitating surface modification or a two-step loading process. </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Rogacka-</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Gubica</w:t>
      </w:r>
      <w:proofErr w:type="spellEnd"/>
      <w:r w:rsidRPr="00B52D07">
        <w:rPr>
          <w:rFonts w:ascii="Times New Roman" w:eastAsia="Times New Roman" w:hAnsi="Times New Roman" w:cs="Times New Roman"/>
          <w:sz w:val="24"/>
          <w:szCs w:val="24"/>
          <w:lang w:eastAsia="en-GB"/>
        </w:rPr>
        <w:t xml:space="preserve"> and </w:t>
      </w:r>
      <w:proofErr w:type="spellStart"/>
      <w:r w:rsidRPr="00B52D07">
        <w:rPr>
          <w:rFonts w:ascii="Times New Roman" w:eastAsia="Times New Roman" w:hAnsi="Times New Roman" w:cs="Times New Roman"/>
          <w:sz w:val="24"/>
          <w:szCs w:val="24"/>
          <w:lang w:eastAsia="en-GB"/>
        </w:rPr>
        <w:t>Szeleszczuk</w:t>
      </w:r>
      <w:proofErr w:type="spellEnd"/>
      <w:r w:rsidRPr="00B52D07">
        <w:rPr>
          <w:rFonts w:ascii="Times New Roman" w:eastAsia="Times New Roman" w:hAnsi="Times New Roman" w:cs="Times New Roman"/>
          <w:sz w:val="24"/>
          <w:szCs w:val="24"/>
          <w:lang w:eastAsia="en-GB"/>
        </w:rPr>
        <w:t xml:space="preserve"> (2024), reviewing the closely related cyclodextrin-based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demonstrated that drug loading and subsequent release kinetics are governed by a combination of host-guest complexation within individual cyclodextrin cavities and simple physical entrapment within the interstitial nanochannels of the cross-linked network, a duality of mechanism that appears, on the available evidence, to extend qualitatively to the larger-scale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as well, albeit with physical entrapment predominating given the larger pore dimensions involved.</w:t>
      </w:r>
    </w:p>
    <w:p w14:paraId="26311465"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A further physicochemical determinant that has received increasing attention is the degree of cross-linking itself. Higher cross-linker concentrations produce a denser, less permeable polymer wall that slows drug diffusion and can improve mechanical robustness during processing into secondary dosage forms such as gels or compressed tablets, but excessive cross-linking risks reducing overall pore volume and therefore total drug-loading capacity, illustrating a trade-off that recurs throughout the formulation literature (Qureshi et al., 2024). Spectroscopic techniques including infrared and Raman spectroscopy, together with scattering methods such as small-angle neutron scattering, have begun to be applied to resolve the hydrogen-bonding networks and structural inhomogeneities that underlie this trade-off at a molecular level, providing a more mechanistic basis for formulation optimisation than the largely empirical approaches that characterised earlier decades of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research (</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Rogacka-</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xml:space="preserve">, &amp; </w:t>
      </w:r>
      <w:proofErr w:type="spellStart"/>
      <w:r w:rsidRPr="00B52D07">
        <w:rPr>
          <w:rFonts w:ascii="Times New Roman" w:eastAsia="Times New Roman" w:hAnsi="Times New Roman" w:cs="Times New Roman"/>
          <w:sz w:val="24"/>
          <w:szCs w:val="24"/>
          <w:lang w:eastAsia="en-GB"/>
        </w:rPr>
        <w:t>Gubica</w:t>
      </w:r>
      <w:proofErr w:type="spellEnd"/>
      <w:r w:rsidRPr="00B52D07">
        <w:rPr>
          <w:rFonts w:ascii="Times New Roman" w:eastAsia="Times New Roman" w:hAnsi="Times New Roman" w:cs="Times New Roman"/>
          <w:sz w:val="24"/>
          <w:szCs w:val="24"/>
          <w:lang w:eastAsia="en-GB"/>
        </w:rPr>
        <w:t>, 2025).</w:t>
      </w:r>
    </w:p>
    <w:p w14:paraId="43E82C13"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4. Preparation and Manufacturing Methods</w:t>
      </w:r>
    </w:p>
    <w:p w14:paraId="3CEFB662"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4.1 Quasi-emulsion solvent diffusion</w:t>
      </w:r>
    </w:p>
    <w:p w14:paraId="5334B381"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The quasi-emulsion solvent diffusion method remains the most widely reported technique for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fabrication and proceeds in two principal stages. In the first, an internal phase is prepared by dissolving the rigid polymer, typically ethyl cellulose or a Eudragit grade, in a </w:t>
      </w:r>
      <w:r w:rsidRPr="00B52D07">
        <w:rPr>
          <w:rFonts w:ascii="Times New Roman" w:eastAsia="Times New Roman" w:hAnsi="Times New Roman" w:cs="Times New Roman"/>
          <w:sz w:val="24"/>
          <w:szCs w:val="24"/>
          <w:lang w:eastAsia="en-GB"/>
        </w:rPr>
        <w:lastRenderedPageBreak/>
        <w:t xml:space="preserve">volatile organic solvent such as dichloromethane, acetone or ethyl alcohol, into which the drug and, where required, a plasticiser are then dissolved or dispersed. In the second stage, this internal phase is added dropwise, under continuous mechanical stirring, to an aqueous external phase containing a stabilising surfactant, most commonly polyvinyl alcohol, which forms a quasi-emulsion; as the organic solvent diffuses outward into the aqueous phase and evaporates, the polymer precipitates around the drug to form discrete, porous microspheres (Halder et al., 2024). Stirring rate, drug-to-polymer ratio, solvent selection and the rate of solvent removal each exert a measurable influence on the resulting particle size, surface morphology and entrapment efficiency; work on benzoyl peroxide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for instance, showed that stirring speed alone was sufficient to shift particle morphology from smooth-surfaced to markedly porous spheres, underscoring how sensitive the process is to seemingly minor operating parameters (</w:t>
      </w:r>
      <w:proofErr w:type="spellStart"/>
      <w:r w:rsidRPr="00B52D07">
        <w:rPr>
          <w:rFonts w:ascii="Times New Roman" w:eastAsia="Times New Roman" w:hAnsi="Times New Roman" w:cs="Times New Roman"/>
          <w:sz w:val="24"/>
          <w:szCs w:val="24"/>
          <w:lang w:eastAsia="en-GB"/>
        </w:rPr>
        <w:t>Nokhodchi</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Jelvehgari</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Siahi</w:t>
      </w:r>
      <w:proofErr w:type="spellEnd"/>
      <w:r w:rsidRPr="00B52D07">
        <w:rPr>
          <w:rFonts w:ascii="Times New Roman" w:eastAsia="Times New Roman" w:hAnsi="Times New Roman" w:cs="Times New Roman"/>
          <w:sz w:val="24"/>
          <w:szCs w:val="24"/>
          <w:lang w:eastAsia="en-GB"/>
        </w:rPr>
        <w:t xml:space="preserve">, &amp; </w:t>
      </w:r>
      <w:proofErr w:type="spellStart"/>
      <w:r w:rsidRPr="00B52D07">
        <w:rPr>
          <w:rFonts w:ascii="Times New Roman" w:eastAsia="Times New Roman" w:hAnsi="Times New Roman" w:cs="Times New Roman"/>
          <w:sz w:val="24"/>
          <w:szCs w:val="24"/>
          <w:lang w:eastAsia="en-GB"/>
        </w:rPr>
        <w:t>Mozafari</w:t>
      </w:r>
      <w:proofErr w:type="spellEnd"/>
      <w:r w:rsidRPr="00B52D07">
        <w:rPr>
          <w:rFonts w:ascii="Times New Roman" w:eastAsia="Times New Roman" w:hAnsi="Times New Roman" w:cs="Times New Roman"/>
          <w:sz w:val="24"/>
          <w:szCs w:val="24"/>
          <w:lang w:eastAsia="en-GB"/>
        </w:rPr>
        <w:t>, 2007). Much of the formulation-optimisation literature of the past five years has built on such early morphology studies, using factorial and response-surface experimental designs to map these relationships more systematically (Ali et al., 2023; Halder et al., 2024).</w:t>
      </w:r>
    </w:p>
    <w:p w14:paraId="27D736E7"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4.2 Alternative and emerging fabrication techniques</w:t>
      </w:r>
    </w:p>
    <w:p w14:paraId="066209FF"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Several alternative approaches have been developed to address specific limitations of quasi-emulsion solvent diffusion, most notably its reliance on organic solvents and its comparatively limited control over particle size distribution at production scale. Liquid-liquid suspension polymerisation, the earliest reported method, builds the polymeric network directly through in situ polymerisation of monomeric units in the presence of the drug or a </w:t>
      </w:r>
      <w:proofErr w:type="spellStart"/>
      <w:r w:rsidRPr="00B52D07">
        <w:rPr>
          <w:rFonts w:ascii="Times New Roman" w:eastAsia="Times New Roman" w:hAnsi="Times New Roman" w:cs="Times New Roman"/>
          <w:sz w:val="24"/>
          <w:szCs w:val="24"/>
          <w:lang w:eastAsia="en-GB"/>
        </w:rPr>
        <w:t>porogen</w:t>
      </w:r>
      <w:proofErr w:type="spellEnd"/>
      <w:r w:rsidRPr="00B52D07">
        <w:rPr>
          <w:rFonts w:ascii="Times New Roman" w:eastAsia="Times New Roman" w:hAnsi="Times New Roman" w:cs="Times New Roman"/>
          <w:sz w:val="24"/>
          <w:szCs w:val="24"/>
          <w:lang w:eastAsia="en-GB"/>
        </w:rPr>
        <w:t xml:space="preserve">, which is subsequently removed to leave the characteristic porous architecture, but this approach is largely restricted to drugs stable under the polymerisation conditions employed. Water-in-oil-in-water and oil-in-oil emulsion solvent diffusion variants have been developed to accommodate hydrophilic drugs that would otherwise partition unfavourably out of a simple oil-in-water system, while lyophilisation-based loading, in which pre-formed empty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are impregnated with drug solution before freeze-drying, is increasingly favoured for thermolabile or solvent-sensitive actives that cannot tolerate the heat or organic-solvent exposure inherent in the standard emulsion process (Qureshi et al., 2024).</w:t>
      </w:r>
    </w:p>
    <w:p w14:paraId="7A263973"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More recent innovations include ultrasound-assisted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synthesis, which reduces reliance on high-shear mechanical agitation and organic solvent volumes, and scale-up-oriented protocols explicitly designed to bridge the gap between laboratory-scale batches and pilot or industrial production, a translational step that has historically been under-reported in the literature despite its central importance to eventual clinical and commercial deployment (Halder et al., 2024). Halder and colleagues demonstrated a scale-up approach that preserved particle morphology and entrapment efficiency when production volume was increased substantially, addressing a long-standing concern that many published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formulations, having been developed and characterised only at milligram-to-gram laboratory scale, might prove difficult to reproduce reliably at the scale required for commercial manufacture. These methods are compared in Table 2, which highlights the trade-offs between process simplicity, solvent burden and suitability for particular drug classes that formulators must weigh when selecting a fabrication route.</w:t>
      </w:r>
    </w:p>
    <w:p w14:paraId="2776EB5D"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b/>
          <w:bCs/>
          <w:sz w:val="24"/>
          <w:szCs w:val="24"/>
          <w:lang w:eastAsia="en-GB"/>
        </w:rPr>
        <w:t xml:space="preserve">Table 2. Comparison of principal </w:t>
      </w:r>
      <w:proofErr w:type="spellStart"/>
      <w:r w:rsidRPr="00B52D07">
        <w:rPr>
          <w:rFonts w:ascii="Times New Roman" w:eastAsia="Times New Roman" w:hAnsi="Times New Roman" w:cs="Times New Roman"/>
          <w:b/>
          <w:bCs/>
          <w:sz w:val="24"/>
          <w:szCs w:val="24"/>
          <w:lang w:eastAsia="en-GB"/>
        </w:rPr>
        <w:t>microsponge</w:t>
      </w:r>
      <w:proofErr w:type="spellEnd"/>
      <w:r w:rsidRPr="00B52D07">
        <w:rPr>
          <w:rFonts w:ascii="Times New Roman" w:eastAsia="Times New Roman" w:hAnsi="Times New Roman" w:cs="Times New Roman"/>
          <w:b/>
          <w:bCs/>
          <w:sz w:val="24"/>
          <w:szCs w:val="24"/>
          <w:lang w:eastAsia="en-GB"/>
        </w:rPr>
        <w:t xml:space="preserve"> and </w:t>
      </w:r>
      <w:proofErr w:type="spellStart"/>
      <w:r w:rsidRPr="00B52D07">
        <w:rPr>
          <w:rFonts w:ascii="Times New Roman" w:eastAsia="Times New Roman" w:hAnsi="Times New Roman" w:cs="Times New Roman"/>
          <w:b/>
          <w:bCs/>
          <w:sz w:val="24"/>
          <w:szCs w:val="24"/>
          <w:lang w:eastAsia="en-GB"/>
        </w:rPr>
        <w:t>nanosponge</w:t>
      </w:r>
      <w:proofErr w:type="spellEnd"/>
      <w:r w:rsidRPr="00B52D07">
        <w:rPr>
          <w:rFonts w:ascii="Times New Roman" w:eastAsia="Times New Roman" w:hAnsi="Times New Roman" w:cs="Times New Roman"/>
          <w:b/>
          <w:bCs/>
          <w:sz w:val="24"/>
          <w:szCs w:val="24"/>
          <w:lang w:eastAsia="en-GB"/>
        </w:rPr>
        <w:t xml:space="preserve"> fabrication methods</w:t>
      </w:r>
    </w:p>
    <w:tbl>
      <w:tblPr>
        <w:tblStyle w:val="TableGrid"/>
        <w:tblW w:w="0" w:type="auto"/>
        <w:tblLook w:val="04A0" w:firstRow="1" w:lastRow="0" w:firstColumn="1" w:lastColumn="0" w:noHBand="0" w:noVBand="1"/>
      </w:tblPr>
      <w:tblGrid>
        <w:gridCol w:w="1780"/>
        <w:gridCol w:w="2071"/>
        <w:gridCol w:w="1744"/>
        <w:gridCol w:w="1813"/>
        <w:gridCol w:w="1834"/>
      </w:tblGrid>
      <w:tr w:rsidR="00B52D07" w:rsidRPr="00B52D07" w14:paraId="518F352C" w14:textId="77777777" w:rsidTr="00B52D07">
        <w:tc>
          <w:tcPr>
            <w:tcW w:w="0" w:type="auto"/>
            <w:hideMark/>
          </w:tcPr>
          <w:p w14:paraId="1830088F"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Method</w:t>
            </w:r>
          </w:p>
        </w:tc>
        <w:tc>
          <w:tcPr>
            <w:tcW w:w="0" w:type="auto"/>
            <w:hideMark/>
          </w:tcPr>
          <w:p w14:paraId="05C50B27"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Typical solvents/reagents</w:t>
            </w:r>
          </w:p>
        </w:tc>
        <w:tc>
          <w:tcPr>
            <w:tcW w:w="0" w:type="auto"/>
            <w:hideMark/>
          </w:tcPr>
          <w:p w14:paraId="7349894B"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Suitability</w:t>
            </w:r>
          </w:p>
        </w:tc>
        <w:tc>
          <w:tcPr>
            <w:tcW w:w="0" w:type="auto"/>
            <w:hideMark/>
          </w:tcPr>
          <w:p w14:paraId="6724EFF0"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Key advantage</w:t>
            </w:r>
          </w:p>
        </w:tc>
        <w:tc>
          <w:tcPr>
            <w:tcW w:w="0" w:type="auto"/>
            <w:hideMark/>
          </w:tcPr>
          <w:p w14:paraId="0F15C765"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Key limitation</w:t>
            </w:r>
          </w:p>
        </w:tc>
      </w:tr>
      <w:tr w:rsidR="00B52D07" w:rsidRPr="00B52D07" w14:paraId="4BBB9EC2" w14:textId="77777777" w:rsidTr="00B52D07">
        <w:tc>
          <w:tcPr>
            <w:tcW w:w="0" w:type="auto"/>
            <w:hideMark/>
          </w:tcPr>
          <w:p w14:paraId="7DF7BDC2"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lastRenderedPageBreak/>
              <w:t>Quasi-emulsion solvent diffusion</w:t>
            </w:r>
          </w:p>
        </w:tc>
        <w:tc>
          <w:tcPr>
            <w:tcW w:w="0" w:type="auto"/>
            <w:hideMark/>
          </w:tcPr>
          <w:p w14:paraId="2437C772"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Dichloromethane, acetone, ethanol; PVA stabiliser</w:t>
            </w:r>
          </w:p>
        </w:tc>
        <w:tc>
          <w:tcPr>
            <w:tcW w:w="0" w:type="auto"/>
            <w:hideMark/>
          </w:tcPr>
          <w:p w14:paraId="0AEB1F95"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Lipophilic, thermostable drugs</w:t>
            </w:r>
          </w:p>
        </w:tc>
        <w:tc>
          <w:tcPr>
            <w:tcW w:w="0" w:type="auto"/>
            <w:hideMark/>
          </w:tcPr>
          <w:p w14:paraId="79274F52"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Simplicity, wide adoption, </w:t>
            </w:r>
            <w:proofErr w:type="spellStart"/>
            <w:r w:rsidRPr="00B52D07">
              <w:rPr>
                <w:rFonts w:ascii="Times New Roman" w:eastAsia="Times New Roman" w:hAnsi="Times New Roman" w:cs="Times New Roman"/>
                <w:sz w:val="24"/>
                <w:szCs w:val="24"/>
                <w:lang w:eastAsia="en-GB"/>
              </w:rPr>
              <w:t>tunable</w:t>
            </w:r>
            <w:proofErr w:type="spellEnd"/>
            <w:r w:rsidRPr="00B52D07">
              <w:rPr>
                <w:rFonts w:ascii="Times New Roman" w:eastAsia="Times New Roman" w:hAnsi="Times New Roman" w:cs="Times New Roman"/>
                <w:sz w:val="24"/>
                <w:szCs w:val="24"/>
                <w:lang w:eastAsia="en-GB"/>
              </w:rPr>
              <w:t xml:space="preserve"> particle size</w:t>
            </w:r>
          </w:p>
        </w:tc>
        <w:tc>
          <w:tcPr>
            <w:tcW w:w="0" w:type="auto"/>
            <w:hideMark/>
          </w:tcPr>
          <w:p w14:paraId="741B05D4"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Organic solvent residues; batch variability</w:t>
            </w:r>
          </w:p>
        </w:tc>
      </w:tr>
      <w:tr w:rsidR="00B52D07" w:rsidRPr="00B52D07" w14:paraId="3DEE083B" w14:textId="77777777" w:rsidTr="00B52D07">
        <w:tc>
          <w:tcPr>
            <w:tcW w:w="0" w:type="auto"/>
            <w:hideMark/>
          </w:tcPr>
          <w:p w14:paraId="77C66558"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Liquid-liquid suspension polymerisation</w:t>
            </w:r>
          </w:p>
        </w:tc>
        <w:tc>
          <w:tcPr>
            <w:tcW w:w="0" w:type="auto"/>
            <w:hideMark/>
          </w:tcPr>
          <w:p w14:paraId="112ADE41"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Monomers, </w:t>
            </w:r>
            <w:proofErr w:type="spellStart"/>
            <w:r w:rsidRPr="00B52D07">
              <w:rPr>
                <w:rFonts w:ascii="Times New Roman" w:eastAsia="Times New Roman" w:hAnsi="Times New Roman" w:cs="Times New Roman"/>
                <w:sz w:val="24"/>
                <w:szCs w:val="24"/>
                <w:lang w:eastAsia="en-GB"/>
              </w:rPr>
              <w:t>porogen</w:t>
            </w:r>
            <w:proofErr w:type="spellEnd"/>
          </w:p>
        </w:tc>
        <w:tc>
          <w:tcPr>
            <w:tcW w:w="0" w:type="auto"/>
            <w:hideMark/>
          </w:tcPr>
          <w:p w14:paraId="349D0BB3"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Drugs stable to polymerisation conditions</w:t>
            </w:r>
          </w:p>
        </w:tc>
        <w:tc>
          <w:tcPr>
            <w:tcW w:w="0" w:type="auto"/>
            <w:hideMark/>
          </w:tcPr>
          <w:p w14:paraId="07D6B2B0"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Direct network formation</w:t>
            </w:r>
          </w:p>
        </w:tc>
        <w:tc>
          <w:tcPr>
            <w:tcW w:w="0" w:type="auto"/>
            <w:hideMark/>
          </w:tcPr>
          <w:p w14:paraId="5291C98D"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Limited to polymerisation-compatible actives</w:t>
            </w:r>
          </w:p>
        </w:tc>
      </w:tr>
      <w:tr w:rsidR="00B52D07" w:rsidRPr="00B52D07" w14:paraId="3D22E4F1" w14:textId="77777777" w:rsidTr="00B52D07">
        <w:tc>
          <w:tcPr>
            <w:tcW w:w="0" w:type="auto"/>
            <w:hideMark/>
          </w:tcPr>
          <w:p w14:paraId="6FBE8963"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Water-in-oil-in-water/oil-in-oil diffusion</w:t>
            </w:r>
          </w:p>
        </w:tc>
        <w:tc>
          <w:tcPr>
            <w:tcW w:w="0" w:type="auto"/>
            <w:hideMark/>
          </w:tcPr>
          <w:p w14:paraId="7BA97F84"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Dual organic/aqueous phases</w:t>
            </w:r>
          </w:p>
        </w:tc>
        <w:tc>
          <w:tcPr>
            <w:tcW w:w="0" w:type="auto"/>
            <w:hideMark/>
          </w:tcPr>
          <w:p w14:paraId="308DE22A"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Hydrophilic or amphiphilic drugs</w:t>
            </w:r>
          </w:p>
        </w:tc>
        <w:tc>
          <w:tcPr>
            <w:tcW w:w="0" w:type="auto"/>
            <w:hideMark/>
          </w:tcPr>
          <w:p w14:paraId="4E2A3ECC"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Improved loading of water-soluble actives</w:t>
            </w:r>
          </w:p>
        </w:tc>
        <w:tc>
          <w:tcPr>
            <w:tcW w:w="0" w:type="auto"/>
            <w:hideMark/>
          </w:tcPr>
          <w:p w14:paraId="45B7F445"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More complex process control</w:t>
            </w:r>
          </w:p>
        </w:tc>
      </w:tr>
      <w:tr w:rsidR="00B52D07" w:rsidRPr="00B52D07" w14:paraId="54634428" w14:textId="77777777" w:rsidTr="00B52D07">
        <w:tc>
          <w:tcPr>
            <w:tcW w:w="0" w:type="auto"/>
            <w:hideMark/>
          </w:tcPr>
          <w:p w14:paraId="7EB5BE46"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Lyophilisation-based loading</w:t>
            </w:r>
          </w:p>
        </w:tc>
        <w:tc>
          <w:tcPr>
            <w:tcW w:w="0" w:type="auto"/>
            <w:hideMark/>
          </w:tcPr>
          <w:p w14:paraId="1D5183A2"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Aqueous drug solution, freeze-drying</w:t>
            </w:r>
          </w:p>
        </w:tc>
        <w:tc>
          <w:tcPr>
            <w:tcW w:w="0" w:type="auto"/>
            <w:hideMark/>
          </w:tcPr>
          <w:p w14:paraId="5B33AF99"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Thermolabile drugs, peptides</w:t>
            </w:r>
          </w:p>
        </w:tc>
        <w:tc>
          <w:tcPr>
            <w:tcW w:w="0" w:type="auto"/>
            <w:hideMark/>
          </w:tcPr>
          <w:p w14:paraId="68E460F0"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Avoids thermal/solvent stress</w:t>
            </w:r>
          </w:p>
        </w:tc>
        <w:tc>
          <w:tcPr>
            <w:tcW w:w="0" w:type="auto"/>
            <w:hideMark/>
          </w:tcPr>
          <w:p w14:paraId="1C67C7A8"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Higher cost, longer processing time</w:t>
            </w:r>
          </w:p>
        </w:tc>
      </w:tr>
      <w:tr w:rsidR="00B52D07" w:rsidRPr="00B52D07" w14:paraId="63A97B29" w14:textId="77777777" w:rsidTr="00B52D07">
        <w:tc>
          <w:tcPr>
            <w:tcW w:w="0" w:type="auto"/>
            <w:hideMark/>
          </w:tcPr>
          <w:p w14:paraId="7F3AA159"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Ultrasound-assisted synthesis</w:t>
            </w:r>
          </w:p>
        </w:tc>
        <w:tc>
          <w:tcPr>
            <w:tcW w:w="0" w:type="auto"/>
            <w:hideMark/>
          </w:tcPr>
          <w:p w14:paraId="074CC5FA"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Reduced organic solvent volumes</w:t>
            </w:r>
          </w:p>
        </w:tc>
        <w:tc>
          <w:tcPr>
            <w:tcW w:w="0" w:type="auto"/>
            <w:hideMark/>
          </w:tcPr>
          <w:p w14:paraId="2753B800"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Green-chemistry-oriented formulations</w:t>
            </w:r>
          </w:p>
        </w:tc>
        <w:tc>
          <w:tcPr>
            <w:tcW w:w="0" w:type="auto"/>
            <w:hideMark/>
          </w:tcPr>
          <w:p w14:paraId="51C6A9F9"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Lower solvent burden, finer particle control</w:t>
            </w:r>
          </w:p>
        </w:tc>
        <w:tc>
          <w:tcPr>
            <w:tcW w:w="0" w:type="auto"/>
            <w:hideMark/>
          </w:tcPr>
          <w:p w14:paraId="4D73845B"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Equipment cost, scale-up complexity</w:t>
            </w:r>
          </w:p>
        </w:tc>
      </w:tr>
    </w:tbl>
    <w:p w14:paraId="77E6C781"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i/>
          <w:iCs/>
          <w:sz w:val="24"/>
          <w:szCs w:val="24"/>
          <w:lang w:eastAsia="en-GB"/>
        </w:rPr>
        <w:t xml:space="preserve">Sources: Ali et al. (2023); Halder et al. (2024); </w:t>
      </w:r>
      <w:proofErr w:type="spellStart"/>
      <w:r w:rsidRPr="00B52D07">
        <w:rPr>
          <w:rFonts w:ascii="Times New Roman" w:eastAsia="Times New Roman" w:hAnsi="Times New Roman" w:cs="Times New Roman"/>
          <w:i/>
          <w:iCs/>
          <w:sz w:val="24"/>
          <w:szCs w:val="24"/>
          <w:lang w:eastAsia="en-GB"/>
        </w:rPr>
        <w:t>Nokhodchi</w:t>
      </w:r>
      <w:proofErr w:type="spellEnd"/>
      <w:r w:rsidRPr="00B52D07">
        <w:rPr>
          <w:rFonts w:ascii="Times New Roman" w:eastAsia="Times New Roman" w:hAnsi="Times New Roman" w:cs="Times New Roman"/>
          <w:i/>
          <w:iCs/>
          <w:sz w:val="24"/>
          <w:szCs w:val="24"/>
          <w:lang w:eastAsia="en-GB"/>
        </w:rPr>
        <w:t xml:space="preserve"> et al. (2007); Qureshi et al. (2024).</w:t>
      </w:r>
    </w:p>
    <w:p w14:paraId="6B80AA7A"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5. Characterisation Techniques</w:t>
      </w:r>
    </w:p>
    <w:p w14:paraId="42190C05"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Comprehensive characterisation of finished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typically proceeds across several complementary dimensions, summarised in Table 3 and discussed in turn below. Particle size and morphology are most commonly assessed by scanning electron microscopy, which reveals the characteristic spherical, porous surface topology and allows visual confirmation of successful pore formation, supplemented by laser diffraction or dynamic light scattering for quantitative particle size distribution. Zeta potential measurement provides an indication of surface charge and, indirectly, of colloidal stability, which is of particular relevance when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are subsequently dispersed in an aqueous gel base for topical application. Differential scanning calorimetry and powder X-ray diffraction are used jointly to establish the physical state of the entrapped drug, distinguishing between a crystalline dispersion, an amorphous solid dispersion and a true molecular-level inclusion complex, the last being especially relevant for cyclodextrin-based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in which host-guest complexation is a principal loading mechanism (</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xml:space="preserve"> et al., 2024). Fourier-transform infrared spectroscopy is routinely employed to confirm the absence of unwanted chemical interaction between drug and polymer, while more advanced spectroscopic and scattering techniques, including nuclear magnetic resonance, inelastic neutron scattering and small-angle neutron scattering, have begun to be applied to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systems to resolve structure-property relationships at a level of detail not previously accessible (</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xml:space="preserve"> et al., 2025).</w:t>
      </w:r>
    </w:p>
    <w:p w14:paraId="55EF05D7"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Functional characterisation centres on entrapment or encapsulation efficiency, generally determined by disrupting a known mass of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and quantifying released drug by high-performance liquid chromatography or ultraviolet spectrophotometry, and on in vitro drug release, most often studied using a modified Franz diffusion cell for topical formulations or dissolution apparatus for oral products, with release data subsequently fitted to kinetic models such as zero-order, first-order, Higuchi and Korsmeyer-Peppas equations to infer the </w:t>
      </w:r>
      <w:r w:rsidRPr="00B52D07">
        <w:rPr>
          <w:rFonts w:ascii="Times New Roman" w:eastAsia="Times New Roman" w:hAnsi="Times New Roman" w:cs="Times New Roman"/>
          <w:sz w:val="24"/>
          <w:szCs w:val="24"/>
          <w:lang w:eastAsia="en-GB"/>
        </w:rPr>
        <w:lastRenderedPageBreak/>
        <w:t xml:space="preserve">dominant release mechanism. Production yield, bulk and tapped density, and flow properties are additionally reported where the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are intended for incorporation into solid oral dosage forms such as capsules or compressed tablets (Qureshi et al., 2024).</w:t>
      </w:r>
    </w:p>
    <w:p w14:paraId="4DBFE3C5"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b/>
          <w:bCs/>
          <w:sz w:val="24"/>
          <w:szCs w:val="24"/>
          <w:lang w:eastAsia="en-GB"/>
        </w:rPr>
        <w:t xml:space="preserve">Table 3. Principal analytical techniques used in </w:t>
      </w:r>
      <w:proofErr w:type="spellStart"/>
      <w:r w:rsidRPr="00B52D07">
        <w:rPr>
          <w:rFonts w:ascii="Times New Roman" w:eastAsia="Times New Roman" w:hAnsi="Times New Roman" w:cs="Times New Roman"/>
          <w:b/>
          <w:bCs/>
          <w:sz w:val="24"/>
          <w:szCs w:val="24"/>
          <w:lang w:eastAsia="en-GB"/>
        </w:rPr>
        <w:t>microsponge</w:t>
      </w:r>
      <w:proofErr w:type="spellEnd"/>
      <w:r w:rsidRPr="00B52D07">
        <w:rPr>
          <w:rFonts w:ascii="Times New Roman" w:eastAsia="Times New Roman" w:hAnsi="Times New Roman" w:cs="Times New Roman"/>
          <w:b/>
          <w:bCs/>
          <w:sz w:val="24"/>
          <w:szCs w:val="24"/>
          <w:lang w:eastAsia="en-GB"/>
        </w:rPr>
        <w:t xml:space="preserve"> characterisation</w:t>
      </w:r>
    </w:p>
    <w:tbl>
      <w:tblPr>
        <w:tblStyle w:val="TableGrid"/>
        <w:tblW w:w="0" w:type="auto"/>
        <w:tblLook w:val="04A0" w:firstRow="1" w:lastRow="0" w:firstColumn="1" w:lastColumn="0" w:noHBand="0" w:noVBand="1"/>
      </w:tblPr>
      <w:tblGrid>
        <w:gridCol w:w="3188"/>
        <w:gridCol w:w="2867"/>
        <w:gridCol w:w="3187"/>
      </w:tblGrid>
      <w:tr w:rsidR="00B52D07" w:rsidRPr="00B52D07" w14:paraId="1E753554" w14:textId="77777777" w:rsidTr="00B52D07">
        <w:tc>
          <w:tcPr>
            <w:tcW w:w="0" w:type="auto"/>
            <w:hideMark/>
          </w:tcPr>
          <w:p w14:paraId="5591CE2A"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Attribute assessed</w:t>
            </w:r>
          </w:p>
        </w:tc>
        <w:tc>
          <w:tcPr>
            <w:tcW w:w="0" w:type="auto"/>
            <w:hideMark/>
          </w:tcPr>
          <w:p w14:paraId="559EF3AE"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Primary technique(s)</w:t>
            </w:r>
          </w:p>
        </w:tc>
        <w:tc>
          <w:tcPr>
            <w:tcW w:w="0" w:type="auto"/>
            <w:hideMark/>
          </w:tcPr>
          <w:p w14:paraId="4DF72C8E"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Complementary technique(s)</w:t>
            </w:r>
          </w:p>
        </w:tc>
      </w:tr>
      <w:tr w:rsidR="00B52D07" w:rsidRPr="00B52D07" w14:paraId="7B548E64" w14:textId="77777777" w:rsidTr="00B52D07">
        <w:tc>
          <w:tcPr>
            <w:tcW w:w="0" w:type="auto"/>
            <w:hideMark/>
          </w:tcPr>
          <w:p w14:paraId="118BA705"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Particle size and morphology</w:t>
            </w:r>
          </w:p>
        </w:tc>
        <w:tc>
          <w:tcPr>
            <w:tcW w:w="0" w:type="auto"/>
            <w:hideMark/>
          </w:tcPr>
          <w:p w14:paraId="35931394"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Scanning electron microscopy</w:t>
            </w:r>
          </w:p>
        </w:tc>
        <w:tc>
          <w:tcPr>
            <w:tcW w:w="0" w:type="auto"/>
            <w:hideMark/>
          </w:tcPr>
          <w:p w14:paraId="6662E769"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Laser diffraction, dynamic light scattering</w:t>
            </w:r>
          </w:p>
        </w:tc>
      </w:tr>
      <w:tr w:rsidR="00B52D07" w:rsidRPr="00B52D07" w14:paraId="1E76E13F" w14:textId="77777777" w:rsidTr="00B52D07">
        <w:tc>
          <w:tcPr>
            <w:tcW w:w="0" w:type="auto"/>
            <w:hideMark/>
          </w:tcPr>
          <w:p w14:paraId="75E79E11"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Surface charge/colloidal stability</w:t>
            </w:r>
          </w:p>
        </w:tc>
        <w:tc>
          <w:tcPr>
            <w:tcW w:w="0" w:type="auto"/>
            <w:hideMark/>
          </w:tcPr>
          <w:p w14:paraId="51A7E93C"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Zeta potential measurement</w:t>
            </w:r>
          </w:p>
        </w:tc>
        <w:tc>
          <w:tcPr>
            <w:tcW w:w="0" w:type="auto"/>
            <w:hideMark/>
          </w:tcPr>
          <w:p w14:paraId="31AB94C4"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w:t>
            </w:r>
          </w:p>
        </w:tc>
      </w:tr>
      <w:tr w:rsidR="00B52D07" w:rsidRPr="00B52D07" w14:paraId="731033C7" w14:textId="77777777" w:rsidTr="00B52D07">
        <w:tc>
          <w:tcPr>
            <w:tcW w:w="0" w:type="auto"/>
            <w:hideMark/>
          </w:tcPr>
          <w:p w14:paraId="51ABF0A6"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Physical state of entrapped drug</w:t>
            </w:r>
          </w:p>
        </w:tc>
        <w:tc>
          <w:tcPr>
            <w:tcW w:w="0" w:type="auto"/>
            <w:hideMark/>
          </w:tcPr>
          <w:p w14:paraId="4C3BE413"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Differential scanning calorimetry</w:t>
            </w:r>
          </w:p>
        </w:tc>
        <w:tc>
          <w:tcPr>
            <w:tcW w:w="0" w:type="auto"/>
            <w:hideMark/>
          </w:tcPr>
          <w:p w14:paraId="30A98997"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Powder X-ray diffraction</w:t>
            </w:r>
          </w:p>
        </w:tc>
      </w:tr>
      <w:tr w:rsidR="00B52D07" w:rsidRPr="00B52D07" w14:paraId="69D9933C" w14:textId="77777777" w:rsidTr="00B52D07">
        <w:tc>
          <w:tcPr>
            <w:tcW w:w="0" w:type="auto"/>
            <w:hideMark/>
          </w:tcPr>
          <w:p w14:paraId="4F9F55E6"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Drug-polymer interaction</w:t>
            </w:r>
          </w:p>
        </w:tc>
        <w:tc>
          <w:tcPr>
            <w:tcW w:w="0" w:type="auto"/>
            <w:hideMark/>
          </w:tcPr>
          <w:p w14:paraId="2EAF3518"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Fourier-transform infrared spectroscopy</w:t>
            </w:r>
          </w:p>
        </w:tc>
        <w:tc>
          <w:tcPr>
            <w:tcW w:w="0" w:type="auto"/>
            <w:hideMark/>
          </w:tcPr>
          <w:p w14:paraId="129499B6"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Nuclear magnetic resonance</w:t>
            </w:r>
          </w:p>
        </w:tc>
      </w:tr>
      <w:tr w:rsidR="00B52D07" w:rsidRPr="00B52D07" w14:paraId="0D4509AC" w14:textId="77777777" w:rsidTr="00B52D07">
        <w:tc>
          <w:tcPr>
            <w:tcW w:w="0" w:type="auto"/>
            <w:hideMark/>
          </w:tcPr>
          <w:p w14:paraId="5AF266DF"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Nanostructure and dynamics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w:t>
            </w:r>
          </w:p>
        </w:tc>
        <w:tc>
          <w:tcPr>
            <w:tcW w:w="0" w:type="auto"/>
            <w:hideMark/>
          </w:tcPr>
          <w:p w14:paraId="20615F71"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Small-angle neutron scattering</w:t>
            </w:r>
          </w:p>
        </w:tc>
        <w:tc>
          <w:tcPr>
            <w:tcW w:w="0" w:type="auto"/>
            <w:hideMark/>
          </w:tcPr>
          <w:p w14:paraId="52973124"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Inelastic neutron scattering, Brillouin light scattering</w:t>
            </w:r>
          </w:p>
        </w:tc>
      </w:tr>
      <w:tr w:rsidR="00B52D07" w:rsidRPr="00B52D07" w14:paraId="7185597B" w14:textId="77777777" w:rsidTr="00B52D07">
        <w:tc>
          <w:tcPr>
            <w:tcW w:w="0" w:type="auto"/>
            <w:hideMark/>
          </w:tcPr>
          <w:p w14:paraId="2C90CBED"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Entrapment/encapsulation efficiency</w:t>
            </w:r>
          </w:p>
        </w:tc>
        <w:tc>
          <w:tcPr>
            <w:tcW w:w="0" w:type="auto"/>
            <w:hideMark/>
          </w:tcPr>
          <w:p w14:paraId="49EBFEAA"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High-performance liquid chromatography</w:t>
            </w:r>
          </w:p>
        </w:tc>
        <w:tc>
          <w:tcPr>
            <w:tcW w:w="0" w:type="auto"/>
            <w:hideMark/>
          </w:tcPr>
          <w:p w14:paraId="7D95A91B"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Ultraviolet-visible spectrophotometry</w:t>
            </w:r>
          </w:p>
        </w:tc>
      </w:tr>
      <w:tr w:rsidR="00B52D07" w:rsidRPr="00B52D07" w14:paraId="38E85760" w14:textId="77777777" w:rsidTr="00B52D07">
        <w:tc>
          <w:tcPr>
            <w:tcW w:w="0" w:type="auto"/>
            <w:hideMark/>
          </w:tcPr>
          <w:p w14:paraId="23C6BA72"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Drug release kinetics</w:t>
            </w:r>
          </w:p>
        </w:tc>
        <w:tc>
          <w:tcPr>
            <w:tcW w:w="0" w:type="auto"/>
            <w:hideMark/>
          </w:tcPr>
          <w:p w14:paraId="19EB7D82"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Franz diffusion cell (topical); dissolution apparatus (oral)</w:t>
            </w:r>
          </w:p>
        </w:tc>
        <w:tc>
          <w:tcPr>
            <w:tcW w:w="0" w:type="auto"/>
            <w:hideMark/>
          </w:tcPr>
          <w:p w14:paraId="7A3AB2C0"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Kinetic model fitting (zero-order, Higuchi, Korsmeyer-Peppas)</w:t>
            </w:r>
          </w:p>
        </w:tc>
      </w:tr>
    </w:tbl>
    <w:p w14:paraId="446CDFCE"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i/>
          <w:iCs/>
          <w:sz w:val="24"/>
          <w:szCs w:val="24"/>
          <w:lang w:eastAsia="en-GB"/>
        </w:rPr>
        <w:t xml:space="preserve">Sources: </w:t>
      </w:r>
      <w:proofErr w:type="spellStart"/>
      <w:r w:rsidRPr="00B52D07">
        <w:rPr>
          <w:rFonts w:ascii="Times New Roman" w:eastAsia="Times New Roman" w:hAnsi="Times New Roman" w:cs="Times New Roman"/>
          <w:i/>
          <w:iCs/>
          <w:sz w:val="24"/>
          <w:szCs w:val="24"/>
          <w:lang w:eastAsia="en-GB"/>
        </w:rPr>
        <w:t>Pyrak</w:t>
      </w:r>
      <w:proofErr w:type="spellEnd"/>
      <w:r w:rsidRPr="00B52D07">
        <w:rPr>
          <w:rFonts w:ascii="Times New Roman" w:eastAsia="Times New Roman" w:hAnsi="Times New Roman" w:cs="Times New Roman"/>
          <w:i/>
          <w:iCs/>
          <w:sz w:val="24"/>
          <w:szCs w:val="24"/>
          <w:lang w:eastAsia="en-GB"/>
        </w:rPr>
        <w:t xml:space="preserve"> et al. (2024); </w:t>
      </w:r>
      <w:proofErr w:type="spellStart"/>
      <w:r w:rsidRPr="00B52D07">
        <w:rPr>
          <w:rFonts w:ascii="Times New Roman" w:eastAsia="Times New Roman" w:hAnsi="Times New Roman" w:cs="Times New Roman"/>
          <w:i/>
          <w:iCs/>
          <w:sz w:val="24"/>
          <w:szCs w:val="24"/>
          <w:lang w:eastAsia="en-GB"/>
        </w:rPr>
        <w:t>Pyrak</w:t>
      </w:r>
      <w:proofErr w:type="spellEnd"/>
      <w:r w:rsidRPr="00B52D07">
        <w:rPr>
          <w:rFonts w:ascii="Times New Roman" w:eastAsia="Times New Roman" w:hAnsi="Times New Roman" w:cs="Times New Roman"/>
          <w:i/>
          <w:iCs/>
          <w:sz w:val="24"/>
          <w:szCs w:val="24"/>
          <w:lang w:eastAsia="en-GB"/>
        </w:rPr>
        <w:t xml:space="preserve"> et al. (2025); Qureshi et al. (2024).</w:t>
      </w:r>
    </w:p>
    <w:p w14:paraId="1FD2CB30"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6. Mechanisms of Drug Release</w:t>
      </w:r>
    </w:p>
    <w:p w14:paraId="74C9B2BF"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Drug release from an intact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proceeds principally by diffusion of the entrapped molecule through the interconnected pore network toward the particle surface, a process whose rate depends on pore tortuosity, polymer wall thickness and the physicochemical compatibility between drug and polymer. Superimposed on this baseline diffusional release are several trigger mechanisms that can be exploited to achieve site- or stimulus-specific delivery. Pressure-triggered release occurs when mechanical force, such as that applied when a topical formulation is rubbed onto the skin, ruptures surface pores and expels entrapped drug, a mechanism of particular relevance to dermatological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gels. Temperature-triggered release exploits the melting or softening of low-melting-point components incorporated into the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wall, permitting drug liberation to be accelerated at skin temperature relative to storage conditions. pH-triggered release is achieved by selecting polymers, most commonly Eudragit S100 or Eudragit L100, that remain intact in the acidic environment of the stomach but dissolve as luminal pH rises through the small intestine and into the colon, a strategy that underpins the majority of colon-targeted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formulations discussed in Section 7.3 (Sher et al., 2022). Solubility-triggered release, finally, depends simply on the dissolution of the surrounding vehicle or matrix, releasing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into the local fluid environment where diffusional release then predominates.</w:t>
      </w:r>
    </w:p>
    <w:p w14:paraId="78DB4012"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For cyclodextrin-based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an additional release-controlling variable arises from the equilibrium between complexed and free drug within the cyclodextrin cavity itself; competitive displacement by endogenous molecules, or dilution-driven shifts in the complexation equilibrium following administration, can accelerate release beyond what pore </w:t>
      </w:r>
      <w:r w:rsidRPr="00B52D07">
        <w:rPr>
          <w:rFonts w:ascii="Times New Roman" w:eastAsia="Times New Roman" w:hAnsi="Times New Roman" w:cs="Times New Roman"/>
          <w:sz w:val="24"/>
          <w:szCs w:val="24"/>
          <w:lang w:eastAsia="en-GB"/>
        </w:rPr>
        <w:lastRenderedPageBreak/>
        <w:t>diffusion alone would predict, a phenomenon that has been characterised in detail through systematic physicochemical studies of loading and release kinetics (</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xml:space="preserve"> et al., 2024). Understanding which of these mechanisms predominates in a given formulation is not merely of academic interest, since it directly informs excipient selection, storage conditions and the clinical claims that can reasonably be made for a finished product.</w:t>
      </w:r>
    </w:p>
    <w:p w14:paraId="0E35E7F4"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7. Therapeutic Applications</w:t>
      </w:r>
    </w:p>
    <w:p w14:paraId="45104765"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7.1 Dermatological and cosmetic applications</w:t>
      </w:r>
    </w:p>
    <w:p w14:paraId="1C8FB9AC"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Dermatology remains the therapeutic area in which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technology has achieved the greatest clinical and commercial maturity, and it is here that the strongest randomised clinical trial evidence now exists. Two identical, multicentre, double-blind, vehicle-controlled phase 3 trials evaluated a once-daily cream combining microencapsulated benzoyl peroxide at 3 per cent with microencapsulated tretinoin at 0.1 per cent in subjects aged nine years and older with moderate to severe acne vulgaris; the active formulation was significantly superior to vehicle on the Investigator's Global Assessment success measure in both studies, and the reduction in inflammatory lesion count was likewise significantly greater with active treatment (Del Rosso et al., 2023). The rationale for microencapsulation in this indication is specific and mechanistically well understood: benzoyl peroxide and tretinoin are chemically incompatible in a single unencapsulated formulation, since benzoyl peroxide catalyses the oxidative degradation of tretinoin, and separate encapsulation of each active within a protective shell prevents this interaction while simultaneously moderating the rate of release to reduce cutaneous irritation, one of the principal reasons for treatment discontinuation with conventional acne therapy. This clinical benefit sits on foundations laid by earlier morphology work on benzoyl peroxide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which established how closely release-relevant surface porosity depends on manufacturing conditions (</w:t>
      </w:r>
      <w:proofErr w:type="spellStart"/>
      <w:r w:rsidRPr="00B52D07">
        <w:rPr>
          <w:rFonts w:ascii="Times New Roman" w:eastAsia="Times New Roman" w:hAnsi="Times New Roman" w:cs="Times New Roman"/>
          <w:sz w:val="24"/>
          <w:szCs w:val="24"/>
          <w:lang w:eastAsia="en-GB"/>
        </w:rPr>
        <w:t>Nokhodchi</w:t>
      </w:r>
      <w:proofErr w:type="spellEnd"/>
      <w:r w:rsidRPr="00B52D07">
        <w:rPr>
          <w:rFonts w:ascii="Times New Roman" w:eastAsia="Times New Roman" w:hAnsi="Times New Roman" w:cs="Times New Roman"/>
          <w:sz w:val="24"/>
          <w:szCs w:val="24"/>
          <w:lang w:eastAsia="en-GB"/>
        </w:rPr>
        <w:t xml:space="preserve"> et al., 2007). Building on this evidence, the 2024 American Academy of Dermatology guideline for the management of acne vulgaris identifies benzoyl peroxide and topical retinoids, including microencapsulated formulations, among the interventions supported by a strong recommendation (Reynolds et al., 2024).</w:t>
      </w:r>
    </w:p>
    <w:p w14:paraId="50D2B601"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Complementing this clinical evidence, a substantial preclinical and formulation literature has continued to expand the range of dermatological actives explored in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form. An optimised adapalene </w:t>
      </w:r>
      <w:proofErr w:type="spellStart"/>
      <w:r w:rsidRPr="00B52D07">
        <w:rPr>
          <w:rFonts w:ascii="Times New Roman" w:eastAsia="Times New Roman" w:hAnsi="Times New Roman" w:cs="Times New Roman"/>
          <w:sz w:val="24"/>
          <w:szCs w:val="24"/>
          <w:lang w:eastAsia="en-GB"/>
        </w:rPr>
        <w:t>microspongeal</w:t>
      </w:r>
      <w:proofErr w:type="spellEnd"/>
      <w:r w:rsidRPr="00B52D07">
        <w:rPr>
          <w:rFonts w:ascii="Times New Roman" w:eastAsia="Times New Roman" w:hAnsi="Times New Roman" w:cs="Times New Roman"/>
          <w:sz w:val="24"/>
          <w:szCs w:val="24"/>
          <w:lang w:eastAsia="en-GB"/>
        </w:rPr>
        <w:t xml:space="preserve"> gel demonstrated superior pilosebaceous unit retention and reduced cutaneous irritation relative to conventional adapalene gel in combined in vitro, in vivo and clinical evaluation, reinforcing the broader principle that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entrapment of retinoids can decouple efficacy from surface irritancy (Yehia et al., 2024). Anti-inflammatory and antioxidant botanical actives have likewise been explored, exemplified by baicalin-loaded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developed and evaluated for topical anti-inflammatory activity (Li et al., 2024), while dithranol, a long-standing but poorly tolerated topical therapy for psoriasis, has been successfully entrapped within beta-cyclodextrin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prepared by both solvent evaporation and melt techniques, with the resulting formulations showing improved photostability and antioxidant retention relative to the free drug (Kadian, Dalal, Kumar, Kapoor, &amp; Rao, 2023).</w:t>
      </w:r>
    </w:p>
    <w:p w14:paraId="3E9D18E2"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Musculoskeletal indications have formed a second recurring theme in the dermatological and transdermal literature. Diclofenac sodium, a widely used non-steroidal anti-inflammatory drug, has been incorporated into xanthan-gum-facilitated ethyl cellulose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specifically to achieve controlled percutaneous delivery for arthritic pain, an approach </w:t>
      </w:r>
      <w:r w:rsidRPr="00B52D07">
        <w:rPr>
          <w:rFonts w:ascii="Times New Roman" w:eastAsia="Times New Roman" w:hAnsi="Times New Roman" w:cs="Times New Roman"/>
          <w:sz w:val="24"/>
          <w:szCs w:val="24"/>
          <w:lang w:eastAsia="en-GB"/>
        </w:rPr>
        <w:lastRenderedPageBreak/>
        <w:t xml:space="preserve">intended to reduce the gastrointestinal burden associated with oral non-steroidal anti-inflammatory therapy (Maiti, Kaity, Ray, &amp; Sa, 2011). Comparable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platforms have since been developed and evaluated in the context of augmented arthritis therapy more broadly (Osmani et al., 2015) and, most recently, reviewed specifically for their role in the management of osteoarthritis, where sustained local drug delivery is seen as a means of limiting systemic exposure in an older patient population already prone to polypharmacy (Sen, Sharma, Kriplani, &amp; </w:t>
      </w:r>
      <w:proofErr w:type="spellStart"/>
      <w:r w:rsidRPr="00B52D07">
        <w:rPr>
          <w:rFonts w:ascii="Times New Roman" w:eastAsia="Times New Roman" w:hAnsi="Times New Roman" w:cs="Times New Roman"/>
          <w:sz w:val="24"/>
          <w:szCs w:val="24"/>
          <w:lang w:eastAsia="en-GB"/>
        </w:rPr>
        <w:t>Guarve</w:t>
      </w:r>
      <w:proofErr w:type="spellEnd"/>
      <w:r w:rsidRPr="00B52D07">
        <w:rPr>
          <w:rFonts w:ascii="Times New Roman" w:eastAsia="Times New Roman" w:hAnsi="Times New Roman" w:cs="Times New Roman"/>
          <w:sz w:val="24"/>
          <w:szCs w:val="24"/>
          <w:lang w:eastAsia="en-GB"/>
        </w:rPr>
        <w:t xml:space="preserve">, 2023). A further, longstanding application lies in photoprotection, where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entrapment of ultraviolet filters such as oxybenzone has been used to improve the tolerability and cosmetic feel of sunscreen gels while sustaining the local release needed for effective protection (Pawar, Gholap, </w:t>
      </w:r>
      <w:proofErr w:type="spellStart"/>
      <w:r w:rsidRPr="00B52D07">
        <w:rPr>
          <w:rFonts w:ascii="Times New Roman" w:eastAsia="Times New Roman" w:hAnsi="Times New Roman" w:cs="Times New Roman"/>
          <w:sz w:val="24"/>
          <w:szCs w:val="24"/>
          <w:lang w:eastAsia="en-GB"/>
        </w:rPr>
        <w:t>Kuchekar</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Bothiraja</w:t>
      </w:r>
      <w:proofErr w:type="spellEnd"/>
      <w:r w:rsidRPr="00B52D07">
        <w:rPr>
          <w:rFonts w:ascii="Times New Roman" w:eastAsia="Times New Roman" w:hAnsi="Times New Roman" w:cs="Times New Roman"/>
          <w:sz w:val="24"/>
          <w:szCs w:val="24"/>
          <w:lang w:eastAsia="en-GB"/>
        </w:rPr>
        <w:t xml:space="preserve">, &amp; Mali, 2015), a use that echoes the technology's original commercial introduction in cosmetic and over-the-counter products. Not every claim made for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-based topical delivery over the years has translated into robust clinical outcome data, but the accumulated evidence across acne, psoriasis, arthritic pain and photoprotection points consistently to reduced irritation and improved local tolerability as the technology's most reliably demonstrated benefit (Zhao et al., 2024).</w:t>
      </w:r>
    </w:p>
    <w:p w14:paraId="2BD06BBF"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 xml:space="preserve">7.2 Oral and </w:t>
      </w:r>
      <w:proofErr w:type="spellStart"/>
      <w:r w:rsidRPr="00B52D07">
        <w:rPr>
          <w:rFonts w:ascii="Times New Roman" w:eastAsia="Times New Roman" w:hAnsi="Times New Roman" w:cs="Times New Roman"/>
          <w:b/>
          <w:bCs/>
          <w:sz w:val="24"/>
          <w:szCs w:val="24"/>
          <w:lang w:eastAsia="en-GB"/>
        </w:rPr>
        <w:t>gastroretentive</w:t>
      </w:r>
      <w:proofErr w:type="spellEnd"/>
      <w:r w:rsidRPr="00B52D07">
        <w:rPr>
          <w:rFonts w:ascii="Times New Roman" w:eastAsia="Times New Roman" w:hAnsi="Times New Roman" w:cs="Times New Roman"/>
          <w:b/>
          <w:bCs/>
          <w:sz w:val="24"/>
          <w:szCs w:val="24"/>
          <w:lang w:eastAsia="en-GB"/>
        </w:rPr>
        <w:t xml:space="preserve"> delivery</w:t>
      </w:r>
    </w:p>
    <w:p w14:paraId="75C24976"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Beyond the skin,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have been adapted for oral administration in two principal configurations: as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xml:space="preserve"> floating systems designed to prolong residence time in the stomach for drugs with a narrow absorption window in the upper gastrointestinal tract, and as conventional oral controlled-release carriers intended to smooth the plasma concentration profile of drugs with a short elimination half-life. A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formulation of </w:t>
      </w:r>
      <w:proofErr w:type="spellStart"/>
      <w:r w:rsidRPr="00B52D07">
        <w:rPr>
          <w:rFonts w:ascii="Times New Roman" w:eastAsia="Times New Roman" w:hAnsi="Times New Roman" w:cs="Times New Roman"/>
          <w:sz w:val="24"/>
          <w:szCs w:val="24"/>
          <w:lang w:eastAsia="en-GB"/>
        </w:rPr>
        <w:t>mitiglinide</w:t>
      </w:r>
      <w:proofErr w:type="spellEnd"/>
      <w:r w:rsidRPr="00B52D07">
        <w:rPr>
          <w:rFonts w:ascii="Times New Roman" w:eastAsia="Times New Roman" w:hAnsi="Times New Roman" w:cs="Times New Roman"/>
          <w:sz w:val="24"/>
          <w:szCs w:val="24"/>
          <w:lang w:eastAsia="en-GB"/>
        </w:rPr>
        <w:t xml:space="preserve"> calcium, an antidiabetic agent normally requiring frequent dosing because of its rapid absorption and short half-life, achieved prolonged gastric residence and sustained plasma exposure in pharmacokinetic evaluation, illustrating the potential of the approach to reduce dosing frequency in chronic metabolic disease (Mahmoud, Shukr, &amp; </w:t>
      </w:r>
      <w:proofErr w:type="spellStart"/>
      <w:r w:rsidRPr="00B52D07">
        <w:rPr>
          <w:rFonts w:ascii="Times New Roman" w:eastAsia="Times New Roman" w:hAnsi="Times New Roman" w:cs="Times New Roman"/>
          <w:sz w:val="24"/>
          <w:szCs w:val="24"/>
          <w:lang w:eastAsia="en-GB"/>
        </w:rPr>
        <w:t>ElMeshad</w:t>
      </w:r>
      <w:proofErr w:type="spellEnd"/>
      <w:r w:rsidRPr="00B52D07">
        <w:rPr>
          <w:rFonts w:ascii="Times New Roman" w:eastAsia="Times New Roman" w:hAnsi="Times New Roman" w:cs="Times New Roman"/>
          <w:sz w:val="24"/>
          <w:szCs w:val="24"/>
          <w:lang w:eastAsia="en-GB"/>
        </w:rPr>
        <w:t xml:space="preserve">, 2018). Carbamazepine, an antiepileptic drug whose oral bioavailability is compromised by variable supersaturation and subsequent conversion to a less soluble dihydrate form following administration of conventional rapidly dissolving formulations, has similarly been reformulated as an ethyl cellulose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using the quasi-emulsion solvent diffusion technique, yielding sustained release and improved, more consistent oral bioavailability relative to the unformulated drug (Abdalla, Osman, Nouh, &amp; El Maghraby, 2021). These oral applications depend on the same fundamental structural properties, namely acid stability and controlled pore-mediated diffusion, that underpin the technology's dermatological use, but they additionally require attention to gastrointestinal transit dynamics and, where floating systems are used, to the density and buoyancy characteristics of the finished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w:t>
      </w:r>
    </w:p>
    <w:p w14:paraId="39893438"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7.3 Colon-targeted delivery</w:t>
      </w:r>
    </w:p>
    <w:p w14:paraId="5FA52807"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Colon-specific drug delivery presents a distinct pharmaceutical challenge, requiring a formulation that survives the acidic environment of the stomach and the enzymatically active small intestine essentially intact before releasing its payload selectively within the colon, whether for local treatment of inflammatory bowel disease or for systemic absorption of drugs, such as certain peptides, that are otherwise degraded before reaching the lower gastrointestinal tract (McCoubrey et al., 2023).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coated with, or constructed from, pH-dependent polymers such as Eudragit S100, which remains insoluble below approximately pH 7 and dissolves as luminal pH rises through the terminal ileum and colon, have been used to achieve this selectivity. One of the earlier and still frequently cited </w:t>
      </w:r>
      <w:r w:rsidRPr="00B52D07">
        <w:rPr>
          <w:rFonts w:ascii="Times New Roman" w:eastAsia="Times New Roman" w:hAnsi="Times New Roman" w:cs="Times New Roman"/>
          <w:sz w:val="24"/>
          <w:szCs w:val="24"/>
          <w:lang w:eastAsia="en-GB"/>
        </w:rPr>
        <w:lastRenderedPageBreak/>
        <w:t xml:space="preserve">demonstrations of this principle involved paracetamol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designed and characterised specifically for colon-specific release, establishing much of the pH-dependent coating rationale that later formulations continue to draw on (Jain &amp; Singh, 2011). A more recent </w:t>
      </w:r>
      <w:proofErr w:type="spellStart"/>
      <w:r w:rsidRPr="00B52D07">
        <w:rPr>
          <w:rFonts w:ascii="Times New Roman" w:eastAsia="Times New Roman" w:hAnsi="Times New Roman" w:cs="Times New Roman"/>
          <w:sz w:val="24"/>
          <w:szCs w:val="24"/>
          <w:lang w:eastAsia="en-GB"/>
        </w:rPr>
        <w:t>hydroxypropylmethylcellulose</w:t>
      </w:r>
      <w:proofErr w:type="spellEnd"/>
      <w:r w:rsidRPr="00B52D07">
        <w:rPr>
          <w:rFonts w:ascii="Times New Roman" w:eastAsia="Times New Roman" w:hAnsi="Times New Roman" w:cs="Times New Roman"/>
          <w:sz w:val="24"/>
          <w:szCs w:val="24"/>
          <w:lang w:eastAsia="en-GB"/>
        </w:rPr>
        <w:t xml:space="preserve">-dicyclomine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system, prepared by quasi-emulsion solvent diffusion and evaluated in both in vitro release studies and an in vivo rabbit pharmacokinetic model, demonstrated pH-dependent drug release consistent with colon targeting and produced measurable improvements in oral bioavailability compared with standard dicyclomine administration (Sher et al., 2022). This colon-targeting strategy sits within a broader landscape of colonic drug delivery approaches, which continues to attract substantial pharmaceutical research investment given the therapeutic opportunities presented by local treatment of inflammatory bowel disease and other colonic pathologies (McCoubrey et al., 2023), and curcumin-loaded colon-targeted formulations, though not exclusively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-based, illustrate the parallel development of natural-product colon-targeted delivery systems for inflammatory bowel disease that share much of the same pH-dependent design logic (Sardou et al., 2023).</w:t>
      </w:r>
    </w:p>
    <w:p w14:paraId="5DFD6CA8"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7.4 Ocular delivery</w:t>
      </w:r>
    </w:p>
    <w:p w14:paraId="5E3E5A3F"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Ocular administration is characterised by rapid precorneal clearance through tear turnover and nasolacrimal drainage, which together limit the residence time, and therefore the effective bioavailability, of conventional eye drop formulations to a small fraction of the instilled dose.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-based systems, typically incorporated into an in situ gelling vehicle that undergoes a sol-to-gel phase transition upon contact with the ocular surface, have been explored as a means of extending precorneal residence time while providing sustained drug release from the entrapped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reservoir, an approach that recent reviews of the field identify alongside dermatological and oral delivery as one of the more actively expanding applications of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technology (</w:t>
      </w:r>
      <w:proofErr w:type="spellStart"/>
      <w:r w:rsidRPr="00B52D07">
        <w:rPr>
          <w:rFonts w:ascii="Times New Roman" w:eastAsia="Times New Roman" w:hAnsi="Times New Roman" w:cs="Times New Roman"/>
          <w:sz w:val="24"/>
          <w:szCs w:val="24"/>
          <w:lang w:eastAsia="en-GB"/>
        </w:rPr>
        <w:t>Biharee</w:t>
      </w:r>
      <w:proofErr w:type="spellEnd"/>
      <w:r w:rsidRPr="00B52D07">
        <w:rPr>
          <w:rFonts w:ascii="Times New Roman" w:eastAsia="Times New Roman" w:hAnsi="Times New Roman" w:cs="Times New Roman"/>
          <w:sz w:val="24"/>
          <w:szCs w:val="24"/>
          <w:lang w:eastAsia="en-GB"/>
        </w:rPr>
        <w:t xml:space="preserve"> et al., 2023; Qureshi et al., 2024). The combination of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entrapment with an in situ gelling matrix appears mechanistically complementary, since the gel phase transition addresses precorneal residence while the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itself governs the sustained-release profile of the entrapped active, a two-tier control strategy that has clear parallels with the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xml:space="preserve"> oral systems discussed in Section 7.2.</w:t>
      </w:r>
    </w:p>
    <w:p w14:paraId="19190E56" w14:textId="77777777" w:rsidR="00B52D07" w:rsidRPr="00B52D07" w:rsidRDefault="00B52D07" w:rsidP="00B52D0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 xml:space="preserve">7.5 Oncology and the </w:t>
      </w:r>
      <w:proofErr w:type="spellStart"/>
      <w:r w:rsidRPr="00B52D07">
        <w:rPr>
          <w:rFonts w:ascii="Times New Roman" w:eastAsia="Times New Roman" w:hAnsi="Times New Roman" w:cs="Times New Roman"/>
          <w:b/>
          <w:bCs/>
          <w:sz w:val="24"/>
          <w:szCs w:val="24"/>
          <w:lang w:eastAsia="en-GB"/>
        </w:rPr>
        <w:t>nanosponge</w:t>
      </w:r>
      <w:proofErr w:type="spellEnd"/>
      <w:r w:rsidRPr="00B52D07">
        <w:rPr>
          <w:rFonts w:ascii="Times New Roman" w:eastAsia="Times New Roman" w:hAnsi="Times New Roman" w:cs="Times New Roman"/>
          <w:b/>
          <w:bCs/>
          <w:sz w:val="24"/>
          <w:szCs w:val="24"/>
          <w:lang w:eastAsia="en-GB"/>
        </w:rPr>
        <w:t xml:space="preserve"> extension</w:t>
      </w:r>
    </w:p>
    <w:p w14:paraId="7147BED9"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The scaling of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concepts down to the nanometre range, principally through cyclodextrin-based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has substantially broadened the therapeutic reach of the underlying cross-linked polymer platform into systemic oncology applications inaccessible to the larger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which is generally too large to cross intact biological barriers other than the skin or gastrointestinal mucosa. Cyclodextrin-based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combine the solubilising, host-guest complexation chemistry long associated with simple cyclodextrins with the additional structural and pharmacokinetic advantages conferred by cross-linking into a nanoscale three-dimensional network, including improved drug loading capacity, protection of labile molecular agents from degradation, and, in some formulations, magnetically responsive functionality achieved by associating the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with magnetic nanoparticles to enable externally triggered release (Iravani &amp; Varma, 2022). CRLX101, a cyclodextrin-based </w:t>
      </w:r>
      <w:proofErr w:type="spellStart"/>
      <w:r w:rsidRPr="00B52D07">
        <w:rPr>
          <w:rFonts w:ascii="Times New Roman" w:eastAsia="Times New Roman" w:hAnsi="Times New Roman" w:cs="Times New Roman"/>
          <w:sz w:val="24"/>
          <w:szCs w:val="24"/>
          <w:lang w:eastAsia="en-GB"/>
        </w:rPr>
        <w:t>nanopharmaceutical</w:t>
      </w:r>
      <w:proofErr w:type="spellEnd"/>
      <w:r w:rsidRPr="00B52D07">
        <w:rPr>
          <w:rFonts w:ascii="Times New Roman" w:eastAsia="Times New Roman" w:hAnsi="Times New Roman" w:cs="Times New Roman"/>
          <w:sz w:val="24"/>
          <w:szCs w:val="24"/>
          <w:lang w:eastAsia="en-GB"/>
        </w:rPr>
        <w:t xml:space="preserve"> designed to improve the delivery of the anticancer agent </w:t>
      </w:r>
      <w:proofErr w:type="spellStart"/>
      <w:r w:rsidRPr="00B52D07">
        <w:rPr>
          <w:rFonts w:ascii="Times New Roman" w:eastAsia="Times New Roman" w:hAnsi="Times New Roman" w:cs="Times New Roman"/>
          <w:sz w:val="24"/>
          <w:szCs w:val="24"/>
          <w:lang w:eastAsia="en-GB"/>
        </w:rPr>
        <w:t>camptothecin</w:t>
      </w:r>
      <w:proofErr w:type="spellEnd"/>
      <w:r w:rsidRPr="00B52D07">
        <w:rPr>
          <w:rFonts w:ascii="Times New Roman" w:eastAsia="Times New Roman" w:hAnsi="Times New Roman" w:cs="Times New Roman"/>
          <w:sz w:val="24"/>
          <w:szCs w:val="24"/>
          <w:lang w:eastAsia="en-GB"/>
        </w:rPr>
        <w:t xml:space="preserve">, has been evaluated across multiple clinical trials in patients with advanced or metastatic cancer resistant to standard therapy, and a systematic review of this clinical trial evidence, while noting heterogeneity in trial design and outcome reporting, identified </w:t>
      </w:r>
      <w:r w:rsidRPr="00B52D07">
        <w:rPr>
          <w:rFonts w:ascii="Times New Roman" w:eastAsia="Times New Roman" w:hAnsi="Times New Roman" w:cs="Times New Roman"/>
          <w:sz w:val="24"/>
          <w:szCs w:val="24"/>
          <w:lang w:eastAsia="en-GB"/>
        </w:rPr>
        <w:lastRenderedPageBreak/>
        <w:t xml:space="preserve">improvements in progression-free survival among selected patient populations when CRLX101 was combined with other therapeutic agents (Serrano-Martínez et al., 2023). This trial evidence remains the most mature clinical data available for any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platform and stands in useful contrast to the preclinical formulation work that still characterises most of the wider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oncology literature, underlining how much translational distance separates a promising nanoparticle design from a demonstrated clinical benefit.</w:t>
      </w:r>
    </w:p>
    <w:p w14:paraId="68718137"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The overall therapeutic landscape summarised across Sections 7.1 to 7.5 is drawn together in Table 4, which maps representative actives against delivery objectives and the supporting evidence base discussed above.</w:t>
      </w:r>
    </w:p>
    <w:p w14:paraId="65771AE2"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b/>
          <w:bCs/>
          <w:sz w:val="24"/>
          <w:szCs w:val="24"/>
          <w:lang w:eastAsia="en-GB"/>
        </w:rPr>
        <w:t xml:space="preserve">Table 4. Overview of therapeutic domains and representative </w:t>
      </w:r>
      <w:proofErr w:type="spellStart"/>
      <w:r w:rsidRPr="00B52D07">
        <w:rPr>
          <w:rFonts w:ascii="Times New Roman" w:eastAsia="Times New Roman" w:hAnsi="Times New Roman" w:cs="Times New Roman"/>
          <w:b/>
          <w:bCs/>
          <w:sz w:val="24"/>
          <w:szCs w:val="24"/>
          <w:lang w:eastAsia="en-GB"/>
        </w:rPr>
        <w:t>microsponge</w:t>
      </w:r>
      <w:proofErr w:type="spellEnd"/>
      <w:r w:rsidRPr="00B52D07">
        <w:rPr>
          <w:rFonts w:ascii="Times New Roman" w:eastAsia="Times New Roman" w:hAnsi="Times New Roman" w:cs="Times New Roman"/>
          <w:b/>
          <w:bCs/>
          <w:sz w:val="24"/>
          <w:szCs w:val="24"/>
          <w:lang w:eastAsia="en-GB"/>
        </w:rPr>
        <w:t>/</w:t>
      </w:r>
      <w:proofErr w:type="spellStart"/>
      <w:r w:rsidRPr="00B52D07">
        <w:rPr>
          <w:rFonts w:ascii="Times New Roman" w:eastAsia="Times New Roman" w:hAnsi="Times New Roman" w:cs="Times New Roman"/>
          <w:b/>
          <w:bCs/>
          <w:sz w:val="24"/>
          <w:szCs w:val="24"/>
          <w:lang w:eastAsia="en-GB"/>
        </w:rPr>
        <w:t>nanosponge</w:t>
      </w:r>
      <w:proofErr w:type="spellEnd"/>
      <w:r w:rsidRPr="00B52D07">
        <w:rPr>
          <w:rFonts w:ascii="Times New Roman" w:eastAsia="Times New Roman" w:hAnsi="Times New Roman" w:cs="Times New Roman"/>
          <w:b/>
          <w:bCs/>
          <w:sz w:val="24"/>
          <w:szCs w:val="24"/>
          <w:lang w:eastAsia="en-GB"/>
        </w:rPr>
        <w:t xml:space="preserve"> applications</w:t>
      </w:r>
    </w:p>
    <w:tbl>
      <w:tblPr>
        <w:tblStyle w:val="TableGrid"/>
        <w:tblW w:w="0" w:type="auto"/>
        <w:tblLook w:val="04A0" w:firstRow="1" w:lastRow="0" w:firstColumn="1" w:lastColumn="0" w:noHBand="0" w:noVBand="1"/>
      </w:tblPr>
      <w:tblGrid>
        <w:gridCol w:w="3377"/>
        <w:gridCol w:w="1920"/>
        <w:gridCol w:w="2302"/>
        <w:gridCol w:w="1643"/>
      </w:tblGrid>
      <w:tr w:rsidR="00B52D07" w:rsidRPr="00B52D07" w14:paraId="0BEF97F8" w14:textId="77777777" w:rsidTr="00B52D07">
        <w:tc>
          <w:tcPr>
            <w:tcW w:w="0" w:type="auto"/>
            <w:hideMark/>
          </w:tcPr>
          <w:p w14:paraId="254F2C44"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Therapeutic domain</w:t>
            </w:r>
          </w:p>
        </w:tc>
        <w:tc>
          <w:tcPr>
            <w:tcW w:w="0" w:type="auto"/>
            <w:hideMark/>
          </w:tcPr>
          <w:p w14:paraId="6961F036"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Representative active(s)</w:t>
            </w:r>
          </w:p>
        </w:tc>
        <w:tc>
          <w:tcPr>
            <w:tcW w:w="0" w:type="auto"/>
            <w:hideMark/>
          </w:tcPr>
          <w:p w14:paraId="6D493AB4"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Delivery objective</w:t>
            </w:r>
          </w:p>
        </w:tc>
        <w:tc>
          <w:tcPr>
            <w:tcW w:w="0" w:type="auto"/>
            <w:hideMark/>
          </w:tcPr>
          <w:p w14:paraId="2D5E0B98" w14:textId="77777777" w:rsidR="00B52D07" w:rsidRPr="00B52D07" w:rsidRDefault="00B52D07" w:rsidP="00B52D07">
            <w:pPr>
              <w:jc w:val="center"/>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Key evidence</w:t>
            </w:r>
          </w:p>
        </w:tc>
      </w:tr>
      <w:tr w:rsidR="00B52D07" w:rsidRPr="00B52D07" w14:paraId="7383B935" w14:textId="77777777" w:rsidTr="00B52D07">
        <w:tc>
          <w:tcPr>
            <w:tcW w:w="0" w:type="auto"/>
            <w:hideMark/>
          </w:tcPr>
          <w:p w14:paraId="01A5BF18"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Dermatology/acne</w:t>
            </w:r>
          </w:p>
        </w:tc>
        <w:tc>
          <w:tcPr>
            <w:tcW w:w="0" w:type="auto"/>
            <w:hideMark/>
          </w:tcPr>
          <w:p w14:paraId="4EA09F75"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Benzoyl peroxide, tretinoin, adapalene, baicalin</w:t>
            </w:r>
          </w:p>
        </w:tc>
        <w:tc>
          <w:tcPr>
            <w:tcW w:w="0" w:type="auto"/>
            <w:hideMark/>
          </w:tcPr>
          <w:p w14:paraId="03123E00"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Reduce irritation; prevent chemical incompatibility; sustained topical release</w:t>
            </w:r>
          </w:p>
        </w:tc>
        <w:tc>
          <w:tcPr>
            <w:tcW w:w="0" w:type="auto"/>
            <w:hideMark/>
          </w:tcPr>
          <w:p w14:paraId="6DE1338E"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Del Rosso et al. (2023); Yehia et al. (2024); </w:t>
            </w:r>
            <w:proofErr w:type="spellStart"/>
            <w:r w:rsidRPr="00B52D07">
              <w:rPr>
                <w:rFonts w:ascii="Times New Roman" w:eastAsia="Times New Roman" w:hAnsi="Times New Roman" w:cs="Times New Roman"/>
                <w:sz w:val="24"/>
                <w:szCs w:val="24"/>
                <w:lang w:eastAsia="en-GB"/>
              </w:rPr>
              <w:t>Nokhodchi</w:t>
            </w:r>
            <w:proofErr w:type="spellEnd"/>
            <w:r w:rsidRPr="00B52D07">
              <w:rPr>
                <w:rFonts w:ascii="Times New Roman" w:eastAsia="Times New Roman" w:hAnsi="Times New Roman" w:cs="Times New Roman"/>
                <w:sz w:val="24"/>
                <w:szCs w:val="24"/>
                <w:lang w:eastAsia="en-GB"/>
              </w:rPr>
              <w:t xml:space="preserve"> et al. (2007)</w:t>
            </w:r>
          </w:p>
        </w:tc>
      </w:tr>
      <w:tr w:rsidR="00B52D07" w:rsidRPr="00B52D07" w14:paraId="74AE0F71" w14:textId="77777777" w:rsidTr="00B52D07">
        <w:tc>
          <w:tcPr>
            <w:tcW w:w="0" w:type="auto"/>
            <w:hideMark/>
          </w:tcPr>
          <w:p w14:paraId="1F65294E"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Dermatology/psoriasis</w:t>
            </w:r>
          </w:p>
        </w:tc>
        <w:tc>
          <w:tcPr>
            <w:tcW w:w="0" w:type="auto"/>
            <w:hideMark/>
          </w:tcPr>
          <w:p w14:paraId="06EE6357"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Dithranol</w:t>
            </w:r>
          </w:p>
        </w:tc>
        <w:tc>
          <w:tcPr>
            <w:tcW w:w="0" w:type="auto"/>
            <w:hideMark/>
          </w:tcPr>
          <w:p w14:paraId="0265B775"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Improve stability and photostability; reduce irritation</w:t>
            </w:r>
          </w:p>
        </w:tc>
        <w:tc>
          <w:tcPr>
            <w:tcW w:w="0" w:type="auto"/>
            <w:hideMark/>
          </w:tcPr>
          <w:p w14:paraId="133BB57C"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Kadian et al. (2023)</w:t>
            </w:r>
          </w:p>
        </w:tc>
      </w:tr>
      <w:tr w:rsidR="00B52D07" w:rsidRPr="00B52D07" w14:paraId="7AFE1A05" w14:textId="77777777" w:rsidTr="00B52D07">
        <w:tc>
          <w:tcPr>
            <w:tcW w:w="0" w:type="auto"/>
            <w:hideMark/>
          </w:tcPr>
          <w:p w14:paraId="54935823"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Musculoskeletal/photoprotection</w:t>
            </w:r>
          </w:p>
        </w:tc>
        <w:tc>
          <w:tcPr>
            <w:tcW w:w="0" w:type="auto"/>
            <w:hideMark/>
          </w:tcPr>
          <w:p w14:paraId="33A91ABF"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Diclofenac sodium, oxybenzone</w:t>
            </w:r>
          </w:p>
        </w:tc>
        <w:tc>
          <w:tcPr>
            <w:tcW w:w="0" w:type="auto"/>
            <w:hideMark/>
          </w:tcPr>
          <w:p w14:paraId="7973D7AB"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Sustained percutaneous release; reduced systemic exposure</w:t>
            </w:r>
          </w:p>
        </w:tc>
        <w:tc>
          <w:tcPr>
            <w:tcW w:w="0" w:type="auto"/>
            <w:hideMark/>
          </w:tcPr>
          <w:p w14:paraId="6C25A37E"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Maiti et al. (2011); Osmani et al. (2015); Sen et al. (2023); Pawar et al. (2015)</w:t>
            </w:r>
          </w:p>
        </w:tc>
      </w:tr>
      <w:tr w:rsidR="00B52D07" w:rsidRPr="00B52D07" w14:paraId="4A1AB8DC" w14:textId="77777777" w:rsidTr="00B52D07">
        <w:tc>
          <w:tcPr>
            <w:tcW w:w="0" w:type="auto"/>
            <w:hideMark/>
          </w:tcPr>
          <w:p w14:paraId="01393EC3"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Oral/</w:t>
            </w:r>
            <w:proofErr w:type="spellStart"/>
            <w:r w:rsidRPr="00B52D07">
              <w:rPr>
                <w:rFonts w:ascii="Times New Roman" w:eastAsia="Times New Roman" w:hAnsi="Times New Roman" w:cs="Times New Roman"/>
                <w:sz w:val="24"/>
                <w:szCs w:val="24"/>
                <w:lang w:eastAsia="en-GB"/>
              </w:rPr>
              <w:t>gastroretentive</w:t>
            </w:r>
            <w:proofErr w:type="spellEnd"/>
          </w:p>
        </w:tc>
        <w:tc>
          <w:tcPr>
            <w:tcW w:w="0" w:type="auto"/>
            <w:hideMark/>
          </w:tcPr>
          <w:p w14:paraId="0C296595" w14:textId="77777777" w:rsidR="00B52D07" w:rsidRPr="00B52D07" w:rsidRDefault="00B52D07" w:rsidP="00B52D07">
            <w:pPr>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Mitiglinide</w:t>
            </w:r>
            <w:proofErr w:type="spellEnd"/>
            <w:r w:rsidRPr="00B52D07">
              <w:rPr>
                <w:rFonts w:ascii="Times New Roman" w:eastAsia="Times New Roman" w:hAnsi="Times New Roman" w:cs="Times New Roman"/>
                <w:sz w:val="24"/>
                <w:szCs w:val="24"/>
                <w:lang w:eastAsia="en-GB"/>
              </w:rPr>
              <w:t xml:space="preserve"> calcium, carbamazepine</w:t>
            </w:r>
          </w:p>
        </w:tc>
        <w:tc>
          <w:tcPr>
            <w:tcW w:w="0" w:type="auto"/>
            <w:hideMark/>
          </w:tcPr>
          <w:p w14:paraId="2B2AB516"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Prolong gastric residence; smooth plasma profile; improve bioavailability</w:t>
            </w:r>
          </w:p>
        </w:tc>
        <w:tc>
          <w:tcPr>
            <w:tcW w:w="0" w:type="auto"/>
            <w:hideMark/>
          </w:tcPr>
          <w:p w14:paraId="2071D590"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Mahmoud et al. (2018); Abdalla et al. (2021)</w:t>
            </w:r>
          </w:p>
        </w:tc>
      </w:tr>
      <w:tr w:rsidR="00B52D07" w:rsidRPr="00B52D07" w14:paraId="7AA2A76A" w14:textId="77777777" w:rsidTr="00B52D07">
        <w:tc>
          <w:tcPr>
            <w:tcW w:w="0" w:type="auto"/>
            <w:hideMark/>
          </w:tcPr>
          <w:p w14:paraId="7E32B350"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Colon-targeted</w:t>
            </w:r>
          </w:p>
        </w:tc>
        <w:tc>
          <w:tcPr>
            <w:tcW w:w="0" w:type="auto"/>
            <w:hideMark/>
          </w:tcPr>
          <w:p w14:paraId="7A15EF0F"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Paracetamol, dicyclomine</w:t>
            </w:r>
          </w:p>
        </w:tc>
        <w:tc>
          <w:tcPr>
            <w:tcW w:w="0" w:type="auto"/>
            <w:hideMark/>
          </w:tcPr>
          <w:p w14:paraId="3680FAFA"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pH-dependent release restricted to colon</w:t>
            </w:r>
          </w:p>
        </w:tc>
        <w:tc>
          <w:tcPr>
            <w:tcW w:w="0" w:type="auto"/>
            <w:hideMark/>
          </w:tcPr>
          <w:p w14:paraId="0D290B49"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Jain &amp; Singh (2011); Sher et al. (2022)</w:t>
            </w:r>
          </w:p>
        </w:tc>
      </w:tr>
      <w:tr w:rsidR="00B52D07" w:rsidRPr="00B52D07" w14:paraId="10CFDAC4" w14:textId="77777777" w:rsidTr="00B52D07">
        <w:tc>
          <w:tcPr>
            <w:tcW w:w="0" w:type="auto"/>
            <w:hideMark/>
          </w:tcPr>
          <w:p w14:paraId="4CFD7AAE"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Ocular</w:t>
            </w:r>
          </w:p>
        </w:tc>
        <w:tc>
          <w:tcPr>
            <w:tcW w:w="0" w:type="auto"/>
            <w:hideMark/>
          </w:tcPr>
          <w:p w14:paraId="335831B7"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In situ gel-</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combinations</w:t>
            </w:r>
          </w:p>
        </w:tc>
        <w:tc>
          <w:tcPr>
            <w:tcW w:w="0" w:type="auto"/>
            <w:hideMark/>
          </w:tcPr>
          <w:p w14:paraId="5977FE6A"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Extend precorneal residence; sustained release</w:t>
            </w:r>
          </w:p>
        </w:tc>
        <w:tc>
          <w:tcPr>
            <w:tcW w:w="0" w:type="auto"/>
            <w:hideMark/>
          </w:tcPr>
          <w:p w14:paraId="6B68068A" w14:textId="77777777" w:rsidR="00B52D07" w:rsidRPr="00B52D07" w:rsidRDefault="00B52D07" w:rsidP="00B52D07">
            <w:pPr>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Biharee</w:t>
            </w:r>
            <w:proofErr w:type="spellEnd"/>
            <w:r w:rsidRPr="00B52D07">
              <w:rPr>
                <w:rFonts w:ascii="Times New Roman" w:eastAsia="Times New Roman" w:hAnsi="Times New Roman" w:cs="Times New Roman"/>
                <w:sz w:val="24"/>
                <w:szCs w:val="24"/>
                <w:lang w:eastAsia="en-GB"/>
              </w:rPr>
              <w:t xml:space="preserve"> et al. (2023); Qureshi et al. (2024)</w:t>
            </w:r>
          </w:p>
        </w:tc>
      </w:tr>
      <w:tr w:rsidR="00B52D07" w:rsidRPr="00B52D07" w14:paraId="48EC4A53" w14:textId="77777777" w:rsidTr="00B52D07">
        <w:tc>
          <w:tcPr>
            <w:tcW w:w="0" w:type="auto"/>
            <w:hideMark/>
          </w:tcPr>
          <w:p w14:paraId="110843C8"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Oncology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w:t>
            </w:r>
          </w:p>
        </w:tc>
        <w:tc>
          <w:tcPr>
            <w:tcW w:w="0" w:type="auto"/>
            <w:hideMark/>
          </w:tcPr>
          <w:p w14:paraId="051D1A70" w14:textId="77777777" w:rsidR="00B52D07" w:rsidRPr="00B52D07" w:rsidRDefault="00B52D07" w:rsidP="00B52D07">
            <w:pPr>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Camptothecin</w:t>
            </w:r>
            <w:proofErr w:type="spellEnd"/>
            <w:r w:rsidRPr="00B52D07">
              <w:rPr>
                <w:rFonts w:ascii="Times New Roman" w:eastAsia="Times New Roman" w:hAnsi="Times New Roman" w:cs="Times New Roman"/>
                <w:sz w:val="24"/>
                <w:szCs w:val="24"/>
                <w:lang w:eastAsia="en-GB"/>
              </w:rPr>
              <w:t xml:space="preserve"> (CRLX101)</w:t>
            </w:r>
          </w:p>
        </w:tc>
        <w:tc>
          <w:tcPr>
            <w:tcW w:w="0" w:type="auto"/>
            <w:hideMark/>
          </w:tcPr>
          <w:p w14:paraId="488BF8CE"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Solubilisation; tumour-selective/triggered release</w:t>
            </w:r>
          </w:p>
        </w:tc>
        <w:tc>
          <w:tcPr>
            <w:tcW w:w="0" w:type="auto"/>
            <w:hideMark/>
          </w:tcPr>
          <w:p w14:paraId="3CD4C091" w14:textId="77777777" w:rsidR="00B52D07" w:rsidRPr="00B52D07" w:rsidRDefault="00B52D07" w:rsidP="00B52D07">
            <w:pPr>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Serrano-Martínez et al. (2023); Iravani &amp; Varma (2022)</w:t>
            </w:r>
          </w:p>
        </w:tc>
      </w:tr>
    </w:tbl>
    <w:p w14:paraId="2BEC2F37"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i/>
          <w:iCs/>
          <w:sz w:val="24"/>
          <w:szCs w:val="24"/>
          <w:lang w:eastAsia="en-GB"/>
        </w:rPr>
        <w:lastRenderedPageBreak/>
        <w:t>Sources as listed in the table above and discussed in the corresponding subsections of Section 7.</w:t>
      </w:r>
    </w:p>
    <w:p w14:paraId="1EDC1B63"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8. Regulatory Considerations and Marketed Products</w:t>
      </w:r>
    </w:p>
    <w:p w14:paraId="7D136699"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-based products intended for over-the-counter or prescription use in the United States are subject to review by the Food and Drug Administration under pathways that vary according to whether the product is classified as a drug, a cosmetic or a combination product, with the excipient and polymer components of the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itself typically required to conform to existing generally-recognised-as-safe status or to undergo dedicated safety evaluation where novel materials are proposed (Qureshi et al., 2024). Marketed microencapsulated benzoyl peroxide and tretinoin products, following the pivotal phase 3 clinical programme described in Section 7.1, received approval for acne vulgaris and, in the case of encapsulated benzoyl peroxide alone, for papulopustular rosacea, establishing a regulatory precedent for microencapsulation technology within dermatological therapeutics that has informed subsequent development programmes (Del Rosso et al., 2023). More broadly, the regulatory literature emphasises that reproducibility of the manufacturing process, particularly at the scale-up stage discussed in Section 4.2, together with rigorous characterisation of residual solvent content, entrapment efficiency and batch-to-batch consistency of release kinetics, constitutes the principal quality-control burden that formulators must address to satisfy regulatory expectations for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-based products (Halder et al., 2024).</w:t>
      </w:r>
    </w:p>
    <w:p w14:paraId="6C540047"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9. Future Directions</w:t>
      </w:r>
    </w:p>
    <w:p w14:paraId="6D9B9801"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Several trajectories appear likely to shape the next phase of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and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research. First, computational and data-driven approaches to formulation design are beginning to be applied to particulate drug delivery systems more broadly, with machine learning methods used to predict optimal polymer-drug-solvent combinations, anticipate release kinetics from formulation composition, and reduce the empirical trial-and-error burden that has historically characterised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development (Vora et al., 2023). Although these methods have so far been applied more extensively to other particulate platforms, the well-characterised, parameter-rich nature of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formulation, involving polymer type, cross-linker density, drug-to-polymer ratio, stirring rate and solvent selection, makes it a natural candidate for such data-driven optimisation.</w:t>
      </w:r>
    </w:p>
    <w:p w14:paraId="05235414"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Second, the continued convergence of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and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technology with stimulus-responsive and targeted delivery strategies, exemplified by the magnetically responsive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formulations discussed in Section 7.5, is likely to extend the therapeutic reach of cross-linked polymeric carriers further into oncology and other systemic indications where precise spatiotemporal control over drug release is clinically valuable (Iravani &amp; Varma, 2022). Third, greater attention to green chemistry principles in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manufacture, including reduced reliance on halogenated organic solvents and the exploration of ultrasound-assisted and other lower-solvent fabrication methods, is likely to become increasingly important both for regulatory and environmental reasons (Halder et al., 2024). Fourth, the extension of colon-targeted and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platforms toward biologics and peptide therapeutics, building on the demonstrated capacity of lyophilisation-based loading to accommodate thermolabile actives, represents a promising but still relatively underexplored direction given the substantial unmet need for oral delivery of otherwise injectable therapeutic classes. Finally, standardisation of characterisation protocols </w:t>
      </w:r>
      <w:r w:rsidRPr="00B52D07">
        <w:rPr>
          <w:rFonts w:ascii="Times New Roman" w:eastAsia="Times New Roman" w:hAnsi="Times New Roman" w:cs="Times New Roman"/>
          <w:sz w:val="24"/>
          <w:szCs w:val="24"/>
          <w:lang w:eastAsia="en-GB"/>
        </w:rPr>
        <w:lastRenderedPageBreak/>
        <w:t>across the field, particularly regarding entrapment efficiency determination and in vitro release testing methodology, would materially improve the comparability of results across laboratories and accelerate translation from academic formulation studies to regulated clinical products.</w:t>
      </w:r>
    </w:p>
    <w:p w14:paraId="375D4487"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10. Conclusions</w:t>
      </w:r>
    </w:p>
    <w:p w14:paraId="101AD0E7"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-based drug delivery has evolved from a narrowly cosmetic technology into a mechanistically well-characterised and increasingly clinically validated platform spanning dermatology, oral and colonic delivery, ophthalmology and, through the </w:t>
      </w:r>
      <w:proofErr w:type="spellStart"/>
      <w:r w:rsidRPr="00B52D07">
        <w:rPr>
          <w:rFonts w:ascii="Times New Roman" w:eastAsia="Times New Roman" w:hAnsi="Times New Roman" w:cs="Times New Roman"/>
          <w:sz w:val="24"/>
          <w:szCs w:val="24"/>
          <w:lang w:eastAsia="en-GB"/>
        </w:rPr>
        <w:t>nanosponge</w:t>
      </w:r>
      <w:proofErr w:type="spellEnd"/>
      <w:r w:rsidRPr="00B52D07">
        <w:rPr>
          <w:rFonts w:ascii="Times New Roman" w:eastAsia="Times New Roman" w:hAnsi="Times New Roman" w:cs="Times New Roman"/>
          <w:sz w:val="24"/>
          <w:szCs w:val="24"/>
          <w:lang w:eastAsia="en-GB"/>
        </w:rPr>
        <w:t xml:space="preserve"> extension, oncology. The randomised clinical trial evidence now available for microencapsulated benzoyl peroxide and tretinoin combinations in acne vulgaris demonstrates that the theoretical advantages of the technology, namely reduced irritation, prevention of chemical incompatibility between co-formulated actives, and sustained local release, translate into measurable clinical benefit. Parallel developments in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xml:space="preserve"> and colon-targeted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systems, and in cyclodextrin-based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for cancer therapy, indicate a technology platform of genuine versatility rather than one confined to a single therapeutic niche. At the same time, the field remains characterised by substantial formulation heterogeneity, a predominance of preclinical over clinical evidence outside dermatology, and persistent challenges in reliably scaling laboratory formulations to reproducible commercial manufacture. Continued investment in mechanistic characterisation, standardised evaluation methodology and rigorous clinical evaluation across the non-dermatological applications discussed in this review will be necessary to consolidate the considerable promise that the technology has demonstrated to date.</w:t>
      </w:r>
    </w:p>
    <w:p w14:paraId="6FCCE9EF"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11. Limitations</w:t>
      </w:r>
    </w:p>
    <w:p w14:paraId="2337629F" w14:textId="77777777" w:rsid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This review is subject to several limitations inherent in its narrative design. The literature search, while conducted across multiple general and field-specific databases and informed by explicit inclusion and exclusion criteria, did not follow a fully systematic protocol, was not accompanied by formal risk-of-bias assessment of included studies, and did not involve independent duplicate screening by multiple reviewers, all of which limit the extent to which the synthesis presented here can be considered exhaustive or entirely free of selection bias. The evidence base itself is heterogeneous, comprising a large volume of preclinical and formulation-level studies alongside a comparatively small number of randomised clinical trials concentrated almost entirely within dermatology, which constrains the strength of conclusions that can be drawn regarding clinical efficacy in the oral, colonic, ocular and oncological applications discussed. Publication bias favouring positive formulation outcomes cannot be excluded, and the rapid pace of publication in this field means that relevant studies published after the literature search date range specified in Section 2.3 will not be reflected in this synthesis.</w:t>
      </w:r>
    </w:p>
    <w:p w14:paraId="05D70880" w14:textId="77777777" w:rsidR="00D01876" w:rsidRPr="000839CE" w:rsidRDefault="00D01876" w:rsidP="00D01876">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56DBCCA" w14:textId="77777777" w:rsidR="00D01876" w:rsidRPr="000839CE" w:rsidRDefault="00D01876" w:rsidP="00D01876">
      <w:pPr>
        <w:spacing w:after="0" w:line="240" w:lineRule="auto"/>
        <w:rPr>
          <w:rFonts w:ascii="Times New Roman" w:hAnsi="Times New Roman" w:cs="Times New Roman"/>
        </w:rPr>
      </w:pPr>
    </w:p>
    <w:p w14:paraId="7DF06440" w14:textId="77777777" w:rsidR="00D01876" w:rsidRPr="000839CE" w:rsidRDefault="00D01876" w:rsidP="00D01876">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w:t>
      </w:r>
      <w:r w:rsidRPr="00C56790">
        <w:rPr>
          <w:rFonts w:ascii="Times New Roman" w:hAnsi="Times New Roman" w:cs="Times New Roman"/>
        </w:rPr>
        <w:lastRenderedPageBreak/>
        <w:t>revised, verified, and approved by the author(s). The author(s) accept full responsibility for the accuracy, integrity, and final content of the manuscript.</w:t>
      </w:r>
    </w:p>
    <w:p w14:paraId="0373A03D" w14:textId="77777777" w:rsidR="00D01876" w:rsidRPr="00B52D07" w:rsidRDefault="00D01876" w:rsidP="00B52D07">
      <w:pPr>
        <w:spacing w:before="100" w:beforeAutospacing="1" w:after="100" w:afterAutospacing="1" w:line="240" w:lineRule="auto"/>
        <w:rPr>
          <w:rFonts w:ascii="Times New Roman" w:eastAsia="Times New Roman" w:hAnsi="Times New Roman" w:cs="Times New Roman"/>
          <w:sz w:val="24"/>
          <w:szCs w:val="24"/>
          <w:lang w:eastAsia="en-GB"/>
        </w:rPr>
      </w:pPr>
    </w:p>
    <w:p w14:paraId="1ECF3DB6" w14:textId="77777777" w:rsidR="00B52D07" w:rsidRPr="00B52D07" w:rsidRDefault="00B52D07" w:rsidP="00B52D0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References</w:t>
      </w:r>
    </w:p>
    <w:p w14:paraId="0F7F41B1"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Abdalla, K. F., Osman, M. A., Nouh, A. T., &amp; El Maghraby, G. M. (2021).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for controlled release and enhanced oral bioavailability of carbamazepine. </w:t>
      </w:r>
      <w:r w:rsidRPr="00B52D07">
        <w:rPr>
          <w:rFonts w:ascii="Times New Roman" w:eastAsia="Times New Roman" w:hAnsi="Times New Roman" w:cs="Times New Roman"/>
          <w:i/>
          <w:iCs/>
          <w:sz w:val="24"/>
          <w:szCs w:val="24"/>
          <w:lang w:eastAsia="en-GB"/>
        </w:rPr>
        <w:t>Journal of Drug Delivery Science and Technology, 65</w:t>
      </w:r>
      <w:r w:rsidRPr="00B52D07">
        <w:rPr>
          <w:rFonts w:ascii="Times New Roman" w:eastAsia="Times New Roman" w:hAnsi="Times New Roman" w:cs="Times New Roman"/>
          <w:sz w:val="24"/>
          <w:szCs w:val="24"/>
          <w:lang w:eastAsia="en-GB"/>
        </w:rPr>
        <w:t xml:space="preserve">, 102683. </w:t>
      </w:r>
      <w:r w:rsidRPr="00B52D07">
        <w:rPr>
          <w:rFonts w:ascii="Times New Roman" w:eastAsia="Times New Roman" w:hAnsi="Times New Roman" w:cs="Times New Roman"/>
          <w:color w:val="0000FF"/>
          <w:sz w:val="24"/>
          <w:szCs w:val="24"/>
          <w:u w:val="single"/>
          <w:lang w:eastAsia="en-GB"/>
        </w:rPr>
        <w:t>https://doi.org/10.1016/j.jddst.2021.102683</w:t>
      </w:r>
    </w:p>
    <w:p w14:paraId="2007DD39"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Ali, A. U., Abd-Elkareem, M., </w:t>
      </w:r>
      <w:r w:rsidRPr="00B52D07">
        <w:rPr>
          <w:rFonts w:ascii="Times New Roman" w:eastAsia="Times New Roman" w:hAnsi="Times New Roman" w:cs="Times New Roman"/>
          <w:b/>
          <w:bCs/>
          <w:sz w:val="24"/>
          <w:szCs w:val="24"/>
          <w:lang w:eastAsia="en-GB"/>
        </w:rPr>
        <w:t>Kamel, A. A.</w:t>
      </w:r>
      <w:r w:rsidRPr="00B52D07">
        <w:rPr>
          <w:rFonts w:ascii="Times New Roman" w:eastAsia="Times New Roman" w:hAnsi="Times New Roman" w:cs="Times New Roman"/>
          <w:sz w:val="24"/>
          <w:szCs w:val="24"/>
          <w:lang w:eastAsia="en-GB"/>
        </w:rPr>
        <w:t xml:space="preserve">, Abou Khalil, N. S., Hamad, D., Nasr, N. E. H., Hassan, M. A., &amp; El Faham, T. H. (2023). Impact of porous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in minimizing myotoxic side effects of simvastatin. </w:t>
      </w:r>
      <w:r w:rsidRPr="00B52D07">
        <w:rPr>
          <w:rFonts w:ascii="Times New Roman" w:eastAsia="Times New Roman" w:hAnsi="Times New Roman" w:cs="Times New Roman"/>
          <w:i/>
          <w:iCs/>
          <w:sz w:val="24"/>
          <w:szCs w:val="24"/>
          <w:lang w:eastAsia="en-GB"/>
        </w:rPr>
        <w:t>Scientific Reports, 13</w:t>
      </w:r>
      <w:r w:rsidRPr="00B52D07">
        <w:rPr>
          <w:rFonts w:ascii="Times New Roman" w:eastAsia="Times New Roman" w:hAnsi="Times New Roman" w:cs="Times New Roman"/>
          <w:sz w:val="24"/>
          <w:szCs w:val="24"/>
          <w:lang w:eastAsia="en-GB"/>
        </w:rPr>
        <w:t xml:space="preserve">(1), 5790. </w:t>
      </w:r>
      <w:r w:rsidRPr="00B52D07">
        <w:rPr>
          <w:rFonts w:ascii="Times New Roman" w:eastAsia="Times New Roman" w:hAnsi="Times New Roman" w:cs="Times New Roman"/>
          <w:color w:val="0000FF"/>
          <w:sz w:val="24"/>
          <w:szCs w:val="24"/>
          <w:u w:val="single"/>
          <w:lang w:eastAsia="en-GB"/>
        </w:rPr>
        <w:t>https://doi.org/10.1038/s41598-023-32545-0</w:t>
      </w:r>
    </w:p>
    <w:p w14:paraId="68BE96D7"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Baethge</w:t>
      </w:r>
      <w:proofErr w:type="spellEnd"/>
      <w:r w:rsidRPr="00B52D07">
        <w:rPr>
          <w:rFonts w:ascii="Times New Roman" w:eastAsia="Times New Roman" w:hAnsi="Times New Roman" w:cs="Times New Roman"/>
          <w:sz w:val="24"/>
          <w:szCs w:val="24"/>
          <w:lang w:eastAsia="en-GB"/>
        </w:rPr>
        <w:t xml:space="preserve">, C., Goldbeck-Wood, S., &amp; Mertens, S. (2019). SANRA—a scale for the quality assessment of narrative review articles. </w:t>
      </w:r>
      <w:r w:rsidRPr="00B52D07">
        <w:rPr>
          <w:rFonts w:ascii="Times New Roman" w:eastAsia="Times New Roman" w:hAnsi="Times New Roman" w:cs="Times New Roman"/>
          <w:i/>
          <w:iCs/>
          <w:sz w:val="24"/>
          <w:szCs w:val="24"/>
          <w:lang w:eastAsia="en-GB"/>
        </w:rPr>
        <w:t>Research Integrity and Peer Review, 4</w:t>
      </w:r>
      <w:r w:rsidRPr="00B52D07">
        <w:rPr>
          <w:rFonts w:ascii="Times New Roman" w:eastAsia="Times New Roman" w:hAnsi="Times New Roman" w:cs="Times New Roman"/>
          <w:sz w:val="24"/>
          <w:szCs w:val="24"/>
          <w:lang w:eastAsia="en-GB"/>
        </w:rPr>
        <w:t xml:space="preserve">(1), 5. </w:t>
      </w:r>
      <w:r w:rsidRPr="00B52D07">
        <w:rPr>
          <w:rFonts w:ascii="Times New Roman" w:eastAsia="Times New Roman" w:hAnsi="Times New Roman" w:cs="Times New Roman"/>
          <w:color w:val="0000FF"/>
          <w:sz w:val="24"/>
          <w:szCs w:val="24"/>
          <w:u w:val="single"/>
          <w:lang w:eastAsia="en-GB"/>
        </w:rPr>
        <w:t>https://doi.org/10.1186/s41073-019-0064-8</w:t>
      </w:r>
    </w:p>
    <w:p w14:paraId="72ADACB7"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Biharee</w:t>
      </w:r>
      <w:proofErr w:type="spellEnd"/>
      <w:r w:rsidRPr="00B52D07">
        <w:rPr>
          <w:rFonts w:ascii="Times New Roman" w:eastAsia="Times New Roman" w:hAnsi="Times New Roman" w:cs="Times New Roman"/>
          <w:sz w:val="24"/>
          <w:szCs w:val="24"/>
          <w:lang w:eastAsia="en-GB"/>
        </w:rPr>
        <w:t xml:space="preserve">, A., Bhartiya, S., Yadav, A., Thareja, S., &amp; Jain, A. K. (2023).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as drug delivery system: Past, present, and future perspectives. </w:t>
      </w:r>
      <w:r w:rsidRPr="00B52D07">
        <w:rPr>
          <w:rFonts w:ascii="Times New Roman" w:eastAsia="Times New Roman" w:hAnsi="Times New Roman" w:cs="Times New Roman"/>
          <w:i/>
          <w:iCs/>
          <w:sz w:val="24"/>
          <w:szCs w:val="24"/>
          <w:lang w:eastAsia="en-GB"/>
        </w:rPr>
        <w:t>Current Pharmaceutical Design, 29</w:t>
      </w:r>
      <w:r w:rsidRPr="00B52D07">
        <w:rPr>
          <w:rFonts w:ascii="Times New Roman" w:eastAsia="Times New Roman" w:hAnsi="Times New Roman" w:cs="Times New Roman"/>
          <w:sz w:val="24"/>
          <w:szCs w:val="24"/>
          <w:lang w:eastAsia="en-GB"/>
        </w:rPr>
        <w:t xml:space="preserve">(13), 1026–1045. </w:t>
      </w:r>
      <w:r w:rsidRPr="00B52D07">
        <w:rPr>
          <w:rFonts w:ascii="Times New Roman" w:eastAsia="Times New Roman" w:hAnsi="Times New Roman" w:cs="Times New Roman"/>
          <w:color w:val="0000FF"/>
          <w:sz w:val="24"/>
          <w:szCs w:val="24"/>
          <w:u w:val="single"/>
          <w:lang w:eastAsia="en-GB"/>
        </w:rPr>
        <w:t>https://doi.org/10.2174/1381612829666230404082743</w:t>
      </w:r>
    </w:p>
    <w:p w14:paraId="0BC7D6EE"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Chadawar</w:t>
      </w:r>
      <w:proofErr w:type="spellEnd"/>
      <w:r w:rsidRPr="00B52D07">
        <w:rPr>
          <w:rFonts w:ascii="Times New Roman" w:eastAsia="Times New Roman" w:hAnsi="Times New Roman" w:cs="Times New Roman"/>
          <w:sz w:val="24"/>
          <w:szCs w:val="24"/>
          <w:lang w:eastAsia="en-GB"/>
        </w:rPr>
        <w:t xml:space="preserve">, V., &amp; Shaji, J. (2007).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delivery system. </w:t>
      </w:r>
      <w:r w:rsidRPr="00B52D07">
        <w:rPr>
          <w:rFonts w:ascii="Times New Roman" w:eastAsia="Times New Roman" w:hAnsi="Times New Roman" w:cs="Times New Roman"/>
          <w:i/>
          <w:iCs/>
          <w:sz w:val="24"/>
          <w:szCs w:val="24"/>
          <w:lang w:eastAsia="en-GB"/>
        </w:rPr>
        <w:t>Current Drug Delivery, 4</w:t>
      </w:r>
      <w:r w:rsidRPr="00B52D07">
        <w:rPr>
          <w:rFonts w:ascii="Times New Roman" w:eastAsia="Times New Roman" w:hAnsi="Times New Roman" w:cs="Times New Roman"/>
          <w:sz w:val="24"/>
          <w:szCs w:val="24"/>
          <w:lang w:eastAsia="en-GB"/>
        </w:rPr>
        <w:t xml:space="preserve">(2), 123–129. </w:t>
      </w:r>
      <w:r w:rsidRPr="00B52D07">
        <w:rPr>
          <w:rFonts w:ascii="Times New Roman" w:eastAsia="Times New Roman" w:hAnsi="Times New Roman" w:cs="Times New Roman"/>
          <w:color w:val="0000FF"/>
          <w:sz w:val="24"/>
          <w:szCs w:val="24"/>
          <w:u w:val="single"/>
          <w:lang w:eastAsia="en-GB"/>
        </w:rPr>
        <w:t>https://doi.org/10.2174/156720107780362320</w:t>
      </w:r>
    </w:p>
    <w:p w14:paraId="0C8D120D"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Del Rosso, J., Sugarman, J., Green, L., Lain, T., Levy-</w:t>
      </w:r>
      <w:proofErr w:type="spellStart"/>
      <w:r w:rsidRPr="00B52D07">
        <w:rPr>
          <w:rFonts w:ascii="Times New Roman" w:eastAsia="Times New Roman" w:hAnsi="Times New Roman" w:cs="Times New Roman"/>
          <w:sz w:val="24"/>
          <w:szCs w:val="24"/>
          <w:lang w:eastAsia="en-GB"/>
        </w:rPr>
        <w:t>Hacham</w:t>
      </w:r>
      <w:proofErr w:type="spellEnd"/>
      <w:r w:rsidRPr="00B52D07">
        <w:rPr>
          <w:rFonts w:ascii="Times New Roman" w:eastAsia="Times New Roman" w:hAnsi="Times New Roman" w:cs="Times New Roman"/>
          <w:sz w:val="24"/>
          <w:szCs w:val="24"/>
          <w:lang w:eastAsia="en-GB"/>
        </w:rPr>
        <w:t xml:space="preserve">, O., Mizrahi, R., &amp; Gold, L. S. (2023). Efficacy and safety of microencapsulated benzoyl peroxide and microencapsulated tretinoin for the treatment of acne vulgaris: Results from two phase 3 double-blind, randomized, vehicle-controlled studies. </w:t>
      </w:r>
      <w:r w:rsidRPr="00B52D07">
        <w:rPr>
          <w:rFonts w:ascii="Times New Roman" w:eastAsia="Times New Roman" w:hAnsi="Times New Roman" w:cs="Times New Roman"/>
          <w:i/>
          <w:iCs/>
          <w:sz w:val="24"/>
          <w:szCs w:val="24"/>
          <w:lang w:eastAsia="en-GB"/>
        </w:rPr>
        <w:t>Journal of the American Academy of Dermatology, 89</w:t>
      </w:r>
      <w:r w:rsidRPr="00B52D07">
        <w:rPr>
          <w:rFonts w:ascii="Times New Roman" w:eastAsia="Times New Roman" w:hAnsi="Times New Roman" w:cs="Times New Roman"/>
          <w:sz w:val="24"/>
          <w:szCs w:val="24"/>
          <w:lang w:eastAsia="en-GB"/>
        </w:rPr>
        <w:t xml:space="preserve">(4), 719–727. </w:t>
      </w:r>
      <w:r w:rsidRPr="00B52D07">
        <w:rPr>
          <w:rFonts w:ascii="Times New Roman" w:eastAsia="Times New Roman" w:hAnsi="Times New Roman" w:cs="Times New Roman"/>
          <w:color w:val="0000FF"/>
          <w:sz w:val="24"/>
          <w:szCs w:val="24"/>
          <w:u w:val="single"/>
          <w:lang w:eastAsia="en-GB"/>
        </w:rPr>
        <w:t>https://doi.org/10.1016/j.jaad.2023.05.093</w:t>
      </w:r>
    </w:p>
    <w:p w14:paraId="1AFA28EF"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Halder, S., Behera, U. S., Poddar, S., Khanam, J., &amp; Karmakar, S. (2024). Preparation of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drug delivery system (MSDDS) followed by a scale-up approach. </w:t>
      </w:r>
      <w:r w:rsidRPr="00B52D07">
        <w:rPr>
          <w:rFonts w:ascii="Times New Roman" w:eastAsia="Times New Roman" w:hAnsi="Times New Roman" w:cs="Times New Roman"/>
          <w:i/>
          <w:iCs/>
          <w:sz w:val="24"/>
          <w:szCs w:val="24"/>
          <w:lang w:eastAsia="en-GB"/>
        </w:rPr>
        <w:t xml:space="preserve">AAPS </w:t>
      </w:r>
      <w:proofErr w:type="spellStart"/>
      <w:r w:rsidRPr="00B52D07">
        <w:rPr>
          <w:rFonts w:ascii="Times New Roman" w:eastAsia="Times New Roman" w:hAnsi="Times New Roman" w:cs="Times New Roman"/>
          <w:i/>
          <w:iCs/>
          <w:sz w:val="24"/>
          <w:szCs w:val="24"/>
          <w:lang w:eastAsia="en-GB"/>
        </w:rPr>
        <w:t>PharmSciTech</w:t>
      </w:r>
      <w:proofErr w:type="spellEnd"/>
      <w:r w:rsidRPr="00B52D07">
        <w:rPr>
          <w:rFonts w:ascii="Times New Roman" w:eastAsia="Times New Roman" w:hAnsi="Times New Roman" w:cs="Times New Roman"/>
          <w:i/>
          <w:iCs/>
          <w:sz w:val="24"/>
          <w:szCs w:val="24"/>
          <w:lang w:eastAsia="en-GB"/>
        </w:rPr>
        <w:t>, 25</w:t>
      </w:r>
      <w:r w:rsidRPr="00B52D07">
        <w:rPr>
          <w:rFonts w:ascii="Times New Roman" w:eastAsia="Times New Roman" w:hAnsi="Times New Roman" w:cs="Times New Roman"/>
          <w:sz w:val="24"/>
          <w:szCs w:val="24"/>
          <w:lang w:eastAsia="en-GB"/>
        </w:rPr>
        <w:t xml:space="preserve">(6), 162. </w:t>
      </w:r>
      <w:r w:rsidRPr="00B52D07">
        <w:rPr>
          <w:rFonts w:ascii="Times New Roman" w:eastAsia="Times New Roman" w:hAnsi="Times New Roman" w:cs="Times New Roman"/>
          <w:color w:val="0000FF"/>
          <w:sz w:val="24"/>
          <w:szCs w:val="24"/>
          <w:u w:val="single"/>
          <w:lang w:eastAsia="en-GB"/>
        </w:rPr>
        <w:t>https://doi.org/10.1208/s12249-024-02874-y</w:t>
      </w:r>
    </w:p>
    <w:p w14:paraId="0A0112BF"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Iravani, S., &amp; Varma, R. S. (2022).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for drug delivery and cancer therapy: Recent advances. </w:t>
      </w:r>
      <w:r w:rsidRPr="00B52D07">
        <w:rPr>
          <w:rFonts w:ascii="Times New Roman" w:eastAsia="Times New Roman" w:hAnsi="Times New Roman" w:cs="Times New Roman"/>
          <w:i/>
          <w:iCs/>
          <w:sz w:val="24"/>
          <w:szCs w:val="24"/>
          <w:lang w:eastAsia="en-GB"/>
        </w:rPr>
        <w:t>Nanomaterials, 12</w:t>
      </w:r>
      <w:r w:rsidRPr="00B52D07">
        <w:rPr>
          <w:rFonts w:ascii="Times New Roman" w:eastAsia="Times New Roman" w:hAnsi="Times New Roman" w:cs="Times New Roman"/>
          <w:sz w:val="24"/>
          <w:szCs w:val="24"/>
          <w:lang w:eastAsia="en-GB"/>
        </w:rPr>
        <w:t xml:space="preserve">(14), 2440. </w:t>
      </w:r>
      <w:r w:rsidRPr="00B52D07">
        <w:rPr>
          <w:rFonts w:ascii="Times New Roman" w:eastAsia="Times New Roman" w:hAnsi="Times New Roman" w:cs="Times New Roman"/>
          <w:color w:val="0000FF"/>
          <w:sz w:val="24"/>
          <w:szCs w:val="24"/>
          <w:u w:val="single"/>
          <w:lang w:eastAsia="en-GB"/>
        </w:rPr>
        <w:t>https://doi.org/10.3390/nano12142440</w:t>
      </w:r>
    </w:p>
    <w:p w14:paraId="6638EC85"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Jain, V., &amp; Singh, R. (2011). Design and characterization of colon-specific drug delivery system containing paracetamol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w:t>
      </w:r>
      <w:r w:rsidRPr="00B52D07">
        <w:rPr>
          <w:rFonts w:ascii="Times New Roman" w:eastAsia="Times New Roman" w:hAnsi="Times New Roman" w:cs="Times New Roman"/>
          <w:i/>
          <w:iCs/>
          <w:sz w:val="24"/>
          <w:szCs w:val="24"/>
          <w:lang w:eastAsia="en-GB"/>
        </w:rPr>
        <w:t>Archives of Pharmacal Research, 34</w:t>
      </w:r>
      <w:r w:rsidRPr="00B52D07">
        <w:rPr>
          <w:rFonts w:ascii="Times New Roman" w:eastAsia="Times New Roman" w:hAnsi="Times New Roman" w:cs="Times New Roman"/>
          <w:sz w:val="24"/>
          <w:szCs w:val="24"/>
          <w:lang w:eastAsia="en-GB"/>
        </w:rPr>
        <w:t xml:space="preserve">(5), 733–740. </w:t>
      </w:r>
      <w:r w:rsidRPr="00B52D07">
        <w:rPr>
          <w:rFonts w:ascii="Times New Roman" w:eastAsia="Times New Roman" w:hAnsi="Times New Roman" w:cs="Times New Roman"/>
          <w:color w:val="0000FF"/>
          <w:sz w:val="24"/>
          <w:szCs w:val="24"/>
          <w:u w:val="single"/>
          <w:lang w:eastAsia="en-GB"/>
        </w:rPr>
        <w:t>https://doi.org/10.1007/s12272-011-0506-4</w:t>
      </w:r>
    </w:p>
    <w:p w14:paraId="30D6A0EE"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Kadian, V., Dalal, P., Kumar, S., Kapoor, A., &amp; Rao, R. (2023). Comparative evaluation of dithranol-loaded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fabricated by solvent evaporation technique and melt method. </w:t>
      </w:r>
      <w:r w:rsidRPr="00B52D07">
        <w:rPr>
          <w:rFonts w:ascii="Times New Roman" w:eastAsia="Times New Roman" w:hAnsi="Times New Roman" w:cs="Times New Roman"/>
          <w:i/>
          <w:iCs/>
          <w:sz w:val="24"/>
          <w:szCs w:val="24"/>
          <w:lang w:eastAsia="en-GB"/>
        </w:rPr>
        <w:t>Future Journal of Pharmaceutical Sciences, 9</w:t>
      </w:r>
      <w:r w:rsidRPr="00B52D07">
        <w:rPr>
          <w:rFonts w:ascii="Times New Roman" w:eastAsia="Times New Roman" w:hAnsi="Times New Roman" w:cs="Times New Roman"/>
          <w:sz w:val="24"/>
          <w:szCs w:val="24"/>
          <w:lang w:eastAsia="en-GB"/>
        </w:rPr>
        <w:t xml:space="preserve">, 13. </w:t>
      </w:r>
      <w:r w:rsidRPr="00B52D07">
        <w:rPr>
          <w:rFonts w:ascii="Times New Roman" w:eastAsia="Times New Roman" w:hAnsi="Times New Roman" w:cs="Times New Roman"/>
          <w:color w:val="0000FF"/>
          <w:sz w:val="24"/>
          <w:szCs w:val="24"/>
          <w:u w:val="single"/>
          <w:lang w:eastAsia="en-GB"/>
        </w:rPr>
        <w:t>https://doi.org/10.1186/s43094-023-00461-9</w:t>
      </w:r>
    </w:p>
    <w:p w14:paraId="34E8928B"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bCs/>
          <w:sz w:val="24"/>
          <w:szCs w:val="24"/>
          <w:lang w:eastAsia="en-GB"/>
        </w:rPr>
        <w:lastRenderedPageBreak/>
        <w:t xml:space="preserve">Kumari, A., Jain, A., </w:t>
      </w:r>
      <w:proofErr w:type="spellStart"/>
      <w:r w:rsidRPr="00B52D07">
        <w:rPr>
          <w:rFonts w:ascii="Times New Roman" w:eastAsia="Times New Roman" w:hAnsi="Times New Roman" w:cs="Times New Roman"/>
          <w:bCs/>
          <w:sz w:val="24"/>
          <w:szCs w:val="24"/>
          <w:lang w:eastAsia="en-GB"/>
        </w:rPr>
        <w:t>Hurkat</w:t>
      </w:r>
      <w:proofErr w:type="spellEnd"/>
      <w:r w:rsidRPr="00B52D07">
        <w:rPr>
          <w:rFonts w:ascii="Times New Roman" w:eastAsia="Times New Roman" w:hAnsi="Times New Roman" w:cs="Times New Roman"/>
          <w:bCs/>
          <w:sz w:val="24"/>
          <w:szCs w:val="24"/>
          <w:lang w:eastAsia="en-GB"/>
        </w:rPr>
        <w:t xml:space="preserve">, P., Verma, A., &amp; Jain, S. K. (2016). </w:t>
      </w:r>
      <w:proofErr w:type="spellStart"/>
      <w:r w:rsidRPr="00B52D07">
        <w:rPr>
          <w:rFonts w:ascii="Times New Roman" w:eastAsia="Times New Roman" w:hAnsi="Times New Roman" w:cs="Times New Roman"/>
          <w:bCs/>
          <w:sz w:val="24"/>
          <w:szCs w:val="24"/>
          <w:lang w:eastAsia="en-GB"/>
        </w:rPr>
        <w:t>Microsponges</w:t>
      </w:r>
      <w:proofErr w:type="spellEnd"/>
      <w:r w:rsidRPr="00B52D07">
        <w:rPr>
          <w:rFonts w:ascii="Times New Roman" w:eastAsia="Times New Roman" w:hAnsi="Times New Roman" w:cs="Times New Roman"/>
          <w:bCs/>
          <w:sz w:val="24"/>
          <w:szCs w:val="24"/>
          <w:lang w:eastAsia="en-GB"/>
        </w:rPr>
        <w:t xml:space="preserve">: A pioneering tool for biomedical applications. </w:t>
      </w:r>
      <w:r w:rsidRPr="00B52D07">
        <w:rPr>
          <w:rFonts w:ascii="Times New Roman" w:eastAsia="Times New Roman" w:hAnsi="Times New Roman" w:cs="Times New Roman"/>
          <w:bCs/>
          <w:i/>
          <w:iCs/>
          <w:sz w:val="24"/>
          <w:szCs w:val="24"/>
          <w:lang w:eastAsia="en-GB"/>
        </w:rPr>
        <w:t>Critical Reviews in Therapeutic Drug Carrier Systems, 33</w:t>
      </w:r>
      <w:r w:rsidRPr="00B52D07">
        <w:rPr>
          <w:rFonts w:ascii="Times New Roman" w:eastAsia="Times New Roman" w:hAnsi="Times New Roman" w:cs="Times New Roman"/>
          <w:bCs/>
          <w:sz w:val="24"/>
          <w:szCs w:val="24"/>
          <w:lang w:eastAsia="en-GB"/>
        </w:rPr>
        <w:t xml:space="preserve">(1), 77–105. </w:t>
      </w:r>
      <w:r w:rsidRPr="00B52D07">
        <w:rPr>
          <w:rFonts w:ascii="Times New Roman" w:eastAsia="Times New Roman" w:hAnsi="Times New Roman" w:cs="Times New Roman"/>
          <w:bCs/>
          <w:color w:val="0000FF"/>
          <w:sz w:val="24"/>
          <w:szCs w:val="24"/>
          <w:u w:val="single"/>
          <w:lang w:eastAsia="en-GB"/>
        </w:rPr>
        <w:t>https://doi.org/10.1615/CritRevTherDrugCarrierSyst.v33.i1.40</w:t>
      </w:r>
    </w:p>
    <w:p w14:paraId="594AAE4B"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Li, M., Gan, J., Xu, X., Zhang, S., Li, Y., Bian, L., &amp; Dong, Z. (2024). Preparation, characterisation and in vitro anti-inflammatory activity of Baicalin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i/>
          <w:iCs/>
          <w:sz w:val="24"/>
          <w:szCs w:val="24"/>
          <w:lang w:eastAsia="en-GB"/>
        </w:rPr>
        <w:t>Heliyon</w:t>
      </w:r>
      <w:proofErr w:type="spellEnd"/>
      <w:r w:rsidRPr="00B52D07">
        <w:rPr>
          <w:rFonts w:ascii="Times New Roman" w:eastAsia="Times New Roman" w:hAnsi="Times New Roman" w:cs="Times New Roman"/>
          <w:i/>
          <w:iCs/>
          <w:sz w:val="24"/>
          <w:szCs w:val="24"/>
          <w:lang w:eastAsia="en-GB"/>
        </w:rPr>
        <w:t>, 10</w:t>
      </w:r>
      <w:r w:rsidRPr="00B52D07">
        <w:rPr>
          <w:rFonts w:ascii="Times New Roman" w:eastAsia="Times New Roman" w:hAnsi="Times New Roman" w:cs="Times New Roman"/>
          <w:sz w:val="24"/>
          <w:szCs w:val="24"/>
          <w:lang w:eastAsia="en-GB"/>
        </w:rPr>
        <w:t xml:space="preserve">(7), e29151. </w:t>
      </w:r>
      <w:r w:rsidRPr="00B52D07">
        <w:rPr>
          <w:rFonts w:ascii="Times New Roman" w:eastAsia="Times New Roman" w:hAnsi="Times New Roman" w:cs="Times New Roman"/>
          <w:color w:val="0000FF"/>
          <w:sz w:val="24"/>
          <w:szCs w:val="24"/>
          <w:u w:val="single"/>
          <w:lang w:eastAsia="en-GB"/>
        </w:rPr>
        <w:t>https://doi.org/10.1016/j.heliyon.2024.e29151</w:t>
      </w:r>
    </w:p>
    <w:p w14:paraId="210D5E3F"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Mahant, S., Kumar, S., Nanda, S., &amp; Rao, R. (2020).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for dermatological applications: Perspectives and challenges. </w:t>
      </w:r>
      <w:r w:rsidRPr="00B52D07">
        <w:rPr>
          <w:rFonts w:ascii="Times New Roman" w:eastAsia="Times New Roman" w:hAnsi="Times New Roman" w:cs="Times New Roman"/>
          <w:i/>
          <w:iCs/>
          <w:sz w:val="24"/>
          <w:szCs w:val="24"/>
          <w:lang w:eastAsia="en-GB"/>
        </w:rPr>
        <w:t>Asian Journal of Pharmaceutical Sciences, 15</w:t>
      </w:r>
      <w:r w:rsidRPr="00B52D07">
        <w:rPr>
          <w:rFonts w:ascii="Times New Roman" w:eastAsia="Times New Roman" w:hAnsi="Times New Roman" w:cs="Times New Roman"/>
          <w:sz w:val="24"/>
          <w:szCs w:val="24"/>
          <w:lang w:eastAsia="en-GB"/>
        </w:rPr>
        <w:t xml:space="preserve">(3), 273–291. </w:t>
      </w:r>
      <w:r w:rsidRPr="00B52D07">
        <w:rPr>
          <w:rFonts w:ascii="Times New Roman" w:eastAsia="Times New Roman" w:hAnsi="Times New Roman" w:cs="Times New Roman"/>
          <w:color w:val="0000FF"/>
          <w:sz w:val="24"/>
          <w:szCs w:val="24"/>
          <w:u w:val="single"/>
          <w:lang w:eastAsia="en-GB"/>
        </w:rPr>
        <w:t>https://doi.org/10.1016/j.ajps.2019.05.004</w:t>
      </w:r>
    </w:p>
    <w:p w14:paraId="18E5590D"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Mahmoud, D. B. E., Shukr, M. H., &amp; </w:t>
      </w:r>
      <w:proofErr w:type="spellStart"/>
      <w:r w:rsidRPr="00B52D07">
        <w:rPr>
          <w:rFonts w:ascii="Times New Roman" w:eastAsia="Times New Roman" w:hAnsi="Times New Roman" w:cs="Times New Roman"/>
          <w:sz w:val="24"/>
          <w:szCs w:val="24"/>
          <w:lang w:eastAsia="en-GB"/>
        </w:rPr>
        <w:t>ElMeshad</w:t>
      </w:r>
      <w:proofErr w:type="spellEnd"/>
      <w:r w:rsidRPr="00B52D07">
        <w:rPr>
          <w:rFonts w:ascii="Times New Roman" w:eastAsia="Times New Roman" w:hAnsi="Times New Roman" w:cs="Times New Roman"/>
          <w:sz w:val="24"/>
          <w:szCs w:val="24"/>
          <w:lang w:eastAsia="en-GB"/>
        </w:rPr>
        <w:t xml:space="preserve">, A. N. (2018). </w:t>
      </w:r>
      <w:proofErr w:type="spellStart"/>
      <w:r w:rsidRPr="00B52D07">
        <w:rPr>
          <w:rFonts w:ascii="Times New Roman" w:eastAsia="Times New Roman" w:hAnsi="Times New Roman" w:cs="Times New Roman"/>
          <w:sz w:val="24"/>
          <w:szCs w:val="24"/>
          <w:lang w:eastAsia="en-GB"/>
        </w:rPr>
        <w:t>Gastroretentive</w:t>
      </w:r>
      <w:proofErr w:type="spellEnd"/>
      <w:r w:rsidRPr="00B52D07">
        <w:rPr>
          <w:rFonts w:ascii="Times New Roman" w:eastAsia="Times New Roman" w:hAnsi="Times New Roman" w:cs="Times New Roman"/>
          <w:sz w:val="24"/>
          <w:szCs w:val="24"/>
          <w:lang w:eastAsia="en-GB"/>
        </w:rPr>
        <w:t xml:space="preserv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as a promising tool for prolonging the release of </w:t>
      </w:r>
      <w:proofErr w:type="spellStart"/>
      <w:r w:rsidRPr="00B52D07">
        <w:rPr>
          <w:rFonts w:ascii="Times New Roman" w:eastAsia="Times New Roman" w:hAnsi="Times New Roman" w:cs="Times New Roman"/>
          <w:sz w:val="24"/>
          <w:szCs w:val="24"/>
          <w:lang w:eastAsia="en-GB"/>
        </w:rPr>
        <w:t>mitiglinide</w:t>
      </w:r>
      <w:proofErr w:type="spellEnd"/>
      <w:r w:rsidRPr="00B52D07">
        <w:rPr>
          <w:rFonts w:ascii="Times New Roman" w:eastAsia="Times New Roman" w:hAnsi="Times New Roman" w:cs="Times New Roman"/>
          <w:sz w:val="24"/>
          <w:szCs w:val="24"/>
          <w:lang w:eastAsia="en-GB"/>
        </w:rPr>
        <w:t xml:space="preserve"> calcium in type-2 diabetes mellitus: Optimization and pharmacokinetics study. </w:t>
      </w:r>
      <w:r w:rsidRPr="00B52D07">
        <w:rPr>
          <w:rFonts w:ascii="Times New Roman" w:eastAsia="Times New Roman" w:hAnsi="Times New Roman" w:cs="Times New Roman"/>
          <w:i/>
          <w:iCs/>
          <w:sz w:val="24"/>
          <w:szCs w:val="24"/>
          <w:lang w:eastAsia="en-GB"/>
        </w:rPr>
        <w:t xml:space="preserve">AAPS </w:t>
      </w:r>
      <w:proofErr w:type="spellStart"/>
      <w:r w:rsidRPr="00B52D07">
        <w:rPr>
          <w:rFonts w:ascii="Times New Roman" w:eastAsia="Times New Roman" w:hAnsi="Times New Roman" w:cs="Times New Roman"/>
          <w:i/>
          <w:iCs/>
          <w:sz w:val="24"/>
          <w:szCs w:val="24"/>
          <w:lang w:eastAsia="en-GB"/>
        </w:rPr>
        <w:t>PharmSciTech</w:t>
      </w:r>
      <w:proofErr w:type="spellEnd"/>
      <w:r w:rsidRPr="00B52D07">
        <w:rPr>
          <w:rFonts w:ascii="Times New Roman" w:eastAsia="Times New Roman" w:hAnsi="Times New Roman" w:cs="Times New Roman"/>
          <w:i/>
          <w:iCs/>
          <w:sz w:val="24"/>
          <w:szCs w:val="24"/>
          <w:lang w:eastAsia="en-GB"/>
        </w:rPr>
        <w:t>, 19</w:t>
      </w:r>
      <w:r w:rsidRPr="00B52D07">
        <w:rPr>
          <w:rFonts w:ascii="Times New Roman" w:eastAsia="Times New Roman" w:hAnsi="Times New Roman" w:cs="Times New Roman"/>
          <w:sz w:val="24"/>
          <w:szCs w:val="24"/>
          <w:lang w:eastAsia="en-GB"/>
        </w:rPr>
        <w:t xml:space="preserve">(6), 2519–2532. </w:t>
      </w:r>
      <w:r w:rsidRPr="00B52D07">
        <w:rPr>
          <w:rFonts w:ascii="Times New Roman" w:eastAsia="Times New Roman" w:hAnsi="Times New Roman" w:cs="Times New Roman"/>
          <w:color w:val="0000FF"/>
          <w:sz w:val="24"/>
          <w:szCs w:val="24"/>
          <w:u w:val="single"/>
          <w:lang w:eastAsia="en-GB"/>
        </w:rPr>
        <w:t>https://doi.org/10.1208/s12249-018-1081-5</w:t>
      </w:r>
    </w:p>
    <w:p w14:paraId="31960A1C"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Maiti, S., Kaity, S., Ray, S., &amp; Sa, B. (2011). Development and evaluation of xanthan gum-facilitated ethyl cellulose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for controlled percutaneous delivery of diclofenac sodium. </w:t>
      </w:r>
      <w:r w:rsidRPr="00B52D07">
        <w:rPr>
          <w:rFonts w:ascii="Times New Roman" w:eastAsia="Times New Roman" w:hAnsi="Times New Roman" w:cs="Times New Roman"/>
          <w:i/>
          <w:iCs/>
          <w:sz w:val="24"/>
          <w:szCs w:val="24"/>
          <w:lang w:eastAsia="en-GB"/>
        </w:rPr>
        <w:t>Acta Pharmaceutica, 61</w:t>
      </w:r>
      <w:r w:rsidRPr="00B52D07">
        <w:rPr>
          <w:rFonts w:ascii="Times New Roman" w:eastAsia="Times New Roman" w:hAnsi="Times New Roman" w:cs="Times New Roman"/>
          <w:sz w:val="24"/>
          <w:szCs w:val="24"/>
          <w:lang w:eastAsia="en-GB"/>
        </w:rPr>
        <w:t xml:space="preserve">(3), 257–270. </w:t>
      </w:r>
      <w:r w:rsidRPr="00B52D07">
        <w:rPr>
          <w:rFonts w:ascii="Times New Roman" w:eastAsia="Times New Roman" w:hAnsi="Times New Roman" w:cs="Times New Roman"/>
          <w:color w:val="0000FF"/>
          <w:sz w:val="24"/>
          <w:szCs w:val="24"/>
          <w:u w:val="single"/>
          <w:lang w:eastAsia="en-GB"/>
        </w:rPr>
        <w:t>https://doi.org/10.2478/v10007-011-0022-6</w:t>
      </w:r>
    </w:p>
    <w:p w14:paraId="640EAB76"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McCoubrey, L. E., Favaron, A., Awad, A., Orlu, M., Gaisford, S., &amp; Basit, A. W. (2023). Colonic drug delivery: Formulating the next generation of colon-targeted therapeutics. </w:t>
      </w:r>
      <w:r w:rsidRPr="00B52D07">
        <w:rPr>
          <w:rFonts w:ascii="Times New Roman" w:eastAsia="Times New Roman" w:hAnsi="Times New Roman" w:cs="Times New Roman"/>
          <w:i/>
          <w:iCs/>
          <w:sz w:val="24"/>
          <w:szCs w:val="24"/>
          <w:lang w:eastAsia="en-GB"/>
        </w:rPr>
        <w:t>Journal of Controlled Release, 353</w:t>
      </w:r>
      <w:r w:rsidRPr="00B52D07">
        <w:rPr>
          <w:rFonts w:ascii="Times New Roman" w:eastAsia="Times New Roman" w:hAnsi="Times New Roman" w:cs="Times New Roman"/>
          <w:sz w:val="24"/>
          <w:szCs w:val="24"/>
          <w:lang w:eastAsia="en-GB"/>
        </w:rPr>
        <w:t xml:space="preserve">, 1107–1126. </w:t>
      </w:r>
      <w:r w:rsidRPr="00B52D07">
        <w:rPr>
          <w:rFonts w:ascii="Times New Roman" w:eastAsia="Times New Roman" w:hAnsi="Times New Roman" w:cs="Times New Roman"/>
          <w:color w:val="0000FF"/>
          <w:sz w:val="24"/>
          <w:szCs w:val="24"/>
          <w:u w:val="single"/>
          <w:lang w:eastAsia="en-GB"/>
        </w:rPr>
        <w:t>https://doi.org/10.1016/j.jconrel.2022.12.029</w:t>
      </w:r>
    </w:p>
    <w:p w14:paraId="21D4BF29"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Nokhodchi</w:t>
      </w:r>
      <w:proofErr w:type="spellEnd"/>
      <w:r w:rsidRPr="00B52D07">
        <w:rPr>
          <w:rFonts w:ascii="Times New Roman" w:eastAsia="Times New Roman" w:hAnsi="Times New Roman" w:cs="Times New Roman"/>
          <w:sz w:val="24"/>
          <w:szCs w:val="24"/>
          <w:lang w:eastAsia="en-GB"/>
        </w:rPr>
        <w:t xml:space="preserve">, A., </w:t>
      </w:r>
      <w:proofErr w:type="spellStart"/>
      <w:r w:rsidRPr="00B52D07">
        <w:rPr>
          <w:rFonts w:ascii="Times New Roman" w:eastAsia="Times New Roman" w:hAnsi="Times New Roman" w:cs="Times New Roman"/>
          <w:sz w:val="24"/>
          <w:szCs w:val="24"/>
          <w:lang w:eastAsia="en-GB"/>
        </w:rPr>
        <w:t>Jelvehgari</w:t>
      </w:r>
      <w:proofErr w:type="spellEnd"/>
      <w:r w:rsidRPr="00B52D07">
        <w:rPr>
          <w:rFonts w:ascii="Times New Roman" w:eastAsia="Times New Roman" w:hAnsi="Times New Roman" w:cs="Times New Roman"/>
          <w:sz w:val="24"/>
          <w:szCs w:val="24"/>
          <w:lang w:eastAsia="en-GB"/>
        </w:rPr>
        <w:t xml:space="preserve">, M., </w:t>
      </w:r>
      <w:proofErr w:type="spellStart"/>
      <w:r w:rsidRPr="00B52D07">
        <w:rPr>
          <w:rFonts w:ascii="Times New Roman" w:eastAsia="Times New Roman" w:hAnsi="Times New Roman" w:cs="Times New Roman"/>
          <w:sz w:val="24"/>
          <w:szCs w:val="24"/>
          <w:lang w:eastAsia="en-GB"/>
        </w:rPr>
        <w:t>Siahi</w:t>
      </w:r>
      <w:proofErr w:type="spellEnd"/>
      <w:r w:rsidRPr="00B52D07">
        <w:rPr>
          <w:rFonts w:ascii="Times New Roman" w:eastAsia="Times New Roman" w:hAnsi="Times New Roman" w:cs="Times New Roman"/>
          <w:sz w:val="24"/>
          <w:szCs w:val="24"/>
          <w:lang w:eastAsia="en-GB"/>
        </w:rPr>
        <w:t xml:space="preserve">, M. R., &amp; </w:t>
      </w:r>
      <w:proofErr w:type="spellStart"/>
      <w:r w:rsidRPr="00B52D07">
        <w:rPr>
          <w:rFonts w:ascii="Times New Roman" w:eastAsia="Times New Roman" w:hAnsi="Times New Roman" w:cs="Times New Roman"/>
          <w:sz w:val="24"/>
          <w:szCs w:val="24"/>
          <w:lang w:eastAsia="en-GB"/>
        </w:rPr>
        <w:t>Mozafari</w:t>
      </w:r>
      <w:proofErr w:type="spellEnd"/>
      <w:r w:rsidRPr="00B52D07">
        <w:rPr>
          <w:rFonts w:ascii="Times New Roman" w:eastAsia="Times New Roman" w:hAnsi="Times New Roman" w:cs="Times New Roman"/>
          <w:sz w:val="24"/>
          <w:szCs w:val="24"/>
          <w:lang w:eastAsia="en-GB"/>
        </w:rPr>
        <w:t xml:space="preserve">, M. R. (2007). Factors affecting the morphology of benzoyl peroxide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w:t>
      </w:r>
      <w:r w:rsidRPr="00B52D07">
        <w:rPr>
          <w:rFonts w:ascii="Times New Roman" w:eastAsia="Times New Roman" w:hAnsi="Times New Roman" w:cs="Times New Roman"/>
          <w:i/>
          <w:iCs/>
          <w:sz w:val="24"/>
          <w:szCs w:val="24"/>
          <w:lang w:eastAsia="en-GB"/>
        </w:rPr>
        <w:t>Micron, 38</w:t>
      </w:r>
      <w:r w:rsidRPr="00B52D07">
        <w:rPr>
          <w:rFonts w:ascii="Times New Roman" w:eastAsia="Times New Roman" w:hAnsi="Times New Roman" w:cs="Times New Roman"/>
          <w:sz w:val="24"/>
          <w:szCs w:val="24"/>
          <w:lang w:eastAsia="en-GB"/>
        </w:rPr>
        <w:t xml:space="preserve">(8), 834–840. </w:t>
      </w:r>
      <w:r w:rsidRPr="00B52D07">
        <w:rPr>
          <w:rFonts w:ascii="Times New Roman" w:eastAsia="Times New Roman" w:hAnsi="Times New Roman" w:cs="Times New Roman"/>
          <w:color w:val="0000FF"/>
          <w:sz w:val="24"/>
          <w:szCs w:val="24"/>
          <w:u w:val="single"/>
          <w:lang w:eastAsia="en-GB"/>
        </w:rPr>
        <w:t>https://doi.org/10.1016/j.micron.2007.06.012</w:t>
      </w:r>
    </w:p>
    <w:p w14:paraId="79B653F2"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Osmani, R. A., </w:t>
      </w:r>
      <w:proofErr w:type="spellStart"/>
      <w:r w:rsidRPr="00B52D07">
        <w:rPr>
          <w:rFonts w:ascii="Times New Roman" w:eastAsia="Times New Roman" w:hAnsi="Times New Roman" w:cs="Times New Roman"/>
          <w:sz w:val="24"/>
          <w:szCs w:val="24"/>
          <w:lang w:eastAsia="en-GB"/>
        </w:rPr>
        <w:t>Aloorkar</w:t>
      </w:r>
      <w:proofErr w:type="spellEnd"/>
      <w:r w:rsidRPr="00B52D07">
        <w:rPr>
          <w:rFonts w:ascii="Times New Roman" w:eastAsia="Times New Roman" w:hAnsi="Times New Roman" w:cs="Times New Roman"/>
          <w:sz w:val="24"/>
          <w:szCs w:val="24"/>
          <w:lang w:eastAsia="en-GB"/>
        </w:rPr>
        <w:t xml:space="preserve">, N. H., Ingale, D. J., Kulkarni, P. K., Hani, U., Bhosale, R. R., &amp; Dev, D. J. (2015).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based novel drug delivery system for augmented arthritis therapy. </w:t>
      </w:r>
      <w:r w:rsidRPr="00B52D07">
        <w:rPr>
          <w:rFonts w:ascii="Times New Roman" w:eastAsia="Times New Roman" w:hAnsi="Times New Roman" w:cs="Times New Roman"/>
          <w:i/>
          <w:iCs/>
          <w:sz w:val="24"/>
          <w:szCs w:val="24"/>
          <w:lang w:eastAsia="en-GB"/>
        </w:rPr>
        <w:t>Saudi Pharmaceutical Journal, 23</w:t>
      </w:r>
      <w:r w:rsidRPr="00B52D07">
        <w:rPr>
          <w:rFonts w:ascii="Times New Roman" w:eastAsia="Times New Roman" w:hAnsi="Times New Roman" w:cs="Times New Roman"/>
          <w:sz w:val="24"/>
          <w:szCs w:val="24"/>
          <w:lang w:eastAsia="en-GB"/>
        </w:rPr>
        <w:t xml:space="preserve">(5), 562–572. </w:t>
      </w:r>
      <w:r w:rsidRPr="00B52D07">
        <w:rPr>
          <w:rFonts w:ascii="Times New Roman" w:eastAsia="Times New Roman" w:hAnsi="Times New Roman" w:cs="Times New Roman"/>
          <w:color w:val="0000FF"/>
          <w:sz w:val="24"/>
          <w:szCs w:val="24"/>
          <w:u w:val="single"/>
          <w:lang w:eastAsia="en-GB"/>
        </w:rPr>
        <w:t>https://doi.org/10.1016/j.jsps.2015.02.020</w:t>
      </w:r>
    </w:p>
    <w:p w14:paraId="62BF52C3"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Pawar, A. P., Gholap, A. P., Kuchekar, A. B., </w:t>
      </w:r>
      <w:proofErr w:type="spellStart"/>
      <w:r w:rsidRPr="00B52D07">
        <w:rPr>
          <w:rFonts w:ascii="Times New Roman" w:eastAsia="Times New Roman" w:hAnsi="Times New Roman" w:cs="Times New Roman"/>
          <w:sz w:val="24"/>
          <w:szCs w:val="24"/>
          <w:lang w:eastAsia="en-GB"/>
        </w:rPr>
        <w:t>Bothiraja</w:t>
      </w:r>
      <w:proofErr w:type="spellEnd"/>
      <w:r w:rsidRPr="00B52D07">
        <w:rPr>
          <w:rFonts w:ascii="Times New Roman" w:eastAsia="Times New Roman" w:hAnsi="Times New Roman" w:cs="Times New Roman"/>
          <w:sz w:val="24"/>
          <w:szCs w:val="24"/>
          <w:lang w:eastAsia="en-GB"/>
        </w:rPr>
        <w:t xml:space="preserve">, C., &amp; Mali, A. J. (2015). Formulation and evaluation of optimized oxybenzone </w:t>
      </w:r>
      <w:proofErr w:type="spellStart"/>
      <w:r w:rsidRPr="00B52D07">
        <w:rPr>
          <w:rFonts w:ascii="Times New Roman" w:eastAsia="Times New Roman" w:hAnsi="Times New Roman" w:cs="Times New Roman"/>
          <w:sz w:val="24"/>
          <w:szCs w:val="24"/>
          <w:lang w:eastAsia="en-GB"/>
        </w:rPr>
        <w:t>microsponge</w:t>
      </w:r>
      <w:proofErr w:type="spellEnd"/>
      <w:r w:rsidRPr="00B52D07">
        <w:rPr>
          <w:rFonts w:ascii="Times New Roman" w:eastAsia="Times New Roman" w:hAnsi="Times New Roman" w:cs="Times New Roman"/>
          <w:sz w:val="24"/>
          <w:szCs w:val="24"/>
          <w:lang w:eastAsia="en-GB"/>
        </w:rPr>
        <w:t xml:space="preserve"> gel for topical delivery. </w:t>
      </w:r>
      <w:r w:rsidRPr="00B52D07">
        <w:rPr>
          <w:rFonts w:ascii="Times New Roman" w:eastAsia="Times New Roman" w:hAnsi="Times New Roman" w:cs="Times New Roman"/>
          <w:i/>
          <w:iCs/>
          <w:sz w:val="24"/>
          <w:szCs w:val="24"/>
          <w:lang w:eastAsia="en-GB"/>
        </w:rPr>
        <w:t>Journal of Drug Delivery, 2015</w:t>
      </w:r>
      <w:r w:rsidRPr="00B52D07">
        <w:rPr>
          <w:rFonts w:ascii="Times New Roman" w:eastAsia="Times New Roman" w:hAnsi="Times New Roman" w:cs="Times New Roman"/>
          <w:sz w:val="24"/>
          <w:szCs w:val="24"/>
          <w:lang w:eastAsia="en-GB"/>
        </w:rPr>
        <w:t xml:space="preserve">, 261068. </w:t>
      </w:r>
      <w:r w:rsidRPr="00B52D07">
        <w:rPr>
          <w:rFonts w:ascii="Times New Roman" w:eastAsia="Times New Roman" w:hAnsi="Times New Roman" w:cs="Times New Roman"/>
          <w:color w:val="0000FF"/>
          <w:sz w:val="24"/>
          <w:szCs w:val="24"/>
          <w:u w:val="single"/>
          <w:lang w:eastAsia="en-GB"/>
        </w:rPr>
        <w:t>https://doi.org/10.1155/2015/261068</w:t>
      </w:r>
    </w:p>
    <w:p w14:paraId="60D6F9C0"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B., Rogacka-</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xml:space="preserve">, K., </w:t>
      </w:r>
      <w:proofErr w:type="spellStart"/>
      <w:r w:rsidRPr="00B52D07">
        <w:rPr>
          <w:rFonts w:ascii="Times New Roman" w:eastAsia="Times New Roman" w:hAnsi="Times New Roman" w:cs="Times New Roman"/>
          <w:sz w:val="24"/>
          <w:szCs w:val="24"/>
          <w:lang w:eastAsia="en-GB"/>
        </w:rPr>
        <w:t>Gubica</w:t>
      </w:r>
      <w:proofErr w:type="spellEnd"/>
      <w:r w:rsidRPr="00B52D07">
        <w:rPr>
          <w:rFonts w:ascii="Times New Roman" w:eastAsia="Times New Roman" w:hAnsi="Times New Roman" w:cs="Times New Roman"/>
          <w:sz w:val="24"/>
          <w:szCs w:val="24"/>
          <w:lang w:eastAsia="en-GB"/>
        </w:rPr>
        <w:t xml:space="preserve">, T., &amp; </w:t>
      </w:r>
      <w:proofErr w:type="spellStart"/>
      <w:r w:rsidRPr="00B52D07">
        <w:rPr>
          <w:rFonts w:ascii="Times New Roman" w:eastAsia="Times New Roman" w:hAnsi="Times New Roman" w:cs="Times New Roman"/>
          <w:sz w:val="24"/>
          <w:szCs w:val="24"/>
          <w:lang w:eastAsia="en-GB"/>
        </w:rPr>
        <w:t>Szeleszczuk</w:t>
      </w:r>
      <w:proofErr w:type="spellEnd"/>
      <w:r w:rsidRPr="00B52D07">
        <w:rPr>
          <w:rFonts w:ascii="Times New Roman" w:eastAsia="Times New Roman" w:hAnsi="Times New Roman" w:cs="Times New Roman"/>
          <w:sz w:val="24"/>
          <w:szCs w:val="24"/>
          <w:lang w:eastAsia="en-GB"/>
        </w:rPr>
        <w:t xml:space="preserve">, Ł. (2024). Exploring cyclodextrin-based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as drug delivery systems: Understanding the physicochemical factors influencing drug loading and release kinetics. </w:t>
      </w:r>
      <w:r w:rsidRPr="00B52D07">
        <w:rPr>
          <w:rFonts w:ascii="Times New Roman" w:eastAsia="Times New Roman" w:hAnsi="Times New Roman" w:cs="Times New Roman"/>
          <w:i/>
          <w:iCs/>
          <w:sz w:val="24"/>
          <w:szCs w:val="24"/>
          <w:lang w:eastAsia="en-GB"/>
        </w:rPr>
        <w:t>International Journal of Molecular Sciences, 25</w:t>
      </w:r>
      <w:r w:rsidRPr="00B52D07">
        <w:rPr>
          <w:rFonts w:ascii="Times New Roman" w:eastAsia="Times New Roman" w:hAnsi="Times New Roman" w:cs="Times New Roman"/>
          <w:sz w:val="24"/>
          <w:szCs w:val="24"/>
          <w:lang w:eastAsia="en-GB"/>
        </w:rPr>
        <w:t xml:space="preserve">(6), 3527. </w:t>
      </w:r>
      <w:r w:rsidRPr="00B52D07">
        <w:rPr>
          <w:rFonts w:ascii="Times New Roman" w:eastAsia="Times New Roman" w:hAnsi="Times New Roman" w:cs="Times New Roman"/>
          <w:color w:val="0000FF"/>
          <w:sz w:val="24"/>
          <w:szCs w:val="24"/>
          <w:u w:val="single"/>
          <w:lang w:eastAsia="en-GB"/>
        </w:rPr>
        <w:t>https://doi.org/10.3390/ijms25063527</w:t>
      </w:r>
    </w:p>
    <w:p w14:paraId="32381EB5"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B., Rogacka-</w:t>
      </w:r>
      <w:proofErr w:type="spellStart"/>
      <w:r w:rsidRPr="00B52D07">
        <w:rPr>
          <w:rFonts w:ascii="Times New Roman" w:eastAsia="Times New Roman" w:hAnsi="Times New Roman" w:cs="Times New Roman"/>
          <w:sz w:val="24"/>
          <w:szCs w:val="24"/>
          <w:lang w:eastAsia="en-GB"/>
        </w:rPr>
        <w:t>Pyrak</w:t>
      </w:r>
      <w:proofErr w:type="spellEnd"/>
      <w:r w:rsidRPr="00B52D07">
        <w:rPr>
          <w:rFonts w:ascii="Times New Roman" w:eastAsia="Times New Roman" w:hAnsi="Times New Roman" w:cs="Times New Roman"/>
          <w:sz w:val="24"/>
          <w:szCs w:val="24"/>
          <w:lang w:eastAsia="en-GB"/>
        </w:rPr>
        <w:t xml:space="preserve">, K., &amp; </w:t>
      </w:r>
      <w:proofErr w:type="spellStart"/>
      <w:r w:rsidRPr="00B52D07">
        <w:rPr>
          <w:rFonts w:ascii="Times New Roman" w:eastAsia="Times New Roman" w:hAnsi="Times New Roman" w:cs="Times New Roman"/>
          <w:sz w:val="24"/>
          <w:szCs w:val="24"/>
          <w:lang w:eastAsia="en-GB"/>
        </w:rPr>
        <w:t>Gubica</w:t>
      </w:r>
      <w:proofErr w:type="spellEnd"/>
      <w:r w:rsidRPr="00B52D07">
        <w:rPr>
          <w:rFonts w:ascii="Times New Roman" w:eastAsia="Times New Roman" w:hAnsi="Times New Roman" w:cs="Times New Roman"/>
          <w:sz w:val="24"/>
          <w:szCs w:val="24"/>
          <w:lang w:eastAsia="en-GB"/>
        </w:rPr>
        <w:t xml:space="preserve">, T. (2025). Exploring cyclodextrin-based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as drug delivery systems: Evaluation of spectroscopic methods for examining structure and dynamics of </w:t>
      </w:r>
      <w:proofErr w:type="spellStart"/>
      <w:r w:rsidRPr="00B52D07">
        <w:rPr>
          <w:rFonts w:ascii="Times New Roman" w:eastAsia="Times New Roman" w:hAnsi="Times New Roman" w:cs="Times New Roman"/>
          <w:sz w:val="24"/>
          <w:szCs w:val="24"/>
          <w:lang w:eastAsia="en-GB"/>
        </w:rPr>
        <w:t>nanosponges</w:t>
      </w:r>
      <w:proofErr w:type="spellEnd"/>
      <w:r w:rsidRPr="00B52D07">
        <w:rPr>
          <w:rFonts w:ascii="Times New Roman" w:eastAsia="Times New Roman" w:hAnsi="Times New Roman" w:cs="Times New Roman"/>
          <w:sz w:val="24"/>
          <w:szCs w:val="24"/>
          <w:lang w:eastAsia="en-GB"/>
        </w:rPr>
        <w:t xml:space="preserve">. </w:t>
      </w:r>
      <w:r w:rsidRPr="00B52D07">
        <w:rPr>
          <w:rFonts w:ascii="Times New Roman" w:eastAsia="Times New Roman" w:hAnsi="Times New Roman" w:cs="Times New Roman"/>
          <w:i/>
          <w:iCs/>
          <w:sz w:val="24"/>
          <w:szCs w:val="24"/>
          <w:lang w:eastAsia="en-GB"/>
        </w:rPr>
        <w:t>International Journal of Molecular Sciences, 26</w:t>
      </w:r>
      <w:r w:rsidRPr="00B52D07">
        <w:rPr>
          <w:rFonts w:ascii="Times New Roman" w:eastAsia="Times New Roman" w:hAnsi="Times New Roman" w:cs="Times New Roman"/>
          <w:sz w:val="24"/>
          <w:szCs w:val="24"/>
          <w:lang w:eastAsia="en-GB"/>
        </w:rPr>
        <w:t xml:space="preserve">(19), 9342. </w:t>
      </w:r>
      <w:r w:rsidRPr="00B52D07">
        <w:rPr>
          <w:rFonts w:ascii="Times New Roman" w:eastAsia="Times New Roman" w:hAnsi="Times New Roman" w:cs="Times New Roman"/>
          <w:color w:val="0000FF"/>
          <w:sz w:val="24"/>
          <w:szCs w:val="24"/>
          <w:u w:val="single"/>
          <w:lang w:eastAsia="en-GB"/>
        </w:rPr>
        <w:t>https://doi.org/10.3390/ijms26199342</w:t>
      </w:r>
    </w:p>
    <w:p w14:paraId="2DFEC512"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lastRenderedPageBreak/>
        <w:t xml:space="preserve">Qureshi, S., Alavi, S. E., &amp; Mohammed, Y. (2024).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Development, characterization, and key physicochemical properties. </w:t>
      </w:r>
      <w:r w:rsidRPr="00B52D07">
        <w:rPr>
          <w:rFonts w:ascii="Times New Roman" w:eastAsia="Times New Roman" w:hAnsi="Times New Roman" w:cs="Times New Roman"/>
          <w:i/>
          <w:iCs/>
          <w:sz w:val="24"/>
          <w:szCs w:val="24"/>
          <w:lang w:eastAsia="en-GB"/>
        </w:rPr>
        <w:t>Assay and Drug Development Technologies, 22</w:t>
      </w:r>
      <w:r w:rsidRPr="00B52D07">
        <w:rPr>
          <w:rFonts w:ascii="Times New Roman" w:eastAsia="Times New Roman" w:hAnsi="Times New Roman" w:cs="Times New Roman"/>
          <w:sz w:val="24"/>
          <w:szCs w:val="24"/>
          <w:lang w:eastAsia="en-GB"/>
        </w:rPr>
        <w:t xml:space="preserve">(5), 229–245. </w:t>
      </w:r>
      <w:r w:rsidRPr="00B52D07">
        <w:rPr>
          <w:rFonts w:ascii="Times New Roman" w:eastAsia="Times New Roman" w:hAnsi="Times New Roman" w:cs="Times New Roman"/>
          <w:color w:val="0000FF"/>
          <w:sz w:val="24"/>
          <w:szCs w:val="24"/>
          <w:u w:val="single"/>
          <w:lang w:eastAsia="en-GB"/>
        </w:rPr>
        <w:t>https://doi.org/10.1089/adt.2023.052</w:t>
      </w:r>
    </w:p>
    <w:p w14:paraId="21DB09AD"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Reynolds, R. V., Yeung, H., Cheng, C. E., Cook-Bolden, F., Desai, S. R., </w:t>
      </w:r>
      <w:proofErr w:type="spellStart"/>
      <w:r w:rsidRPr="00B52D07">
        <w:rPr>
          <w:rFonts w:ascii="Times New Roman" w:eastAsia="Times New Roman" w:hAnsi="Times New Roman" w:cs="Times New Roman"/>
          <w:sz w:val="24"/>
          <w:szCs w:val="24"/>
          <w:lang w:eastAsia="en-GB"/>
        </w:rPr>
        <w:t>Druby</w:t>
      </w:r>
      <w:proofErr w:type="spellEnd"/>
      <w:r w:rsidRPr="00B52D07">
        <w:rPr>
          <w:rFonts w:ascii="Times New Roman" w:eastAsia="Times New Roman" w:hAnsi="Times New Roman" w:cs="Times New Roman"/>
          <w:sz w:val="24"/>
          <w:szCs w:val="24"/>
          <w:lang w:eastAsia="en-GB"/>
        </w:rPr>
        <w:t xml:space="preserve">, K. M., Freeman, E. E., Keri, J. E., Stein Gold, L. F., Tan, J. K. L., Tollefson, M. M., Weiss, J. S., Wu, P. A., Zaenglein, A. L., Han, J. M., &amp; Barbieri, J. S. (2024). Guidelines of care for the management of acne vulgaris. </w:t>
      </w:r>
      <w:r w:rsidRPr="00B52D07">
        <w:rPr>
          <w:rFonts w:ascii="Times New Roman" w:eastAsia="Times New Roman" w:hAnsi="Times New Roman" w:cs="Times New Roman"/>
          <w:i/>
          <w:iCs/>
          <w:sz w:val="24"/>
          <w:szCs w:val="24"/>
          <w:lang w:eastAsia="en-GB"/>
        </w:rPr>
        <w:t>Journal of the American Academy of Dermatology, 90</w:t>
      </w:r>
      <w:r w:rsidRPr="00B52D07">
        <w:rPr>
          <w:rFonts w:ascii="Times New Roman" w:eastAsia="Times New Roman" w:hAnsi="Times New Roman" w:cs="Times New Roman"/>
          <w:sz w:val="24"/>
          <w:szCs w:val="24"/>
          <w:lang w:eastAsia="en-GB"/>
        </w:rPr>
        <w:t xml:space="preserve">(5), 1006.e1–1006.e30. </w:t>
      </w:r>
      <w:r w:rsidRPr="00B52D07">
        <w:rPr>
          <w:rFonts w:ascii="Times New Roman" w:eastAsia="Times New Roman" w:hAnsi="Times New Roman" w:cs="Times New Roman"/>
          <w:color w:val="0000FF"/>
          <w:sz w:val="24"/>
          <w:szCs w:val="24"/>
          <w:u w:val="single"/>
          <w:lang w:eastAsia="en-GB"/>
        </w:rPr>
        <w:t>https://doi.org/10.1016/j.jaad.2023.12.017</w:t>
      </w:r>
    </w:p>
    <w:p w14:paraId="6B0EE5EC"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Sardou, H. S., </w:t>
      </w:r>
      <w:proofErr w:type="spellStart"/>
      <w:r w:rsidRPr="00B52D07">
        <w:rPr>
          <w:rFonts w:ascii="Times New Roman" w:eastAsia="Times New Roman" w:hAnsi="Times New Roman" w:cs="Times New Roman"/>
          <w:sz w:val="24"/>
          <w:szCs w:val="24"/>
          <w:lang w:eastAsia="en-GB"/>
        </w:rPr>
        <w:t>Vosough</w:t>
      </w:r>
      <w:proofErr w:type="spellEnd"/>
      <w:r w:rsidRPr="00B52D07">
        <w:rPr>
          <w:rFonts w:ascii="Times New Roman" w:eastAsia="Times New Roman" w:hAnsi="Times New Roman" w:cs="Times New Roman"/>
          <w:sz w:val="24"/>
          <w:szCs w:val="24"/>
          <w:lang w:eastAsia="en-GB"/>
        </w:rPr>
        <w:t xml:space="preserve">, P. R., Abbaspour, M., </w:t>
      </w:r>
      <w:proofErr w:type="spellStart"/>
      <w:r w:rsidRPr="00B52D07">
        <w:rPr>
          <w:rFonts w:ascii="Times New Roman" w:eastAsia="Times New Roman" w:hAnsi="Times New Roman" w:cs="Times New Roman"/>
          <w:sz w:val="24"/>
          <w:szCs w:val="24"/>
          <w:lang w:eastAsia="en-GB"/>
        </w:rPr>
        <w:t>Akhgari</w:t>
      </w:r>
      <w:proofErr w:type="spellEnd"/>
      <w:r w:rsidRPr="00B52D07">
        <w:rPr>
          <w:rFonts w:ascii="Times New Roman" w:eastAsia="Times New Roman" w:hAnsi="Times New Roman" w:cs="Times New Roman"/>
          <w:sz w:val="24"/>
          <w:szCs w:val="24"/>
          <w:lang w:eastAsia="en-GB"/>
        </w:rPr>
        <w:t xml:space="preserve">, A., </w:t>
      </w:r>
      <w:proofErr w:type="spellStart"/>
      <w:r w:rsidRPr="00B52D07">
        <w:rPr>
          <w:rFonts w:ascii="Times New Roman" w:eastAsia="Times New Roman" w:hAnsi="Times New Roman" w:cs="Times New Roman"/>
          <w:sz w:val="24"/>
          <w:szCs w:val="24"/>
          <w:lang w:eastAsia="en-GB"/>
        </w:rPr>
        <w:t>Sathyapalan</w:t>
      </w:r>
      <w:proofErr w:type="spellEnd"/>
      <w:r w:rsidRPr="00B52D07">
        <w:rPr>
          <w:rFonts w:ascii="Times New Roman" w:eastAsia="Times New Roman" w:hAnsi="Times New Roman" w:cs="Times New Roman"/>
          <w:sz w:val="24"/>
          <w:szCs w:val="24"/>
          <w:lang w:eastAsia="en-GB"/>
        </w:rPr>
        <w:t xml:space="preserve">, T., &amp; </w:t>
      </w:r>
      <w:proofErr w:type="spellStart"/>
      <w:r w:rsidRPr="00B52D07">
        <w:rPr>
          <w:rFonts w:ascii="Times New Roman" w:eastAsia="Times New Roman" w:hAnsi="Times New Roman" w:cs="Times New Roman"/>
          <w:sz w:val="24"/>
          <w:szCs w:val="24"/>
          <w:lang w:eastAsia="en-GB"/>
        </w:rPr>
        <w:t>Sahebkar</w:t>
      </w:r>
      <w:proofErr w:type="spellEnd"/>
      <w:r w:rsidRPr="00B52D07">
        <w:rPr>
          <w:rFonts w:ascii="Times New Roman" w:eastAsia="Times New Roman" w:hAnsi="Times New Roman" w:cs="Times New Roman"/>
          <w:sz w:val="24"/>
          <w:szCs w:val="24"/>
          <w:lang w:eastAsia="en-GB"/>
        </w:rPr>
        <w:t xml:space="preserve">, A. (2023). A review on curcumin colon-targeted oral drug delivery systems for the treatment of inflammatory bowel disease. </w:t>
      </w:r>
      <w:proofErr w:type="spellStart"/>
      <w:r w:rsidRPr="00B52D07">
        <w:rPr>
          <w:rFonts w:ascii="Times New Roman" w:eastAsia="Times New Roman" w:hAnsi="Times New Roman" w:cs="Times New Roman"/>
          <w:i/>
          <w:iCs/>
          <w:sz w:val="24"/>
          <w:szCs w:val="24"/>
          <w:lang w:eastAsia="en-GB"/>
        </w:rPr>
        <w:t>Inflammopharmacology</w:t>
      </w:r>
      <w:proofErr w:type="spellEnd"/>
      <w:r w:rsidRPr="00B52D07">
        <w:rPr>
          <w:rFonts w:ascii="Times New Roman" w:eastAsia="Times New Roman" w:hAnsi="Times New Roman" w:cs="Times New Roman"/>
          <w:i/>
          <w:iCs/>
          <w:sz w:val="24"/>
          <w:szCs w:val="24"/>
          <w:lang w:eastAsia="en-GB"/>
        </w:rPr>
        <w:t>, 31</w:t>
      </w:r>
      <w:r w:rsidRPr="00B52D07">
        <w:rPr>
          <w:rFonts w:ascii="Times New Roman" w:eastAsia="Times New Roman" w:hAnsi="Times New Roman" w:cs="Times New Roman"/>
          <w:sz w:val="24"/>
          <w:szCs w:val="24"/>
          <w:lang w:eastAsia="en-GB"/>
        </w:rPr>
        <w:t xml:space="preserve">(3), 1095–1105. </w:t>
      </w:r>
      <w:r w:rsidRPr="00B52D07">
        <w:rPr>
          <w:rFonts w:ascii="Times New Roman" w:eastAsia="Times New Roman" w:hAnsi="Times New Roman" w:cs="Times New Roman"/>
          <w:color w:val="0000FF"/>
          <w:sz w:val="24"/>
          <w:szCs w:val="24"/>
          <w:u w:val="single"/>
          <w:lang w:eastAsia="en-GB"/>
        </w:rPr>
        <w:t>https://doi.org/10.1007/s10787-023-01140-0</w:t>
      </w:r>
    </w:p>
    <w:p w14:paraId="359771CA"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Sen, S., Sharma, A., Kriplani, P., &amp; </w:t>
      </w:r>
      <w:proofErr w:type="spellStart"/>
      <w:r w:rsidRPr="00B52D07">
        <w:rPr>
          <w:rFonts w:ascii="Times New Roman" w:eastAsia="Times New Roman" w:hAnsi="Times New Roman" w:cs="Times New Roman"/>
          <w:sz w:val="24"/>
          <w:szCs w:val="24"/>
          <w:lang w:eastAsia="en-GB"/>
        </w:rPr>
        <w:t>Guarve</w:t>
      </w:r>
      <w:proofErr w:type="spellEnd"/>
      <w:r w:rsidRPr="00B52D07">
        <w:rPr>
          <w:rFonts w:ascii="Times New Roman" w:eastAsia="Times New Roman" w:hAnsi="Times New Roman" w:cs="Times New Roman"/>
          <w:sz w:val="24"/>
          <w:szCs w:val="24"/>
          <w:lang w:eastAsia="en-GB"/>
        </w:rPr>
        <w:t xml:space="preserve">, K. (2023).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A neoteric approach for the effective management of osteoarthritis. </w:t>
      </w:r>
      <w:r w:rsidRPr="00B52D07">
        <w:rPr>
          <w:rFonts w:ascii="Times New Roman" w:eastAsia="Times New Roman" w:hAnsi="Times New Roman" w:cs="Times New Roman"/>
          <w:i/>
          <w:iCs/>
          <w:sz w:val="24"/>
          <w:szCs w:val="24"/>
          <w:lang w:eastAsia="en-GB"/>
        </w:rPr>
        <w:t>Current Rheumatology Reviews, 19</w:t>
      </w:r>
      <w:r w:rsidRPr="00B52D07">
        <w:rPr>
          <w:rFonts w:ascii="Times New Roman" w:eastAsia="Times New Roman" w:hAnsi="Times New Roman" w:cs="Times New Roman"/>
          <w:sz w:val="24"/>
          <w:szCs w:val="24"/>
          <w:lang w:eastAsia="en-GB"/>
        </w:rPr>
        <w:t xml:space="preserve">(4), 385–399. </w:t>
      </w:r>
      <w:r w:rsidRPr="00B52D07">
        <w:rPr>
          <w:rFonts w:ascii="Times New Roman" w:eastAsia="Times New Roman" w:hAnsi="Times New Roman" w:cs="Times New Roman"/>
          <w:color w:val="0000FF"/>
          <w:sz w:val="24"/>
          <w:szCs w:val="24"/>
          <w:u w:val="single"/>
          <w:lang w:eastAsia="en-GB"/>
        </w:rPr>
        <w:t>https://doi.org/10.2174/1573397119666230417093138</w:t>
      </w:r>
    </w:p>
    <w:p w14:paraId="0DF53152"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Serrano-Martínez, A., Victoria-Montesinos, D., García-Muñoz, A. M., Hernández-Sánchez, P., Lucas-</w:t>
      </w:r>
      <w:proofErr w:type="spellStart"/>
      <w:r w:rsidRPr="00B52D07">
        <w:rPr>
          <w:rFonts w:ascii="Times New Roman" w:eastAsia="Times New Roman" w:hAnsi="Times New Roman" w:cs="Times New Roman"/>
          <w:sz w:val="24"/>
          <w:szCs w:val="24"/>
          <w:lang w:eastAsia="en-GB"/>
        </w:rPr>
        <w:t>Abellán</w:t>
      </w:r>
      <w:proofErr w:type="spellEnd"/>
      <w:r w:rsidRPr="00B52D07">
        <w:rPr>
          <w:rFonts w:ascii="Times New Roman" w:eastAsia="Times New Roman" w:hAnsi="Times New Roman" w:cs="Times New Roman"/>
          <w:sz w:val="24"/>
          <w:szCs w:val="24"/>
          <w:lang w:eastAsia="en-GB"/>
        </w:rPr>
        <w:t xml:space="preserve">, C., &amp; González-Louzao, R. (2023). A systematic review of clinical trials on the efficacy and safety of CRLX101 cyclodextrin-based nanomedicine for cancer treatment. </w:t>
      </w:r>
      <w:r w:rsidRPr="00B52D07">
        <w:rPr>
          <w:rFonts w:ascii="Times New Roman" w:eastAsia="Times New Roman" w:hAnsi="Times New Roman" w:cs="Times New Roman"/>
          <w:i/>
          <w:iCs/>
          <w:sz w:val="24"/>
          <w:szCs w:val="24"/>
          <w:lang w:eastAsia="en-GB"/>
        </w:rPr>
        <w:t>Pharmaceutics, 15</w:t>
      </w:r>
      <w:r w:rsidRPr="00B52D07">
        <w:rPr>
          <w:rFonts w:ascii="Times New Roman" w:eastAsia="Times New Roman" w:hAnsi="Times New Roman" w:cs="Times New Roman"/>
          <w:sz w:val="24"/>
          <w:szCs w:val="24"/>
          <w:lang w:eastAsia="en-GB"/>
        </w:rPr>
        <w:t xml:space="preserve">(7), 1824. </w:t>
      </w:r>
      <w:r w:rsidRPr="00B52D07">
        <w:rPr>
          <w:rFonts w:ascii="Times New Roman" w:eastAsia="Times New Roman" w:hAnsi="Times New Roman" w:cs="Times New Roman"/>
          <w:color w:val="0000FF"/>
          <w:sz w:val="24"/>
          <w:szCs w:val="24"/>
          <w:u w:val="single"/>
          <w:lang w:eastAsia="en-GB"/>
        </w:rPr>
        <w:t>https://doi.org/10.3390/pharmaceutics15071824</w:t>
      </w:r>
    </w:p>
    <w:p w14:paraId="1271CF96"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Sher, M., Sarfaraz, R. M., Iqbal, S., Hussain, M. A., Hassan, M. N. U., Hassan, F., &amp; Bukhari, S. N. A. (2022). Formulation and evaluation of </w:t>
      </w:r>
      <w:proofErr w:type="spellStart"/>
      <w:r w:rsidRPr="00B52D07">
        <w:rPr>
          <w:rFonts w:ascii="Times New Roman" w:eastAsia="Times New Roman" w:hAnsi="Times New Roman" w:cs="Times New Roman"/>
          <w:sz w:val="24"/>
          <w:szCs w:val="24"/>
          <w:lang w:eastAsia="en-GB"/>
        </w:rPr>
        <w:t>hydroxypropylmethylcellulose</w:t>
      </w:r>
      <w:proofErr w:type="spellEnd"/>
      <w:r w:rsidRPr="00B52D07">
        <w:rPr>
          <w:rFonts w:ascii="Times New Roman" w:eastAsia="Times New Roman" w:hAnsi="Times New Roman" w:cs="Times New Roman"/>
          <w:sz w:val="24"/>
          <w:szCs w:val="24"/>
          <w:lang w:eastAsia="en-GB"/>
        </w:rPr>
        <w:t xml:space="preserve">-dicyclomine </w:t>
      </w:r>
      <w:proofErr w:type="spellStart"/>
      <w:r w:rsidRPr="00B52D07">
        <w:rPr>
          <w:rFonts w:ascii="Times New Roman" w:eastAsia="Times New Roman" w:hAnsi="Times New Roman" w:cs="Times New Roman"/>
          <w:sz w:val="24"/>
          <w:szCs w:val="24"/>
          <w:lang w:eastAsia="en-GB"/>
        </w:rPr>
        <w:t>microsponges</w:t>
      </w:r>
      <w:proofErr w:type="spellEnd"/>
      <w:r w:rsidRPr="00B52D07">
        <w:rPr>
          <w:rFonts w:ascii="Times New Roman" w:eastAsia="Times New Roman" w:hAnsi="Times New Roman" w:cs="Times New Roman"/>
          <w:sz w:val="24"/>
          <w:szCs w:val="24"/>
          <w:lang w:eastAsia="en-GB"/>
        </w:rPr>
        <w:t xml:space="preserve"> for colon targeted drug delivery: In vitro and in vivo evaluation. </w:t>
      </w:r>
      <w:r w:rsidRPr="00B52D07">
        <w:rPr>
          <w:rFonts w:ascii="Times New Roman" w:eastAsia="Times New Roman" w:hAnsi="Times New Roman" w:cs="Times New Roman"/>
          <w:i/>
          <w:iCs/>
          <w:sz w:val="24"/>
          <w:szCs w:val="24"/>
          <w:lang w:eastAsia="en-GB"/>
        </w:rPr>
        <w:t>Current Drug Delivery, 19</w:t>
      </w:r>
      <w:r w:rsidRPr="00B52D07">
        <w:rPr>
          <w:rFonts w:ascii="Times New Roman" w:eastAsia="Times New Roman" w:hAnsi="Times New Roman" w:cs="Times New Roman"/>
          <w:sz w:val="24"/>
          <w:szCs w:val="24"/>
          <w:lang w:eastAsia="en-GB"/>
        </w:rPr>
        <w:t xml:space="preserve">(6), 686–696. </w:t>
      </w:r>
      <w:r w:rsidRPr="00B52D07">
        <w:rPr>
          <w:rFonts w:ascii="Times New Roman" w:eastAsia="Times New Roman" w:hAnsi="Times New Roman" w:cs="Times New Roman"/>
          <w:color w:val="0000FF"/>
          <w:sz w:val="24"/>
          <w:szCs w:val="24"/>
          <w:u w:val="single"/>
          <w:lang w:eastAsia="en-GB"/>
        </w:rPr>
        <w:t>https://doi.org/10.2174/1567201818666210805153347</w:t>
      </w:r>
    </w:p>
    <w:p w14:paraId="33357B32"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Vora, L. K., Gholap, A. D., Jetha, K., Thakur, R. R. S., Solanki, H. K., &amp; Chavda, V. P. (2023). Artificial intelligence in pharmaceutical technology and drug delivery design. </w:t>
      </w:r>
      <w:r w:rsidRPr="00B52D07">
        <w:rPr>
          <w:rFonts w:ascii="Times New Roman" w:eastAsia="Times New Roman" w:hAnsi="Times New Roman" w:cs="Times New Roman"/>
          <w:i/>
          <w:iCs/>
          <w:sz w:val="24"/>
          <w:szCs w:val="24"/>
          <w:lang w:eastAsia="en-GB"/>
        </w:rPr>
        <w:t>Pharmaceutics, 15</w:t>
      </w:r>
      <w:r w:rsidRPr="00B52D07">
        <w:rPr>
          <w:rFonts w:ascii="Times New Roman" w:eastAsia="Times New Roman" w:hAnsi="Times New Roman" w:cs="Times New Roman"/>
          <w:sz w:val="24"/>
          <w:szCs w:val="24"/>
          <w:lang w:eastAsia="en-GB"/>
        </w:rPr>
        <w:t xml:space="preserve">(7), 1916. </w:t>
      </w:r>
      <w:r w:rsidRPr="00B52D07">
        <w:rPr>
          <w:rFonts w:ascii="Times New Roman" w:eastAsia="Times New Roman" w:hAnsi="Times New Roman" w:cs="Times New Roman"/>
          <w:color w:val="0000FF"/>
          <w:sz w:val="24"/>
          <w:szCs w:val="24"/>
          <w:u w:val="single"/>
          <w:lang w:eastAsia="en-GB"/>
        </w:rPr>
        <w:t>https://doi.org/10.3390/pharmaceutics15071916</w:t>
      </w:r>
    </w:p>
    <w:p w14:paraId="25C3EE81"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Yehia, R. M., </w:t>
      </w:r>
      <w:proofErr w:type="spellStart"/>
      <w:r w:rsidRPr="00B52D07">
        <w:rPr>
          <w:rFonts w:ascii="Times New Roman" w:eastAsia="Times New Roman" w:hAnsi="Times New Roman" w:cs="Times New Roman"/>
          <w:sz w:val="24"/>
          <w:szCs w:val="24"/>
          <w:lang w:eastAsia="en-GB"/>
        </w:rPr>
        <w:t>Teaima</w:t>
      </w:r>
      <w:proofErr w:type="spellEnd"/>
      <w:r w:rsidRPr="00B52D07">
        <w:rPr>
          <w:rFonts w:ascii="Times New Roman" w:eastAsia="Times New Roman" w:hAnsi="Times New Roman" w:cs="Times New Roman"/>
          <w:sz w:val="24"/>
          <w:szCs w:val="24"/>
          <w:lang w:eastAsia="en-GB"/>
        </w:rPr>
        <w:t xml:space="preserve">, M. H., </w:t>
      </w:r>
      <w:proofErr w:type="spellStart"/>
      <w:r w:rsidRPr="00B52D07">
        <w:rPr>
          <w:rFonts w:ascii="Times New Roman" w:eastAsia="Times New Roman" w:hAnsi="Times New Roman" w:cs="Times New Roman"/>
          <w:sz w:val="24"/>
          <w:szCs w:val="24"/>
          <w:lang w:eastAsia="en-GB"/>
        </w:rPr>
        <w:t>Ragaie</w:t>
      </w:r>
      <w:proofErr w:type="spellEnd"/>
      <w:r w:rsidRPr="00B52D07">
        <w:rPr>
          <w:rFonts w:ascii="Times New Roman" w:eastAsia="Times New Roman" w:hAnsi="Times New Roman" w:cs="Times New Roman"/>
          <w:sz w:val="24"/>
          <w:szCs w:val="24"/>
          <w:lang w:eastAsia="en-GB"/>
        </w:rPr>
        <w:t xml:space="preserve">, M. H., </w:t>
      </w:r>
      <w:proofErr w:type="spellStart"/>
      <w:r w:rsidRPr="00B52D07">
        <w:rPr>
          <w:rFonts w:ascii="Times New Roman" w:eastAsia="Times New Roman" w:hAnsi="Times New Roman" w:cs="Times New Roman"/>
          <w:sz w:val="24"/>
          <w:szCs w:val="24"/>
          <w:lang w:eastAsia="en-GB"/>
        </w:rPr>
        <w:t>Elmazar</w:t>
      </w:r>
      <w:proofErr w:type="spellEnd"/>
      <w:r w:rsidRPr="00B52D07">
        <w:rPr>
          <w:rFonts w:ascii="Times New Roman" w:eastAsia="Times New Roman" w:hAnsi="Times New Roman" w:cs="Times New Roman"/>
          <w:sz w:val="24"/>
          <w:szCs w:val="24"/>
          <w:lang w:eastAsia="en-GB"/>
        </w:rPr>
        <w:t>, M. M., Attia, D. A., &amp; El-</w:t>
      </w:r>
      <w:proofErr w:type="spellStart"/>
      <w:r w:rsidRPr="00B52D07">
        <w:rPr>
          <w:rFonts w:ascii="Times New Roman" w:eastAsia="Times New Roman" w:hAnsi="Times New Roman" w:cs="Times New Roman"/>
          <w:sz w:val="24"/>
          <w:szCs w:val="24"/>
          <w:lang w:eastAsia="en-GB"/>
        </w:rPr>
        <w:t>Nabarawi</w:t>
      </w:r>
      <w:proofErr w:type="spellEnd"/>
      <w:r w:rsidRPr="00B52D07">
        <w:rPr>
          <w:rFonts w:ascii="Times New Roman" w:eastAsia="Times New Roman" w:hAnsi="Times New Roman" w:cs="Times New Roman"/>
          <w:sz w:val="24"/>
          <w:szCs w:val="24"/>
          <w:lang w:eastAsia="en-GB"/>
        </w:rPr>
        <w:t xml:space="preserve">, M. A. (2024). Resolving acne with optimized adapalene </w:t>
      </w:r>
      <w:proofErr w:type="spellStart"/>
      <w:r w:rsidRPr="00B52D07">
        <w:rPr>
          <w:rFonts w:ascii="Times New Roman" w:eastAsia="Times New Roman" w:hAnsi="Times New Roman" w:cs="Times New Roman"/>
          <w:sz w:val="24"/>
          <w:szCs w:val="24"/>
          <w:lang w:eastAsia="en-GB"/>
        </w:rPr>
        <w:t>microspongeal</w:t>
      </w:r>
      <w:proofErr w:type="spellEnd"/>
      <w:r w:rsidRPr="00B52D07">
        <w:rPr>
          <w:rFonts w:ascii="Times New Roman" w:eastAsia="Times New Roman" w:hAnsi="Times New Roman" w:cs="Times New Roman"/>
          <w:sz w:val="24"/>
          <w:szCs w:val="24"/>
          <w:lang w:eastAsia="en-GB"/>
        </w:rPr>
        <w:t xml:space="preserve"> gel, in vivo and clinical evaluations. </w:t>
      </w:r>
      <w:r w:rsidRPr="00B52D07">
        <w:rPr>
          <w:rFonts w:ascii="Times New Roman" w:eastAsia="Times New Roman" w:hAnsi="Times New Roman" w:cs="Times New Roman"/>
          <w:i/>
          <w:iCs/>
          <w:sz w:val="24"/>
          <w:szCs w:val="24"/>
          <w:lang w:eastAsia="en-GB"/>
        </w:rPr>
        <w:t>Scientific Reports, 14</w:t>
      </w:r>
      <w:r w:rsidRPr="00B52D07">
        <w:rPr>
          <w:rFonts w:ascii="Times New Roman" w:eastAsia="Times New Roman" w:hAnsi="Times New Roman" w:cs="Times New Roman"/>
          <w:sz w:val="24"/>
          <w:szCs w:val="24"/>
          <w:lang w:eastAsia="en-GB"/>
        </w:rPr>
        <w:t xml:space="preserve">(1), 1359. </w:t>
      </w:r>
      <w:r w:rsidRPr="00B52D07">
        <w:rPr>
          <w:rFonts w:ascii="Times New Roman" w:eastAsia="Times New Roman" w:hAnsi="Times New Roman" w:cs="Times New Roman"/>
          <w:color w:val="0000FF"/>
          <w:sz w:val="24"/>
          <w:szCs w:val="24"/>
          <w:u w:val="single"/>
          <w:lang w:eastAsia="en-GB"/>
        </w:rPr>
        <w:t>https://doi.org/10.1038/s41598-024-51392-1</w:t>
      </w:r>
    </w:p>
    <w:p w14:paraId="68A18D53" w14:textId="77777777" w:rsidR="00B52D07" w:rsidRPr="00B52D07" w:rsidRDefault="00B52D07" w:rsidP="00B52D07">
      <w:pPr>
        <w:spacing w:before="100" w:beforeAutospacing="1" w:after="100" w:afterAutospacing="1" w:line="240" w:lineRule="auto"/>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Zhao, L., Chen, J., Bai, B., Song, G., Zhang, J., Yu, H., Huang, S., Wang, Z., &amp; Lu, G. (2024). Topical drug delivery strategies for enhancing drug effectiveness by skin barriers, drug delivery systems and individualized dosing. </w:t>
      </w:r>
      <w:r w:rsidRPr="00B52D07">
        <w:rPr>
          <w:rFonts w:ascii="Times New Roman" w:eastAsia="Times New Roman" w:hAnsi="Times New Roman" w:cs="Times New Roman"/>
          <w:i/>
          <w:iCs/>
          <w:sz w:val="24"/>
          <w:szCs w:val="24"/>
          <w:lang w:eastAsia="en-GB"/>
        </w:rPr>
        <w:t>Frontiers in Pharmacology, 14</w:t>
      </w:r>
      <w:r w:rsidRPr="00B52D07">
        <w:rPr>
          <w:rFonts w:ascii="Times New Roman" w:eastAsia="Times New Roman" w:hAnsi="Times New Roman" w:cs="Times New Roman"/>
          <w:sz w:val="24"/>
          <w:szCs w:val="24"/>
          <w:lang w:eastAsia="en-GB"/>
        </w:rPr>
        <w:t xml:space="preserve">, 1333986. </w:t>
      </w:r>
      <w:r w:rsidRPr="00B52D07">
        <w:rPr>
          <w:rFonts w:ascii="Times New Roman" w:eastAsia="Times New Roman" w:hAnsi="Times New Roman" w:cs="Times New Roman"/>
          <w:color w:val="0000FF"/>
          <w:sz w:val="24"/>
          <w:szCs w:val="24"/>
          <w:u w:val="single"/>
          <w:lang w:eastAsia="en-GB"/>
        </w:rPr>
        <w:t>https://doi.org/10.3389/fphar.2023.1333986</w:t>
      </w:r>
    </w:p>
    <w:p w14:paraId="18B7876A" w14:textId="77777777" w:rsidR="004841B3" w:rsidRDefault="004841B3"/>
    <w:sectPr w:rsidR="004841B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9B5F" w14:textId="77777777" w:rsidR="00D42643" w:rsidRDefault="00D42643" w:rsidP="00621B98">
      <w:pPr>
        <w:spacing w:after="0" w:line="240" w:lineRule="auto"/>
      </w:pPr>
      <w:r>
        <w:separator/>
      </w:r>
    </w:p>
  </w:endnote>
  <w:endnote w:type="continuationSeparator" w:id="0">
    <w:p w14:paraId="0E837B16" w14:textId="77777777" w:rsidR="00D42643" w:rsidRDefault="00D42643" w:rsidP="00621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880E" w14:textId="77777777" w:rsidR="00621B98" w:rsidRDefault="00621B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612E" w14:textId="77777777" w:rsidR="00621B98" w:rsidRDefault="00621B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232E" w14:textId="77777777" w:rsidR="00621B98" w:rsidRDefault="00621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5450C" w14:textId="77777777" w:rsidR="00D42643" w:rsidRDefault="00D42643" w:rsidP="00621B98">
      <w:pPr>
        <w:spacing w:after="0" w:line="240" w:lineRule="auto"/>
      </w:pPr>
      <w:r>
        <w:separator/>
      </w:r>
    </w:p>
  </w:footnote>
  <w:footnote w:type="continuationSeparator" w:id="0">
    <w:p w14:paraId="5EB9379B" w14:textId="77777777" w:rsidR="00D42643" w:rsidRDefault="00D42643" w:rsidP="00621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DF347" w14:textId="70FD08D7" w:rsidR="00621B98" w:rsidRDefault="00621B98">
    <w:pPr>
      <w:pStyle w:val="Header"/>
    </w:pPr>
    <w:r>
      <w:rPr>
        <w:noProof/>
      </w:rPr>
      <w:pict w14:anchorId="037315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00278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1A08" w14:textId="61DF65DA" w:rsidR="00621B98" w:rsidRDefault="00621B98">
    <w:pPr>
      <w:pStyle w:val="Header"/>
    </w:pPr>
    <w:r>
      <w:rPr>
        <w:noProof/>
      </w:rPr>
      <w:pict w14:anchorId="72B9ED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00278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13CCC" w14:textId="6A2CE5DD" w:rsidR="00621B98" w:rsidRDefault="00621B98">
    <w:pPr>
      <w:pStyle w:val="Header"/>
    </w:pPr>
    <w:r>
      <w:rPr>
        <w:noProof/>
      </w:rPr>
      <w:pict w14:anchorId="6F2E9C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00278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2D07"/>
    <w:rsid w:val="00190DFF"/>
    <w:rsid w:val="00222EE8"/>
    <w:rsid w:val="002C42BF"/>
    <w:rsid w:val="00345F3B"/>
    <w:rsid w:val="004841B3"/>
    <w:rsid w:val="00621B98"/>
    <w:rsid w:val="00824882"/>
    <w:rsid w:val="00830529"/>
    <w:rsid w:val="0092212C"/>
    <w:rsid w:val="00B52D07"/>
    <w:rsid w:val="00D01876"/>
    <w:rsid w:val="00D42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C14D6"/>
  <w15:docId w15:val="{3050B6C9-5607-487F-BB5D-894692B3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B52D0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52D0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B52D0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B52D0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52D0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52D07"/>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B52D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52D07"/>
    <w:rPr>
      <w:b/>
      <w:bCs/>
    </w:rPr>
  </w:style>
  <w:style w:type="character" w:styleId="Emphasis">
    <w:name w:val="Emphasis"/>
    <w:basedOn w:val="DefaultParagraphFont"/>
    <w:uiPriority w:val="20"/>
    <w:qFormat/>
    <w:rsid w:val="00B52D07"/>
    <w:rPr>
      <w:i/>
      <w:iCs/>
    </w:rPr>
  </w:style>
  <w:style w:type="character" w:styleId="Hyperlink">
    <w:name w:val="Hyperlink"/>
    <w:basedOn w:val="DefaultParagraphFont"/>
    <w:uiPriority w:val="99"/>
    <w:semiHidden/>
    <w:unhideWhenUsed/>
    <w:rsid w:val="00B52D07"/>
    <w:rPr>
      <w:color w:val="0000FF"/>
      <w:u w:val="single"/>
    </w:rPr>
  </w:style>
  <w:style w:type="table" w:styleId="TableGrid">
    <w:name w:val="Table Grid"/>
    <w:basedOn w:val="TableNormal"/>
    <w:uiPriority w:val="59"/>
    <w:rsid w:val="00B52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1B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B98"/>
  </w:style>
  <w:style w:type="paragraph" w:styleId="Footer">
    <w:name w:val="footer"/>
    <w:basedOn w:val="Normal"/>
    <w:link w:val="FooterChar"/>
    <w:uiPriority w:val="99"/>
    <w:unhideWhenUsed/>
    <w:rsid w:val="00621B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528556">
      <w:bodyDiv w:val="1"/>
      <w:marLeft w:val="0"/>
      <w:marRight w:val="0"/>
      <w:marTop w:val="0"/>
      <w:marBottom w:val="0"/>
      <w:divBdr>
        <w:top w:val="none" w:sz="0" w:space="0" w:color="auto"/>
        <w:left w:val="none" w:sz="0" w:space="0" w:color="auto"/>
        <w:bottom w:val="none" w:sz="0" w:space="0" w:color="auto"/>
        <w:right w:val="none" w:sz="0" w:space="0" w:color="auto"/>
      </w:divBdr>
      <w:divsChild>
        <w:div w:id="1551652113">
          <w:marLeft w:val="0"/>
          <w:marRight w:val="0"/>
          <w:marTop w:val="0"/>
          <w:marBottom w:val="0"/>
          <w:divBdr>
            <w:top w:val="none" w:sz="0" w:space="0" w:color="auto"/>
            <w:left w:val="none" w:sz="0" w:space="0" w:color="auto"/>
            <w:bottom w:val="none" w:sz="0" w:space="0" w:color="auto"/>
            <w:right w:val="none" w:sz="0" w:space="0" w:color="auto"/>
          </w:divBdr>
        </w:div>
        <w:div w:id="262154580">
          <w:marLeft w:val="0"/>
          <w:marRight w:val="0"/>
          <w:marTop w:val="0"/>
          <w:marBottom w:val="0"/>
          <w:divBdr>
            <w:top w:val="none" w:sz="0" w:space="0" w:color="auto"/>
            <w:left w:val="none" w:sz="0" w:space="0" w:color="auto"/>
            <w:bottom w:val="none" w:sz="0" w:space="0" w:color="auto"/>
            <w:right w:val="none" w:sz="0" w:space="0" w:color="auto"/>
          </w:divBdr>
        </w:div>
        <w:div w:id="514465858">
          <w:marLeft w:val="0"/>
          <w:marRight w:val="0"/>
          <w:marTop w:val="0"/>
          <w:marBottom w:val="0"/>
          <w:divBdr>
            <w:top w:val="none" w:sz="0" w:space="0" w:color="auto"/>
            <w:left w:val="none" w:sz="0" w:space="0" w:color="auto"/>
            <w:bottom w:val="none" w:sz="0" w:space="0" w:color="auto"/>
            <w:right w:val="none" w:sz="0" w:space="0" w:color="auto"/>
          </w:divBdr>
        </w:div>
        <w:div w:id="401296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8432</Words>
  <Characters>48069</Characters>
  <Application>Microsoft Office Word</Application>
  <DocSecurity>0</DocSecurity>
  <Lines>400</Lines>
  <Paragraphs>112</Paragraphs>
  <ScaleCrop>false</ScaleCrop>
  <Company>HP</Company>
  <LinksUpToDate>false</LinksUpToDate>
  <CharactersWithSpaces>56389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7</cp:revision>
  <dcterms:created xsi:type="dcterms:W3CDTF">2026-07-02T15:48:00Z</dcterms:created>
  <dcterms:modified xsi:type="dcterms:W3CDTF">2026-07-03T11:16:00Z</dcterms:modified>
</cp:coreProperties>
</file>