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0152" w14:textId="77777777" w:rsidR="00C463AE" w:rsidRPr="00C463AE" w:rsidRDefault="00C463AE" w:rsidP="00C463AE">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C463AE">
        <w:rPr>
          <w:rFonts w:ascii="Times New Roman" w:eastAsia="Times New Roman" w:hAnsi="Times New Roman" w:cs="Times New Roman"/>
          <w:b/>
          <w:bCs/>
          <w:i/>
          <w:iCs/>
          <w:sz w:val="36"/>
          <w:szCs w:val="36"/>
          <w:u w:val="single"/>
          <w:lang w:val="en-US" w:eastAsia="en-GB"/>
        </w:rPr>
        <w:t>Review Article</w:t>
      </w:r>
    </w:p>
    <w:p w14:paraId="5022526A" w14:textId="77777777" w:rsidR="00426A47" w:rsidRPr="00875933" w:rsidRDefault="00426A47" w:rsidP="00426A4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75933">
        <w:rPr>
          <w:rFonts w:ascii="Times New Roman" w:eastAsia="Times New Roman" w:hAnsi="Times New Roman" w:cs="Times New Roman"/>
          <w:b/>
          <w:bCs/>
          <w:sz w:val="36"/>
          <w:szCs w:val="36"/>
          <w:lang w:eastAsia="en-GB"/>
        </w:rPr>
        <w:t xml:space="preserve">Phytochemical Profile and Therapeutic Potential of </w:t>
      </w:r>
      <w:r w:rsidRPr="00875933">
        <w:rPr>
          <w:rFonts w:ascii="Times New Roman" w:eastAsia="Times New Roman" w:hAnsi="Times New Roman" w:cs="Times New Roman"/>
          <w:b/>
          <w:bCs/>
          <w:i/>
          <w:iCs/>
          <w:sz w:val="36"/>
          <w:szCs w:val="36"/>
          <w:lang w:eastAsia="en-GB"/>
        </w:rPr>
        <w:t>Acalypha indica</w:t>
      </w:r>
      <w:r w:rsidRPr="00875933">
        <w:rPr>
          <w:rFonts w:ascii="Times New Roman" w:eastAsia="Times New Roman" w:hAnsi="Times New Roman" w:cs="Times New Roman"/>
          <w:b/>
          <w:bCs/>
          <w:sz w:val="36"/>
          <w:szCs w:val="36"/>
          <w:lang w:eastAsia="en-GB"/>
        </w:rPr>
        <w:t>: A Critical Review</w:t>
      </w:r>
    </w:p>
    <w:p w14:paraId="4FC0823A"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Abstract</w:t>
      </w:r>
    </w:p>
    <w:p w14:paraId="2750BD1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L.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commonly known as Indian copperleaf or Indian nettle, is a pantropical herbaceous weed with a long-standing presence in Ayurvedic, Siddha and African ethnomedical systems. Despite its taxonomic obscurity and its frequent dismissal as nothing more than a roadside weed, the species has attracted sustained scientific attention because of an unusually diverse phytochemical repertoire that includes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tannins, a </w:t>
      </w:r>
      <w:proofErr w:type="spellStart"/>
      <w:r w:rsidRPr="00875933">
        <w:rPr>
          <w:rFonts w:ascii="Times New Roman" w:eastAsia="Times New Roman" w:hAnsi="Times New Roman" w:cs="Times New Roman"/>
          <w:sz w:val="24"/>
          <w:szCs w:val="24"/>
          <w:lang w:eastAsia="en-GB"/>
        </w:rPr>
        <w:t>pyranoquinolinone</w:t>
      </w:r>
      <w:proofErr w:type="spellEnd"/>
      <w:r w:rsidRPr="00875933">
        <w:rPr>
          <w:rFonts w:ascii="Times New Roman" w:eastAsia="Times New Roman" w:hAnsi="Times New Roman" w:cs="Times New Roman"/>
          <w:sz w:val="24"/>
          <w:szCs w:val="24"/>
          <w:lang w:eastAsia="en-GB"/>
        </w:rPr>
        <w:t xml:space="preserve"> alkaloid, sterols and a range of volatile constituents. This critical review synthesises the phytochemical and pharmacological literature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published over roughly the past two decades, setting recent computational and nanotechnological studies against the longer arc of ethnopharmacological validation that the plant has undergone. The principal bioactive classes are catalogued, and the evidence underlying its antioxidant, antimicrobial, anti-inflammatory, antidiabetic, anticancer, wound-healing,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neuroprotective and antiparasitic properties is weighed with explicit attention to methodological rigour, extract standardisation and the gap that still separates in vitro promise from in vivo, let alone clinical, confirmation. The toxicological literature, including clinical reports of glucose-6-phosphate dehydrogenase-related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following ingestion, is examined to put the plant's dual identity — remedy and hazard at once — into proper context. Emerging applications in green nanoparticle synthesis and in silico drug discovery, including docking studies implicating compounds such as </w:t>
      </w:r>
      <w:proofErr w:type="spellStart"/>
      <w:r w:rsidRPr="00875933">
        <w:rPr>
          <w:rFonts w:ascii="Times New Roman" w:eastAsia="Times New Roman" w:hAnsi="Times New Roman" w:cs="Times New Roman"/>
          <w:sz w:val="24"/>
          <w:szCs w:val="24"/>
          <w:lang w:eastAsia="en-GB"/>
        </w:rPr>
        <w:t>corilagin</w:t>
      </w:r>
      <w:proofErr w:type="spellEnd"/>
      <w:r w:rsidRPr="00875933">
        <w:rPr>
          <w:rFonts w:ascii="Times New Roman" w:eastAsia="Times New Roman" w:hAnsi="Times New Roman" w:cs="Times New Roman"/>
          <w:sz w:val="24"/>
          <w:szCs w:val="24"/>
          <w:lang w:eastAsia="en-GB"/>
        </w:rPr>
        <w:t xml:space="preserve">, are discussed as promising but still preliminary lines of work. The review concludes that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possesses a biologically plausible and reproducibly demonstrated multi-target pharmacological profile, but that the field remains held back by inconsistent extract characterisation, an almost complete absence of controlled human trials, and insufficient attention, in much of the pharmacological literature, to the cyanogenic risk inherent in raw plant material. Priorities for future work — standardisation, pharmacokinetic characterisation and properly designed clinical evaluation — are set out in closing.</w:t>
      </w:r>
    </w:p>
    <w:p w14:paraId="5F73FDC4"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Keywords: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cyanogenic glycoside;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ethnopharmacology; phytochemistry; antioxidant activity; green nanoparticle synthesis</w:t>
      </w:r>
    </w:p>
    <w:p w14:paraId="7FDB282F"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15A18711"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1. Introduction</w:t>
      </w:r>
    </w:p>
    <w:p w14:paraId="70C7518B"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1.1 Botanical identity, taxonomy and morphology</w:t>
      </w:r>
    </w:p>
    <w:p w14:paraId="29902E7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L. is a small, erect, annual or short-lived perennial herb of the family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Within its own genus it is most readily distinguished by the cup-shaped, toothed bracts that subtend the inconspicuous female flowers strung along an axillary spike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itself is, by most accounts, the fourth largest genus within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running to several hundred species spread across tropical and subtropical </w:t>
      </w:r>
      <w:r w:rsidRPr="00875933">
        <w:rPr>
          <w:rFonts w:ascii="Times New Roman" w:eastAsia="Times New Roman" w:hAnsi="Times New Roman" w:cs="Times New Roman"/>
          <w:sz w:val="24"/>
          <w:szCs w:val="24"/>
          <w:lang w:eastAsia="en-GB"/>
        </w:rPr>
        <w:lastRenderedPageBreak/>
        <w:t xml:space="preserve">Asia, Africa and the Americas, of which only a small fraction have ever been subjected to systematic phytochemical scrutiny (Seebaluck et al., 2015).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identified in the field by its softly pubescent, ovate-to-rhomboid leaves, slender angular stems, and unisexual flowers carried on a single inflorescence axis. It is precisely this morphological plainness, paired with a weedy habit on disturbed ground and field margins, that has long obscured the plant's medicinal significance relative to more visually arresting ornamental or arborescent relatives within the genus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w:t>
      </w:r>
    </w:p>
    <w:p w14:paraId="1B528317"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1.2 Ethnomedicinal context and traditional applications</w:t>
      </w:r>
    </w:p>
    <w:p w14:paraId="477BBB4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Within South and Southeast Asian traditional medicine — and particularly the Siddha and Ayurvedic systems of southern India —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known locally as </w:t>
      </w:r>
      <w:proofErr w:type="spellStart"/>
      <w:r w:rsidRPr="00875933">
        <w:rPr>
          <w:rFonts w:ascii="Times New Roman" w:eastAsia="Times New Roman" w:hAnsi="Times New Roman" w:cs="Times New Roman"/>
          <w:sz w:val="24"/>
          <w:szCs w:val="24"/>
          <w:lang w:eastAsia="en-GB"/>
        </w:rPr>
        <w:t>kuppaimeni</w:t>
      </w:r>
      <w:proofErr w:type="spellEnd"/>
      <w:r w:rsidRPr="00875933">
        <w:rPr>
          <w:rFonts w:ascii="Times New Roman" w:eastAsia="Times New Roman" w:hAnsi="Times New Roman" w:cs="Times New Roman"/>
          <w:sz w:val="24"/>
          <w:szCs w:val="24"/>
          <w:lang w:eastAsia="en-GB"/>
        </w:rPr>
        <w:t xml:space="preserve"> or Indian copperleaf, occupies a position of remarkable therapeutic versatility. Recorded uses range from anthelmintic, expectorant, laxative and emetic applications to topical treatment of scabies, eczema, wounds and insect bites, and internal use against asthma, bronchitis and pneumonia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Seebaluck et al., 2015). Strikingly similar uses recur for related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species across the wider African and Mascarene ethnomedical record, which hints at a degree of convergent ethnobotanical selection across otherwise unconnected traditional systems — plausibly because related species share, at least in part, a similar phytochemical signature (Seebaluck et al., 2015). This pattern sits within the much larger global picture of reliance on botanical remedies that the World Health Organization has spent decades trying to document, regulate and, where the evidence allows, fold into formal health systems (World Health Organization [WHO], 2013).</w:t>
      </w:r>
    </w:p>
    <w:p w14:paraId="70CBABC4"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1.3 Distribution, ecology and contemporary relevance</w:t>
      </w:r>
    </w:p>
    <w:p w14:paraId="50896168"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The species is now effectively pantropical: it occurs throughout the Indian subcontinent, much of continental and insular Southeast Asia, parts of East and Central Africa, and, having been introduced, as a naturalised weed across tropical regions of the Americas and Oceania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Its tolerance of poor, disturbed soils and its short life cycle have made it agronomically negligible as a crop weed but ecologically convenient as a cheap, abundant source of biomass for phytochemical work — a combination that goes some way towards explaining why the preliminary screening literature so heavily outweighs studies that push through to mechanistic depth or clinical translation (Seebaluck et al., 2015). The current scientific interest in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should therefore be read against a wider revival of enthusiasm for plant-derived therapeutics, driven substantially by concern over antimicrobial resistance, by the side-effect burden associated with many synthetic pharmaceuticals, and by the search for low-cost interventions suited to resource-constrained health settings (WHO, 2013).</w:t>
      </w:r>
    </w:p>
    <w:p w14:paraId="416ABF81"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1.4 Scope and objectives of this review</w:t>
      </w:r>
    </w:p>
    <w:p w14:paraId="374180D8"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This article offers a critical, narrative synthesis of the published phytochemical and pharmacological literature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with three aims in mind. First, it brings together current knowledge of the plant's major secondary metabolite classes — the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tannins, and the minor alkaloidal and </w:t>
      </w:r>
      <w:proofErr w:type="spellStart"/>
      <w:r w:rsidRPr="00875933">
        <w:rPr>
          <w:rFonts w:ascii="Times New Roman" w:eastAsia="Times New Roman" w:hAnsi="Times New Roman" w:cs="Times New Roman"/>
          <w:sz w:val="24"/>
          <w:szCs w:val="24"/>
          <w:lang w:eastAsia="en-GB"/>
        </w:rPr>
        <w:t>terpenoidal</w:t>
      </w:r>
      <w:proofErr w:type="spellEnd"/>
      <w:r w:rsidRPr="00875933">
        <w:rPr>
          <w:rFonts w:ascii="Times New Roman" w:eastAsia="Times New Roman" w:hAnsi="Times New Roman" w:cs="Times New Roman"/>
          <w:sz w:val="24"/>
          <w:szCs w:val="24"/>
          <w:lang w:eastAsia="en-GB"/>
        </w:rPr>
        <w:t xml:space="preserve"> constituents that together underpin its bioactivity. Second, it critically weighs the evidence for the plant's principal pharmacological properties — antioxidant, antimicrobial, anti-inflammatory, antidiabetic, anticancer, wound-healing,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neuroprotective and antiparasitic — paying close attention to study design, extract standardisation, and the degree to which preclinical findings have, or have not, moved towards mechanistic clarity or clinical </w:t>
      </w:r>
      <w:r w:rsidRPr="00875933">
        <w:rPr>
          <w:rFonts w:ascii="Times New Roman" w:eastAsia="Times New Roman" w:hAnsi="Times New Roman" w:cs="Times New Roman"/>
          <w:sz w:val="24"/>
          <w:szCs w:val="24"/>
          <w:lang w:eastAsia="en-GB"/>
        </w:rPr>
        <w:lastRenderedPageBreak/>
        <w:t>testing. Third, it places the plant's emerging nanotechnological and computational applications within this evidentiary landscape, and confronts the toxicological literature documenting the cyanogenic and haemolytic risks of raw plant ingestion. The intention throughout is to give researchers, clinicians and policymakers a balanced, critically appraised picture of where the science currently stands and where the most pressing gaps remain.</w:t>
      </w:r>
    </w:p>
    <w:p w14:paraId="66F8B529"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6E4AC5CD"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2. Methods for Literature Selection</w:t>
      </w:r>
    </w:p>
    <w:p w14:paraId="4593367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This review takes a narrative rather than systematic approach, a choice driven by the sheer breadth and heterogeneity of the subject matter, which spans natural product chemistry, in vitro pharmacology, in vivo animal experimentation, computational drug discovery, nanomaterials science and clinical toxicology. A systematic review, with its characteristic narrowing to a single, prespecified question and outcome set, is poorly suited to a topic where the object is to integrate disparate strands of evidence into a coherent account of one organism's chemistry and bioactivity; a narrative review allows the flexible, interpretive synthesis this requires, while still permitting transparent reporting of how the search and selection were carried out (Sukhera, 2022).</w:t>
      </w:r>
    </w:p>
    <w:p w14:paraId="3B9E64B4"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Literature was retrieved from Web of Science, Scopus, PubMed and Google Scholar as the principal general biomedical and multidisciplinary databases, and supplemented by six field-specific indexing platforms chosen for their coverage of natural product chemistry, ethnopharmacology and tropical agriculture: the Directory of Open Access Journals (DOAJ), AGRICOLA, CAB Abstracts, </w:t>
      </w:r>
      <w:proofErr w:type="spellStart"/>
      <w:r w:rsidRPr="00875933">
        <w:rPr>
          <w:rFonts w:ascii="Times New Roman" w:eastAsia="Times New Roman" w:hAnsi="Times New Roman" w:cs="Times New Roman"/>
          <w:sz w:val="24"/>
          <w:szCs w:val="24"/>
          <w:lang w:eastAsia="en-GB"/>
        </w:rPr>
        <w:t>SciFinder</w:t>
      </w:r>
      <w:proofErr w:type="spellEnd"/>
      <w:r w:rsidRPr="00875933">
        <w:rPr>
          <w:rFonts w:ascii="Times New Roman" w:eastAsia="Times New Roman" w:hAnsi="Times New Roman" w:cs="Times New Roman"/>
          <w:sz w:val="24"/>
          <w:szCs w:val="24"/>
          <w:lang w:eastAsia="en-GB"/>
        </w:rPr>
        <w:t xml:space="preserve">, ScienceDirect, and the regional South Asian database </w:t>
      </w:r>
      <w:proofErr w:type="spellStart"/>
      <w:r w:rsidRPr="00875933">
        <w:rPr>
          <w:rFonts w:ascii="Times New Roman" w:eastAsia="Times New Roman" w:hAnsi="Times New Roman" w:cs="Times New Roman"/>
          <w:sz w:val="24"/>
          <w:szCs w:val="24"/>
          <w:lang w:eastAsia="en-GB"/>
        </w:rPr>
        <w:t>IndMED</w:t>
      </w:r>
      <w:proofErr w:type="spellEnd"/>
      <w:r w:rsidRPr="00875933">
        <w:rPr>
          <w:rFonts w:ascii="Times New Roman" w:eastAsia="Times New Roman" w:hAnsi="Times New Roman" w:cs="Times New Roman"/>
          <w:sz w:val="24"/>
          <w:szCs w:val="24"/>
          <w:lang w:eastAsia="en-GB"/>
        </w:rPr>
        <w:t>. No commercial publisher platforms or individual journal titles were used as search targets themselves; the databases above were instead queried directly using combinations of the terms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"Indian copperleaf", "</w:t>
      </w:r>
      <w:proofErr w:type="spellStart"/>
      <w:r w:rsidRPr="00875933">
        <w:rPr>
          <w:rFonts w:ascii="Times New Roman" w:eastAsia="Times New Roman" w:hAnsi="Times New Roman" w:cs="Times New Roman"/>
          <w:sz w:val="24"/>
          <w:szCs w:val="24"/>
          <w:lang w:eastAsia="en-GB"/>
        </w:rPr>
        <w:t>kuppaimeni</w:t>
      </w:r>
      <w:proofErr w:type="spellEnd"/>
      <w:r w:rsidRPr="00875933">
        <w:rPr>
          <w:rFonts w:ascii="Times New Roman" w:eastAsia="Times New Roman" w:hAnsi="Times New Roman" w:cs="Times New Roman"/>
          <w:sz w:val="24"/>
          <w:szCs w:val="24"/>
          <w:lang w:eastAsia="en-GB"/>
        </w:rPr>
        <w:t>",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and "Indian nettle", each paired in turn with subject qualifiers such as "phytochemistry", "pharmacology", "antioxidant", "antimicrobial", "anti-inflammatory", "antidiabetic", "anticancer", "wound healing", "nanoparticle", "molecular docking", "toxicity" and "ethnopharmacology". Boolean operators (AND, OR) were used to build search strings of the form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OR "Indian copperleaf") AND ("phytochemical" OR "pharmacological" OR "bioactivity").</w:t>
      </w:r>
    </w:p>
    <w:p w14:paraId="468A1A91"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primary search window ran from January 2005 to May 2026, covering the period during which the bulk of modern pharmacological and phytochemical characterisation of the species has taken place. A handful of foundational phytochemical and clinical-toxicological studies predating this window were retained through citation-chaining from more recent reviews because of their lasting relevance — most notably the original structural work on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(Nahrstedt et al., 1982) and an early clinical account of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-induced haemolysis (Senanayake &amp; </w:t>
      </w:r>
      <w:proofErr w:type="spellStart"/>
      <w:r w:rsidRPr="00875933">
        <w:rPr>
          <w:rFonts w:ascii="Times New Roman" w:eastAsia="Times New Roman" w:hAnsi="Times New Roman" w:cs="Times New Roman"/>
          <w:sz w:val="24"/>
          <w:szCs w:val="24"/>
          <w:lang w:eastAsia="en-GB"/>
        </w:rPr>
        <w:t>Sanmuganathan</w:t>
      </w:r>
      <w:proofErr w:type="spellEnd"/>
      <w:r w:rsidRPr="00875933">
        <w:rPr>
          <w:rFonts w:ascii="Times New Roman" w:eastAsia="Times New Roman" w:hAnsi="Times New Roman" w:cs="Times New Roman"/>
          <w:sz w:val="24"/>
          <w:szCs w:val="24"/>
          <w:lang w:eastAsia="en-GB"/>
        </w:rPr>
        <w:t>, 1996). Retaining a small number of such classic papers alongside a contemporary search window is standard practice for natural products that have been studied, on and off, for several decades.</w:t>
      </w:r>
    </w:p>
    <w:p w14:paraId="3B2A09F6"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Screening proceeded in two stages. Titles and abstracts were first checked for direct relevance to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or, where comparative context was needed, to closely related congeneric species; full texts of records that survived this first pass were then assessed against explicit inclusion and exclusion criteria. Included were original peer-reviewed research articles, peer-reviewed case reports, and peer-reviewed narrative or systematic </w:t>
      </w:r>
      <w:r w:rsidRPr="00875933">
        <w:rPr>
          <w:rFonts w:ascii="Times New Roman" w:eastAsia="Times New Roman" w:hAnsi="Times New Roman" w:cs="Times New Roman"/>
          <w:sz w:val="24"/>
          <w:szCs w:val="24"/>
          <w:lang w:eastAsia="en-GB"/>
        </w:rPr>
        <w:lastRenderedPageBreak/>
        <w:t xml:space="preserve">reviews published in English that reported primary phytochemical, pharmacological, toxicological, computational or clinical data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or, where used for direct genus-level comparison, on closely allied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species. Excluded were books and book chapters, conference abstracts and proceedings, theses, patents, preprints, trade or popular-science publications, and any article subsequently retracted by its publisher — one otherwise relevant genus-level review surfaced during screening and was dropped on precisely this basis once its retraction notice had been confirmed. The search was restricted to English-language material; no non-English record meeting the other criteria was judged sufficiently influential to warrant translation. Duplicates retrieved across multiple databases were identified by comparing digital object identifiers, author lists and publication years, and collapsed to a single citation. Where several studies addressed an essentially identical pharmacological question, preference for detailed discussion went to whichever was judged most methodologically rigorous, most frequently cited in the subsequent literature, or most recent — on the reasoning that influential and current studies give the most representative, and the most policy-relevant, picture of where the field currently stands.</w:t>
      </w:r>
    </w:p>
    <w:p w14:paraId="56CD01AD"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11C6257D"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 xml:space="preserve">3. Phytochemical Profile of </w:t>
      </w:r>
      <w:r w:rsidRPr="00875933">
        <w:rPr>
          <w:rFonts w:ascii="Times New Roman" w:eastAsia="Times New Roman" w:hAnsi="Times New Roman" w:cs="Times New Roman"/>
          <w:b/>
          <w:bCs/>
          <w:i/>
          <w:iCs/>
          <w:sz w:val="27"/>
          <w:szCs w:val="27"/>
          <w:lang w:eastAsia="en-GB"/>
        </w:rPr>
        <w:t>Acalypha indica</w:t>
      </w:r>
    </w:p>
    <w:p w14:paraId="7998E581"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3.1 Cyanogenic </w:t>
      </w:r>
      <w:proofErr w:type="spellStart"/>
      <w:r w:rsidRPr="00875933">
        <w:rPr>
          <w:rFonts w:ascii="Times New Roman" w:eastAsia="Times New Roman" w:hAnsi="Times New Roman" w:cs="Times New Roman"/>
          <w:b/>
          <w:bCs/>
          <w:sz w:val="24"/>
          <w:szCs w:val="24"/>
          <w:lang w:eastAsia="en-GB"/>
        </w:rPr>
        <w:t>pyridone</w:t>
      </w:r>
      <w:proofErr w:type="spellEnd"/>
      <w:r w:rsidRPr="00875933">
        <w:rPr>
          <w:rFonts w:ascii="Times New Roman" w:eastAsia="Times New Roman" w:hAnsi="Times New Roman" w:cs="Times New Roman"/>
          <w:b/>
          <w:bCs/>
          <w:sz w:val="24"/>
          <w:szCs w:val="24"/>
          <w:lang w:eastAsia="en-GB"/>
        </w:rPr>
        <w:t xml:space="preserve"> glucosides</w:t>
      </w:r>
    </w:p>
    <w:p w14:paraId="79A96F6F"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single most chemotaxonomically distinctive class of secondary metabolites in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its complement of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of which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 first isolated and structurally characterised from the aerial parts of the plant — is the principal representative (Nahrstedt et al., 1982).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was identified as a </w:t>
      </w:r>
      <w:proofErr w:type="spellStart"/>
      <w:r w:rsidRPr="00875933">
        <w:rPr>
          <w:rFonts w:ascii="Times New Roman" w:eastAsia="Times New Roman" w:hAnsi="Times New Roman" w:cs="Times New Roman"/>
          <w:sz w:val="24"/>
          <w:szCs w:val="24"/>
          <w:lang w:eastAsia="en-GB"/>
        </w:rPr>
        <w:t>cyanopyridone</w:t>
      </w:r>
      <w:proofErr w:type="spellEnd"/>
      <w:r w:rsidRPr="00875933">
        <w:rPr>
          <w:rFonts w:ascii="Times New Roman" w:eastAsia="Times New Roman" w:hAnsi="Times New Roman" w:cs="Times New Roman"/>
          <w:sz w:val="24"/>
          <w:szCs w:val="24"/>
          <w:lang w:eastAsia="en-GB"/>
        </w:rPr>
        <w:t xml:space="preserve">-type glucoside, a biogenetically unusual structural class at the time of its discovery, and a later re-investigation using X-ray crystallography fixed its absolute configuration as the (5R,6S)-isomer while turning up six further related </w:t>
      </w:r>
      <w:proofErr w:type="spellStart"/>
      <w:r w:rsidRPr="00875933">
        <w:rPr>
          <w:rFonts w:ascii="Times New Roman" w:eastAsia="Times New Roman" w:hAnsi="Times New Roman" w:cs="Times New Roman"/>
          <w:sz w:val="24"/>
          <w:szCs w:val="24"/>
          <w:lang w:eastAsia="en-GB"/>
        </w:rPr>
        <w:t>cyanopyridone</w:t>
      </w:r>
      <w:proofErr w:type="spellEnd"/>
      <w:r w:rsidRPr="00875933">
        <w:rPr>
          <w:rFonts w:ascii="Times New Roman" w:eastAsia="Times New Roman" w:hAnsi="Times New Roman" w:cs="Times New Roman"/>
          <w:sz w:val="24"/>
          <w:szCs w:val="24"/>
          <w:lang w:eastAsia="en-GB"/>
        </w:rPr>
        <w:t xml:space="preserve"> derivatives — among them </w:t>
      </w:r>
      <w:proofErr w:type="spellStart"/>
      <w:r w:rsidRPr="00875933">
        <w:rPr>
          <w:rFonts w:ascii="Times New Roman" w:eastAsia="Times New Roman" w:hAnsi="Times New Roman" w:cs="Times New Roman"/>
          <w:sz w:val="24"/>
          <w:szCs w:val="24"/>
          <w:lang w:eastAsia="en-GB"/>
        </w:rPr>
        <w:t>epiacalyphin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noracalyphin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epinoracalyphin</w:t>
      </w:r>
      <w:proofErr w:type="spellEnd"/>
      <w:r w:rsidRPr="00875933">
        <w:rPr>
          <w:rFonts w:ascii="Times New Roman" w:eastAsia="Times New Roman" w:hAnsi="Times New Roman" w:cs="Times New Roman"/>
          <w:sz w:val="24"/>
          <w:szCs w:val="24"/>
          <w:lang w:eastAsia="en-GB"/>
        </w:rPr>
        <w:t>, and their corresponding amide and seco-compound variants — from methanolic extracts of the inflorescences and leaves (</w:t>
      </w:r>
      <w:proofErr w:type="spellStart"/>
      <w:r w:rsidRPr="00875933">
        <w:rPr>
          <w:rFonts w:ascii="Times New Roman" w:eastAsia="Times New Roman" w:hAnsi="Times New Roman" w:cs="Times New Roman"/>
          <w:sz w:val="24"/>
          <w:szCs w:val="24"/>
          <w:lang w:eastAsia="en-GB"/>
        </w:rPr>
        <w:t>Hungeling</w:t>
      </w:r>
      <w:proofErr w:type="spellEnd"/>
      <w:r w:rsidRPr="00875933">
        <w:rPr>
          <w:rFonts w:ascii="Times New Roman" w:eastAsia="Times New Roman" w:hAnsi="Times New Roman" w:cs="Times New Roman"/>
          <w:sz w:val="24"/>
          <w:szCs w:val="24"/>
          <w:lang w:eastAsia="en-GB"/>
        </w:rPr>
        <w:t xml:space="preserve"> et al., 2009). These compounds are not spread evenly through the plant. Quantitative analysis points to substantially higher concentrations in the leaves than in the stem or root, with no detectable </w:t>
      </w: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at all in the seed, a distributional pattern that turns out to matter a good deal for toxicology, as discussed in Section 7 (</w:t>
      </w:r>
      <w:proofErr w:type="spellStart"/>
      <w:r w:rsidRPr="00875933">
        <w:rPr>
          <w:rFonts w:ascii="Times New Roman" w:eastAsia="Times New Roman" w:hAnsi="Times New Roman" w:cs="Times New Roman"/>
          <w:sz w:val="24"/>
          <w:szCs w:val="24"/>
          <w:lang w:eastAsia="en-GB"/>
        </w:rPr>
        <w:t>Hungeling</w:t>
      </w:r>
      <w:proofErr w:type="spellEnd"/>
      <w:r w:rsidRPr="00875933">
        <w:rPr>
          <w:rFonts w:ascii="Times New Roman" w:eastAsia="Times New Roman" w:hAnsi="Times New Roman" w:cs="Times New Roman"/>
          <w:sz w:val="24"/>
          <w:szCs w:val="24"/>
          <w:lang w:eastAsia="en-GB"/>
        </w:rPr>
        <w:t xml:space="preserve"> et al., 2009).</w:t>
      </w:r>
    </w:p>
    <w:p w14:paraId="7424F2FA"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3.2 Flavonoids and phenolic constituents</w:t>
      </w:r>
    </w:p>
    <w:p w14:paraId="488A523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Beyond its cyanogenic chemistry,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a reasonably rich source of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Four kaempferol-derived glycosides — </w:t>
      </w:r>
      <w:proofErr w:type="spellStart"/>
      <w:r w:rsidRPr="00875933">
        <w:rPr>
          <w:rFonts w:ascii="Times New Roman" w:eastAsia="Times New Roman" w:hAnsi="Times New Roman" w:cs="Times New Roman"/>
          <w:sz w:val="24"/>
          <w:szCs w:val="24"/>
          <w:lang w:eastAsia="en-GB"/>
        </w:rPr>
        <w:t>mauritianin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clitorin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nicotiflorin</w:t>
      </w:r>
      <w:proofErr w:type="spellEnd"/>
      <w:r w:rsidRPr="00875933">
        <w:rPr>
          <w:rFonts w:ascii="Times New Roman" w:eastAsia="Times New Roman" w:hAnsi="Times New Roman" w:cs="Times New Roman"/>
          <w:sz w:val="24"/>
          <w:szCs w:val="24"/>
          <w:lang w:eastAsia="en-GB"/>
        </w:rPr>
        <w:t xml:space="preserve"> and </w:t>
      </w:r>
      <w:proofErr w:type="spellStart"/>
      <w:r w:rsidRPr="00875933">
        <w:rPr>
          <w:rFonts w:ascii="Times New Roman" w:eastAsia="Times New Roman" w:hAnsi="Times New Roman" w:cs="Times New Roman"/>
          <w:sz w:val="24"/>
          <w:szCs w:val="24"/>
          <w:lang w:eastAsia="en-GB"/>
        </w:rPr>
        <w:t>biorobin</w:t>
      </w:r>
      <w:proofErr w:type="spellEnd"/>
      <w:r w:rsidRPr="00875933">
        <w:rPr>
          <w:rFonts w:ascii="Times New Roman" w:eastAsia="Times New Roman" w:hAnsi="Times New Roman" w:cs="Times New Roman"/>
          <w:sz w:val="24"/>
          <w:szCs w:val="24"/>
          <w:lang w:eastAsia="en-GB"/>
        </w:rPr>
        <w:t xml:space="preserve"> — have been isolated and structurally confirmed from the flowers and leaves of the plant, with the same study also correcting some previously published nuclear magnetic resonance assignments for related compounds (Nahrstedt et al., 2006). More recent phytochemical surveys, using high-performance liquid chromatography and mass spectrometric profiling, have extended this catalogue considerably: GC-MS and HR-LC-Q-TOF-MS analyses of leaf and root methanolic extracts have together turned up well over a hundred distinct phytochemical signals, with phenolic acids, flavonoids and tannins consistently emerging as the dominant chemical classes both by relative abundance and by putative bioactivity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 Ravi et al., 2017). In quantitative terms, root methanolic extracts have been reported to contain roughly 71 mg gallic acid equivalents per </w:t>
      </w:r>
      <w:r w:rsidRPr="00875933">
        <w:rPr>
          <w:rFonts w:ascii="Times New Roman" w:eastAsia="Times New Roman" w:hAnsi="Times New Roman" w:cs="Times New Roman"/>
          <w:sz w:val="24"/>
          <w:szCs w:val="24"/>
          <w:lang w:eastAsia="en-GB"/>
        </w:rPr>
        <w:lastRenderedPageBreak/>
        <w:t xml:space="preserve">gram as total phenolic content and around 16 mg rutin equivalents per gram as total flavonoid content — figures broadly in line with other phenolic-rich medicinal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species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w:t>
      </w:r>
    </w:p>
    <w:p w14:paraId="7D7FCE88"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3.3 Alkaloidal, </w:t>
      </w:r>
      <w:proofErr w:type="spellStart"/>
      <w:r w:rsidRPr="00875933">
        <w:rPr>
          <w:rFonts w:ascii="Times New Roman" w:eastAsia="Times New Roman" w:hAnsi="Times New Roman" w:cs="Times New Roman"/>
          <w:b/>
          <w:bCs/>
          <w:sz w:val="24"/>
          <w:szCs w:val="24"/>
          <w:lang w:eastAsia="en-GB"/>
        </w:rPr>
        <w:t>terpenoidal</w:t>
      </w:r>
      <w:proofErr w:type="spellEnd"/>
      <w:r w:rsidRPr="00875933">
        <w:rPr>
          <w:rFonts w:ascii="Times New Roman" w:eastAsia="Times New Roman" w:hAnsi="Times New Roman" w:cs="Times New Roman"/>
          <w:b/>
          <w:bCs/>
          <w:sz w:val="24"/>
          <w:szCs w:val="24"/>
          <w:lang w:eastAsia="en-GB"/>
        </w:rPr>
        <w:t xml:space="preserve"> and steroidal constituents</w:t>
      </w:r>
    </w:p>
    <w:p w14:paraId="2B23221B"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 further, taxonomically interesting constituent is </w:t>
      </w:r>
      <w:proofErr w:type="spellStart"/>
      <w:r w:rsidRPr="00875933">
        <w:rPr>
          <w:rFonts w:ascii="Times New Roman" w:eastAsia="Times New Roman" w:hAnsi="Times New Roman" w:cs="Times New Roman"/>
          <w:sz w:val="24"/>
          <w:szCs w:val="24"/>
          <w:lang w:eastAsia="en-GB"/>
        </w:rPr>
        <w:t>flindersine</w:t>
      </w:r>
      <w:proofErr w:type="spellEnd"/>
      <w:r w:rsidRPr="00875933">
        <w:rPr>
          <w:rFonts w:ascii="Times New Roman" w:eastAsia="Times New Roman" w:hAnsi="Times New Roman" w:cs="Times New Roman"/>
          <w:sz w:val="24"/>
          <w:szCs w:val="24"/>
          <w:lang w:eastAsia="en-GB"/>
        </w:rPr>
        <w:t xml:space="preserve">, a </w:t>
      </w:r>
      <w:proofErr w:type="spellStart"/>
      <w:r w:rsidRPr="00875933">
        <w:rPr>
          <w:rFonts w:ascii="Times New Roman" w:eastAsia="Times New Roman" w:hAnsi="Times New Roman" w:cs="Times New Roman"/>
          <w:sz w:val="24"/>
          <w:szCs w:val="24"/>
          <w:lang w:eastAsia="en-GB"/>
        </w:rPr>
        <w:t>pyranoquinolinone</w:t>
      </w:r>
      <w:proofErr w:type="spellEnd"/>
      <w:r w:rsidRPr="00875933">
        <w:rPr>
          <w:rFonts w:ascii="Times New Roman" w:eastAsia="Times New Roman" w:hAnsi="Times New Roman" w:cs="Times New Roman"/>
          <w:sz w:val="24"/>
          <w:szCs w:val="24"/>
          <w:lang w:eastAsia="en-GB"/>
        </w:rPr>
        <w:t xml:space="preserve"> alkaloid more typically associated with the </w:t>
      </w:r>
      <w:proofErr w:type="spellStart"/>
      <w:r w:rsidRPr="00875933">
        <w:rPr>
          <w:rFonts w:ascii="Times New Roman" w:eastAsia="Times New Roman" w:hAnsi="Times New Roman" w:cs="Times New Roman"/>
          <w:sz w:val="24"/>
          <w:szCs w:val="24"/>
          <w:lang w:eastAsia="en-GB"/>
        </w:rPr>
        <w:t>Rutaceae</w:t>
      </w:r>
      <w:proofErr w:type="spellEnd"/>
      <w:r w:rsidRPr="00875933">
        <w:rPr>
          <w:rFonts w:ascii="Times New Roman" w:eastAsia="Times New Roman" w:hAnsi="Times New Roman" w:cs="Times New Roman"/>
          <w:sz w:val="24"/>
          <w:szCs w:val="24"/>
          <w:lang w:eastAsia="en-GB"/>
        </w:rPr>
        <w:t xml:space="preserve"> but reported also to occur in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alongside the simpler amides </w:t>
      </w:r>
      <w:proofErr w:type="spellStart"/>
      <w:r w:rsidRPr="00875933">
        <w:rPr>
          <w:rFonts w:ascii="Times New Roman" w:eastAsia="Times New Roman" w:hAnsi="Times New Roman" w:cs="Times New Roman"/>
          <w:sz w:val="24"/>
          <w:szCs w:val="24"/>
          <w:lang w:eastAsia="en-GB"/>
        </w:rPr>
        <w:t>acalyphamide</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aurantiamide</w:t>
      </w:r>
      <w:proofErr w:type="spellEnd"/>
      <w:r w:rsidRPr="00875933">
        <w:rPr>
          <w:rFonts w:ascii="Times New Roman" w:eastAsia="Times New Roman" w:hAnsi="Times New Roman" w:cs="Times New Roman"/>
          <w:sz w:val="24"/>
          <w:szCs w:val="24"/>
          <w:lang w:eastAsia="en-GB"/>
        </w:rPr>
        <w:t xml:space="preserve"> and succinimide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Seebaluck et al., 2015). Sterol constituents — principally β-sitosterol and its glucoside, together with stigmasterol in the root — have likewise been documented, and the plant yields quebrachitol besides, a cyclitol of independent pharmaceutical interest as a synthetic precursor (</w:t>
      </w:r>
      <w:proofErr w:type="spellStart"/>
      <w:r w:rsidRPr="00875933">
        <w:rPr>
          <w:rFonts w:ascii="Times New Roman" w:eastAsia="Times New Roman" w:hAnsi="Times New Roman" w:cs="Times New Roman"/>
          <w:sz w:val="24"/>
          <w:szCs w:val="24"/>
          <w:lang w:eastAsia="en-GB"/>
        </w:rPr>
        <w:t>Zahidin</w:t>
      </w:r>
      <w:proofErr w:type="spellEnd"/>
      <w:r w:rsidRPr="00875933">
        <w:rPr>
          <w:rFonts w:ascii="Times New Roman" w:eastAsia="Times New Roman" w:hAnsi="Times New Roman" w:cs="Times New Roman"/>
          <w:sz w:val="24"/>
          <w:szCs w:val="24"/>
          <w:lang w:eastAsia="en-GB"/>
        </w:rPr>
        <w:t xml:space="preserve"> et al., 2017). More recent phenolic and flavonoid profiling of aerial-part extracts intended for cosmeceutical use has confirmed catechin, gallic acid and kaempferol as quantifiable marker compounds by high-performance thin-layer chromatography, giving the phytochemical record a degree of analytical specificity that, historically, it has largely lacked (Sriram &amp; </w:t>
      </w:r>
      <w:proofErr w:type="spellStart"/>
      <w:r w:rsidRPr="00875933">
        <w:rPr>
          <w:rFonts w:ascii="Times New Roman" w:eastAsia="Times New Roman" w:hAnsi="Times New Roman" w:cs="Times New Roman"/>
          <w:sz w:val="24"/>
          <w:szCs w:val="24"/>
          <w:lang w:eastAsia="en-GB"/>
        </w:rPr>
        <w:t>Yoganandam</w:t>
      </w:r>
      <w:proofErr w:type="spellEnd"/>
      <w:r w:rsidRPr="00875933">
        <w:rPr>
          <w:rFonts w:ascii="Times New Roman" w:eastAsia="Times New Roman" w:hAnsi="Times New Roman" w:cs="Times New Roman"/>
          <w:sz w:val="24"/>
          <w:szCs w:val="24"/>
          <w:lang w:eastAsia="en-GB"/>
        </w:rPr>
        <w:t>, 2025).</w:t>
      </w:r>
    </w:p>
    <w:p w14:paraId="7DE03275"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3.4 Volatile constituents and tannins</w:t>
      </w:r>
    </w:p>
    <w:p w14:paraId="1CFCABB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Tannins crop up consistently as a major constituent class across solvents and plant parts, and probably contribute substantially to the astringent, antimicrobial and wound-healing properties traditionally attributed to the species (Zahidin et al., 2017). Essential oil and volatile constituents have received less structural attention than the non-volatile phenolic and cyanogenic fraction, though gas chromatographic work consistently picks up fatty acid derivatives, terpenoid fragments and assorted aliphatic compounds among the major volatile signals in leaf extracts — several of which have since been put forward as candidate ligands in molecular docking studies of antimicrobial and antioxidant mechanism (Ravi et al., 2017; Venkatesan &amp; Muniyan, 2026). Table 1 draws together the principal phytochemical classes discussed across this section, alongside their representative compounds and the plant parts in which each has been reported.</w:t>
      </w:r>
    </w:p>
    <w:p w14:paraId="2455479B"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1. Principal phytochemical classes reported in </w:t>
      </w:r>
      <w:r w:rsidRPr="00875933">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2701"/>
        <w:gridCol w:w="3634"/>
        <w:gridCol w:w="2907"/>
      </w:tblGrid>
      <w:tr w:rsidR="00426A47" w:rsidRPr="00875933" w14:paraId="72AE92E1" w14:textId="77777777" w:rsidTr="00875933">
        <w:tc>
          <w:tcPr>
            <w:tcW w:w="0" w:type="auto"/>
            <w:hideMark/>
          </w:tcPr>
          <w:p w14:paraId="76A8C5E5"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Phytochemical class</w:t>
            </w:r>
          </w:p>
        </w:tc>
        <w:tc>
          <w:tcPr>
            <w:tcW w:w="0" w:type="auto"/>
            <w:hideMark/>
          </w:tcPr>
          <w:p w14:paraId="43BCD20F"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Representative compounds</w:t>
            </w:r>
          </w:p>
        </w:tc>
        <w:tc>
          <w:tcPr>
            <w:tcW w:w="0" w:type="auto"/>
            <w:hideMark/>
          </w:tcPr>
          <w:p w14:paraId="3DD36AA2"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Plant part(s) reported</w:t>
            </w:r>
          </w:p>
        </w:tc>
      </w:tr>
      <w:tr w:rsidR="00426A47" w:rsidRPr="00875933" w14:paraId="42B13F3C" w14:textId="77777777" w:rsidTr="00875933">
        <w:tc>
          <w:tcPr>
            <w:tcW w:w="0" w:type="auto"/>
            <w:hideMark/>
          </w:tcPr>
          <w:p w14:paraId="2E45AD4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w:t>
            </w:r>
          </w:p>
        </w:tc>
        <w:tc>
          <w:tcPr>
            <w:tcW w:w="0" w:type="auto"/>
            <w:hideMark/>
          </w:tcPr>
          <w:p w14:paraId="4214AFFE"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epiacalyphin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noracalyphin</w:t>
            </w:r>
            <w:proofErr w:type="spellEnd"/>
            <w:r w:rsidRPr="00875933">
              <w:rPr>
                <w:rFonts w:ascii="Times New Roman" w:eastAsia="Times New Roman" w:hAnsi="Times New Roman" w:cs="Times New Roman"/>
                <w:sz w:val="24"/>
                <w:szCs w:val="24"/>
                <w:lang w:eastAsia="en-GB"/>
              </w:rPr>
              <w:t>, seco-</w:t>
            </w:r>
            <w:proofErr w:type="spellStart"/>
            <w:r w:rsidRPr="00875933">
              <w:rPr>
                <w:rFonts w:ascii="Times New Roman" w:eastAsia="Times New Roman" w:hAnsi="Times New Roman" w:cs="Times New Roman"/>
                <w:sz w:val="24"/>
                <w:szCs w:val="24"/>
                <w:lang w:eastAsia="en-GB"/>
              </w:rPr>
              <w:t>acalyphin</w:t>
            </w:r>
            <w:proofErr w:type="spellEnd"/>
          </w:p>
        </w:tc>
        <w:tc>
          <w:tcPr>
            <w:tcW w:w="0" w:type="auto"/>
            <w:hideMark/>
          </w:tcPr>
          <w:p w14:paraId="2EB0762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 inflorescences (highest in leaves)</w:t>
            </w:r>
          </w:p>
        </w:tc>
      </w:tr>
      <w:tr w:rsidR="00426A47" w:rsidRPr="00875933" w14:paraId="4C30C68E" w14:textId="77777777" w:rsidTr="00875933">
        <w:tc>
          <w:tcPr>
            <w:tcW w:w="0" w:type="auto"/>
            <w:hideMark/>
          </w:tcPr>
          <w:p w14:paraId="24D3B9D0"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w:t>
            </w:r>
          </w:p>
        </w:tc>
        <w:tc>
          <w:tcPr>
            <w:tcW w:w="0" w:type="auto"/>
            <w:hideMark/>
          </w:tcPr>
          <w:p w14:paraId="698C324F"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Mauritianin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clitorin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nicotiflorin</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biorobin</w:t>
            </w:r>
            <w:proofErr w:type="spellEnd"/>
          </w:p>
        </w:tc>
        <w:tc>
          <w:tcPr>
            <w:tcW w:w="0" w:type="auto"/>
            <w:hideMark/>
          </w:tcPr>
          <w:p w14:paraId="4272E10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Flowers, leaves</w:t>
            </w:r>
          </w:p>
        </w:tc>
      </w:tr>
      <w:tr w:rsidR="00426A47" w:rsidRPr="00875933" w14:paraId="68BA5B9F" w14:textId="77777777" w:rsidTr="00875933">
        <w:tc>
          <w:tcPr>
            <w:tcW w:w="0" w:type="auto"/>
            <w:hideMark/>
          </w:tcPr>
          <w:p w14:paraId="063E01B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Phenolic acids</w:t>
            </w:r>
          </w:p>
        </w:tc>
        <w:tc>
          <w:tcPr>
            <w:tcW w:w="0" w:type="auto"/>
            <w:hideMark/>
          </w:tcPr>
          <w:p w14:paraId="13D491F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Gallic acid, chlorogenic acid, ferulic acid, catechin</w:t>
            </w:r>
          </w:p>
        </w:tc>
        <w:tc>
          <w:tcPr>
            <w:tcW w:w="0" w:type="auto"/>
            <w:hideMark/>
          </w:tcPr>
          <w:p w14:paraId="5CEF707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 roots, aerial parts</w:t>
            </w:r>
          </w:p>
        </w:tc>
      </w:tr>
      <w:tr w:rsidR="00426A47" w:rsidRPr="00875933" w14:paraId="0715776C" w14:textId="77777777" w:rsidTr="00875933">
        <w:tc>
          <w:tcPr>
            <w:tcW w:w="0" w:type="auto"/>
            <w:hideMark/>
          </w:tcPr>
          <w:p w14:paraId="5059CD29"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Pyranoquinolinone</w:t>
            </w:r>
            <w:proofErr w:type="spellEnd"/>
            <w:r w:rsidRPr="00875933">
              <w:rPr>
                <w:rFonts w:ascii="Times New Roman" w:eastAsia="Times New Roman" w:hAnsi="Times New Roman" w:cs="Times New Roman"/>
                <w:sz w:val="24"/>
                <w:szCs w:val="24"/>
                <w:lang w:eastAsia="en-GB"/>
              </w:rPr>
              <w:t xml:space="preserve"> alkaloid</w:t>
            </w:r>
          </w:p>
        </w:tc>
        <w:tc>
          <w:tcPr>
            <w:tcW w:w="0" w:type="auto"/>
            <w:hideMark/>
          </w:tcPr>
          <w:p w14:paraId="2020750A"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Flindersine</w:t>
            </w:r>
            <w:proofErr w:type="spellEnd"/>
          </w:p>
        </w:tc>
        <w:tc>
          <w:tcPr>
            <w:tcW w:w="0" w:type="auto"/>
            <w:hideMark/>
          </w:tcPr>
          <w:p w14:paraId="1836BDA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Whole plant</w:t>
            </w:r>
          </w:p>
        </w:tc>
      </w:tr>
      <w:tr w:rsidR="00426A47" w:rsidRPr="00875933" w14:paraId="66087431" w14:textId="77777777" w:rsidTr="00875933">
        <w:tc>
          <w:tcPr>
            <w:tcW w:w="0" w:type="auto"/>
            <w:hideMark/>
          </w:tcPr>
          <w:p w14:paraId="5D932AF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Amides</w:t>
            </w:r>
          </w:p>
        </w:tc>
        <w:tc>
          <w:tcPr>
            <w:tcW w:w="0" w:type="auto"/>
            <w:hideMark/>
          </w:tcPr>
          <w:p w14:paraId="71E469E5"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Acalyphamide</w:t>
            </w:r>
            <w:proofErr w:type="spellEnd"/>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aurantiamide</w:t>
            </w:r>
            <w:proofErr w:type="spellEnd"/>
            <w:r w:rsidRPr="00875933">
              <w:rPr>
                <w:rFonts w:ascii="Times New Roman" w:eastAsia="Times New Roman" w:hAnsi="Times New Roman" w:cs="Times New Roman"/>
                <w:sz w:val="24"/>
                <w:szCs w:val="24"/>
                <w:lang w:eastAsia="en-GB"/>
              </w:rPr>
              <w:t>, succinimide</w:t>
            </w:r>
          </w:p>
        </w:tc>
        <w:tc>
          <w:tcPr>
            <w:tcW w:w="0" w:type="auto"/>
            <w:hideMark/>
          </w:tcPr>
          <w:p w14:paraId="62BF756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w:t>
            </w:r>
          </w:p>
        </w:tc>
      </w:tr>
      <w:tr w:rsidR="00426A47" w:rsidRPr="00875933" w14:paraId="6147E555" w14:textId="77777777" w:rsidTr="00875933">
        <w:tc>
          <w:tcPr>
            <w:tcW w:w="0" w:type="auto"/>
            <w:hideMark/>
          </w:tcPr>
          <w:p w14:paraId="6D5E725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Sterols and cyclitols</w:t>
            </w:r>
          </w:p>
        </w:tc>
        <w:tc>
          <w:tcPr>
            <w:tcW w:w="0" w:type="auto"/>
            <w:hideMark/>
          </w:tcPr>
          <w:p w14:paraId="5B5534B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β-Sitosterol, stigmasterol, quebrachitol</w:t>
            </w:r>
          </w:p>
        </w:tc>
        <w:tc>
          <w:tcPr>
            <w:tcW w:w="0" w:type="auto"/>
            <w:hideMark/>
          </w:tcPr>
          <w:p w14:paraId="6ED44AD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Whole plant, root</w:t>
            </w:r>
          </w:p>
        </w:tc>
      </w:tr>
      <w:tr w:rsidR="00426A47" w:rsidRPr="00875933" w14:paraId="19F4C851" w14:textId="77777777" w:rsidTr="00875933">
        <w:tc>
          <w:tcPr>
            <w:tcW w:w="0" w:type="auto"/>
            <w:hideMark/>
          </w:tcPr>
          <w:p w14:paraId="1E35D5C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Tannins</w:t>
            </w:r>
          </w:p>
        </w:tc>
        <w:tc>
          <w:tcPr>
            <w:tcW w:w="0" w:type="auto"/>
            <w:hideMark/>
          </w:tcPr>
          <w:p w14:paraId="1258173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Not individually characterised in most studies</w:t>
            </w:r>
          </w:p>
        </w:tc>
        <w:tc>
          <w:tcPr>
            <w:tcW w:w="0" w:type="auto"/>
            <w:hideMark/>
          </w:tcPr>
          <w:p w14:paraId="587EF7C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Leaves, stem</w:t>
            </w:r>
          </w:p>
        </w:tc>
      </w:tr>
    </w:tbl>
    <w:p w14:paraId="5EB58D4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lastRenderedPageBreak/>
        <w:t xml:space="preserve">Sources: Nahrstedt et al. (1982); Nahrstedt et al. (2006); </w:t>
      </w:r>
      <w:proofErr w:type="spellStart"/>
      <w:r w:rsidRPr="00875933">
        <w:rPr>
          <w:rFonts w:ascii="Times New Roman" w:eastAsia="Times New Roman" w:hAnsi="Times New Roman" w:cs="Times New Roman"/>
          <w:i/>
          <w:iCs/>
          <w:sz w:val="24"/>
          <w:szCs w:val="24"/>
          <w:lang w:eastAsia="en-GB"/>
        </w:rPr>
        <w:t>Hungeling</w:t>
      </w:r>
      <w:proofErr w:type="spellEnd"/>
      <w:r w:rsidRPr="00875933">
        <w:rPr>
          <w:rFonts w:ascii="Times New Roman" w:eastAsia="Times New Roman" w:hAnsi="Times New Roman" w:cs="Times New Roman"/>
          <w:i/>
          <w:iCs/>
          <w:sz w:val="24"/>
          <w:szCs w:val="24"/>
          <w:lang w:eastAsia="en-GB"/>
        </w:rPr>
        <w:t xml:space="preserve"> et al. (2009); </w:t>
      </w:r>
      <w:proofErr w:type="spellStart"/>
      <w:r w:rsidRPr="00875933">
        <w:rPr>
          <w:rFonts w:ascii="Times New Roman" w:eastAsia="Times New Roman" w:hAnsi="Times New Roman" w:cs="Times New Roman"/>
          <w:i/>
          <w:iCs/>
          <w:sz w:val="24"/>
          <w:szCs w:val="24"/>
          <w:lang w:eastAsia="en-GB"/>
        </w:rPr>
        <w:t>Zahidin</w:t>
      </w:r>
      <w:proofErr w:type="spellEnd"/>
      <w:r w:rsidRPr="00875933">
        <w:rPr>
          <w:rFonts w:ascii="Times New Roman" w:eastAsia="Times New Roman" w:hAnsi="Times New Roman" w:cs="Times New Roman"/>
          <w:i/>
          <w:iCs/>
          <w:sz w:val="24"/>
          <w:szCs w:val="24"/>
          <w:lang w:eastAsia="en-GB"/>
        </w:rPr>
        <w:t xml:space="preserve"> et al. (2017); </w:t>
      </w:r>
      <w:proofErr w:type="spellStart"/>
      <w:r w:rsidRPr="00875933">
        <w:rPr>
          <w:rFonts w:ascii="Times New Roman" w:eastAsia="Times New Roman" w:hAnsi="Times New Roman" w:cs="Times New Roman"/>
          <w:i/>
          <w:iCs/>
          <w:sz w:val="24"/>
          <w:szCs w:val="24"/>
          <w:lang w:eastAsia="en-GB"/>
        </w:rPr>
        <w:t>Sahukari</w:t>
      </w:r>
      <w:proofErr w:type="spellEnd"/>
      <w:r w:rsidRPr="00875933">
        <w:rPr>
          <w:rFonts w:ascii="Times New Roman" w:eastAsia="Times New Roman" w:hAnsi="Times New Roman" w:cs="Times New Roman"/>
          <w:i/>
          <w:iCs/>
          <w:sz w:val="24"/>
          <w:szCs w:val="24"/>
          <w:lang w:eastAsia="en-GB"/>
        </w:rPr>
        <w:t xml:space="preserve"> et al. (2021); Ravi et al. (2017); Sriram and </w:t>
      </w:r>
      <w:proofErr w:type="spellStart"/>
      <w:r w:rsidRPr="00875933">
        <w:rPr>
          <w:rFonts w:ascii="Times New Roman" w:eastAsia="Times New Roman" w:hAnsi="Times New Roman" w:cs="Times New Roman"/>
          <w:i/>
          <w:iCs/>
          <w:sz w:val="24"/>
          <w:szCs w:val="24"/>
          <w:lang w:eastAsia="en-GB"/>
        </w:rPr>
        <w:t>Yoganandam</w:t>
      </w:r>
      <w:proofErr w:type="spellEnd"/>
      <w:r w:rsidRPr="00875933">
        <w:rPr>
          <w:rFonts w:ascii="Times New Roman" w:eastAsia="Times New Roman" w:hAnsi="Times New Roman" w:cs="Times New Roman"/>
          <w:i/>
          <w:iCs/>
          <w:sz w:val="24"/>
          <w:szCs w:val="24"/>
          <w:lang w:eastAsia="en-GB"/>
        </w:rPr>
        <w:t xml:space="preserve"> (2025).</w:t>
      </w:r>
    </w:p>
    <w:p w14:paraId="75FA1CC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As the table makes clear, the cyanogenic glucosides and the kaempferol-derived flavonoids are by far the best-characterised constituent classes structurally, whereas the tannin and volatile fractions remain comparatively under-resolved at the level of individual compounds — a gap that recurs throughout the pharmacological literature reviewed in the next section, where activity is frequently attributed to "tannins" or "phenolics" as a class rather than to named molecules.</w:t>
      </w:r>
    </w:p>
    <w:p w14:paraId="172E2641"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607E551E"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4. Pharmacological and Therapeutic Properties</w:t>
      </w:r>
    </w:p>
    <w:p w14:paraId="69944101"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4.1 Antioxidant activity</w:t>
      </w:r>
    </w:p>
    <w:p w14:paraId="778EACC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antioxidant properties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are among the most consistently reproduced findings in the literature, having turned up across leaf, stem, root and aerial-part extracts using a range of complementary in vitro assays. Methanolic leaf extracts tested with DPPH, hydrogen peroxide, hydroxyl radical and metal-ion-reducing assays show concentration-dependent scavenging that the original investigators attribute to the extract's high phenolic and flavonoid content (Ravi et al., 2017). Root methanolic extracts show a similar pattern of dose-dependent DPPH and hydroxyl radical scavenging in vitro, and this carries through into measurable in vivo benefit: in a carrageenan-induced acute inflammation model in rats, pretreatment with the extract restored the activity of endogenous antioxidant enzymes — superoxide dismutase, catalase, glutathione reductase and glutathione peroxidase — that had been suppressed by the inflammatory insult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 Stem extracts evaluated in streptozotocin-induced diabetic rats likewise recovered antioxidant enzymatic status that had been depressed by oxidative stress, with the authors explicitly linking this antioxidant recovery to the extract's broader hepatoprotective and </w:t>
      </w:r>
      <w:proofErr w:type="spellStart"/>
      <w:r w:rsidRPr="00875933">
        <w:rPr>
          <w:rFonts w:ascii="Times New Roman" w:eastAsia="Times New Roman" w:hAnsi="Times New Roman" w:cs="Times New Roman"/>
          <w:sz w:val="24"/>
          <w:szCs w:val="24"/>
          <w:lang w:eastAsia="en-GB"/>
        </w:rPr>
        <w:t>antihyperglycaemic</w:t>
      </w:r>
      <w:proofErr w:type="spellEnd"/>
      <w:r w:rsidRPr="00875933">
        <w:rPr>
          <w:rFonts w:ascii="Times New Roman" w:eastAsia="Times New Roman" w:hAnsi="Times New Roman" w:cs="Times New Roman"/>
          <w:sz w:val="24"/>
          <w:szCs w:val="24"/>
          <w:lang w:eastAsia="en-GB"/>
        </w:rPr>
        <w:t xml:space="preserve"> effects (Priya &amp; Rao, 2016). Beyond the aerial parts, ethanolic extracts of both aerial parts and root, assessed for cosmeceutical and wound-healing relevance, show clearly different antioxidant potency: aerial-part extract returns a markedly lower median inhibitory concentration in DPPH assays than root extract, which the authors read as evidence that antioxidant capacity is concentrated preferentially in metabolically active aerial tissue rather than being spread evenly across the plant (Ibrahim et al., 2021). More recent work aimed at skin-ageing applications has carried this further, into elastase and matrix metalloproteinase-1 inhibition assays, where aerial-part methanolic extract showed meaningful inhibitory activity against both enzymes implicated in </w:t>
      </w:r>
      <w:proofErr w:type="spellStart"/>
      <w:r w:rsidRPr="00875933">
        <w:rPr>
          <w:rFonts w:ascii="Times New Roman" w:eastAsia="Times New Roman" w:hAnsi="Times New Roman" w:cs="Times New Roman"/>
          <w:sz w:val="24"/>
          <w:szCs w:val="24"/>
          <w:lang w:eastAsia="en-GB"/>
        </w:rPr>
        <w:t>photoageing</w:t>
      </w:r>
      <w:proofErr w:type="spellEnd"/>
      <w:r w:rsidRPr="00875933">
        <w:rPr>
          <w:rFonts w:ascii="Times New Roman" w:eastAsia="Times New Roman" w:hAnsi="Times New Roman" w:cs="Times New Roman"/>
          <w:sz w:val="24"/>
          <w:szCs w:val="24"/>
          <w:lang w:eastAsia="en-GB"/>
        </w:rPr>
        <w:t xml:space="preserve">, alongside measurable stimulation of collagen biosynthesis in fibroblast culture (Sriram &amp; </w:t>
      </w:r>
      <w:proofErr w:type="spellStart"/>
      <w:r w:rsidRPr="00875933">
        <w:rPr>
          <w:rFonts w:ascii="Times New Roman" w:eastAsia="Times New Roman" w:hAnsi="Times New Roman" w:cs="Times New Roman"/>
          <w:sz w:val="24"/>
          <w:szCs w:val="24"/>
          <w:lang w:eastAsia="en-GB"/>
        </w:rPr>
        <w:t>Yoganandam</w:t>
      </w:r>
      <w:proofErr w:type="spellEnd"/>
      <w:r w:rsidRPr="00875933">
        <w:rPr>
          <w:rFonts w:ascii="Times New Roman" w:eastAsia="Times New Roman" w:hAnsi="Times New Roman" w:cs="Times New Roman"/>
          <w:sz w:val="24"/>
          <w:szCs w:val="24"/>
          <w:lang w:eastAsia="en-GB"/>
        </w:rPr>
        <w:t>, 2025).</w:t>
      </w:r>
    </w:p>
    <w:p w14:paraId="37878AAA"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4.2 Antimicrobial and antifungal activity</w:t>
      </w:r>
    </w:p>
    <w:p w14:paraId="65DF681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 xml:space="preserve">The antimicrobial properties of </w:t>
      </w:r>
      <w:r w:rsidRPr="00875933">
        <w:rPr>
          <w:rFonts w:ascii="Times New Roman" w:hAnsi="Times New Roman" w:cs="Times New Roman"/>
          <w:i/>
        </w:rPr>
        <w:t>A. indica</w:t>
      </w:r>
      <w:r w:rsidRPr="00875933">
        <w:rPr>
          <w:rFonts w:ascii="Times New Roman" w:hAnsi="Times New Roman" w:cs="Times New Roman"/>
        </w:rPr>
        <w:t xml:space="preserve"> extracts have been demonstrated against a wide spread of Gram-positive and Gram-negative bacteria, as well as several fungal pathogens of clinical and agricultural relevance. Silver nanoparticles synthesised using aqueous leaf extract as both reducing and capping agent showed marked inhibitory activity against the waterborne pathogens </w:t>
      </w:r>
      <w:r w:rsidRPr="00875933">
        <w:rPr>
          <w:rFonts w:ascii="Times New Roman" w:hAnsi="Times New Roman" w:cs="Times New Roman"/>
          <w:i/>
        </w:rPr>
        <w:t>Escherichia coli</w:t>
      </w:r>
      <w:r w:rsidRPr="00875933">
        <w:rPr>
          <w:rFonts w:ascii="Times New Roman" w:hAnsi="Times New Roman" w:cs="Times New Roman"/>
        </w:rPr>
        <w:t xml:space="preserve"> and </w:t>
      </w:r>
      <w:r w:rsidRPr="00875933">
        <w:rPr>
          <w:rFonts w:ascii="Times New Roman" w:hAnsi="Times New Roman" w:cs="Times New Roman"/>
          <w:i/>
        </w:rPr>
        <w:t>Vibrio cholerae</w:t>
      </w:r>
      <w:r w:rsidRPr="00875933">
        <w:rPr>
          <w:rFonts w:ascii="Times New Roman" w:hAnsi="Times New Roman" w:cs="Times New Roman"/>
        </w:rPr>
        <w:t xml:space="preserve">; nanoparticle formation occurred within thirty minutes of mixing, and particle sizes of around twenty to thirty nanometres were confirmed by high-resolution transmission electron microscopy (Krishnaraj et al., 2010). Direct phytochemical screening of leaf extracts against a panel of human pathogens, including </w:t>
      </w:r>
      <w:r w:rsidRPr="00875933">
        <w:rPr>
          <w:rFonts w:ascii="Times New Roman" w:hAnsi="Times New Roman" w:cs="Times New Roman"/>
          <w:i/>
        </w:rPr>
        <w:t>Staphylococcus aureus</w:t>
      </w:r>
      <w:r w:rsidRPr="00875933">
        <w:rPr>
          <w:rFonts w:ascii="Times New Roman" w:hAnsi="Times New Roman" w:cs="Times New Roman"/>
        </w:rPr>
        <w:t xml:space="preserve">, </w:t>
      </w:r>
      <w:r w:rsidRPr="00875933">
        <w:rPr>
          <w:rFonts w:ascii="Times New Roman" w:hAnsi="Times New Roman" w:cs="Times New Roman"/>
          <w:i/>
        </w:rPr>
        <w:t>Klebsiella pneumoniae</w:t>
      </w:r>
      <w:r w:rsidRPr="00875933">
        <w:rPr>
          <w:rFonts w:ascii="Times New Roman" w:hAnsi="Times New Roman" w:cs="Times New Roman"/>
        </w:rPr>
        <w:t xml:space="preserve"> and </w:t>
      </w:r>
      <w:r w:rsidRPr="00875933">
        <w:rPr>
          <w:rFonts w:ascii="Times New Roman" w:hAnsi="Times New Roman" w:cs="Times New Roman"/>
          <w:i/>
        </w:rPr>
        <w:lastRenderedPageBreak/>
        <w:t>Escherichia coli</w:t>
      </w:r>
      <w:r w:rsidRPr="00875933">
        <w:rPr>
          <w:rFonts w:ascii="Times New Roman" w:hAnsi="Times New Roman" w:cs="Times New Roman"/>
        </w:rPr>
        <w:t xml:space="preserve">, corroborates these antibacterial effects and additionally shows activity against the fungal pathogens </w:t>
      </w:r>
      <w:r w:rsidRPr="00875933">
        <w:rPr>
          <w:rFonts w:ascii="Times New Roman" w:hAnsi="Times New Roman" w:cs="Times New Roman"/>
          <w:i/>
        </w:rPr>
        <w:t>Candida albicans</w:t>
      </w:r>
      <w:r w:rsidRPr="00875933">
        <w:rPr>
          <w:rFonts w:ascii="Times New Roman" w:hAnsi="Times New Roman" w:cs="Times New Roman"/>
        </w:rPr>
        <w:t xml:space="preserve"> and </w:t>
      </w:r>
      <w:r w:rsidRPr="00875933">
        <w:rPr>
          <w:rFonts w:ascii="Times New Roman" w:hAnsi="Times New Roman" w:cs="Times New Roman"/>
          <w:i/>
        </w:rPr>
        <w:t>Aspergillus niger</w:t>
      </w:r>
      <w:r w:rsidRPr="00875933">
        <w:rPr>
          <w:rFonts w:ascii="Times New Roman" w:hAnsi="Times New Roman" w:cs="Times New Roman"/>
        </w:rPr>
        <w:t xml:space="preserve">, lending some support to the plant's traditional use against fungal skin conditions (Thamil Priya et al., 2020). More recent work using response surface methodology to optimise extraction conditions has identified ethanolic leaf fractions with particularly large inhibition zones against </w:t>
      </w:r>
      <w:r w:rsidRPr="00875933">
        <w:rPr>
          <w:rFonts w:ascii="Times New Roman" w:hAnsi="Times New Roman" w:cs="Times New Roman"/>
          <w:i/>
        </w:rPr>
        <w:t>S. aureus</w:t>
      </w:r>
      <w:r w:rsidRPr="00875933">
        <w:rPr>
          <w:rFonts w:ascii="Times New Roman" w:hAnsi="Times New Roman" w:cs="Times New Roman"/>
        </w:rPr>
        <w:t xml:space="preserve"> and </w:t>
      </w:r>
      <w:r w:rsidRPr="00875933">
        <w:rPr>
          <w:rFonts w:ascii="Times New Roman" w:hAnsi="Times New Roman" w:cs="Times New Roman"/>
          <w:i/>
        </w:rPr>
        <w:t>E. coli</w:t>
      </w:r>
      <w:r w:rsidRPr="00875933">
        <w:rPr>
          <w:rFonts w:ascii="Times New Roman" w:hAnsi="Times New Roman" w:cs="Times New Roman"/>
        </w:rPr>
        <w:t xml:space="preserve">, and GC-MS-guided molecular docking of the compounds identified in these fractions has implicated interactions with bacterial DNA gyrase B and dihydrofolate reductase as a plausible mechanistic explanation for the antibacterial potency observed experimentally (Venkatesan &amp; Muniyan, 2026). Antifungal activity has separately been pursued through in silico screening of plant-derived phytochemicals against fungal lanosterol 14-alpha demethylase, a key ergosterol biosynthesis enzyme and an established antifungal drug target; several constituents of </w:t>
      </w:r>
      <w:r w:rsidRPr="00875933">
        <w:rPr>
          <w:rFonts w:ascii="Times New Roman" w:hAnsi="Times New Roman" w:cs="Times New Roman"/>
          <w:i/>
        </w:rPr>
        <w:t>A. indica</w:t>
      </w:r>
      <w:r w:rsidRPr="00875933">
        <w:rPr>
          <w:rFonts w:ascii="Times New Roman" w:hAnsi="Times New Roman" w:cs="Times New Roman"/>
        </w:rPr>
        <w:t xml:space="preserve"> show favourable predicted binding to this target in </w:t>
      </w:r>
      <w:r w:rsidRPr="00875933">
        <w:rPr>
          <w:rFonts w:ascii="Times New Roman" w:hAnsi="Times New Roman" w:cs="Times New Roman"/>
          <w:i/>
        </w:rPr>
        <w:t>Saccharomyces cerevisiae</w:t>
      </w:r>
      <w:r w:rsidRPr="00875933">
        <w:rPr>
          <w:rFonts w:ascii="Times New Roman" w:hAnsi="Times New Roman" w:cs="Times New Roman"/>
        </w:rPr>
        <w:t>, a model organism often used as a surrogate for pathogenic fungal demethylase inhibition studies (Edwin et al., 2025).</w:t>
      </w:r>
    </w:p>
    <w:p w14:paraId="46A9D788"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4.3 Anti-inflammatory activity</w:t>
      </w:r>
    </w:p>
    <w:p w14:paraId="7CBE62A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Anti-inflammatory effects have been documented through both classical biochemical assays and in vivo inflammation models. A comprehensive bibliometric and mechanistic appraisal of the preclinical anti-inflammatory literature found that most available studies rely on protein denaturation inhibition assays and human erythrocyte membrane stabilisation tests as surrogate markers of anti-inflammatory potential, with the underlying molecular mechanism still incompletely worked out despite consistent phenomenological evidence of activity — the authors provisionally attribute much of this activity to the flavonoid-rich phenolic fraction of the plant (Sharma, Sharma, Mandal &amp; Dhobi, 2024). This phenomenological picture has since been strengthened considerably by work using a carrageenan-induced paw oedema model in rats, in which root methanolic extract pretreatment significantly reduced oedema volume, circulating white cell and platelet counts, and C-reactive protein elevation, alongside lower neutrophil infiltration and vascular dilation on histopathological examination of the inflamed paw tissue (</w:t>
      </w:r>
      <w:proofErr w:type="spellStart"/>
      <w:r w:rsidRPr="00875933">
        <w:rPr>
          <w:rFonts w:ascii="Times New Roman" w:eastAsia="Times New Roman" w:hAnsi="Times New Roman" w:cs="Times New Roman"/>
          <w:sz w:val="24"/>
          <w:szCs w:val="24"/>
          <w:lang w:eastAsia="en-GB"/>
        </w:rPr>
        <w:t>Sahukari</w:t>
      </w:r>
      <w:proofErr w:type="spellEnd"/>
      <w:r w:rsidRPr="00875933">
        <w:rPr>
          <w:rFonts w:ascii="Times New Roman" w:eastAsia="Times New Roman" w:hAnsi="Times New Roman" w:cs="Times New Roman"/>
          <w:sz w:val="24"/>
          <w:szCs w:val="24"/>
          <w:lang w:eastAsia="en-GB"/>
        </w:rPr>
        <w:t xml:space="preserve"> et al., 2021). Mechanistic clarification has been pushed furthest in a lipopolysaccharide-stimulated macrophage model, where standardised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extract was shown to modulate nuclear factor kappa-B signalling — a master regulator of the inflammatory transcriptional programme — while at the same time showing antiviral activity in the same experimental system, results that begin to close the gap between phenomenological observation of anti-inflammatory effect and engagement of a defined molecular pathway (Sharma et al., 2025a).</w:t>
      </w:r>
    </w:p>
    <w:p w14:paraId="2EDCAB18"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4.4 Antidiabetic and </w:t>
      </w:r>
      <w:proofErr w:type="spellStart"/>
      <w:r w:rsidRPr="00875933">
        <w:rPr>
          <w:rFonts w:ascii="Times New Roman" w:eastAsia="Times New Roman" w:hAnsi="Times New Roman" w:cs="Times New Roman"/>
          <w:b/>
          <w:bCs/>
          <w:sz w:val="24"/>
          <w:szCs w:val="24"/>
          <w:lang w:eastAsia="en-GB"/>
        </w:rPr>
        <w:t>antihyperlipidaemic</w:t>
      </w:r>
      <w:proofErr w:type="spellEnd"/>
      <w:r w:rsidRPr="00875933">
        <w:rPr>
          <w:rFonts w:ascii="Times New Roman" w:eastAsia="Times New Roman" w:hAnsi="Times New Roman" w:cs="Times New Roman"/>
          <w:b/>
          <w:bCs/>
          <w:sz w:val="24"/>
          <w:szCs w:val="24"/>
          <w:lang w:eastAsia="en-GB"/>
        </w:rPr>
        <w:t xml:space="preserve"> activity</w:t>
      </w:r>
    </w:p>
    <w:p w14:paraId="629C713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antidiabetic potential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has been characterised most carefully through a series of studies centred on inhibition of α-glucosidase, the enzyme governing postprandial carbohydrate absorption. Methanolic stem extract, having first been shown in vitro to inhibit α-glucosidase activity with acceptable tolerability in acute and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toxicity testing, was subsequently tested in vivo using maltose-, sucrose- and glucose-loaded streptozotocin-induced normal and diabetic rats, where it cut postprandial blood glucose by roughly seventy to eighty per cent relative to untreated diabetic controls following a carbohydrate challenge (Priya &amp; Rao, 2016). The same extract produced concurrent hepatoprotective effects in the diabetic model, evidenced by normalisation of elevated liver marker enzymes that had been disturbed by streptozotocin-induced oxidative injury — which suggests the antidiabetic and hepatoprotective effects of the plant may share a common antioxidant mechanism rather than represent two independent pharmacological actions (Priya &amp; Rao, 2016).</w:t>
      </w:r>
    </w:p>
    <w:p w14:paraId="26AF247E"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lastRenderedPageBreak/>
        <w:t>4.5 Anticancer and cytotoxic activity</w:t>
      </w:r>
    </w:p>
    <w:p w14:paraId="2817B863"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Cytotoxic and antiproliferative effects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extracts have been shown across several human cancer cell lines, though the mechanistic depth of this literature varies a good deal from one study to the next. Hexane leaf extract tested against the MCF-7 breast cancer cell line using the MTT assay produced concentration-dependent cytotoxicity, with an inhibitory concentration for fifty per cent cell viability reduction reported at fifty micrograms per millilitre against a cisplatin positive control (Chekuri et al., 2017). More recent work has pushed this cytotoxic characterisation further, into lipid metabolism pathways specifically implicated in breast cancer biology, showing that ethanolic extract suppresses expression of the lipogenic enzymes fatty acid synthase, acetyl-coenzyme A carboxylase and ATP citrate lyase in MCF-7 cells — an approach that situates the plant's anticancer activity within the contemporary metabolic-reprogramming framework of tumour biology rather than relying on generic cytotoxicity endpoints alone (Johari et al., 2024). At the level of computational mechanism, molecular docking and molecular dynamics simulations of phytochemical constituents against human caspase-3, the key executioner protease of the apoptotic cascade, have identified several sterol derivatives — including γ-sitosterol acetate and β-sitosterol acetate — with binding stability and affinity exceeding that of a co-crystallised native ligand, while a follow-up study restricted to the flavonoid fraction identified the kaempferol glycoside </w:t>
      </w:r>
      <w:proofErr w:type="spellStart"/>
      <w:r w:rsidRPr="00875933">
        <w:rPr>
          <w:rFonts w:ascii="Times New Roman" w:eastAsia="Times New Roman" w:hAnsi="Times New Roman" w:cs="Times New Roman"/>
          <w:sz w:val="24"/>
          <w:szCs w:val="24"/>
          <w:lang w:eastAsia="en-GB"/>
        </w:rPr>
        <w:t>nicotiflorin</w:t>
      </w:r>
      <w:proofErr w:type="spellEnd"/>
      <w:r w:rsidRPr="00875933">
        <w:rPr>
          <w:rFonts w:ascii="Times New Roman" w:eastAsia="Times New Roman" w:hAnsi="Times New Roman" w:cs="Times New Roman"/>
          <w:sz w:val="24"/>
          <w:szCs w:val="24"/>
          <w:lang w:eastAsia="en-GB"/>
        </w:rPr>
        <w:t xml:space="preserve"> as the most effective predicted caspase-3 activator among the compounds examined (</w:t>
      </w:r>
      <w:proofErr w:type="spellStart"/>
      <w:r w:rsidRPr="00875933">
        <w:rPr>
          <w:rFonts w:ascii="Times New Roman" w:eastAsia="Times New Roman" w:hAnsi="Times New Roman" w:cs="Times New Roman"/>
          <w:sz w:val="24"/>
          <w:szCs w:val="24"/>
          <w:lang w:eastAsia="en-GB"/>
        </w:rPr>
        <w:t>Febrina</w:t>
      </w:r>
      <w:proofErr w:type="spellEnd"/>
      <w:r w:rsidRPr="00875933">
        <w:rPr>
          <w:rFonts w:ascii="Times New Roman" w:eastAsia="Times New Roman" w:hAnsi="Times New Roman" w:cs="Times New Roman"/>
          <w:sz w:val="24"/>
          <w:szCs w:val="24"/>
          <w:lang w:eastAsia="en-GB"/>
        </w:rPr>
        <w:t xml:space="preserve"> et al., 2021; </w:t>
      </w:r>
      <w:proofErr w:type="spellStart"/>
      <w:r w:rsidRPr="00875933">
        <w:rPr>
          <w:rFonts w:ascii="Times New Roman" w:eastAsia="Times New Roman" w:hAnsi="Times New Roman" w:cs="Times New Roman"/>
          <w:sz w:val="24"/>
          <w:szCs w:val="24"/>
          <w:lang w:eastAsia="en-GB"/>
        </w:rPr>
        <w:t>Febrina</w:t>
      </w:r>
      <w:proofErr w:type="spellEnd"/>
      <w:r w:rsidRPr="00875933">
        <w:rPr>
          <w:rFonts w:ascii="Times New Roman" w:eastAsia="Times New Roman" w:hAnsi="Times New Roman" w:cs="Times New Roman"/>
          <w:sz w:val="24"/>
          <w:szCs w:val="24"/>
          <w:lang w:eastAsia="en-GB"/>
        </w:rPr>
        <w:t xml:space="preserve"> et al., 2022). Comparative context from the wider genus is instructive here: cytotoxic evaluation of the congeneric species </w:t>
      </w:r>
      <w:r w:rsidRPr="00875933">
        <w:rPr>
          <w:rFonts w:ascii="Times New Roman" w:eastAsia="Times New Roman" w:hAnsi="Times New Roman" w:cs="Times New Roman"/>
          <w:i/>
          <w:iCs/>
          <w:sz w:val="24"/>
          <w:szCs w:val="24"/>
          <w:lang w:eastAsia="en-GB"/>
        </w:rPr>
        <w:t xml:space="preserve">Acalypha </w:t>
      </w:r>
      <w:proofErr w:type="spellStart"/>
      <w:r w:rsidRPr="00875933">
        <w:rPr>
          <w:rFonts w:ascii="Times New Roman" w:eastAsia="Times New Roman" w:hAnsi="Times New Roman" w:cs="Times New Roman"/>
          <w:i/>
          <w:iCs/>
          <w:sz w:val="24"/>
          <w:szCs w:val="24"/>
          <w:lang w:eastAsia="en-GB"/>
        </w:rPr>
        <w:t>monostachya</w:t>
      </w:r>
      <w:proofErr w:type="spellEnd"/>
      <w:r w:rsidRPr="00875933">
        <w:rPr>
          <w:rFonts w:ascii="Times New Roman" w:eastAsia="Times New Roman" w:hAnsi="Times New Roman" w:cs="Times New Roman"/>
          <w:sz w:val="24"/>
          <w:szCs w:val="24"/>
          <w:lang w:eastAsia="en-GB"/>
        </w:rPr>
        <w:t xml:space="preserve"> explicitly draws on the prior demonstration that methanolic, hexane and chloroform extracts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are non-cytotoxic to non-tumour Vero kidney cells while remaining active against lung carcinoma cells, and notes further that the methanolic extract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contains the cyclitol L-quebrachitol, a compound independently of interest as a synthetic precursor in anticancer drug development — illustrating how findings on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continue to inform research across the broader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 genus (Guillén-Meléndez et al., 2021). A broader synthesis of anticancer activity across the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family situates these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-specific findings within a wider pattern of cytotoxic and pro-apoptotic activity recurring across the family, while cautioning that translating such in vitro cytotoxicity data into clinically meaningful anticancer therapeutics remains, for the great majority of </w:t>
      </w:r>
      <w:proofErr w:type="spellStart"/>
      <w:r w:rsidRPr="00875933">
        <w:rPr>
          <w:rFonts w:ascii="Times New Roman" w:eastAsia="Times New Roman" w:hAnsi="Times New Roman" w:cs="Times New Roman"/>
          <w:sz w:val="24"/>
          <w:szCs w:val="24"/>
          <w:lang w:eastAsia="en-GB"/>
        </w:rPr>
        <w:t>Euphorbiaceae</w:t>
      </w:r>
      <w:proofErr w:type="spellEnd"/>
      <w:r w:rsidRPr="00875933">
        <w:rPr>
          <w:rFonts w:ascii="Times New Roman" w:eastAsia="Times New Roman" w:hAnsi="Times New Roman" w:cs="Times New Roman"/>
          <w:sz w:val="24"/>
          <w:szCs w:val="24"/>
          <w:lang w:eastAsia="en-GB"/>
        </w:rPr>
        <w:t xml:space="preserve"> species investigated so far, at an early and largely unvalidated stage (Jiménez-González et al., 2024).</w:t>
      </w:r>
    </w:p>
    <w:p w14:paraId="310973CD"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4.6 Wound healing activity</w:t>
      </w:r>
    </w:p>
    <w:p w14:paraId="52AC3E0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wound-healing properties traditionally attributed to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have received fairly detailed mechanistic attention. Topical application of leaf extract to full-thickness excisional wounds in rats accelerated wound contraction and closure relative to untreated controls, an effect the investigators linked directly to up-regulated expression of type I and type III collagen in the healing wound bed — implicating enhanced extracellular matrix deposition as a key mechanism behind the plant's traditional topical use for cutaneous injury (Ganeshkumar et al., 2012). This collagen-centred account has since been backed up at the cellular level: ethanolic extracts of both the aerial parts and the root significantly stimulate fibroblast viability and migration in vitro, with aerial-part extract driving fibroblast proliferation well above untreated controls and producing substantially faster wound closure in a scratch-assay model within forty-eight hours — corroborating the whole-animal wound-contraction findings at the cellular level (Ibrahim et al., 2021).</w:t>
      </w:r>
    </w:p>
    <w:p w14:paraId="34D4D2CF"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lastRenderedPageBreak/>
        <w:t>4.7 Hepatoprotective activity</w:t>
      </w:r>
    </w:p>
    <w:p w14:paraId="63A82C7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Hepatoprotective effects, while not pursued as a standalone endpoint as often as the antidiabetic or wound-healing literature, nonetheless turn up consistently as a secondary finding within broader investigations of the plant's antioxidant and antidiabetic properties. As noted in Section 4.4, methanolic stem extract administered to streptozotocin-induced diabetic rats normalised serum liver marker enzymes that had been elevated by diabetes-associated oxidative stress, an effect the investigators attribute to the extract's ability to protect hepatocellular membrane integrity against streptozotocin-induced leakage (Priya &amp; Rao, 2016). This pattern — hepatoprotection arising as a downstream consequence of the plant's broader antioxidant capacity, rather than evidence of some distinct hepatotropic mechanism — fits comfortably with the wider literature on phenolic-rich plant extracts and underlines how interconnected the pharmacological effects catalogued in this section really are.</w:t>
      </w:r>
    </w:p>
    <w:p w14:paraId="45BF705B"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 xml:space="preserve">4.8 </w:t>
      </w:r>
      <w:proofErr w:type="spellStart"/>
      <w:r w:rsidRPr="00875933">
        <w:rPr>
          <w:rFonts w:ascii="Times New Roman" w:eastAsia="Times New Roman" w:hAnsi="Times New Roman" w:cs="Times New Roman"/>
          <w:b/>
          <w:bCs/>
          <w:sz w:val="24"/>
          <w:szCs w:val="24"/>
          <w:lang w:eastAsia="en-GB"/>
        </w:rPr>
        <w:t>Antiasthmatic</w:t>
      </w:r>
      <w:proofErr w:type="spellEnd"/>
      <w:r w:rsidRPr="00875933">
        <w:rPr>
          <w:rFonts w:ascii="Times New Roman" w:eastAsia="Times New Roman" w:hAnsi="Times New Roman" w:cs="Times New Roman"/>
          <w:b/>
          <w:bCs/>
          <w:sz w:val="24"/>
          <w:szCs w:val="24"/>
          <w:lang w:eastAsia="en-GB"/>
        </w:rPr>
        <w:t xml:space="preserve"> and respiratory activity</w:t>
      </w:r>
    </w:p>
    <w:p w14:paraId="5C462EB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traditional use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in asthma, bronchitis and pneumonia has received fairly direct experimental validation through a multi-model pharmacological study of ethanolic leaf extract. The extract antagonised acetylcholine- and histamine-induced contraction of isolated goat tracheal chain preparations, pointing to anticholinergic and antihistaminic activity, and shortened the duration of clonidine-induced catalepsy in mice, a behavioural surrogate for histamine H1-receptor blockade (</w:t>
      </w:r>
      <w:proofErr w:type="spellStart"/>
      <w:r w:rsidRPr="00875933">
        <w:rPr>
          <w:rFonts w:ascii="Times New Roman" w:eastAsia="Times New Roman" w:hAnsi="Times New Roman" w:cs="Times New Roman"/>
          <w:sz w:val="24"/>
          <w:szCs w:val="24"/>
          <w:lang w:eastAsia="en-GB"/>
        </w:rPr>
        <w:t>Ninave</w:t>
      </w:r>
      <w:proofErr w:type="spellEnd"/>
      <w:r w:rsidRPr="00875933">
        <w:rPr>
          <w:rFonts w:ascii="Times New Roman" w:eastAsia="Times New Roman" w:hAnsi="Times New Roman" w:cs="Times New Roman"/>
          <w:sz w:val="24"/>
          <w:szCs w:val="24"/>
          <w:lang w:eastAsia="en-GB"/>
        </w:rPr>
        <w:t xml:space="preserve"> &amp; Patil, 2022). The same extract reduced leucocytosis and eosinophilia significantly in a milk-induced inflammatory model, inhibited clonidine-induced mast cell degranulation, attenuated oedema in a passive paw anaphylaxis model, and protected guinea pigs against histamine-induced bronchoconstriction — with lung histopathology in treated animals approximating that of untreated, non-challenged controls (</w:t>
      </w:r>
      <w:proofErr w:type="spellStart"/>
      <w:r w:rsidRPr="00875933">
        <w:rPr>
          <w:rFonts w:ascii="Times New Roman" w:eastAsia="Times New Roman" w:hAnsi="Times New Roman" w:cs="Times New Roman"/>
          <w:sz w:val="24"/>
          <w:szCs w:val="24"/>
          <w:lang w:eastAsia="en-GB"/>
        </w:rPr>
        <w:t>Ninave</w:t>
      </w:r>
      <w:proofErr w:type="spellEnd"/>
      <w:r w:rsidRPr="00875933">
        <w:rPr>
          <w:rFonts w:ascii="Times New Roman" w:eastAsia="Times New Roman" w:hAnsi="Times New Roman" w:cs="Times New Roman"/>
          <w:sz w:val="24"/>
          <w:szCs w:val="24"/>
          <w:lang w:eastAsia="en-GB"/>
        </w:rPr>
        <w:t xml:space="preserve"> &amp; Patil, 2022). Taken together, this multi-endpoint profile — spanning anticholinergic, antihistaminic, mast-cell-stabilising, </w:t>
      </w:r>
      <w:proofErr w:type="spellStart"/>
      <w:r w:rsidRPr="00875933">
        <w:rPr>
          <w:rFonts w:ascii="Times New Roman" w:eastAsia="Times New Roman" w:hAnsi="Times New Roman" w:cs="Times New Roman"/>
          <w:sz w:val="24"/>
          <w:szCs w:val="24"/>
          <w:lang w:eastAsia="en-GB"/>
        </w:rPr>
        <w:t>antianaphylactic</w:t>
      </w:r>
      <w:proofErr w:type="spellEnd"/>
      <w:r w:rsidRPr="00875933">
        <w:rPr>
          <w:rFonts w:ascii="Times New Roman" w:eastAsia="Times New Roman" w:hAnsi="Times New Roman" w:cs="Times New Roman"/>
          <w:sz w:val="24"/>
          <w:szCs w:val="24"/>
          <w:lang w:eastAsia="en-GB"/>
        </w:rPr>
        <w:t xml:space="preserve"> and </w:t>
      </w:r>
      <w:proofErr w:type="spellStart"/>
      <w:r w:rsidRPr="00875933">
        <w:rPr>
          <w:rFonts w:ascii="Times New Roman" w:eastAsia="Times New Roman" w:hAnsi="Times New Roman" w:cs="Times New Roman"/>
          <w:sz w:val="24"/>
          <w:szCs w:val="24"/>
          <w:lang w:eastAsia="en-GB"/>
        </w:rPr>
        <w:t>bronchodilatory</w:t>
      </w:r>
      <w:proofErr w:type="spellEnd"/>
      <w:r w:rsidRPr="00875933">
        <w:rPr>
          <w:rFonts w:ascii="Times New Roman" w:eastAsia="Times New Roman" w:hAnsi="Times New Roman" w:cs="Times New Roman"/>
          <w:sz w:val="24"/>
          <w:szCs w:val="24"/>
          <w:lang w:eastAsia="en-GB"/>
        </w:rPr>
        <w:t xml:space="preserve"> mechanisms — is one of the more internally coherent bodies of evidence available for any single therapeutic claim made about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and amounts to a reasonably direct experimental test of a centuries-old ethnomedical indication.</w:t>
      </w:r>
    </w:p>
    <w:p w14:paraId="0B7A4220"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4.9 Neuroprotective activity</w:t>
      </w:r>
    </w:p>
    <w:p w14:paraId="6C4788D5"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Investigation of the plant's central nervous system effects has, until quite recently, been largely absent from the literature. A recent quality-controlled study of standardised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extract in a 1-methyl-4-phenyl-1,2,3,6-tetrahydropyridine-induced murine model of Parkinsonism begins to address this gap. High-performance thin-layer chromatography confirmed gallic acid, catechin and kaempferol as marker constituents in the standardised extract, which, across a dose range of one hundred to four hundred milligrams per kilogram, significantly eased anxiety-related behaviours and motor coordination deficits in the elevated plus-maze, rotarod and locomotor activity assays characteristic of this model (Sharma et al., 2025b). This is a single study rather than a corroborated body of evidence, but its explicit grounding in WHO-aligned quality-control methodology and its use of validated behavioural endpoints make it a reasonably promising starting point for further neuropharmacological work on the species.</w:t>
      </w:r>
    </w:p>
    <w:p w14:paraId="0F5950F6" w14:textId="77777777" w:rsidR="00426A47" w:rsidRPr="00875933" w:rsidRDefault="00426A47" w:rsidP="00426A4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4.10 Antiparasitic, larvicidal and antiviral activity</w:t>
      </w:r>
    </w:p>
    <w:p w14:paraId="7083B153"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lastRenderedPageBreak/>
        <w:t xml:space="preserve">The larvicidal and antiparasitic properties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have been demonstrated against several mosquito vector species of considerable public health importance. Leaf extracts prepared in benzene, chloroform, ethyl acetate and methanol were tested against the malarial vector </w:t>
      </w:r>
      <w:r w:rsidRPr="00875933">
        <w:rPr>
          <w:rFonts w:ascii="Times New Roman" w:eastAsia="Times New Roman" w:hAnsi="Times New Roman" w:cs="Times New Roman"/>
          <w:i/>
          <w:iCs/>
          <w:sz w:val="24"/>
          <w:szCs w:val="24"/>
          <w:lang w:eastAsia="en-GB"/>
        </w:rPr>
        <w:t xml:space="preserve">Anopheles </w:t>
      </w:r>
      <w:proofErr w:type="spellStart"/>
      <w:r w:rsidRPr="00875933">
        <w:rPr>
          <w:rFonts w:ascii="Times New Roman" w:eastAsia="Times New Roman" w:hAnsi="Times New Roman" w:cs="Times New Roman"/>
          <w:i/>
          <w:iCs/>
          <w:sz w:val="24"/>
          <w:szCs w:val="24"/>
          <w:lang w:eastAsia="en-GB"/>
        </w:rPr>
        <w:t>stephensi</w:t>
      </w:r>
      <w:proofErr w:type="spellEnd"/>
      <w:r w:rsidRPr="00875933">
        <w:rPr>
          <w:rFonts w:ascii="Times New Roman" w:eastAsia="Times New Roman" w:hAnsi="Times New Roman" w:cs="Times New Roman"/>
          <w:sz w:val="24"/>
          <w:szCs w:val="24"/>
          <w:lang w:eastAsia="en-GB"/>
        </w:rPr>
        <w:t xml:space="preserve">, and the methanolic extract returned the lowest — and so the most potent — lethal concentration for fifty per cent larval mortality among the solvents tested, alongside concentration-dependent ovicidal activity and oviposition-deterrent attractancy effects (Govindarajan et al., 2008). This larvicidal potential has since been harnessed within a green nanotechnology framework: herbal nanoparticles produced from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leaves by a solvent-free ball-milling technique show significant larvicidal activity against three medically important mosquito vectors — </w:t>
      </w:r>
      <w:r w:rsidRPr="00875933">
        <w:rPr>
          <w:rFonts w:ascii="Times New Roman" w:eastAsia="Times New Roman" w:hAnsi="Times New Roman" w:cs="Times New Roman"/>
          <w:i/>
          <w:iCs/>
          <w:sz w:val="24"/>
          <w:szCs w:val="24"/>
          <w:lang w:eastAsia="en-GB"/>
        </w:rPr>
        <w:t>Aedes aegypti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 xml:space="preserve">Anopheles </w:t>
      </w:r>
      <w:proofErr w:type="spellStart"/>
      <w:r w:rsidRPr="00875933">
        <w:rPr>
          <w:rFonts w:ascii="Times New Roman" w:eastAsia="Times New Roman" w:hAnsi="Times New Roman" w:cs="Times New Roman"/>
          <w:i/>
          <w:iCs/>
          <w:sz w:val="24"/>
          <w:szCs w:val="24"/>
          <w:lang w:eastAsia="en-GB"/>
        </w:rPr>
        <w:t>stephensi</w:t>
      </w:r>
      <w:proofErr w:type="spellEnd"/>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 xml:space="preserve">Culex </w:t>
      </w:r>
      <w:proofErr w:type="spellStart"/>
      <w:r w:rsidRPr="00875933">
        <w:rPr>
          <w:rFonts w:ascii="Times New Roman" w:eastAsia="Times New Roman" w:hAnsi="Times New Roman" w:cs="Times New Roman"/>
          <w:i/>
          <w:iCs/>
          <w:sz w:val="24"/>
          <w:szCs w:val="24"/>
          <w:lang w:eastAsia="en-GB"/>
        </w:rPr>
        <w:t>quinquefasciatus</w:t>
      </w:r>
      <w:proofErr w:type="spellEnd"/>
      <w:r w:rsidRPr="00875933">
        <w:rPr>
          <w:rFonts w:ascii="Times New Roman" w:eastAsia="Times New Roman" w:hAnsi="Times New Roman" w:cs="Times New Roman"/>
          <w:sz w:val="24"/>
          <w:szCs w:val="24"/>
          <w:lang w:eastAsia="en-GB"/>
        </w:rPr>
        <w:t xml:space="preserve"> — in addition to superhydrophobic surface properties and antimicrobial activity against </w:t>
      </w:r>
      <w:r w:rsidRPr="00875933">
        <w:rPr>
          <w:rFonts w:ascii="Times New Roman" w:eastAsia="Times New Roman" w:hAnsi="Times New Roman" w:cs="Times New Roman"/>
          <w:i/>
          <w:iCs/>
          <w:sz w:val="24"/>
          <w:szCs w:val="24"/>
          <w:lang w:eastAsia="en-GB"/>
        </w:rPr>
        <w:t>S. aureus</w:t>
      </w:r>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(Karthik et al., 2017). Antiviral activity is a more recent line of investigation: the lipopolysaccharide-stimulated macrophage study discussed in Section 4.3 explicitly reports antiviral, alongside anti-inflammatory, activity for standardised extract acting through nuclear factor kappa-B modulation (Sharma et al., 2025a). At the level of specific viral targets, a broader in silico and in vitro screen of Omani traditional medicinal plant ligands against the SARS-CoV-2 spike protein identified </w:t>
      </w:r>
      <w:proofErr w:type="spellStart"/>
      <w:r w:rsidRPr="00875933">
        <w:rPr>
          <w:rFonts w:ascii="Times New Roman" w:eastAsia="Times New Roman" w:hAnsi="Times New Roman" w:cs="Times New Roman"/>
          <w:sz w:val="24"/>
          <w:szCs w:val="24"/>
          <w:lang w:eastAsia="en-GB"/>
        </w:rPr>
        <w:t>corilagin</w:t>
      </w:r>
      <w:proofErr w:type="spellEnd"/>
      <w:r w:rsidRPr="00875933">
        <w:rPr>
          <w:rFonts w:ascii="Times New Roman" w:eastAsia="Times New Roman" w:hAnsi="Times New Roman" w:cs="Times New Roman"/>
          <w:sz w:val="24"/>
          <w:szCs w:val="24"/>
          <w:lang w:eastAsia="en-GB"/>
        </w:rPr>
        <w:t xml:space="preserve"> — a constituent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known locally in Oman as </w:t>
      </w:r>
      <w:proofErr w:type="spellStart"/>
      <w:r w:rsidRPr="00875933">
        <w:rPr>
          <w:rFonts w:ascii="Times New Roman" w:eastAsia="Times New Roman" w:hAnsi="Times New Roman" w:cs="Times New Roman"/>
          <w:sz w:val="24"/>
          <w:szCs w:val="24"/>
          <w:lang w:eastAsia="en-GB"/>
        </w:rPr>
        <w:t>Aeyan</w:t>
      </w:r>
      <w:proofErr w:type="spellEnd"/>
      <w:r w:rsidRPr="00875933">
        <w:rPr>
          <w:rFonts w:ascii="Times New Roman" w:eastAsia="Times New Roman" w:hAnsi="Times New Roman" w:cs="Times New Roman"/>
          <w:sz w:val="24"/>
          <w:szCs w:val="24"/>
          <w:lang w:eastAsia="en-GB"/>
        </w:rPr>
        <w:t xml:space="preserve"> Al </w:t>
      </w:r>
      <w:proofErr w:type="spellStart"/>
      <w:r w:rsidRPr="00875933">
        <w:rPr>
          <w:rFonts w:ascii="Times New Roman" w:eastAsia="Times New Roman" w:hAnsi="Times New Roman" w:cs="Times New Roman"/>
          <w:sz w:val="24"/>
          <w:szCs w:val="24"/>
          <w:lang w:eastAsia="en-GB"/>
        </w:rPr>
        <w:t>Aqrada</w:t>
      </w:r>
      <w:proofErr w:type="spellEnd"/>
      <w:r w:rsidRPr="00875933">
        <w:rPr>
          <w:rFonts w:ascii="Times New Roman" w:eastAsia="Times New Roman" w:hAnsi="Times New Roman" w:cs="Times New Roman"/>
          <w:sz w:val="24"/>
          <w:szCs w:val="24"/>
          <w:lang w:eastAsia="en-GB"/>
        </w:rPr>
        <w:t xml:space="preserve"> — as the single most promising inhibitor among several hundred unique ligands screened, with subsequent in vitro work confirming ninety-two per cent inhibition at a concentration of 0.5 millimolar and a half-maximal inhibitory concentration in the low micromolar range (Al-Mahrami et al., 2024). This finding needs substantial further validation before any clinical inference can be drawn from it, but it illustrates how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-derived phytochemicals can find relevance well beyond the plant's traditional indications, in this case in contemporary antiviral drug discovery.</w:t>
      </w:r>
    </w:p>
    <w:p w14:paraId="0736B3B1"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Table 2 brings together the pharmacological activities discussed across this section, together with the extracts, model systems and principal findings on which each </w:t>
      </w:r>
      <w:proofErr w:type="gramStart"/>
      <w:r w:rsidRPr="00875933">
        <w:rPr>
          <w:rFonts w:ascii="Times New Roman" w:eastAsia="Times New Roman" w:hAnsi="Times New Roman" w:cs="Times New Roman"/>
          <w:sz w:val="24"/>
          <w:szCs w:val="24"/>
          <w:lang w:eastAsia="en-GB"/>
        </w:rPr>
        <w:t>rests</w:t>
      </w:r>
      <w:proofErr w:type="gramEnd"/>
      <w:r w:rsidRPr="00875933">
        <w:rPr>
          <w:rFonts w:ascii="Times New Roman" w:eastAsia="Times New Roman" w:hAnsi="Times New Roman" w:cs="Times New Roman"/>
          <w:sz w:val="24"/>
          <w:szCs w:val="24"/>
          <w:lang w:eastAsia="en-GB"/>
        </w:rPr>
        <w:t>.</w:t>
      </w:r>
    </w:p>
    <w:p w14:paraId="58984E9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2. Summary of principal pharmacological activities reported for </w:t>
      </w:r>
      <w:r w:rsidRPr="00875933">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1868"/>
        <w:gridCol w:w="2432"/>
        <w:gridCol w:w="2030"/>
        <w:gridCol w:w="2912"/>
      </w:tblGrid>
      <w:tr w:rsidR="00426A47" w:rsidRPr="00875933" w14:paraId="49A42805" w14:textId="77777777" w:rsidTr="00875933">
        <w:tc>
          <w:tcPr>
            <w:tcW w:w="0" w:type="auto"/>
            <w:hideMark/>
          </w:tcPr>
          <w:p w14:paraId="660ACC2B"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Activity</w:t>
            </w:r>
          </w:p>
        </w:tc>
        <w:tc>
          <w:tcPr>
            <w:tcW w:w="0" w:type="auto"/>
            <w:hideMark/>
          </w:tcPr>
          <w:p w14:paraId="47477000"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Extract / preparation</w:t>
            </w:r>
          </w:p>
        </w:tc>
        <w:tc>
          <w:tcPr>
            <w:tcW w:w="0" w:type="auto"/>
            <w:hideMark/>
          </w:tcPr>
          <w:p w14:paraId="1AA09CCC"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Model system</w:t>
            </w:r>
          </w:p>
        </w:tc>
        <w:tc>
          <w:tcPr>
            <w:tcW w:w="0" w:type="auto"/>
            <w:hideMark/>
          </w:tcPr>
          <w:p w14:paraId="1EAC0E0F"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Principal finding</w:t>
            </w:r>
          </w:p>
        </w:tc>
      </w:tr>
      <w:tr w:rsidR="00426A47" w:rsidRPr="00875933" w14:paraId="1CA2BA97" w14:textId="77777777" w:rsidTr="00875933">
        <w:tc>
          <w:tcPr>
            <w:tcW w:w="0" w:type="auto"/>
            <w:hideMark/>
          </w:tcPr>
          <w:p w14:paraId="39A0281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Antioxidant</w:t>
            </w:r>
          </w:p>
        </w:tc>
        <w:tc>
          <w:tcPr>
            <w:tcW w:w="0" w:type="auto"/>
            <w:hideMark/>
          </w:tcPr>
          <w:p w14:paraId="502F309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Methanolic leaf, root and stem extracts</w:t>
            </w:r>
          </w:p>
        </w:tc>
        <w:tc>
          <w:tcPr>
            <w:tcW w:w="0" w:type="auto"/>
            <w:hideMark/>
          </w:tcPr>
          <w:p w14:paraId="3D67946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DPPH, hydroxyl radical, H₂O₂ assays; rat in vivo models</w:t>
            </w:r>
          </w:p>
        </w:tc>
        <w:tc>
          <w:tcPr>
            <w:tcW w:w="0" w:type="auto"/>
            <w:hideMark/>
          </w:tcPr>
          <w:p w14:paraId="49B41552"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Dose-dependent radical scavenging; restoration of enzymatic antioxidant status in vivo</w:t>
            </w:r>
          </w:p>
        </w:tc>
      </w:tr>
      <w:tr w:rsidR="00426A47" w:rsidRPr="00875933" w14:paraId="095934AC" w14:textId="77777777" w:rsidTr="00875933">
        <w:tc>
          <w:tcPr>
            <w:tcW w:w="0" w:type="auto"/>
            <w:hideMark/>
          </w:tcPr>
          <w:p w14:paraId="29DCF77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Antimicrobial / antifungal</w:t>
            </w:r>
          </w:p>
        </w:tc>
        <w:tc>
          <w:tcPr>
            <w:tcW w:w="0" w:type="auto"/>
            <w:hideMark/>
          </w:tcPr>
          <w:p w14:paraId="1D0F5EF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Aqueous leaf extract; ethanolic fractions; silver and herbal nanoparticles</w:t>
            </w:r>
          </w:p>
        </w:tc>
        <w:tc>
          <w:tcPr>
            <w:tcW w:w="0" w:type="auto"/>
            <w:hideMark/>
          </w:tcPr>
          <w:p w14:paraId="71B9DF92"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Bacterial and fungal pathogen panels</w:t>
            </w:r>
          </w:p>
        </w:tc>
        <w:tc>
          <w:tcPr>
            <w:tcW w:w="0" w:type="auto"/>
            <w:hideMark/>
          </w:tcPr>
          <w:p w14:paraId="02C2E1B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Activity against Gram-positive and Gram-negative bacteria and </w:t>
            </w:r>
            <w:r w:rsidRPr="00875933">
              <w:rPr>
                <w:rFonts w:ascii="Times New Roman" w:eastAsia="Times New Roman" w:hAnsi="Times New Roman" w:cs="Times New Roman"/>
                <w:i/>
                <w:iCs/>
                <w:sz w:val="24"/>
                <w:szCs w:val="24"/>
                <w:lang w:eastAsia="en-GB"/>
              </w:rPr>
              <w:t>Candida</w:t>
            </w:r>
            <w:r w:rsidRPr="00875933">
              <w:rPr>
                <w:rFonts w:ascii="Times New Roman" w:eastAsia="Times New Roman" w:hAnsi="Times New Roman" w:cs="Times New Roman"/>
                <w:sz w:val="24"/>
                <w:szCs w:val="24"/>
                <w:lang w:eastAsia="en-GB"/>
              </w:rPr>
              <w:t>/</w:t>
            </w:r>
            <w:r w:rsidRPr="00875933">
              <w:rPr>
                <w:rFonts w:ascii="Times New Roman" w:eastAsia="Times New Roman" w:hAnsi="Times New Roman" w:cs="Times New Roman"/>
                <w:i/>
                <w:iCs/>
                <w:sz w:val="24"/>
                <w:szCs w:val="24"/>
                <w:lang w:eastAsia="en-GB"/>
              </w:rPr>
              <w:t>Aspergillus</w:t>
            </w:r>
            <w:r w:rsidRPr="00875933">
              <w:rPr>
                <w:rFonts w:ascii="Times New Roman" w:eastAsia="Times New Roman" w:hAnsi="Times New Roman" w:cs="Times New Roman"/>
                <w:sz w:val="24"/>
                <w:szCs w:val="24"/>
                <w:lang w:eastAsia="en-GB"/>
              </w:rPr>
              <w:t xml:space="preserve"> species</w:t>
            </w:r>
          </w:p>
        </w:tc>
      </w:tr>
      <w:tr w:rsidR="00426A47" w:rsidRPr="00875933" w14:paraId="30E8AC79" w14:textId="77777777" w:rsidTr="00875933">
        <w:tc>
          <w:tcPr>
            <w:tcW w:w="0" w:type="auto"/>
            <w:hideMark/>
          </w:tcPr>
          <w:p w14:paraId="3E46572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Anti-inflammatory</w:t>
            </w:r>
          </w:p>
        </w:tc>
        <w:tc>
          <w:tcPr>
            <w:tcW w:w="0" w:type="auto"/>
            <w:hideMark/>
          </w:tcPr>
          <w:p w14:paraId="2B89FAC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Root methanolic extract; standardised extract</w:t>
            </w:r>
          </w:p>
        </w:tc>
        <w:tc>
          <w:tcPr>
            <w:tcW w:w="0" w:type="auto"/>
            <w:hideMark/>
          </w:tcPr>
          <w:p w14:paraId="6767694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Carrageenan-induced oedema (rat); LPS-stimulated macrophages</w:t>
            </w:r>
          </w:p>
        </w:tc>
        <w:tc>
          <w:tcPr>
            <w:tcW w:w="0" w:type="auto"/>
            <w:hideMark/>
          </w:tcPr>
          <w:p w14:paraId="053DDA3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Reduced oedema, CRP and leucocyte infiltration; NF-</w:t>
            </w:r>
            <w:proofErr w:type="spellStart"/>
            <w:r w:rsidRPr="00875933">
              <w:rPr>
                <w:rFonts w:ascii="Times New Roman" w:eastAsia="Times New Roman" w:hAnsi="Times New Roman" w:cs="Times New Roman"/>
                <w:sz w:val="24"/>
                <w:szCs w:val="24"/>
                <w:lang w:eastAsia="en-GB"/>
              </w:rPr>
              <w:t>κB</w:t>
            </w:r>
            <w:proofErr w:type="spellEnd"/>
            <w:r w:rsidRPr="00875933">
              <w:rPr>
                <w:rFonts w:ascii="Times New Roman" w:eastAsia="Times New Roman" w:hAnsi="Times New Roman" w:cs="Times New Roman"/>
                <w:sz w:val="24"/>
                <w:szCs w:val="24"/>
                <w:lang w:eastAsia="en-GB"/>
              </w:rPr>
              <w:t xml:space="preserve"> pathway modulation</w:t>
            </w:r>
          </w:p>
        </w:tc>
      </w:tr>
      <w:tr w:rsidR="00426A47" w:rsidRPr="00875933" w14:paraId="0F6AACE5" w14:textId="77777777" w:rsidTr="00875933">
        <w:tc>
          <w:tcPr>
            <w:tcW w:w="0" w:type="auto"/>
            <w:hideMark/>
          </w:tcPr>
          <w:p w14:paraId="692D5E8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Antidiabetic</w:t>
            </w:r>
          </w:p>
        </w:tc>
        <w:tc>
          <w:tcPr>
            <w:tcW w:w="0" w:type="auto"/>
            <w:hideMark/>
          </w:tcPr>
          <w:p w14:paraId="0C90EA5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Methanolic stem extract</w:t>
            </w:r>
          </w:p>
        </w:tc>
        <w:tc>
          <w:tcPr>
            <w:tcW w:w="0" w:type="auto"/>
            <w:hideMark/>
          </w:tcPr>
          <w:p w14:paraId="2E7BD2E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α-glucosidase inhibition; STZ-induced diabetic rats</w:t>
            </w:r>
          </w:p>
        </w:tc>
        <w:tc>
          <w:tcPr>
            <w:tcW w:w="0" w:type="auto"/>
            <w:hideMark/>
          </w:tcPr>
          <w:p w14:paraId="5F565E4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~69–80% reduction in postprandial hyperglycaemia</w:t>
            </w:r>
          </w:p>
        </w:tc>
      </w:tr>
      <w:tr w:rsidR="00426A47" w:rsidRPr="00875933" w14:paraId="3EDEC712" w14:textId="77777777" w:rsidTr="00875933">
        <w:tc>
          <w:tcPr>
            <w:tcW w:w="0" w:type="auto"/>
            <w:hideMark/>
          </w:tcPr>
          <w:p w14:paraId="0A77996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lastRenderedPageBreak/>
              <w:t>Anticancer</w:t>
            </w:r>
          </w:p>
        </w:tc>
        <w:tc>
          <w:tcPr>
            <w:tcW w:w="0" w:type="auto"/>
            <w:hideMark/>
          </w:tcPr>
          <w:p w14:paraId="2944871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Hexane, ethanolic and methanolic extracts; isolated sterols/flavonoids</w:t>
            </w:r>
          </w:p>
        </w:tc>
        <w:tc>
          <w:tcPr>
            <w:tcW w:w="0" w:type="auto"/>
            <w:hideMark/>
          </w:tcPr>
          <w:p w14:paraId="4500520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MCF-7 breast cancer cells; in silico caspase-3 docking</w:t>
            </w:r>
          </w:p>
        </w:tc>
        <w:tc>
          <w:tcPr>
            <w:tcW w:w="0" w:type="auto"/>
            <w:hideMark/>
          </w:tcPr>
          <w:p w14:paraId="3858B9D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Concentration-dependent cytotoxicity; lipogenic enzyme suppression; favourable docking scores</w:t>
            </w:r>
          </w:p>
        </w:tc>
      </w:tr>
      <w:tr w:rsidR="00426A47" w:rsidRPr="00875933" w14:paraId="12CC450F" w14:textId="77777777" w:rsidTr="00875933">
        <w:tc>
          <w:tcPr>
            <w:tcW w:w="0" w:type="auto"/>
            <w:hideMark/>
          </w:tcPr>
          <w:p w14:paraId="0387E67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Wound healing</w:t>
            </w:r>
          </w:p>
        </w:tc>
        <w:tc>
          <w:tcPr>
            <w:tcW w:w="0" w:type="auto"/>
            <w:hideMark/>
          </w:tcPr>
          <w:p w14:paraId="0FA03BE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Topical ethanolic extract</w:t>
            </w:r>
          </w:p>
        </w:tc>
        <w:tc>
          <w:tcPr>
            <w:tcW w:w="0" w:type="auto"/>
            <w:hideMark/>
          </w:tcPr>
          <w:p w14:paraId="1127690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Excisional wounds (rat); fibroblast migration assays</w:t>
            </w:r>
          </w:p>
        </w:tc>
        <w:tc>
          <w:tcPr>
            <w:tcW w:w="0" w:type="auto"/>
            <w:hideMark/>
          </w:tcPr>
          <w:p w14:paraId="2FF6314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Accelerated wound closure; upregulated collagen I/III; fibroblast proliferation</w:t>
            </w:r>
          </w:p>
        </w:tc>
      </w:tr>
      <w:tr w:rsidR="00426A47" w:rsidRPr="00875933" w14:paraId="19D2A299" w14:textId="77777777" w:rsidTr="00875933">
        <w:tc>
          <w:tcPr>
            <w:tcW w:w="0" w:type="auto"/>
            <w:hideMark/>
          </w:tcPr>
          <w:p w14:paraId="41821E00"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Antiasthmatic</w:t>
            </w:r>
            <w:proofErr w:type="spellEnd"/>
          </w:p>
        </w:tc>
        <w:tc>
          <w:tcPr>
            <w:tcW w:w="0" w:type="auto"/>
            <w:hideMark/>
          </w:tcPr>
          <w:p w14:paraId="37C5BFC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Ethanolic leaf extract</w:t>
            </w:r>
          </w:p>
        </w:tc>
        <w:tc>
          <w:tcPr>
            <w:tcW w:w="0" w:type="auto"/>
            <w:hideMark/>
          </w:tcPr>
          <w:p w14:paraId="385A8CE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Goat tracheal chain; mouse/guinea pig models</w:t>
            </w:r>
          </w:p>
        </w:tc>
        <w:tc>
          <w:tcPr>
            <w:tcW w:w="0" w:type="auto"/>
            <w:hideMark/>
          </w:tcPr>
          <w:p w14:paraId="04DC7DCC"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Anticholinergic, antihistaminic, mast-cell-stabilising, </w:t>
            </w:r>
            <w:proofErr w:type="spellStart"/>
            <w:r w:rsidRPr="00875933">
              <w:rPr>
                <w:rFonts w:ascii="Times New Roman" w:eastAsia="Times New Roman" w:hAnsi="Times New Roman" w:cs="Times New Roman"/>
                <w:sz w:val="24"/>
                <w:szCs w:val="24"/>
                <w:lang w:eastAsia="en-GB"/>
              </w:rPr>
              <w:t>bronchodilatory</w:t>
            </w:r>
            <w:proofErr w:type="spellEnd"/>
            <w:r w:rsidRPr="00875933">
              <w:rPr>
                <w:rFonts w:ascii="Times New Roman" w:eastAsia="Times New Roman" w:hAnsi="Times New Roman" w:cs="Times New Roman"/>
                <w:sz w:val="24"/>
                <w:szCs w:val="24"/>
                <w:lang w:eastAsia="en-GB"/>
              </w:rPr>
              <w:t xml:space="preserve"> effects</w:t>
            </w:r>
          </w:p>
        </w:tc>
      </w:tr>
      <w:tr w:rsidR="00426A47" w:rsidRPr="00875933" w14:paraId="7DA7ECD6" w14:textId="77777777" w:rsidTr="00875933">
        <w:tc>
          <w:tcPr>
            <w:tcW w:w="0" w:type="auto"/>
            <w:hideMark/>
          </w:tcPr>
          <w:p w14:paraId="40B496D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Neuroprotective</w:t>
            </w:r>
          </w:p>
        </w:tc>
        <w:tc>
          <w:tcPr>
            <w:tcW w:w="0" w:type="auto"/>
            <w:hideMark/>
          </w:tcPr>
          <w:p w14:paraId="6B0C302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Standardised whole-plant extract</w:t>
            </w:r>
          </w:p>
        </w:tc>
        <w:tc>
          <w:tcPr>
            <w:tcW w:w="0" w:type="auto"/>
            <w:hideMark/>
          </w:tcPr>
          <w:p w14:paraId="4D9FB41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MPTP-induced Parkinsonism (mice)</w:t>
            </w:r>
          </w:p>
        </w:tc>
        <w:tc>
          <w:tcPr>
            <w:tcW w:w="0" w:type="auto"/>
            <w:hideMark/>
          </w:tcPr>
          <w:p w14:paraId="02CC962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Reduced motor and anxiety-related deficits</w:t>
            </w:r>
          </w:p>
        </w:tc>
      </w:tr>
      <w:tr w:rsidR="00426A47" w:rsidRPr="00875933" w14:paraId="4741D5A0" w14:textId="77777777" w:rsidTr="00875933">
        <w:tc>
          <w:tcPr>
            <w:tcW w:w="0" w:type="auto"/>
            <w:hideMark/>
          </w:tcPr>
          <w:p w14:paraId="2E35DC2F"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Larvicidal / antiparasitic</w:t>
            </w:r>
          </w:p>
        </w:tc>
        <w:tc>
          <w:tcPr>
            <w:tcW w:w="0" w:type="auto"/>
            <w:hideMark/>
          </w:tcPr>
          <w:p w14:paraId="634CCD0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Solvent extracts; herbal nanoparticles</w:t>
            </w:r>
          </w:p>
        </w:tc>
        <w:tc>
          <w:tcPr>
            <w:tcW w:w="0" w:type="auto"/>
            <w:hideMark/>
          </w:tcPr>
          <w:p w14:paraId="1461F96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Anopheles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Aedes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Culex</w:t>
            </w:r>
            <w:r w:rsidRPr="00875933">
              <w:rPr>
                <w:rFonts w:ascii="Times New Roman" w:eastAsia="Times New Roman" w:hAnsi="Times New Roman" w:cs="Times New Roman"/>
                <w:sz w:val="24"/>
                <w:szCs w:val="24"/>
                <w:lang w:eastAsia="en-GB"/>
              </w:rPr>
              <w:t xml:space="preserve"> larvae</w:t>
            </w:r>
          </w:p>
        </w:tc>
        <w:tc>
          <w:tcPr>
            <w:tcW w:w="0" w:type="auto"/>
            <w:hideMark/>
          </w:tcPr>
          <w:p w14:paraId="0DA9D44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Significant larvicidal and ovicidal activity</w:t>
            </w:r>
          </w:p>
        </w:tc>
      </w:tr>
      <w:tr w:rsidR="00426A47" w:rsidRPr="00875933" w14:paraId="361AEA1A" w14:textId="77777777" w:rsidTr="00875933">
        <w:tc>
          <w:tcPr>
            <w:tcW w:w="0" w:type="auto"/>
            <w:hideMark/>
          </w:tcPr>
          <w:p w14:paraId="43AD448D"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Antiviral</w:t>
            </w:r>
          </w:p>
        </w:tc>
        <w:tc>
          <w:tcPr>
            <w:tcW w:w="0" w:type="auto"/>
            <w:hideMark/>
          </w:tcPr>
          <w:p w14:paraId="692B9E8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Standardised extract; isolated </w:t>
            </w:r>
            <w:proofErr w:type="spellStart"/>
            <w:r w:rsidRPr="00875933">
              <w:rPr>
                <w:rFonts w:ascii="Times New Roman" w:eastAsia="Times New Roman" w:hAnsi="Times New Roman" w:cs="Times New Roman"/>
                <w:sz w:val="24"/>
                <w:szCs w:val="24"/>
                <w:lang w:eastAsia="en-GB"/>
              </w:rPr>
              <w:t>corilagin</w:t>
            </w:r>
            <w:proofErr w:type="spellEnd"/>
          </w:p>
        </w:tc>
        <w:tc>
          <w:tcPr>
            <w:tcW w:w="0" w:type="auto"/>
            <w:hideMark/>
          </w:tcPr>
          <w:p w14:paraId="496C871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LPS macrophages; SARS-CoV-2 spike protein in silico/in vitro</w:t>
            </w:r>
          </w:p>
        </w:tc>
        <w:tc>
          <w:tcPr>
            <w:tcW w:w="0" w:type="auto"/>
            <w:hideMark/>
          </w:tcPr>
          <w:p w14:paraId="6386669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NF-</w:t>
            </w:r>
            <w:proofErr w:type="spellStart"/>
            <w:r w:rsidRPr="00875933">
              <w:rPr>
                <w:rFonts w:ascii="Times New Roman" w:eastAsia="Times New Roman" w:hAnsi="Times New Roman" w:cs="Times New Roman"/>
                <w:sz w:val="24"/>
                <w:szCs w:val="24"/>
                <w:lang w:eastAsia="en-GB"/>
              </w:rPr>
              <w:t>κB</w:t>
            </w:r>
            <w:proofErr w:type="spellEnd"/>
            <w:r w:rsidRPr="00875933">
              <w:rPr>
                <w:rFonts w:ascii="Times New Roman" w:eastAsia="Times New Roman" w:hAnsi="Times New Roman" w:cs="Times New Roman"/>
                <w:sz w:val="24"/>
                <w:szCs w:val="24"/>
                <w:lang w:eastAsia="en-GB"/>
              </w:rPr>
              <w:t xml:space="preserve">-linked antiviral effect; 92% spike-protein inhibition by </w:t>
            </w:r>
            <w:proofErr w:type="spellStart"/>
            <w:r w:rsidRPr="00875933">
              <w:rPr>
                <w:rFonts w:ascii="Times New Roman" w:eastAsia="Times New Roman" w:hAnsi="Times New Roman" w:cs="Times New Roman"/>
                <w:sz w:val="24"/>
                <w:szCs w:val="24"/>
                <w:lang w:eastAsia="en-GB"/>
              </w:rPr>
              <w:t>corilagin</w:t>
            </w:r>
            <w:proofErr w:type="spellEnd"/>
          </w:p>
        </w:tc>
      </w:tr>
    </w:tbl>
    <w:p w14:paraId="4193BE36"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Sources: Krishnaraj et al. (2010); Govindarajan et al. (2008); Ganeshkumar et al. (2012); Priya and Rao (2016); Thamil Priya et al. (2020); Ibrahim et al. (2021); Sahukari et al. (2021); Karthik et al. (2017); Chekuri et al. (2017); Ninave and Patil (2022); Sharma, Sharma, Mandal and Dhobi (2024); Sharma et al. (2025a); Sharma et al. (2025b); Johari et al. (2024); Febrina et al. (2021); Febrina et al. (2022); Venkatesan and Muniyan (2026); Edwin et al. (2025); Al-Mahrami et al. (2024).</w:t>
      </w:r>
    </w:p>
    <w:p w14:paraId="5BF5047E"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What the table makes visible, more than any single paragraph could, is the unevenness of the evidence base: some activities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anti-inflammatory) rest on multi-endpoint studies with a degree of internal mechanistic coherence, while others (neuroprotective, antiviral) currently rest on a single study apiece. That unevenness is taken up again in Section 8.</w:t>
      </w:r>
    </w:p>
    <w:p w14:paraId="61BA3EAC"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410331B6"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5. Nanotechnology and Novel Drug Delivery Applications</w:t>
      </w:r>
    </w:p>
    <w:p w14:paraId="3296FC2B"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green synthesis of metallic and herbal nanoparticles using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leaf extract has become one of the more methodologically mature corners of the broader pharmacological literature on this species, partly because it is comparatively straightforward to combine standard nanoparticle characterisation — UV-</w:t>
      </w:r>
      <w:proofErr w:type="gramStart"/>
      <w:r w:rsidRPr="00875933">
        <w:rPr>
          <w:rFonts w:ascii="Times New Roman" w:eastAsia="Times New Roman" w:hAnsi="Times New Roman" w:cs="Times New Roman"/>
          <w:sz w:val="24"/>
          <w:szCs w:val="24"/>
          <w:lang w:eastAsia="en-GB"/>
        </w:rPr>
        <w:t>Vis</w:t>
      </w:r>
      <w:proofErr w:type="gramEnd"/>
      <w:r w:rsidRPr="00875933">
        <w:rPr>
          <w:rFonts w:ascii="Times New Roman" w:eastAsia="Times New Roman" w:hAnsi="Times New Roman" w:cs="Times New Roman"/>
          <w:sz w:val="24"/>
          <w:szCs w:val="24"/>
          <w:lang w:eastAsia="en-GB"/>
        </w:rPr>
        <w:t xml:space="preserve"> spectroscopy, FTIR, X-ray diffraction, electron microscopy — with conventional bioassay endpoints. The early demonstration that aqueous leaf extract can rapidly reduce silver ions into stable, well-defined silver nanoparticles within thirty minutes, with no need for additional chemical reducing or capping agents, established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as a workable green-chemistry platform and showed that the resulting nanoparticles retained, and in several respects sharpened, the antibacterial activity of the parent extract against waterborne pathogens (</w:t>
      </w:r>
      <w:proofErr w:type="spellStart"/>
      <w:r w:rsidRPr="00875933">
        <w:rPr>
          <w:rFonts w:ascii="Times New Roman" w:eastAsia="Times New Roman" w:hAnsi="Times New Roman" w:cs="Times New Roman"/>
          <w:sz w:val="24"/>
          <w:szCs w:val="24"/>
          <w:lang w:eastAsia="en-GB"/>
        </w:rPr>
        <w:t>Krishnaraj</w:t>
      </w:r>
      <w:proofErr w:type="spellEnd"/>
      <w:r w:rsidRPr="00875933">
        <w:rPr>
          <w:rFonts w:ascii="Times New Roman" w:eastAsia="Times New Roman" w:hAnsi="Times New Roman" w:cs="Times New Roman"/>
          <w:sz w:val="24"/>
          <w:szCs w:val="24"/>
          <w:lang w:eastAsia="en-GB"/>
        </w:rPr>
        <w:t xml:space="preserve"> et al., 2010). This work has since been pushed further by a ball-milling approach that dispenses with solvent extraction altogether, generating amorphous herbal nanoparticles directly from dried leaf material; these </w:t>
      </w:r>
      <w:r w:rsidRPr="00875933">
        <w:rPr>
          <w:rFonts w:ascii="Times New Roman" w:eastAsia="Times New Roman" w:hAnsi="Times New Roman" w:cs="Times New Roman"/>
          <w:sz w:val="24"/>
          <w:szCs w:val="24"/>
          <w:lang w:eastAsia="en-GB"/>
        </w:rPr>
        <w:lastRenderedPageBreak/>
        <w:t xml:space="preserve">particles combine antimicrobial activity against </w:t>
      </w:r>
      <w:r w:rsidRPr="00875933">
        <w:rPr>
          <w:rFonts w:ascii="Times New Roman" w:eastAsia="Times New Roman" w:hAnsi="Times New Roman" w:cs="Times New Roman"/>
          <w:i/>
          <w:iCs/>
          <w:sz w:val="24"/>
          <w:szCs w:val="24"/>
          <w:lang w:eastAsia="en-GB"/>
        </w:rPr>
        <w:t>S. aureus</w:t>
      </w:r>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with pronounced </w:t>
      </w:r>
      <w:proofErr w:type="spellStart"/>
      <w:r w:rsidRPr="00875933">
        <w:rPr>
          <w:rFonts w:ascii="Times New Roman" w:eastAsia="Times New Roman" w:hAnsi="Times New Roman" w:cs="Times New Roman"/>
          <w:sz w:val="24"/>
          <w:szCs w:val="24"/>
          <w:lang w:eastAsia="en-GB"/>
        </w:rPr>
        <w:t>superhydrophobicity</w:t>
      </w:r>
      <w:proofErr w:type="spellEnd"/>
      <w:r w:rsidRPr="00875933">
        <w:rPr>
          <w:rFonts w:ascii="Times New Roman" w:eastAsia="Times New Roman" w:hAnsi="Times New Roman" w:cs="Times New Roman"/>
          <w:sz w:val="24"/>
          <w:szCs w:val="24"/>
          <w:lang w:eastAsia="en-GB"/>
        </w:rPr>
        <w:t xml:space="preserve"> and substantial larvicidal efficacy against three medically significant mosquito vectors, suggesting that a single nanomaterial platform can address multiple, mechanistically distinct biomedical and public-health uses at once (Karthik et al., 2017). More recent multifunctional silver nanoparticle formulations — with negative zeta potential indicative of moderate colloidal stability, and demonstrated potency against a panel of pathogens including </w:t>
      </w:r>
      <w:r w:rsidRPr="00875933">
        <w:rPr>
          <w:rFonts w:ascii="Times New Roman" w:eastAsia="Times New Roman" w:hAnsi="Times New Roman" w:cs="Times New Roman"/>
          <w:i/>
          <w:iCs/>
          <w:sz w:val="24"/>
          <w:szCs w:val="24"/>
          <w:lang w:eastAsia="en-GB"/>
        </w:rPr>
        <w:t>Salmonella typhi</w:t>
      </w:r>
      <w:r w:rsidRPr="00875933">
        <w:rPr>
          <w:rFonts w:ascii="Times New Roman" w:eastAsia="Times New Roman" w:hAnsi="Times New Roman" w:cs="Times New Roman"/>
          <w:sz w:val="24"/>
          <w:szCs w:val="24"/>
          <w:lang w:eastAsia="en-GB"/>
        </w:rPr>
        <w:t xml:space="preserve"> and </w:t>
      </w:r>
      <w:r w:rsidRPr="00875933">
        <w:rPr>
          <w:rFonts w:ascii="Times New Roman" w:eastAsia="Times New Roman" w:hAnsi="Times New Roman" w:cs="Times New Roman"/>
          <w:i/>
          <w:iCs/>
          <w:sz w:val="24"/>
          <w:szCs w:val="24"/>
          <w:lang w:eastAsia="en-GB"/>
        </w:rPr>
        <w:t>Streptococcus</w:t>
      </w:r>
      <w:r w:rsidRPr="00875933">
        <w:rPr>
          <w:rFonts w:ascii="Times New Roman" w:eastAsia="Times New Roman" w:hAnsi="Times New Roman" w:cs="Times New Roman"/>
          <w:sz w:val="24"/>
          <w:szCs w:val="24"/>
          <w:lang w:eastAsia="en-GB"/>
        </w:rPr>
        <w:t xml:space="preserve"> species — point to continued methodological refinement in this direction, and a clear shift towards explicitly multifunctional biomedical materials rather than single-endpoint antimicrobial agents (</w:t>
      </w:r>
      <w:proofErr w:type="spellStart"/>
      <w:r w:rsidRPr="00875933">
        <w:rPr>
          <w:rFonts w:ascii="Times New Roman" w:eastAsia="Times New Roman" w:hAnsi="Times New Roman" w:cs="Times New Roman"/>
          <w:sz w:val="24"/>
          <w:szCs w:val="24"/>
          <w:lang w:eastAsia="en-GB"/>
        </w:rPr>
        <w:t>Sakaray</w:t>
      </w:r>
      <w:proofErr w:type="spellEnd"/>
      <w:r w:rsidRPr="00875933">
        <w:rPr>
          <w:rFonts w:ascii="Times New Roman" w:eastAsia="Times New Roman" w:hAnsi="Times New Roman" w:cs="Times New Roman"/>
          <w:sz w:val="24"/>
          <w:szCs w:val="24"/>
          <w:lang w:eastAsia="en-GB"/>
        </w:rPr>
        <w:t xml:space="preserve"> et al., 2024). Table 3 sets these three studies side by side, listing the synthesis approach, characterisation methods and demonstrated application reported in each.</w:t>
      </w:r>
    </w:p>
    <w:p w14:paraId="6554CA6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3. Nanoparticle-based applications of </w:t>
      </w:r>
      <w:r w:rsidRPr="00875933">
        <w:rPr>
          <w:rFonts w:ascii="Times New Roman" w:eastAsia="Times New Roman" w:hAnsi="Times New Roman" w:cs="Times New Roman"/>
          <w:b/>
          <w:bCs/>
          <w:i/>
          <w:iCs/>
          <w:sz w:val="24"/>
          <w:szCs w:val="24"/>
          <w:lang w:eastAsia="en-GB"/>
        </w:rPr>
        <w:t>Acalypha indica</w:t>
      </w:r>
      <w:r w:rsidRPr="00875933">
        <w:rPr>
          <w:rFonts w:ascii="Times New Roman" w:eastAsia="Times New Roman" w:hAnsi="Times New Roman" w:cs="Times New Roman"/>
          <w:b/>
          <w:bCs/>
          <w:sz w:val="24"/>
          <w:szCs w:val="24"/>
          <w:lang w:eastAsia="en-GB"/>
        </w:rPr>
        <w:t xml:space="preserve"> leaf extract</w:t>
      </w:r>
    </w:p>
    <w:tbl>
      <w:tblPr>
        <w:tblStyle w:val="TableGrid"/>
        <w:tblW w:w="0" w:type="auto"/>
        <w:tblLook w:val="04A0" w:firstRow="1" w:lastRow="0" w:firstColumn="1" w:lastColumn="0" w:noHBand="0" w:noVBand="1"/>
      </w:tblPr>
      <w:tblGrid>
        <w:gridCol w:w="1975"/>
        <w:gridCol w:w="2221"/>
        <w:gridCol w:w="2152"/>
        <w:gridCol w:w="2894"/>
      </w:tblGrid>
      <w:tr w:rsidR="00426A47" w:rsidRPr="00875933" w14:paraId="2F8DD7CA" w14:textId="77777777" w:rsidTr="00875933">
        <w:tc>
          <w:tcPr>
            <w:tcW w:w="0" w:type="auto"/>
            <w:hideMark/>
          </w:tcPr>
          <w:p w14:paraId="00E6720C"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Nanomaterial</w:t>
            </w:r>
          </w:p>
        </w:tc>
        <w:tc>
          <w:tcPr>
            <w:tcW w:w="0" w:type="auto"/>
            <w:hideMark/>
          </w:tcPr>
          <w:p w14:paraId="23B1DD8D"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Synthesis approach</w:t>
            </w:r>
          </w:p>
        </w:tc>
        <w:tc>
          <w:tcPr>
            <w:tcW w:w="0" w:type="auto"/>
            <w:hideMark/>
          </w:tcPr>
          <w:p w14:paraId="798D1D9F"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Characterisation</w:t>
            </w:r>
          </w:p>
        </w:tc>
        <w:tc>
          <w:tcPr>
            <w:tcW w:w="0" w:type="auto"/>
            <w:hideMark/>
          </w:tcPr>
          <w:p w14:paraId="35B65955"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Demonstrated application</w:t>
            </w:r>
          </w:p>
        </w:tc>
      </w:tr>
      <w:tr w:rsidR="00426A47" w:rsidRPr="00875933" w14:paraId="3FEF3320" w14:textId="77777777" w:rsidTr="00875933">
        <w:tc>
          <w:tcPr>
            <w:tcW w:w="0" w:type="auto"/>
            <w:hideMark/>
          </w:tcPr>
          <w:p w14:paraId="6F9C25E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Silver nanoparticles (~20–30 nm)</w:t>
            </w:r>
          </w:p>
        </w:tc>
        <w:tc>
          <w:tcPr>
            <w:tcW w:w="0" w:type="auto"/>
            <w:hideMark/>
          </w:tcPr>
          <w:p w14:paraId="5467716D"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Aqueous leaf extract as reducing/capping agent</w:t>
            </w:r>
          </w:p>
        </w:tc>
        <w:tc>
          <w:tcPr>
            <w:tcW w:w="0" w:type="auto"/>
            <w:hideMark/>
          </w:tcPr>
          <w:p w14:paraId="1F774056"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UV-Vis, SEM, XRD, EDS, HRTEM</w:t>
            </w:r>
          </w:p>
        </w:tc>
        <w:tc>
          <w:tcPr>
            <w:tcW w:w="0" w:type="auto"/>
            <w:hideMark/>
          </w:tcPr>
          <w:p w14:paraId="3CEBDFA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Antibacterial activity against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V. cholerae</w:t>
            </w:r>
          </w:p>
        </w:tc>
      </w:tr>
      <w:tr w:rsidR="00426A47" w:rsidRPr="00875933" w14:paraId="218DD299" w14:textId="77777777" w:rsidTr="00875933">
        <w:tc>
          <w:tcPr>
            <w:tcW w:w="0" w:type="auto"/>
            <w:hideMark/>
          </w:tcPr>
          <w:p w14:paraId="5689345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Herbal nanoparticles (amorphous, ~54 nm)</w:t>
            </w:r>
          </w:p>
        </w:tc>
        <w:tc>
          <w:tcPr>
            <w:tcW w:w="0" w:type="auto"/>
            <w:hideMark/>
          </w:tcPr>
          <w:p w14:paraId="68A97552"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Solvent-free ball-milling of dried leaves</w:t>
            </w:r>
          </w:p>
        </w:tc>
        <w:tc>
          <w:tcPr>
            <w:tcW w:w="0" w:type="auto"/>
            <w:hideMark/>
          </w:tcPr>
          <w:p w14:paraId="4806BFD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XRD, FTIR, UV-Vis, SEM, XRF, TEM</w:t>
            </w:r>
          </w:p>
        </w:tc>
        <w:tc>
          <w:tcPr>
            <w:tcW w:w="0" w:type="auto"/>
            <w:hideMark/>
          </w:tcPr>
          <w:p w14:paraId="45F9F73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Larvicidal activity (</w:t>
            </w:r>
            <w:r w:rsidRPr="00875933">
              <w:rPr>
                <w:rFonts w:ascii="Times New Roman" w:eastAsia="Times New Roman" w:hAnsi="Times New Roman" w:cs="Times New Roman"/>
                <w:i/>
                <w:iCs/>
                <w:sz w:val="24"/>
                <w:szCs w:val="24"/>
                <w:lang w:eastAsia="en-GB"/>
              </w:rPr>
              <w:t>Aedes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Anopheles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Culex</w:t>
            </w:r>
            <w:r w:rsidRPr="00875933">
              <w:rPr>
                <w:rFonts w:ascii="Times New Roman" w:eastAsia="Times New Roman" w:hAnsi="Times New Roman" w:cs="Times New Roman"/>
                <w:sz w:val="24"/>
                <w:szCs w:val="24"/>
                <w:lang w:eastAsia="en-GB"/>
              </w:rPr>
              <w:t xml:space="preserve">); </w:t>
            </w:r>
            <w:proofErr w:type="spellStart"/>
            <w:r w:rsidRPr="00875933">
              <w:rPr>
                <w:rFonts w:ascii="Times New Roman" w:eastAsia="Times New Roman" w:hAnsi="Times New Roman" w:cs="Times New Roman"/>
                <w:sz w:val="24"/>
                <w:szCs w:val="24"/>
                <w:lang w:eastAsia="en-GB"/>
              </w:rPr>
              <w:t>superhydrophobicity</w:t>
            </w:r>
            <w:proofErr w:type="spellEnd"/>
            <w:r w:rsidRPr="00875933">
              <w:rPr>
                <w:rFonts w:ascii="Times New Roman" w:eastAsia="Times New Roman" w:hAnsi="Times New Roman" w:cs="Times New Roman"/>
                <w:sz w:val="24"/>
                <w:szCs w:val="24"/>
                <w:lang w:eastAsia="en-GB"/>
              </w:rPr>
              <w:t>; antibacterial activity</w:t>
            </w:r>
          </w:p>
        </w:tc>
      </w:tr>
      <w:tr w:rsidR="00426A47" w:rsidRPr="00875933" w14:paraId="58067092" w14:textId="77777777" w:rsidTr="00875933">
        <w:tc>
          <w:tcPr>
            <w:tcW w:w="0" w:type="auto"/>
            <w:hideMark/>
          </w:tcPr>
          <w:p w14:paraId="58D4F459"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Multifunctional silver nanoparticles</w:t>
            </w:r>
          </w:p>
        </w:tc>
        <w:tc>
          <w:tcPr>
            <w:tcW w:w="0" w:type="auto"/>
            <w:hideMark/>
          </w:tcPr>
          <w:p w14:paraId="7CAEE015"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Aqueous extract, surface plasmon resonance ~436 nm</w:t>
            </w:r>
          </w:p>
        </w:tc>
        <w:tc>
          <w:tcPr>
            <w:tcW w:w="0" w:type="auto"/>
            <w:hideMark/>
          </w:tcPr>
          <w:p w14:paraId="5BD77918"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UV-Vis, FTIR, TEM, zeta potential</w:t>
            </w:r>
          </w:p>
        </w:tc>
        <w:tc>
          <w:tcPr>
            <w:tcW w:w="0" w:type="auto"/>
            <w:hideMark/>
          </w:tcPr>
          <w:p w14:paraId="744D641C"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Broad-spectrum antimicrobial activity (</w:t>
            </w:r>
            <w:r w:rsidRPr="00875933">
              <w:rPr>
                <w:rFonts w:ascii="Times New Roman" w:eastAsia="Times New Roman" w:hAnsi="Times New Roman" w:cs="Times New Roman"/>
                <w:i/>
                <w:iCs/>
                <w:sz w:val="24"/>
                <w:szCs w:val="24"/>
                <w:lang w:eastAsia="en-GB"/>
              </w:rPr>
              <w:t>E. coli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S. typhi</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S. aureus</w:t>
            </w:r>
            <w:r w:rsidRPr="00875933">
              <w:rPr>
                <w:rFonts w:ascii="Times New Roman" w:eastAsia="Times New Roman" w:hAnsi="Times New Roman" w:cs="Times New Roman"/>
                <w:sz w:val="24"/>
                <w:szCs w:val="24"/>
                <w:lang w:eastAsia="en-GB"/>
              </w:rPr>
              <w:t xml:space="preserve">, </w:t>
            </w:r>
            <w:r w:rsidRPr="00875933">
              <w:rPr>
                <w:rFonts w:ascii="Times New Roman" w:eastAsia="Times New Roman" w:hAnsi="Times New Roman" w:cs="Times New Roman"/>
                <w:i/>
                <w:iCs/>
                <w:sz w:val="24"/>
                <w:szCs w:val="24"/>
                <w:lang w:eastAsia="en-GB"/>
              </w:rPr>
              <w:t>Streptococcus</w:t>
            </w:r>
            <w:r w:rsidRPr="00875933">
              <w:rPr>
                <w:rFonts w:ascii="Times New Roman" w:eastAsia="Times New Roman" w:hAnsi="Times New Roman" w:cs="Times New Roman"/>
                <w:sz w:val="24"/>
                <w:szCs w:val="24"/>
                <w:lang w:eastAsia="en-GB"/>
              </w:rPr>
              <w:t xml:space="preserve"> sp.)</w:t>
            </w:r>
          </w:p>
        </w:tc>
      </w:tr>
    </w:tbl>
    <w:p w14:paraId="0A19682F"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 xml:space="preserve">Sources: </w:t>
      </w:r>
      <w:proofErr w:type="spellStart"/>
      <w:r w:rsidRPr="00875933">
        <w:rPr>
          <w:rFonts w:ascii="Times New Roman" w:eastAsia="Times New Roman" w:hAnsi="Times New Roman" w:cs="Times New Roman"/>
          <w:i/>
          <w:iCs/>
          <w:sz w:val="24"/>
          <w:szCs w:val="24"/>
          <w:lang w:eastAsia="en-GB"/>
        </w:rPr>
        <w:t>Krishnaraj</w:t>
      </w:r>
      <w:proofErr w:type="spellEnd"/>
      <w:r w:rsidRPr="00875933">
        <w:rPr>
          <w:rFonts w:ascii="Times New Roman" w:eastAsia="Times New Roman" w:hAnsi="Times New Roman" w:cs="Times New Roman"/>
          <w:i/>
          <w:iCs/>
          <w:sz w:val="24"/>
          <w:szCs w:val="24"/>
          <w:lang w:eastAsia="en-GB"/>
        </w:rPr>
        <w:t xml:space="preserve"> et al. (2010); Karthik et al. (2017); </w:t>
      </w:r>
      <w:proofErr w:type="spellStart"/>
      <w:r w:rsidRPr="00875933">
        <w:rPr>
          <w:rFonts w:ascii="Times New Roman" w:eastAsia="Times New Roman" w:hAnsi="Times New Roman" w:cs="Times New Roman"/>
          <w:i/>
          <w:iCs/>
          <w:sz w:val="24"/>
          <w:szCs w:val="24"/>
          <w:lang w:eastAsia="en-GB"/>
        </w:rPr>
        <w:t>Sakaray</w:t>
      </w:r>
      <w:proofErr w:type="spellEnd"/>
      <w:r w:rsidRPr="00875933">
        <w:rPr>
          <w:rFonts w:ascii="Times New Roman" w:eastAsia="Times New Roman" w:hAnsi="Times New Roman" w:cs="Times New Roman"/>
          <w:i/>
          <w:iCs/>
          <w:sz w:val="24"/>
          <w:szCs w:val="24"/>
          <w:lang w:eastAsia="en-GB"/>
        </w:rPr>
        <w:t xml:space="preserve"> et al. (2024).</w:t>
      </w:r>
    </w:p>
    <w:p w14:paraId="0BBE9012"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Read together, the three rows in Table 3 trace a fairly clear trajectory: from a simple, single-purpose antibacterial nanoparticle towards progressively more sophisticated, multifunctional materials. Considered as a whole, this body of work has, in several respects, advanced more quickly towards mechanistically characterised, application-ready outputs than the conventional crude-extract pharmacology discussed in Section 4 — even as basic questions about exactly which phytochemical species are responsible for nanoparticle reduction and capping, and about the long-term biocompatibility of such formulations in vivo, remain only partly resolved.</w:t>
      </w:r>
    </w:p>
    <w:p w14:paraId="28A9B079"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10E3D2B3"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6. Computational and In Silico Approaches to Drug Discovery</w:t>
      </w:r>
    </w:p>
    <w:p w14:paraId="0F16CE1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hAnsi="Times New Roman" w:cs="Times New Roman"/>
        </w:rPr>
        <w:t xml:space="preserve">The application of structure-based computational methods to </w:t>
      </w:r>
      <w:r w:rsidRPr="00875933">
        <w:rPr>
          <w:rFonts w:ascii="Times New Roman" w:hAnsi="Times New Roman" w:cs="Times New Roman"/>
          <w:i/>
        </w:rPr>
        <w:t>A. indica</w:t>
      </w:r>
      <w:r w:rsidRPr="00875933">
        <w:rPr>
          <w:rFonts w:ascii="Times New Roman" w:hAnsi="Times New Roman" w:cs="Times New Roman"/>
        </w:rPr>
        <w:t xml:space="preserve"> phytochemistry has expanded considerably in recent years, in step with the broader move within natural product pharmacology towards in silico target prediction as a way of focusing, and prioritising, experimental work. Molecular docking and subsequent molecular dynamics simulation of thirty-three phytochemical constituents of </w:t>
      </w:r>
      <w:r w:rsidRPr="00875933">
        <w:rPr>
          <w:rFonts w:ascii="Times New Roman" w:hAnsi="Times New Roman" w:cs="Times New Roman"/>
          <w:i/>
        </w:rPr>
        <w:t>A. indica</w:t>
      </w:r>
      <w:r w:rsidRPr="00875933">
        <w:rPr>
          <w:rFonts w:ascii="Times New Roman" w:hAnsi="Times New Roman" w:cs="Times New Roman"/>
        </w:rPr>
        <w:t xml:space="preserve"> against human caspase-3 identified several sterol derivatives capable of forming hydrogen-bond interactions with key catalytic residues, with binding stability across simulated trajectories suggesting real potential for apoptosis induction in cancer cells — though the authors were careful to describe these compounds as candidate lead structures requiring experimental </w:t>
      </w:r>
      <w:r w:rsidRPr="00875933">
        <w:rPr>
          <w:rFonts w:ascii="Times New Roman" w:hAnsi="Times New Roman" w:cs="Times New Roman"/>
        </w:rPr>
        <w:lastRenderedPageBreak/>
        <w:t xml:space="preserve">confirmation, not as validated therapeutic agents (Febrina et al., 2021). A follow-up study, narrowed to the flavonoid fraction of the plant, identified nicotiflorin as the most effective predicted caspase-3 activator among ten flavonoids examined, with molecular dynamics-derived binding free energy calculations bearing out the docking-based ranking (Febrina et al., 2022). In the antimicrobial domain, molecular docking of GC-MS-identified phytocompounds against </w:t>
      </w:r>
      <w:r w:rsidRPr="00875933">
        <w:rPr>
          <w:rFonts w:ascii="Times New Roman" w:hAnsi="Times New Roman" w:cs="Times New Roman"/>
          <w:i/>
        </w:rPr>
        <w:t>S. aureus</w:t>
      </w:r>
      <w:r w:rsidRPr="00875933">
        <w:rPr>
          <w:rFonts w:ascii="Times New Roman" w:hAnsi="Times New Roman" w:cs="Times New Roman"/>
        </w:rPr>
        <w:t xml:space="preserve"> DNA gyrase B and </w:t>
      </w:r>
      <w:r w:rsidRPr="00875933">
        <w:rPr>
          <w:rFonts w:ascii="Times New Roman" w:hAnsi="Times New Roman" w:cs="Times New Roman"/>
          <w:i/>
        </w:rPr>
        <w:t>E. coli</w:t>
      </w:r>
      <w:r w:rsidRPr="00875933">
        <w:rPr>
          <w:rFonts w:ascii="Times New Roman" w:hAnsi="Times New Roman" w:cs="Times New Roman"/>
        </w:rPr>
        <w:t xml:space="preserve"> dihydrofolate reductase has provided a mechanistic complement to the empirical antibacterial findings discussed in Section 4.2 (Venkatesan &amp; Muniyan, 2026). The antifungal application of similar methodology against fungal lanosterol 14-alpha demethylase extends this computational approach to a third major therapeutic domain (Edwin et al., 2025), while the identification of corilagin as a high-affinity, experimentally confirmed inhibitor of the SARS-CoV-2 spike protein is arguably the most translationally advanced computational finding associated with the species to date, since it was accompanied by direct in vitro confirmation of inhibitory potency rather than resting on docking scores alone (Al-Mahrami et al., 2024).</w:t>
      </w:r>
    </w:p>
    <w:p w14:paraId="78EDBAAC"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Taken together, this computational literature serves a genuinely useful hypothesis-generating function, narrowing the very large pool of phytochemicals catalogued in Section 3 down to a manageable shortlist of candidate bioactive molecules. Its main limitation, common to in silico drug discovery generally, is that a favourable predicted binding affinity, or a clean absorption-distribution-metabolism-excretion-toxicity profile, is necessary but nowhere near sufficient evidence of genuine pharmacological efficacy — and most of the specific compounds nominated through this approach for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still await experimental confirmation in cellular or animal systems.</w:t>
      </w:r>
    </w:p>
    <w:p w14:paraId="531F42A8"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714D0FB4"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7. Toxicological Considerations and Safety Profile</w:t>
      </w:r>
    </w:p>
    <w:p w14:paraId="34606314"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The toxicological picture for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notably split down the middle: controlled animal toxicity studies generally report a comfortable safety margin, while clinical case reports document occasional, but sometimes severe, adverse events following ingestion of raw or minimally processed plant material. Acute and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toxicity testing of aqueous extract in Sprague Dawley rats, given daily by oral gavage over ninety days at doses from one hundred to three hundred milligrams per kilogram of body weight, recorded no overt toxicity and no mortality, and no statistically significant difference from control animals in body weight gain or food and water intake — with only minor, clinically inconsequential changes in renal biochemical markers at the highest dose tested (</w:t>
      </w:r>
      <w:proofErr w:type="spellStart"/>
      <w:r w:rsidRPr="00875933">
        <w:rPr>
          <w:rFonts w:ascii="Times New Roman" w:eastAsia="Times New Roman" w:hAnsi="Times New Roman" w:cs="Times New Roman"/>
          <w:sz w:val="24"/>
          <w:szCs w:val="24"/>
          <w:lang w:eastAsia="en-GB"/>
        </w:rPr>
        <w:t>Hazali</w:t>
      </w:r>
      <w:proofErr w:type="spellEnd"/>
      <w:r w:rsidRPr="00875933">
        <w:rPr>
          <w:rFonts w:ascii="Times New Roman" w:eastAsia="Times New Roman" w:hAnsi="Times New Roman" w:cs="Times New Roman"/>
          <w:sz w:val="24"/>
          <w:szCs w:val="24"/>
          <w:lang w:eastAsia="en-GB"/>
        </w:rPr>
        <w:t xml:space="preserve"> et al., 2016). This reassuring preclinical picture sits in some tension with a substantial clinical case literature describing acute oxidative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following ingestion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predominantly, though not exclusively, in people with underlying glucose-6-phosphate dehydrogenase (G6PD) deficiency. The largest available case series, drawn from poison centre referrals across multiple hospitals over an eight-year period, identified eight affected patients, mostly male, all presenting with dark urine and haemolysis; seven of the eight were diagnosed with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with the diagnosis confirmed and quantified in five of these seven, where levels reached as high as 23.9 per cent, and symptom onset typically occurring within twenty-four hours of the most recent ingested dose (</w:t>
      </w:r>
      <w:proofErr w:type="spellStart"/>
      <w:r w:rsidRPr="00875933">
        <w:rPr>
          <w:rFonts w:ascii="Times New Roman" w:eastAsia="Times New Roman" w:hAnsi="Times New Roman" w:cs="Times New Roman"/>
          <w:sz w:val="24"/>
          <w:szCs w:val="24"/>
          <w:lang w:eastAsia="en-GB"/>
        </w:rPr>
        <w:t>Pradoo</w:t>
      </w:r>
      <w:proofErr w:type="spellEnd"/>
      <w:r w:rsidRPr="00875933">
        <w:rPr>
          <w:rFonts w:ascii="Times New Roman" w:eastAsia="Times New Roman" w:hAnsi="Times New Roman" w:cs="Times New Roman"/>
          <w:sz w:val="24"/>
          <w:szCs w:val="24"/>
          <w:lang w:eastAsia="en-GB"/>
        </w:rPr>
        <w:t xml:space="preserve"> et al., 2020). This case series is notable for flagging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as a previously underappreciated complication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toxicity, distinct from the haemolytic crisis classically linked to G6PD deficiency; the authors tentatively point to specific plant constituents, including quinone derivatives and </w:t>
      </w:r>
      <w:proofErr w:type="spellStart"/>
      <w:r w:rsidRPr="00875933">
        <w:rPr>
          <w:rFonts w:ascii="Times New Roman" w:eastAsia="Times New Roman" w:hAnsi="Times New Roman" w:cs="Times New Roman"/>
          <w:sz w:val="24"/>
          <w:szCs w:val="24"/>
          <w:lang w:eastAsia="en-GB"/>
        </w:rPr>
        <w:t>methylanthraquinone</w:t>
      </w:r>
      <w:proofErr w:type="spellEnd"/>
      <w:r w:rsidRPr="00875933">
        <w:rPr>
          <w:rFonts w:ascii="Times New Roman" w:eastAsia="Times New Roman" w:hAnsi="Times New Roman" w:cs="Times New Roman"/>
          <w:sz w:val="24"/>
          <w:szCs w:val="24"/>
          <w:lang w:eastAsia="en-GB"/>
        </w:rPr>
        <w:t xml:space="preserve"> compounds, as possible causes, though definitive mechanistic confirmation is still lacking (</w:t>
      </w:r>
      <w:proofErr w:type="spellStart"/>
      <w:r w:rsidRPr="00875933">
        <w:rPr>
          <w:rFonts w:ascii="Times New Roman" w:eastAsia="Times New Roman" w:hAnsi="Times New Roman" w:cs="Times New Roman"/>
          <w:sz w:val="24"/>
          <w:szCs w:val="24"/>
          <w:lang w:eastAsia="en-GB"/>
        </w:rPr>
        <w:t>Pradoo</w:t>
      </w:r>
      <w:proofErr w:type="spellEnd"/>
      <w:r w:rsidRPr="00875933">
        <w:rPr>
          <w:rFonts w:ascii="Times New Roman" w:eastAsia="Times New Roman" w:hAnsi="Times New Roman" w:cs="Times New Roman"/>
          <w:sz w:val="24"/>
          <w:szCs w:val="24"/>
          <w:lang w:eastAsia="en-GB"/>
        </w:rPr>
        <w:t xml:space="preserve"> et al., 2020). This pattern of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-induced oxidative haemolysis in G6PD-deficient individuals has a fairly </w:t>
      </w:r>
      <w:r w:rsidRPr="00875933">
        <w:rPr>
          <w:rFonts w:ascii="Times New Roman" w:eastAsia="Times New Roman" w:hAnsi="Times New Roman" w:cs="Times New Roman"/>
          <w:sz w:val="24"/>
          <w:szCs w:val="24"/>
          <w:lang w:eastAsia="en-GB"/>
        </w:rPr>
        <w:lastRenderedPageBreak/>
        <w:t xml:space="preserve">long clinical record: an early account from Sri Lanka documents acute intravascular haemolysis following ingestion of herbal broth containing the plant (Senanayake &amp; </w:t>
      </w:r>
      <w:proofErr w:type="spellStart"/>
      <w:r w:rsidRPr="00875933">
        <w:rPr>
          <w:rFonts w:ascii="Times New Roman" w:eastAsia="Times New Roman" w:hAnsi="Times New Roman" w:cs="Times New Roman"/>
          <w:sz w:val="24"/>
          <w:szCs w:val="24"/>
          <w:lang w:eastAsia="en-GB"/>
        </w:rPr>
        <w:t>Sanmuganathan</w:t>
      </w:r>
      <w:proofErr w:type="spellEnd"/>
      <w:r w:rsidRPr="00875933">
        <w:rPr>
          <w:rFonts w:ascii="Times New Roman" w:eastAsia="Times New Roman" w:hAnsi="Times New Roman" w:cs="Times New Roman"/>
          <w:sz w:val="24"/>
          <w:szCs w:val="24"/>
          <w:lang w:eastAsia="en-GB"/>
        </w:rPr>
        <w:t>, 1996), and more recent case reports continue to describe the phenomenon, including a paediatric and maternal dual presentation managed successfully with supportive care and blood transfusion (</w:t>
      </w:r>
      <w:proofErr w:type="spellStart"/>
      <w:r w:rsidRPr="00875933">
        <w:rPr>
          <w:rFonts w:ascii="Times New Roman" w:eastAsia="Times New Roman" w:hAnsi="Times New Roman" w:cs="Times New Roman"/>
          <w:sz w:val="24"/>
          <w:szCs w:val="24"/>
          <w:lang w:eastAsia="en-GB"/>
        </w:rPr>
        <w:t>Ehelepola</w:t>
      </w:r>
      <w:proofErr w:type="spellEnd"/>
      <w:r w:rsidRPr="00875933">
        <w:rPr>
          <w:rFonts w:ascii="Times New Roman" w:eastAsia="Times New Roman" w:hAnsi="Times New Roman" w:cs="Times New Roman"/>
          <w:sz w:val="24"/>
          <w:szCs w:val="24"/>
          <w:lang w:eastAsia="en-GB"/>
        </w:rPr>
        <w:t xml:space="preserve"> et al., 2018), and a further case complicated by concurrent acute kidney injury and infective endocarditis that shows how readily </w:t>
      </w:r>
      <w:r w:rsidRPr="00875933">
        <w:rPr>
          <w:rFonts w:ascii="Times New Roman" w:eastAsia="Times New Roman" w:hAnsi="Times New Roman" w:cs="Times New Roman"/>
          <w:i/>
          <w:iCs/>
          <w:sz w:val="24"/>
          <w:szCs w:val="24"/>
          <w:lang w:eastAsia="en-GB"/>
        </w:rPr>
        <w:t>Acalypha</w:t>
      </w:r>
      <w:r w:rsidRPr="00875933">
        <w:rPr>
          <w:rFonts w:ascii="Times New Roman" w:eastAsia="Times New Roman" w:hAnsi="Times New Roman" w:cs="Times New Roman"/>
          <w:sz w:val="24"/>
          <w:szCs w:val="24"/>
          <w:lang w:eastAsia="en-GB"/>
        </w:rPr>
        <w:t xml:space="preserve">-induced haemolysis can present alongside, and be confused with, other acute systemic illnesses endemic to the region, such as leptospirosis (Charles et al., 2024). The geographic clustering of these reports — predominantly from Sri Lanka and Thailand, where the plant continues to be consumed as an herbal broth or vegetable — suggests that the toxicological risk of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is not merely a theoretical worry stemming from its cyanogenic chemistry, but a recurring, clinically significant public health issue wherever traditional consumption persists alongside a meaningful prevalence of G6PD deficiency in the population.</w:t>
      </w:r>
    </w:p>
    <w:p w14:paraId="70C5C550"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Table 4 summarises these toxicological findings, from the reassuring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rodent data through to the clinical case literature documenting genuine human harm.</w:t>
      </w:r>
    </w:p>
    <w:p w14:paraId="6E2F801A"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b/>
          <w:bCs/>
          <w:sz w:val="24"/>
          <w:szCs w:val="24"/>
          <w:lang w:eastAsia="en-GB"/>
        </w:rPr>
        <w:t xml:space="preserve">Table 4. Toxicological and safety findings for </w:t>
      </w:r>
      <w:r w:rsidRPr="00875933">
        <w:rPr>
          <w:rFonts w:ascii="Times New Roman" w:eastAsia="Times New Roman" w:hAnsi="Times New Roman" w:cs="Times New Roman"/>
          <w:b/>
          <w:bCs/>
          <w:i/>
          <w:iCs/>
          <w:sz w:val="24"/>
          <w:szCs w:val="24"/>
          <w:lang w:eastAsia="en-GB"/>
        </w:rPr>
        <w:t>Acalypha indica</w:t>
      </w:r>
    </w:p>
    <w:tbl>
      <w:tblPr>
        <w:tblStyle w:val="TableGrid"/>
        <w:tblW w:w="0" w:type="auto"/>
        <w:tblLook w:val="04A0" w:firstRow="1" w:lastRow="0" w:firstColumn="1" w:lastColumn="0" w:noHBand="0" w:noVBand="1"/>
      </w:tblPr>
      <w:tblGrid>
        <w:gridCol w:w="2114"/>
        <w:gridCol w:w="2258"/>
        <w:gridCol w:w="4870"/>
      </w:tblGrid>
      <w:tr w:rsidR="00426A47" w:rsidRPr="00875933" w14:paraId="1204D9C6" w14:textId="77777777" w:rsidTr="00875933">
        <w:tc>
          <w:tcPr>
            <w:tcW w:w="0" w:type="auto"/>
            <w:hideMark/>
          </w:tcPr>
          <w:p w14:paraId="2F5250F8"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Study type</w:t>
            </w:r>
          </w:p>
        </w:tc>
        <w:tc>
          <w:tcPr>
            <w:tcW w:w="0" w:type="auto"/>
            <w:hideMark/>
          </w:tcPr>
          <w:p w14:paraId="03F906C0"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Population / model</w:t>
            </w:r>
          </w:p>
        </w:tc>
        <w:tc>
          <w:tcPr>
            <w:tcW w:w="0" w:type="auto"/>
            <w:hideMark/>
          </w:tcPr>
          <w:p w14:paraId="0384A043" w14:textId="77777777" w:rsidR="00426A47" w:rsidRPr="00875933" w:rsidRDefault="00426A47" w:rsidP="00426A47">
            <w:pPr>
              <w:jc w:val="center"/>
              <w:rPr>
                <w:rFonts w:ascii="Times New Roman" w:eastAsia="Times New Roman" w:hAnsi="Times New Roman" w:cs="Times New Roman"/>
                <w:b/>
                <w:bCs/>
                <w:sz w:val="24"/>
                <w:szCs w:val="24"/>
                <w:lang w:eastAsia="en-GB"/>
              </w:rPr>
            </w:pPr>
            <w:r w:rsidRPr="00875933">
              <w:rPr>
                <w:rFonts w:ascii="Times New Roman" w:eastAsia="Times New Roman" w:hAnsi="Times New Roman" w:cs="Times New Roman"/>
                <w:b/>
                <w:bCs/>
                <w:sz w:val="24"/>
                <w:szCs w:val="24"/>
                <w:lang w:eastAsia="en-GB"/>
              </w:rPr>
              <w:t>Key finding</w:t>
            </w:r>
          </w:p>
        </w:tc>
      </w:tr>
      <w:tr w:rsidR="00426A47" w:rsidRPr="00875933" w14:paraId="203F0F67" w14:textId="77777777" w:rsidTr="00875933">
        <w:tc>
          <w:tcPr>
            <w:tcW w:w="0" w:type="auto"/>
            <w:hideMark/>
          </w:tcPr>
          <w:p w14:paraId="5F233394" w14:textId="77777777" w:rsidR="00426A47" w:rsidRPr="00875933" w:rsidRDefault="00426A47" w:rsidP="00426A47">
            <w:pPr>
              <w:rPr>
                <w:rFonts w:ascii="Times New Roman" w:eastAsia="Times New Roman" w:hAnsi="Times New Roman" w:cs="Times New Roman"/>
                <w:sz w:val="24"/>
                <w:szCs w:val="24"/>
                <w:lang w:eastAsia="en-GB"/>
              </w:rPr>
            </w:pP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toxicity (90-day oral)</w:t>
            </w:r>
          </w:p>
        </w:tc>
        <w:tc>
          <w:tcPr>
            <w:tcW w:w="0" w:type="auto"/>
            <w:hideMark/>
          </w:tcPr>
          <w:p w14:paraId="647EACE0"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Sprague Dawley rats</w:t>
            </w:r>
          </w:p>
        </w:tc>
        <w:tc>
          <w:tcPr>
            <w:tcW w:w="0" w:type="auto"/>
            <w:hideMark/>
          </w:tcPr>
          <w:p w14:paraId="6ABAEDB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No mortality or significant adverse effects up to 300 mg/kg/day; minor renal marker changes at highest dose</w:t>
            </w:r>
          </w:p>
        </w:tc>
      </w:tr>
      <w:tr w:rsidR="00426A47" w:rsidRPr="00875933" w14:paraId="275323C9" w14:textId="77777777" w:rsidTr="00875933">
        <w:tc>
          <w:tcPr>
            <w:tcW w:w="0" w:type="auto"/>
            <w:hideMark/>
          </w:tcPr>
          <w:p w14:paraId="2E3EAE8C"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series (poison centre, n = 8)</w:t>
            </w:r>
          </w:p>
        </w:tc>
        <w:tc>
          <w:tcPr>
            <w:tcW w:w="0" w:type="auto"/>
            <w:hideMark/>
          </w:tcPr>
          <w:p w14:paraId="35BAF95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Adult patients, Thailand</w:t>
            </w:r>
          </w:p>
        </w:tc>
        <w:tc>
          <w:tcPr>
            <w:tcW w:w="0" w:type="auto"/>
            <w:hideMark/>
          </w:tcPr>
          <w:p w14:paraId="60FB64B3"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Haemolysis in all cases;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diagnosed in 7/8, confirmed levels in 5 up to 23.9%</w:t>
            </w:r>
          </w:p>
        </w:tc>
      </w:tr>
      <w:tr w:rsidR="00426A47" w:rsidRPr="00875933" w14:paraId="0BF95FE5" w14:textId="77777777" w:rsidTr="00875933">
        <w:tc>
          <w:tcPr>
            <w:tcW w:w="0" w:type="auto"/>
            <w:hideMark/>
          </w:tcPr>
          <w:p w14:paraId="3B909A0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report (historical)</w:t>
            </w:r>
          </w:p>
        </w:tc>
        <w:tc>
          <w:tcPr>
            <w:tcW w:w="0" w:type="auto"/>
            <w:hideMark/>
          </w:tcPr>
          <w:p w14:paraId="3572E23A"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G6PD-deficient patients, Sri Lanka</w:t>
            </w:r>
          </w:p>
        </w:tc>
        <w:tc>
          <w:tcPr>
            <w:tcW w:w="0" w:type="auto"/>
            <w:hideMark/>
          </w:tcPr>
          <w:p w14:paraId="135DAE6E"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Acute intravascular haemolysis following herbal broth ingestion</w:t>
            </w:r>
          </w:p>
        </w:tc>
      </w:tr>
      <w:tr w:rsidR="00426A47" w:rsidRPr="00875933" w14:paraId="3A44CDB3" w14:textId="77777777" w:rsidTr="00875933">
        <w:tc>
          <w:tcPr>
            <w:tcW w:w="0" w:type="auto"/>
            <w:hideMark/>
          </w:tcPr>
          <w:p w14:paraId="78E094ED"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report</w:t>
            </w:r>
          </w:p>
        </w:tc>
        <w:tc>
          <w:tcPr>
            <w:tcW w:w="0" w:type="auto"/>
            <w:hideMark/>
          </w:tcPr>
          <w:p w14:paraId="5ABE45E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G6PD-deficient mother and child, Sri Lanka</w:t>
            </w:r>
          </w:p>
        </w:tc>
        <w:tc>
          <w:tcPr>
            <w:tcW w:w="0" w:type="auto"/>
            <w:hideMark/>
          </w:tcPr>
          <w:p w14:paraId="508C87DB"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Severe oxidative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managed with transfusion</w:t>
            </w:r>
          </w:p>
        </w:tc>
      </w:tr>
      <w:tr w:rsidR="00426A47" w:rsidRPr="00875933" w14:paraId="74F5E5BA" w14:textId="77777777" w:rsidTr="00875933">
        <w:tc>
          <w:tcPr>
            <w:tcW w:w="0" w:type="auto"/>
            <w:hideMark/>
          </w:tcPr>
          <w:p w14:paraId="7C943081"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Clinical case report</w:t>
            </w:r>
          </w:p>
        </w:tc>
        <w:tc>
          <w:tcPr>
            <w:tcW w:w="0" w:type="auto"/>
            <w:hideMark/>
          </w:tcPr>
          <w:p w14:paraId="5C15B4F4"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G6PD-deficient adult with comorbidity</w:t>
            </w:r>
          </w:p>
        </w:tc>
        <w:tc>
          <w:tcPr>
            <w:tcW w:w="0" w:type="auto"/>
            <w:hideMark/>
          </w:tcPr>
          <w:p w14:paraId="47CBEAA7" w14:textId="77777777" w:rsidR="00426A47" w:rsidRPr="00875933" w:rsidRDefault="00426A47" w:rsidP="00426A47">
            <w:pPr>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Haemolysis with concurrent acute kidney injury and infective endocarditis; diagnostic overlap with leptospirosis</w:t>
            </w:r>
          </w:p>
        </w:tc>
      </w:tr>
    </w:tbl>
    <w:p w14:paraId="187B0157"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i/>
          <w:iCs/>
          <w:sz w:val="24"/>
          <w:szCs w:val="24"/>
          <w:lang w:eastAsia="en-GB"/>
        </w:rPr>
        <w:t xml:space="preserve">Sources: </w:t>
      </w:r>
      <w:proofErr w:type="spellStart"/>
      <w:r w:rsidRPr="00875933">
        <w:rPr>
          <w:rFonts w:ascii="Times New Roman" w:eastAsia="Times New Roman" w:hAnsi="Times New Roman" w:cs="Times New Roman"/>
          <w:i/>
          <w:iCs/>
          <w:sz w:val="24"/>
          <w:szCs w:val="24"/>
          <w:lang w:eastAsia="en-GB"/>
        </w:rPr>
        <w:t>Hazali</w:t>
      </w:r>
      <w:proofErr w:type="spellEnd"/>
      <w:r w:rsidRPr="00875933">
        <w:rPr>
          <w:rFonts w:ascii="Times New Roman" w:eastAsia="Times New Roman" w:hAnsi="Times New Roman" w:cs="Times New Roman"/>
          <w:i/>
          <w:iCs/>
          <w:sz w:val="24"/>
          <w:szCs w:val="24"/>
          <w:lang w:eastAsia="en-GB"/>
        </w:rPr>
        <w:t xml:space="preserve"> et al. (2016); </w:t>
      </w:r>
      <w:proofErr w:type="spellStart"/>
      <w:r w:rsidRPr="00875933">
        <w:rPr>
          <w:rFonts w:ascii="Times New Roman" w:eastAsia="Times New Roman" w:hAnsi="Times New Roman" w:cs="Times New Roman"/>
          <w:i/>
          <w:iCs/>
          <w:sz w:val="24"/>
          <w:szCs w:val="24"/>
          <w:lang w:eastAsia="en-GB"/>
        </w:rPr>
        <w:t>Pradoo</w:t>
      </w:r>
      <w:proofErr w:type="spellEnd"/>
      <w:r w:rsidRPr="00875933">
        <w:rPr>
          <w:rFonts w:ascii="Times New Roman" w:eastAsia="Times New Roman" w:hAnsi="Times New Roman" w:cs="Times New Roman"/>
          <w:i/>
          <w:iCs/>
          <w:sz w:val="24"/>
          <w:szCs w:val="24"/>
          <w:lang w:eastAsia="en-GB"/>
        </w:rPr>
        <w:t xml:space="preserve"> et al. (2020); Senanayake and </w:t>
      </w:r>
      <w:proofErr w:type="spellStart"/>
      <w:r w:rsidRPr="00875933">
        <w:rPr>
          <w:rFonts w:ascii="Times New Roman" w:eastAsia="Times New Roman" w:hAnsi="Times New Roman" w:cs="Times New Roman"/>
          <w:i/>
          <w:iCs/>
          <w:sz w:val="24"/>
          <w:szCs w:val="24"/>
          <w:lang w:eastAsia="en-GB"/>
        </w:rPr>
        <w:t>Sanmuganathan</w:t>
      </w:r>
      <w:proofErr w:type="spellEnd"/>
      <w:r w:rsidRPr="00875933">
        <w:rPr>
          <w:rFonts w:ascii="Times New Roman" w:eastAsia="Times New Roman" w:hAnsi="Times New Roman" w:cs="Times New Roman"/>
          <w:i/>
          <w:iCs/>
          <w:sz w:val="24"/>
          <w:szCs w:val="24"/>
          <w:lang w:eastAsia="en-GB"/>
        </w:rPr>
        <w:t xml:space="preserve"> (1996); </w:t>
      </w:r>
      <w:proofErr w:type="spellStart"/>
      <w:r w:rsidRPr="00875933">
        <w:rPr>
          <w:rFonts w:ascii="Times New Roman" w:eastAsia="Times New Roman" w:hAnsi="Times New Roman" w:cs="Times New Roman"/>
          <w:i/>
          <w:iCs/>
          <w:sz w:val="24"/>
          <w:szCs w:val="24"/>
          <w:lang w:eastAsia="en-GB"/>
        </w:rPr>
        <w:t>Ehelepola</w:t>
      </w:r>
      <w:proofErr w:type="spellEnd"/>
      <w:r w:rsidRPr="00875933">
        <w:rPr>
          <w:rFonts w:ascii="Times New Roman" w:eastAsia="Times New Roman" w:hAnsi="Times New Roman" w:cs="Times New Roman"/>
          <w:i/>
          <w:iCs/>
          <w:sz w:val="24"/>
          <w:szCs w:val="24"/>
          <w:lang w:eastAsia="en-GB"/>
        </w:rPr>
        <w:t xml:space="preserve"> et al. (2018); Charles et al. (2024).</w:t>
      </w:r>
    </w:p>
    <w:p w14:paraId="41EF2851"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The contrast between the top row of Table 4 and the four rows beneath it is, in a sense, the entire toxicological story of this plant in miniature: a controlled rodent study finds nothing of concern at doses well above typical traditional use, while real-world human exposure — uncontrolled in dose, preparation and underlying genetic susceptibility — produces a small but recurring stream of serious clinical events. That gap is returned to in Section 8.</w:t>
      </w:r>
    </w:p>
    <w:p w14:paraId="0EEA90BB"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57BF1F96"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8. Critical Appraisal: Research Gaps and Translational Challenges</w:t>
      </w:r>
    </w:p>
    <w:p w14:paraId="5A2BAC89"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Notwithstanding the considerable breadth of pharmacological activity documented for </w:t>
      </w:r>
      <w:r w:rsidRPr="00875933">
        <w:rPr>
          <w:rFonts w:ascii="Times New Roman" w:eastAsia="Times New Roman" w:hAnsi="Times New Roman" w:cs="Times New Roman"/>
          <w:i/>
          <w:iCs/>
          <w:sz w:val="24"/>
          <w:szCs w:val="24"/>
          <w:lang w:eastAsia="en-GB"/>
        </w:rPr>
        <w:t>A. indica</w:t>
      </w:r>
      <w:r w:rsidRPr="00875933">
        <w:rPr>
          <w:rFonts w:ascii="Times New Roman" w:eastAsia="Times New Roman" w:hAnsi="Times New Roman" w:cs="Times New Roman"/>
          <w:sz w:val="24"/>
          <w:szCs w:val="24"/>
          <w:lang w:eastAsia="en-GB"/>
        </w:rPr>
        <w:t xml:space="preserve">, several recurring methodological and translational weaknesses temper any enthusiasm </w:t>
      </w:r>
      <w:r w:rsidRPr="00875933">
        <w:rPr>
          <w:rFonts w:ascii="Times New Roman" w:eastAsia="Times New Roman" w:hAnsi="Times New Roman" w:cs="Times New Roman"/>
          <w:sz w:val="24"/>
          <w:szCs w:val="24"/>
          <w:lang w:eastAsia="en-GB"/>
        </w:rPr>
        <w:lastRenderedPageBreak/>
        <w:t xml:space="preserve">for its near-term clinical adoption. First, extract characterisation across the literature remains highly inconsistent: studies frequently fail to standardise solvent system, plant part, extraction temperature or duration, geographic provenance, or season of collection, despite the demonstrated sensitivity of cyanogenic glucoside and flavonoid content to precisely these variables. This heterogeneity makes direct comparison of potency between studies, and therefore any meta-analytic synthesis of the evidence base, exceedingly difficult (Zahidin et al., 2017; Seebaluck et al., 2015). Second, the great majority of pharmacological claims rest on in vitro assays or rodent models, with an almost complete absence of controlled human trials; even the most mechanistically detailed studies discussed in Section 4 — the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neuroprotective and anti-inflammatory work, in particular — remain confined to animal or cellular systems, leaving a substantial gap between demonstrated preclinical bioactivity and any defensible claim of clinical efficacy. Third, the dose–response relationships established in animal studies are frequently expressed in terms that resist straightforward extrapolation to human dosing, a limitation made worse by the absence, to date, of any published pharmacokinetic characterisation of the plant's principal bioactive constituents in either animal or human subjects. Fourth, the bibliometric appraisal of the anti-inflammatory literature has explicitly noted that the molecular mechanism behind even the most consistently replicated effects of the plant frequently remains incompletely worked out, with phenomenological assay endpoints such as protein denaturation inhibition standing in for more mechanistically informative, pathway-level investigation in a substantial share of published studies (Sharma, Sharma, Mandal &amp; Dhobi, 2024). Fifth, the genuinely promising but still young nanotechnological and computational literature discussed in Sections 5 and 6, while methodologically sophisticated on its own terms, has yet to be integrated with the conventional pharmacological literature — through, for example, head-to-head comparisons of nanoparticle-formulated versus crude-extract efficacy in the same disease model, or experimental confirmation of the specific computationally nominated lead compounds in cellular or animal systems. Finally, the toxicological literature discussed in Section 7 highlights a tension the field has not yet properly resolved: a plant that controlled </w:t>
      </w:r>
      <w:proofErr w:type="spellStart"/>
      <w:r w:rsidRPr="00875933">
        <w:rPr>
          <w:rFonts w:ascii="Times New Roman" w:eastAsia="Times New Roman" w:hAnsi="Times New Roman" w:cs="Times New Roman"/>
          <w:sz w:val="24"/>
          <w:szCs w:val="24"/>
          <w:lang w:eastAsia="en-GB"/>
        </w:rPr>
        <w:t>subchronic</w:t>
      </w:r>
      <w:proofErr w:type="spellEnd"/>
      <w:r w:rsidRPr="00875933">
        <w:rPr>
          <w:rFonts w:ascii="Times New Roman" w:eastAsia="Times New Roman" w:hAnsi="Times New Roman" w:cs="Times New Roman"/>
          <w:sz w:val="24"/>
          <w:szCs w:val="24"/>
          <w:lang w:eastAsia="en-GB"/>
        </w:rPr>
        <w:t xml:space="preserve"> rodent studies characterise as having a comfortable safety margin, and that clinical case reports simultaneously document as a recurring cause of severe haemolytic and </w:t>
      </w:r>
      <w:proofErr w:type="spellStart"/>
      <w:r w:rsidRPr="00875933">
        <w:rPr>
          <w:rFonts w:ascii="Times New Roman" w:eastAsia="Times New Roman" w:hAnsi="Times New Roman" w:cs="Times New Roman"/>
          <w:sz w:val="24"/>
          <w:szCs w:val="24"/>
          <w:lang w:eastAsia="en-GB"/>
        </w:rPr>
        <w:t>methaemoglobinaemic</w:t>
      </w:r>
      <w:proofErr w:type="spellEnd"/>
      <w:r w:rsidRPr="00875933">
        <w:rPr>
          <w:rFonts w:ascii="Times New Roman" w:eastAsia="Times New Roman" w:hAnsi="Times New Roman" w:cs="Times New Roman"/>
          <w:sz w:val="24"/>
          <w:szCs w:val="24"/>
          <w:lang w:eastAsia="en-GB"/>
        </w:rPr>
        <w:t xml:space="preserve"> crisis in susceptible individuals. Reconciling these two strands of evidence will require explicit characterisation of cyanogenic glucoside content across the specific preparations, doses and consumption practices linked to reported clinical toxicity, together with population-level data on G6PD deficiency prevalence in the regions where traditional consumption of the plant persists.</w:t>
      </w:r>
    </w:p>
    <w:p w14:paraId="5886E4F3"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4A0A2EAB"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9. Conclusions</w:t>
      </w:r>
    </w:p>
    <w:p w14:paraId="03AD41A6" w14:textId="77777777" w:rsidR="00426A47" w:rsidRPr="00875933"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 xml:space="preserve">This review has brought together a substantial and methodologically varied body of evidence indicating that </w:t>
      </w:r>
      <w:r w:rsidRPr="00875933">
        <w:rPr>
          <w:rFonts w:ascii="Times New Roman" w:eastAsia="Times New Roman" w:hAnsi="Times New Roman" w:cs="Times New Roman"/>
          <w:i/>
          <w:iCs/>
          <w:sz w:val="24"/>
          <w:szCs w:val="24"/>
          <w:lang w:eastAsia="en-GB"/>
        </w:rPr>
        <w:t>Acalypha indica</w:t>
      </w:r>
      <w:r w:rsidRPr="00875933">
        <w:rPr>
          <w:rFonts w:ascii="Times New Roman" w:eastAsia="Times New Roman" w:hAnsi="Times New Roman" w:cs="Times New Roman"/>
          <w:sz w:val="24"/>
          <w:szCs w:val="24"/>
          <w:lang w:eastAsia="en-GB"/>
        </w:rPr>
        <w:t xml:space="preserve"> has a biologically plausible, multi-target pharmacological profile, underpinned by a phytochemically distinctive combination of cyanogenic </w:t>
      </w:r>
      <w:proofErr w:type="spellStart"/>
      <w:r w:rsidRPr="00875933">
        <w:rPr>
          <w:rFonts w:ascii="Times New Roman" w:eastAsia="Times New Roman" w:hAnsi="Times New Roman" w:cs="Times New Roman"/>
          <w:sz w:val="24"/>
          <w:szCs w:val="24"/>
          <w:lang w:eastAsia="en-GB"/>
        </w:rPr>
        <w:t>pyridone</w:t>
      </w:r>
      <w:proofErr w:type="spellEnd"/>
      <w:r w:rsidRPr="00875933">
        <w:rPr>
          <w:rFonts w:ascii="Times New Roman" w:eastAsia="Times New Roman" w:hAnsi="Times New Roman" w:cs="Times New Roman"/>
          <w:sz w:val="24"/>
          <w:szCs w:val="24"/>
          <w:lang w:eastAsia="en-GB"/>
        </w:rPr>
        <w:t xml:space="preserve"> glucosides, </w:t>
      </w:r>
      <w:proofErr w:type="spellStart"/>
      <w:r w:rsidRPr="00875933">
        <w:rPr>
          <w:rFonts w:ascii="Times New Roman" w:eastAsia="Times New Roman" w:hAnsi="Times New Roman" w:cs="Times New Roman"/>
          <w:sz w:val="24"/>
          <w:szCs w:val="24"/>
          <w:lang w:eastAsia="en-GB"/>
        </w:rPr>
        <w:t>flavonol</w:t>
      </w:r>
      <w:proofErr w:type="spellEnd"/>
      <w:r w:rsidRPr="00875933">
        <w:rPr>
          <w:rFonts w:ascii="Times New Roman" w:eastAsia="Times New Roman" w:hAnsi="Times New Roman" w:cs="Times New Roman"/>
          <w:sz w:val="24"/>
          <w:szCs w:val="24"/>
          <w:lang w:eastAsia="en-GB"/>
        </w:rPr>
        <w:t xml:space="preserve"> glycosides, tannins, and minor alkaloidal and steroidal constituents. The antioxidant, antimicrobial, anti-inflammatory, antidiabetic, anticancer, wound-healing and </w:t>
      </w:r>
      <w:proofErr w:type="spellStart"/>
      <w:r w:rsidRPr="00875933">
        <w:rPr>
          <w:rFonts w:ascii="Times New Roman" w:eastAsia="Times New Roman" w:hAnsi="Times New Roman" w:cs="Times New Roman"/>
          <w:sz w:val="24"/>
          <w:szCs w:val="24"/>
          <w:lang w:eastAsia="en-GB"/>
        </w:rPr>
        <w:t>antiasthmatic</w:t>
      </w:r>
      <w:proofErr w:type="spellEnd"/>
      <w:r w:rsidRPr="00875933">
        <w:rPr>
          <w:rFonts w:ascii="Times New Roman" w:eastAsia="Times New Roman" w:hAnsi="Times New Roman" w:cs="Times New Roman"/>
          <w:sz w:val="24"/>
          <w:szCs w:val="24"/>
          <w:lang w:eastAsia="en-GB"/>
        </w:rPr>
        <w:t xml:space="preserve"> activities of the plant are each backed by a reasonably consistent, if methodologically uneven, preclinical literature, while newer work on its neuroprotective, antiviral and computationally guided drug-discovery applications suggests an expanding rather than a settling research frontier. The plant's uptake into green nanotechnology platforms further shows how a long-used traditional medicinal species can find fresh </w:t>
      </w:r>
      <w:r w:rsidRPr="00875933">
        <w:rPr>
          <w:rFonts w:ascii="Times New Roman" w:eastAsia="Times New Roman" w:hAnsi="Times New Roman" w:cs="Times New Roman"/>
          <w:sz w:val="24"/>
          <w:szCs w:val="24"/>
          <w:lang w:eastAsia="en-GB"/>
        </w:rPr>
        <w:lastRenderedPageBreak/>
        <w:t xml:space="preserve">relevance within contemporary materials science and sustainable chemistry. At the same time, the persistent clinical record of G6PD-related haemolysis and </w:t>
      </w:r>
      <w:proofErr w:type="spellStart"/>
      <w:r w:rsidRPr="00875933">
        <w:rPr>
          <w:rFonts w:ascii="Times New Roman" w:eastAsia="Times New Roman" w:hAnsi="Times New Roman" w:cs="Times New Roman"/>
          <w:sz w:val="24"/>
          <w:szCs w:val="24"/>
          <w:lang w:eastAsia="en-GB"/>
        </w:rPr>
        <w:t>methaemoglobinaemia</w:t>
      </w:r>
      <w:proofErr w:type="spellEnd"/>
      <w:r w:rsidRPr="00875933">
        <w:rPr>
          <w:rFonts w:ascii="Times New Roman" w:eastAsia="Times New Roman" w:hAnsi="Times New Roman" w:cs="Times New Roman"/>
          <w:sz w:val="24"/>
          <w:szCs w:val="24"/>
          <w:lang w:eastAsia="en-GB"/>
        </w:rPr>
        <w:t xml:space="preserve"> following ingestion of raw or minimally processed plant material serves as a necessary corrective to any uncritical enthusiasm for the species as a harmless herbal remedy: traditional use and pharmacological promise do not, on their own, add up to safety. The path from the current, largely preclinical evidence base towards genuinely translational application will depend on systematic standardisation of extract preparation, deeper mechanistic investigation, the generation of pharmacokinetic data, and, eventually, cautious clinical evaluation designed explicitly to take account of the toxicological concerns set out in the existing case literature.</w:t>
      </w:r>
    </w:p>
    <w:p w14:paraId="28BC2385" w14:textId="77777777" w:rsidR="00426A47" w:rsidRPr="00875933" w:rsidRDefault="00426A47" w:rsidP="00426A47">
      <w:pPr>
        <w:spacing w:after="0" w:line="240" w:lineRule="auto"/>
        <w:rPr>
          <w:rFonts w:ascii="Times New Roman" w:eastAsia="Times New Roman" w:hAnsi="Times New Roman" w:cs="Times New Roman"/>
          <w:sz w:val="24"/>
          <w:szCs w:val="24"/>
          <w:lang w:eastAsia="en-GB"/>
        </w:rPr>
      </w:pPr>
    </w:p>
    <w:p w14:paraId="54AB7138"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t>10. Limitations</w:t>
      </w:r>
    </w:p>
    <w:p w14:paraId="50234B42" w14:textId="77777777" w:rsidR="00426A47" w:rsidRDefault="00426A47" w:rsidP="00426A47">
      <w:pPr>
        <w:spacing w:before="100" w:beforeAutospacing="1" w:after="100" w:afterAutospacing="1" w:line="240" w:lineRule="auto"/>
        <w:rPr>
          <w:rFonts w:ascii="Times New Roman" w:eastAsia="Times New Roman" w:hAnsi="Times New Roman" w:cs="Times New Roman"/>
          <w:sz w:val="24"/>
          <w:szCs w:val="24"/>
          <w:lang w:eastAsia="en-GB"/>
        </w:rPr>
      </w:pPr>
      <w:r w:rsidRPr="00875933">
        <w:rPr>
          <w:rFonts w:ascii="Times New Roman" w:eastAsia="Times New Roman" w:hAnsi="Times New Roman" w:cs="Times New Roman"/>
          <w:sz w:val="24"/>
          <w:szCs w:val="24"/>
          <w:lang w:eastAsia="en-GB"/>
        </w:rPr>
        <w:t>This review is subject to several limitations inherent to its narrative methodology and to the evidence base it draws on. The narrative approach, while well suited to bringing together heterogeneous study types across natural product chemistry, pharmacology, toxicology and computational science, does not allow the quantitative pooling of effect sizes that a systematic review or meta-analysis would offer, and the selection of studies for detailed discussion, although guided by explicit criteria, inevitably involves some interpretive judgement about relative methodological quality and influence. Restricting the search to English-language publications may have excluded relevant findings published in regional languages, particularly given the plant's prominence within South and Southeast Asian traditional medicine systems, where local-language publication remains common. The underlying primary literature is itself dominated by small, single-centre in vitro and rodent studies using heterogeneous extract preparations, dosing regimens and outcome measures — a limitation that constrains the strength of any cross-study inference this review can draw, quite independent of how carefully the review itself was conducted. Finally, because research on this species continues to expand quickly, particularly in the computational and nanotechnological domains, this synthesis necessarily represents a time-bound snapshot of a moving evidence base rather than a settled or final assessment of the plant's therapeutic potential.</w:t>
      </w:r>
    </w:p>
    <w:p w14:paraId="51BFF63E" w14:textId="77777777" w:rsidR="0095282B" w:rsidRPr="000839CE" w:rsidRDefault="0095282B" w:rsidP="0095282B">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C567F4A" w14:textId="77777777" w:rsidR="0095282B" w:rsidRPr="000839CE" w:rsidRDefault="0095282B" w:rsidP="0095282B">
      <w:pPr>
        <w:spacing w:after="0" w:line="240" w:lineRule="auto"/>
        <w:rPr>
          <w:rFonts w:ascii="Times New Roman" w:hAnsi="Times New Roman" w:cs="Times New Roman"/>
        </w:rPr>
      </w:pPr>
    </w:p>
    <w:p w14:paraId="2D5E20C3" w14:textId="77777777" w:rsidR="0095282B" w:rsidRPr="000839CE" w:rsidRDefault="0095282B" w:rsidP="0095282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B9A190E" w14:textId="77777777" w:rsidR="0095282B" w:rsidRPr="00875933" w:rsidRDefault="0095282B" w:rsidP="00426A47">
      <w:pPr>
        <w:spacing w:before="100" w:beforeAutospacing="1" w:after="100" w:afterAutospacing="1" w:line="240" w:lineRule="auto"/>
        <w:rPr>
          <w:rFonts w:ascii="Times New Roman" w:eastAsia="Times New Roman" w:hAnsi="Times New Roman" w:cs="Times New Roman"/>
          <w:sz w:val="24"/>
          <w:szCs w:val="24"/>
          <w:lang w:eastAsia="en-GB"/>
        </w:rPr>
      </w:pPr>
    </w:p>
    <w:p w14:paraId="750AFB9D" w14:textId="77777777" w:rsidR="00426A47" w:rsidRDefault="00426A47" w:rsidP="00426A47">
      <w:pPr>
        <w:spacing w:after="0" w:line="240" w:lineRule="auto"/>
        <w:rPr>
          <w:rFonts w:ascii="Times New Roman" w:eastAsia="Times New Roman" w:hAnsi="Times New Roman" w:cs="Times New Roman"/>
          <w:sz w:val="24"/>
          <w:szCs w:val="24"/>
          <w:lang w:eastAsia="en-GB"/>
        </w:rPr>
      </w:pPr>
    </w:p>
    <w:p w14:paraId="594173A0" w14:textId="77777777" w:rsidR="00521EAD" w:rsidRDefault="00521EAD" w:rsidP="00426A47">
      <w:pPr>
        <w:spacing w:after="0" w:line="240" w:lineRule="auto"/>
        <w:rPr>
          <w:rFonts w:ascii="Times New Roman" w:eastAsia="Times New Roman" w:hAnsi="Times New Roman" w:cs="Times New Roman"/>
          <w:sz w:val="24"/>
          <w:szCs w:val="24"/>
          <w:lang w:eastAsia="en-GB"/>
        </w:rPr>
      </w:pPr>
    </w:p>
    <w:p w14:paraId="25E91C78" w14:textId="77777777" w:rsidR="00521EAD" w:rsidRPr="00875933" w:rsidRDefault="00521EAD" w:rsidP="00426A47">
      <w:pPr>
        <w:spacing w:after="0" w:line="240" w:lineRule="auto"/>
        <w:rPr>
          <w:rFonts w:ascii="Times New Roman" w:eastAsia="Times New Roman" w:hAnsi="Times New Roman" w:cs="Times New Roman"/>
          <w:sz w:val="24"/>
          <w:szCs w:val="24"/>
          <w:lang w:eastAsia="en-GB"/>
        </w:rPr>
      </w:pPr>
    </w:p>
    <w:p w14:paraId="4163B1AB" w14:textId="77777777" w:rsidR="00426A47" w:rsidRPr="00875933" w:rsidRDefault="00426A47" w:rsidP="00426A4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75933">
        <w:rPr>
          <w:rFonts w:ascii="Times New Roman" w:eastAsia="Times New Roman" w:hAnsi="Times New Roman" w:cs="Times New Roman"/>
          <w:b/>
          <w:bCs/>
          <w:sz w:val="27"/>
          <w:szCs w:val="27"/>
          <w:lang w:eastAsia="en-GB"/>
        </w:rPr>
        <w:lastRenderedPageBreak/>
        <w:t>References</w:t>
      </w:r>
    </w:p>
    <w:p w14:paraId="28A3BBD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Al-Mahrami, N., Nair, S. S. K., Al Mawali, A., Shafreen, R.-M. B., Ullah, S., Halim, S. A., Al-Harrasi, A., &amp; Sivakumar, N. (2024). In-silico and in-vitro studies to identify potential inhibitors of SARS-CoV-2 spike protein from Omani medicinal plants. </w:t>
      </w:r>
      <w:r w:rsidRPr="00875933">
        <w:rPr>
          <w:rFonts w:ascii="Times New Roman" w:hAnsi="Times New Roman" w:cs="Times New Roman"/>
          <w:i/>
        </w:rPr>
        <w:t>Heliyon</w:t>
      </w:r>
      <w:r w:rsidRPr="00875933">
        <w:rPr>
          <w:rFonts w:ascii="Times New Roman" w:hAnsi="Times New Roman" w:cs="Times New Roman"/>
        </w:rPr>
        <w:t xml:space="preserve">, </w:t>
      </w:r>
      <w:r w:rsidRPr="00875933">
        <w:rPr>
          <w:rFonts w:ascii="Times New Roman" w:hAnsi="Times New Roman" w:cs="Times New Roman"/>
          <w:i/>
        </w:rPr>
        <w:t>10</w:t>
      </w:r>
      <w:r w:rsidRPr="00875933">
        <w:rPr>
          <w:rFonts w:ascii="Times New Roman" w:hAnsi="Times New Roman" w:cs="Times New Roman"/>
        </w:rPr>
        <w:t xml:space="preserve">(21), Article e39649. </w:t>
      </w:r>
      <w:r w:rsidRPr="00875933">
        <w:rPr>
          <w:rFonts w:ascii="Times New Roman" w:hAnsi="Times New Roman" w:cs="Times New Roman"/>
          <w:color w:val="0563C1"/>
          <w:u w:val="single"/>
        </w:rPr>
        <w:t>https://doi.org/10.1016/j.heliyon.2024.e39649</w:t>
      </w:r>
    </w:p>
    <w:p w14:paraId="2C6B302E"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Charles, J. C., Kiriwandeniya, K. G. K. U., Liyanapathirana, K. V., Gunarathna, R. D. S., Mendis, S., &amp; Liyanarachchi, G. G. (2024). Remedy or tragedy: </w:t>
      </w:r>
      <w:r w:rsidRPr="00875933">
        <w:rPr>
          <w:rFonts w:ascii="Times New Roman" w:hAnsi="Times New Roman" w:cs="Times New Roman"/>
          <w:i/>
        </w:rPr>
        <w:t>Acalypha indica</w:t>
      </w:r>
      <w:r w:rsidRPr="00875933">
        <w:rPr>
          <w:rFonts w:ascii="Times New Roman" w:hAnsi="Times New Roman" w:cs="Times New Roman"/>
        </w:rPr>
        <w:t xml:space="preserve">-induced acute oxidative hemolysis associated with acute kidney injury and infective endocarditis: An initial presentation of G6PD deficiency: A case report. </w:t>
      </w:r>
      <w:r w:rsidRPr="00875933">
        <w:rPr>
          <w:rFonts w:ascii="Times New Roman" w:hAnsi="Times New Roman" w:cs="Times New Roman"/>
          <w:i/>
        </w:rPr>
        <w:t>SAGE Open Medical Case Reports</w:t>
      </w:r>
      <w:r w:rsidRPr="00875933">
        <w:rPr>
          <w:rFonts w:ascii="Times New Roman" w:hAnsi="Times New Roman" w:cs="Times New Roman"/>
        </w:rPr>
        <w:t xml:space="preserve">, </w:t>
      </w:r>
      <w:r w:rsidRPr="00875933">
        <w:rPr>
          <w:rFonts w:ascii="Times New Roman" w:hAnsi="Times New Roman" w:cs="Times New Roman"/>
          <w:i/>
        </w:rPr>
        <w:t>12</w:t>
      </w:r>
      <w:r w:rsidRPr="00875933">
        <w:rPr>
          <w:rFonts w:ascii="Times New Roman" w:hAnsi="Times New Roman" w:cs="Times New Roman"/>
        </w:rPr>
        <w:t xml:space="preserve">, Article 2050313X241266554. </w:t>
      </w:r>
      <w:r w:rsidRPr="00875933">
        <w:rPr>
          <w:rFonts w:ascii="Times New Roman" w:hAnsi="Times New Roman" w:cs="Times New Roman"/>
          <w:color w:val="0563C1"/>
          <w:u w:val="single"/>
        </w:rPr>
        <w:t>https://doi.org/10.1177/2050313X241266554</w:t>
      </w:r>
    </w:p>
    <w:p w14:paraId="27242A3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Chekuri, S., Panjala, S., &amp; Anupalli, R. R. (2017). Cytotoxic activity of </w:t>
      </w:r>
      <w:r w:rsidRPr="00875933">
        <w:rPr>
          <w:rFonts w:ascii="Times New Roman" w:hAnsi="Times New Roman" w:cs="Times New Roman"/>
          <w:i/>
        </w:rPr>
        <w:t>Acalypha indica</w:t>
      </w:r>
      <w:r w:rsidRPr="00875933">
        <w:rPr>
          <w:rFonts w:ascii="Times New Roman" w:hAnsi="Times New Roman" w:cs="Times New Roman"/>
        </w:rPr>
        <w:t xml:space="preserve"> L. hexane extract on breast cancer cell lines (MCF-7). </w:t>
      </w:r>
      <w:r w:rsidRPr="00875933">
        <w:rPr>
          <w:rFonts w:ascii="Times New Roman" w:hAnsi="Times New Roman" w:cs="Times New Roman"/>
          <w:i/>
        </w:rPr>
        <w:t>Journal of Phytopharmacology</w:t>
      </w:r>
      <w:r w:rsidRPr="00875933">
        <w:rPr>
          <w:rFonts w:ascii="Times New Roman" w:hAnsi="Times New Roman" w:cs="Times New Roman"/>
        </w:rPr>
        <w:t xml:space="preserve">, </w:t>
      </w:r>
      <w:r w:rsidRPr="00875933">
        <w:rPr>
          <w:rFonts w:ascii="Times New Roman" w:hAnsi="Times New Roman" w:cs="Times New Roman"/>
          <w:i/>
        </w:rPr>
        <w:t>6</w:t>
      </w:r>
      <w:r w:rsidRPr="00875933">
        <w:rPr>
          <w:rFonts w:ascii="Times New Roman" w:hAnsi="Times New Roman" w:cs="Times New Roman"/>
        </w:rPr>
        <w:t xml:space="preserve">(5), 264–268. </w:t>
      </w:r>
      <w:r w:rsidRPr="00875933">
        <w:rPr>
          <w:rFonts w:ascii="Times New Roman" w:hAnsi="Times New Roman" w:cs="Times New Roman"/>
          <w:color w:val="0563C1"/>
          <w:u w:val="single"/>
        </w:rPr>
        <w:t>https://doi.org/10.31254/phyto.2017.6502</w:t>
      </w:r>
    </w:p>
    <w:p w14:paraId="3173F06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Edwin, M. A., Velmurugan, R., &amp; Patel, S. (2025). In silico evaluation of </w:t>
      </w:r>
      <w:r w:rsidRPr="00875933">
        <w:rPr>
          <w:rFonts w:ascii="Times New Roman" w:hAnsi="Times New Roman" w:cs="Times New Roman"/>
          <w:i/>
        </w:rPr>
        <w:t>Acalypha indica</w:t>
      </w:r>
      <w:r w:rsidRPr="00875933">
        <w:rPr>
          <w:rFonts w:ascii="Times New Roman" w:hAnsi="Times New Roman" w:cs="Times New Roman"/>
        </w:rPr>
        <w:t xml:space="preserve"> phytochemicals as potential antifungal agents targeting </w:t>
      </w:r>
      <w:r w:rsidRPr="00875933">
        <w:rPr>
          <w:rFonts w:ascii="Times New Roman" w:hAnsi="Times New Roman" w:cs="Times New Roman"/>
          <w:i/>
        </w:rPr>
        <w:t>Saccharomyces cerevisiae</w:t>
      </w:r>
      <w:r w:rsidRPr="00875933">
        <w:rPr>
          <w:rFonts w:ascii="Times New Roman" w:hAnsi="Times New Roman" w:cs="Times New Roman"/>
        </w:rPr>
        <w:t xml:space="preserve"> lanosterol 14-alpha demethylase. </w:t>
      </w:r>
      <w:r w:rsidRPr="00875933">
        <w:rPr>
          <w:rFonts w:ascii="Times New Roman" w:hAnsi="Times New Roman" w:cs="Times New Roman"/>
          <w:i/>
        </w:rPr>
        <w:t>Cell Biochemistry and Biophysics</w:t>
      </w:r>
      <w:r w:rsidRPr="00875933">
        <w:rPr>
          <w:rFonts w:ascii="Times New Roman" w:hAnsi="Times New Roman" w:cs="Times New Roman"/>
        </w:rPr>
        <w:t xml:space="preserve">, </w:t>
      </w:r>
      <w:r w:rsidRPr="00875933">
        <w:rPr>
          <w:rFonts w:ascii="Times New Roman" w:hAnsi="Times New Roman" w:cs="Times New Roman"/>
          <w:i/>
        </w:rPr>
        <w:t>83</w:t>
      </w:r>
      <w:r w:rsidRPr="00875933">
        <w:rPr>
          <w:rFonts w:ascii="Times New Roman" w:hAnsi="Times New Roman" w:cs="Times New Roman"/>
        </w:rPr>
        <w:t xml:space="preserve">, 5197–5215. </w:t>
      </w:r>
      <w:r w:rsidRPr="00875933">
        <w:rPr>
          <w:rFonts w:ascii="Times New Roman" w:hAnsi="Times New Roman" w:cs="Times New Roman"/>
          <w:color w:val="0563C1"/>
          <w:u w:val="single"/>
        </w:rPr>
        <w:t>https://doi.org/10.1007/s12013-025-01836-w</w:t>
      </w:r>
    </w:p>
    <w:p w14:paraId="47DA34EC"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Ehelepola, N. D. B., Abayagunawardana, A. N., &amp; Sudusinghe, T. N. (2018). A vegetable-induced hemolytic crisis in a G6PD deficient person: A case report. </w:t>
      </w:r>
      <w:r w:rsidRPr="00875933">
        <w:rPr>
          <w:rFonts w:ascii="Times New Roman" w:hAnsi="Times New Roman" w:cs="Times New Roman"/>
          <w:i/>
        </w:rPr>
        <w:t>BMC Research Notes</w:t>
      </w:r>
      <w:r w:rsidRPr="00875933">
        <w:rPr>
          <w:rFonts w:ascii="Times New Roman" w:hAnsi="Times New Roman" w:cs="Times New Roman"/>
        </w:rPr>
        <w:t xml:space="preserve">, </w:t>
      </w:r>
      <w:r w:rsidRPr="00875933">
        <w:rPr>
          <w:rFonts w:ascii="Times New Roman" w:hAnsi="Times New Roman" w:cs="Times New Roman"/>
          <w:i/>
        </w:rPr>
        <w:t>11</w:t>
      </w:r>
      <w:r w:rsidRPr="00875933">
        <w:rPr>
          <w:rFonts w:ascii="Times New Roman" w:hAnsi="Times New Roman" w:cs="Times New Roman"/>
        </w:rPr>
        <w:t xml:space="preserve">(1), Article 179. </w:t>
      </w:r>
      <w:r w:rsidRPr="00875933">
        <w:rPr>
          <w:rFonts w:ascii="Times New Roman" w:hAnsi="Times New Roman" w:cs="Times New Roman"/>
          <w:color w:val="0563C1"/>
          <w:u w:val="single"/>
        </w:rPr>
        <w:t>https://doi.org/10.1186/s13104-018-3286-9</w:t>
      </w:r>
    </w:p>
    <w:p w14:paraId="192D2099"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Febrina, E., Alamhari, R. K., Abdulah, R., Lestari, K., Levita, J., &amp; Supratman, U. (2021). Molecular docking and molecular dynamics studies of </w:t>
      </w:r>
      <w:r w:rsidRPr="00875933">
        <w:rPr>
          <w:rFonts w:ascii="Times New Roman" w:hAnsi="Times New Roman" w:cs="Times New Roman"/>
          <w:i/>
        </w:rPr>
        <w:t>Acalypha indica</w:t>
      </w:r>
      <w:r w:rsidRPr="00875933">
        <w:rPr>
          <w:rFonts w:ascii="Times New Roman" w:hAnsi="Times New Roman" w:cs="Times New Roman"/>
        </w:rPr>
        <w:t xml:space="preserve"> L. phytochemical constituents with caspase-3. </w:t>
      </w:r>
      <w:r w:rsidRPr="00875933">
        <w:rPr>
          <w:rFonts w:ascii="Times New Roman" w:hAnsi="Times New Roman" w:cs="Times New Roman"/>
          <w:i/>
        </w:rPr>
        <w:t>International Journal of Applied Pharmaceutics</w:t>
      </w:r>
      <w:r w:rsidRPr="00875933">
        <w:rPr>
          <w:rFonts w:ascii="Times New Roman" w:hAnsi="Times New Roman" w:cs="Times New Roman"/>
        </w:rPr>
        <w:t xml:space="preserve">, </w:t>
      </w:r>
      <w:r w:rsidRPr="00875933">
        <w:rPr>
          <w:rFonts w:ascii="Times New Roman" w:hAnsi="Times New Roman" w:cs="Times New Roman"/>
          <w:i/>
        </w:rPr>
        <w:t>13</w:t>
      </w:r>
      <w:r w:rsidRPr="00875933">
        <w:rPr>
          <w:rFonts w:ascii="Times New Roman" w:hAnsi="Times New Roman" w:cs="Times New Roman"/>
        </w:rPr>
        <w:t xml:space="preserve">(Special Issue 4), 210–215. </w:t>
      </w:r>
      <w:r w:rsidRPr="00875933">
        <w:rPr>
          <w:rFonts w:ascii="Times New Roman" w:hAnsi="Times New Roman" w:cs="Times New Roman"/>
          <w:color w:val="0563C1"/>
          <w:u w:val="single"/>
        </w:rPr>
        <w:t>https://doi.org/10.22159/ijap.2021.v13s4.43861</w:t>
      </w:r>
    </w:p>
    <w:p w14:paraId="73483F6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Febrina, E., Asnawi, A., Abdulah, R., Lestari, K., &amp; Supratman, U. (2022). Identification of flavonoids from </w:t>
      </w:r>
      <w:r w:rsidRPr="00875933">
        <w:rPr>
          <w:rFonts w:ascii="Times New Roman" w:hAnsi="Times New Roman" w:cs="Times New Roman"/>
          <w:i/>
        </w:rPr>
        <w:t>Acalypha indica</w:t>
      </w:r>
      <w:r w:rsidRPr="00875933">
        <w:rPr>
          <w:rFonts w:ascii="Times New Roman" w:hAnsi="Times New Roman" w:cs="Times New Roman"/>
        </w:rPr>
        <w:t xml:space="preserve"> L. (Euphorbiaceae) as caspase-3 activators using molecular docking and molecular dynamics. </w:t>
      </w:r>
      <w:r w:rsidRPr="00875933">
        <w:rPr>
          <w:rFonts w:ascii="Times New Roman" w:hAnsi="Times New Roman" w:cs="Times New Roman"/>
          <w:i/>
        </w:rPr>
        <w:t>International Journal of Applied Pharmaceutics</w:t>
      </w:r>
      <w:r w:rsidRPr="00875933">
        <w:rPr>
          <w:rFonts w:ascii="Times New Roman" w:hAnsi="Times New Roman" w:cs="Times New Roman"/>
        </w:rPr>
        <w:t xml:space="preserve">, </w:t>
      </w:r>
      <w:r w:rsidRPr="00875933">
        <w:rPr>
          <w:rFonts w:ascii="Times New Roman" w:hAnsi="Times New Roman" w:cs="Times New Roman"/>
          <w:i/>
        </w:rPr>
        <w:t>14</w:t>
      </w:r>
      <w:r w:rsidRPr="00875933">
        <w:rPr>
          <w:rFonts w:ascii="Times New Roman" w:hAnsi="Times New Roman" w:cs="Times New Roman"/>
        </w:rPr>
        <w:t xml:space="preserve">(Special Issue 5), 162–166. </w:t>
      </w:r>
      <w:r w:rsidRPr="00875933">
        <w:rPr>
          <w:rFonts w:ascii="Times New Roman" w:hAnsi="Times New Roman" w:cs="Times New Roman"/>
          <w:color w:val="0563C1"/>
          <w:u w:val="single"/>
        </w:rPr>
        <w:t>https://doi.org/10.22159/ijap.2022.v14s5.34</w:t>
      </w:r>
    </w:p>
    <w:p w14:paraId="35B570F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Ganeshkumar, M., Ponrasu, T., Krithika, R., Iyappan, K., Gayathri, V. S., &amp; Suguna, L. (2012). Topical application of </w:t>
      </w:r>
      <w:r w:rsidRPr="00875933">
        <w:rPr>
          <w:rFonts w:ascii="Times New Roman" w:hAnsi="Times New Roman" w:cs="Times New Roman"/>
          <w:i/>
        </w:rPr>
        <w:t>Acalypha indica</w:t>
      </w:r>
      <w:r w:rsidRPr="00875933">
        <w:rPr>
          <w:rFonts w:ascii="Times New Roman" w:hAnsi="Times New Roman" w:cs="Times New Roman"/>
        </w:rPr>
        <w:t xml:space="preserve"> accelerates rat cutaneous wound healing by up-regulating the expression of type I and III collagen.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142</w:t>
      </w:r>
      <w:r w:rsidRPr="00875933">
        <w:rPr>
          <w:rFonts w:ascii="Times New Roman" w:hAnsi="Times New Roman" w:cs="Times New Roman"/>
        </w:rPr>
        <w:t xml:space="preserve">(1), 14–22. </w:t>
      </w:r>
      <w:r w:rsidRPr="00875933">
        <w:rPr>
          <w:rFonts w:ascii="Times New Roman" w:hAnsi="Times New Roman" w:cs="Times New Roman"/>
          <w:color w:val="0563C1"/>
          <w:u w:val="single"/>
        </w:rPr>
        <w:t>https://doi.org/10.1016/j.jep.2012.04.005</w:t>
      </w:r>
    </w:p>
    <w:p w14:paraId="0CBB9B0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Govindarajan, M., Jebanesan, A., Pushpanathan, T., &amp; Samidurai, K. (2008). Studies on effect of </w:t>
      </w:r>
      <w:r w:rsidRPr="00875933">
        <w:rPr>
          <w:rFonts w:ascii="Times New Roman" w:hAnsi="Times New Roman" w:cs="Times New Roman"/>
          <w:i/>
        </w:rPr>
        <w:t>Acalypha indica</w:t>
      </w:r>
      <w:r w:rsidRPr="00875933">
        <w:rPr>
          <w:rFonts w:ascii="Times New Roman" w:hAnsi="Times New Roman" w:cs="Times New Roman"/>
        </w:rPr>
        <w:t xml:space="preserve"> L. (Euphorbiaceae) leaf extracts on the malarial vector, </w:t>
      </w:r>
      <w:r w:rsidRPr="00875933">
        <w:rPr>
          <w:rFonts w:ascii="Times New Roman" w:hAnsi="Times New Roman" w:cs="Times New Roman"/>
          <w:i/>
        </w:rPr>
        <w:t>Anopheles stephensi</w:t>
      </w:r>
      <w:r w:rsidRPr="00875933">
        <w:rPr>
          <w:rFonts w:ascii="Times New Roman" w:hAnsi="Times New Roman" w:cs="Times New Roman"/>
        </w:rPr>
        <w:t xml:space="preserve"> Liston (Diptera: Culicidae). </w:t>
      </w:r>
      <w:r w:rsidRPr="00875933">
        <w:rPr>
          <w:rFonts w:ascii="Times New Roman" w:hAnsi="Times New Roman" w:cs="Times New Roman"/>
          <w:i/>
        </w:rPr>
        <w:t>Parasitology Research</w:t>
      </w:r>
      <w:r w:rsidRPr="00875933">
        <w:rPr>
          <w:rFonts w:ascii="Times New Roman" w:hAnsi="Times New Roman" w:cs="Times New Roman"/>
        </w:rPr>
        <w:t xml:space="preserve">, </w:t>
      </w:r>
      <w:r w:rsidRPr="00875933">
        <w:rPr>
          <w:rFonts w:ascii="Times New Roman" w:hAnsi="Times New Roman" w:cs="Times New Roman"/>
          <w:i/>
        </w:rPr>
        <w:t>103</w:t>
      </w:r>
      <w:r w:rsidRPr="00875933">
        <w:rPr>
          <w:rFonts w:ascii="Times New Roman" w:hAnsi="Times New Roman" w:cs="Times New Roman"/>
        </w:rPr>
        <w:t xml:space="preserve">(3), 691–695. </w:t>
      </w:r>
      <w:r w:rsidRPr="00875933">
        <w:rPr>
          <w:rFonts w:ascii="Times New Roman" w:hAnsi="Times New Roman" w:cs="Times New Roman"/>
          <w:color w:val="0563C1"/>
          <w:u w:val="single"/>
        </w:rPr>
        <w:t>https://doi.org/10.1007/s00436-008-1032-2</w:t>
      </w:r>
    </w:p>
    <w:p w14:paraId="1438546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Guillén-Meléndez, G. A., Villa-Cedillo, S. A., Pérez-Hernández, R. A., Castillo-Velázquez, U., Salas-Treviño, D., Saucedo-Cárdenas, O., Montes-de-Oca-Luna, R., Gómez-Tristán, C. A., Garza-Arredondo, A. J., &amp; Zamora-Ávila, D. E. (2021). Cytotoxic effect in vitro of </w:t>
      </w:r>
      <w:r w:rsidRPr="00875933">
        <w:rPr>
          <w:rFonts w:ascii="Times New Roman" w:hAnsi="Times New Roman" w:cs="Times New Roman"/>
          <w:i/>
        </w:rPr>
        <w:t>Acalypha monostachya</w:t>
      </w:r>
      <w:r w:rsidRPr="00875933">
        <w:rPr>
          <w:rFonts w:ascii="Times New Roman" w:hAnsi="Times New Roman" w:cs="Times New Roman"/>
        </w:rPr>
        <w:t xml:space="preserve"> extracts over human tumor cell lines. </w:t>
      </w:r>
      <w:r w:rsidRPr="00875933">
        <w:rPr>
          <w:rFonts w:ascii="Times New Roman" w:hAnsi="Times New Roman" w:cs="Times New Roman"/>
          <w:i/>
        </w:rPr>
        <w:t>Plants</w:t>
      </w:r>
      <w:r w:rsidRPr="00875933">
        <w:rPr>
          <w:rFonts w:ascii="Times New Roman" w:hAnsi="Times New Roman" w:cs="Times New Roman"/>
        </w:rPr>
        <w:t xml:space="preserve">, </w:t>
      </w:r>
      <w:r w:rsidRPr="00875933">
        <w:rPr>
          <w:rFonts w:ascii="Times New Roman" w:hAnsi="Times New Roman" w:cs="Times New Roman"/>
          <w:i/>
        </w:rPr>
        <w:t>10</w:t>
      </w:r>
      <w:r w:rsidRPr="00875933">
        <w:rPr>
          <w:rFonts w:ascii="Times New Roman" w:hAnsi="Times New Roman" w:cs="Times New Roman"/>
        </w:rPr>
        <w:t xml:space="preserve">(11), Article 2326. </w:t>
      </w:r>
      <w:r w:rsidRPr="00875933">
        <w:rPr>
          <w:rFonts w:ascii="Times New Roman" w:hAnsi="Times New Roman" w:cs="Times New Roman"/>
          <w:color w:val="0563C1"/>
          <w:u w:val="single"/>
        </w:rPr>
        <w:t>https://doi.org/10.3390/plants10112326</w:t>
      </w:r>
    </w:p>
    <w:p w14:paraId="500BF2D3"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lastRenderedPageBreak/>
        <w:t xml:space="preserve">Hazali, N., Mohd Nazri, N. N., Ibrahim, M., &amp; Masri, M. (2016). Subchronic toxicity of Malaysian </w:t>
      </w:r>
      <w:r w:rsidRPr="00875933">
        <w:rPr>
          <w:rFonts w:ascii="Times New Roman" w:hAnsi="Times New Roman" w:cs="Times New Roman"/>
          <w:i/>
        </w:rPr>
        <w:t>Acalypha indica</w:t>
      </w:r>
      <w:r w:rsidRPr="00875933">
        <w:rPr>
          <w:rFonts w:ascii="Times New Roman" w:hAnsi="Times New Roman" w:cs="Times New Roman"/>
        </w:rPr>
        <w:t xml:space="preserve">: Biochemistry and haematology analysis of rat. </w:t>
      </w:r>
      <w:r w:rsidRPr="00875933">
        <w:rPr>
          <w:rFonts w:ascii="Times New Roman" w:hAnsi="Times New Roman" w:cs="Times New Roman"/>
          <w:i/>
        </w:rPr>
        <w:t>Jurnal Teknologi</w:t>
      </w:r>
      <w:r w:rsidRPr="00875933">
        <w:rPr>
          <w:rFonts w:ascii="Times New Roman" w:hAnsi="Times New Roman" w:cs="Times New Roman"/>
        </w:rPr>
        <w:t xml:space="preserve">, </w:t>
      </w:r>
      <w:r w:rsidRPr="00875933">
        <w:rPr>
          <w:rFonts w:ascii="Times New Roman" w:hAnsi="Times New Roman" w:cs="Times New Roman"/>
          <w:i/>
        </w:rPr>
        <w:t>78</w:t>
      </w:r>
      <w:r w:rsidRPr="00875933">
        <w:rPr>
          <w:rFonts w:ascii="Times New Roman" w:hAnsi="Times New Roman" w:cs="Times New Roman"/>
        </w:rPr>
        <w:t xml:space="preserve">(5-5), 21–26. </w:t>
      </w:r>
      <w:r w:rsidRPr="00875933">
        <w:rPr>
          <w:rFonts w:ascii="Times New Roman" w:hAnsi="Times New Roman" w:cs="Times New Roman"/>
          <w:color w:val="0563C1"/>
          <w:u w:val="single"/>
        </w:rPr>
        <w:t>https://doi.org/10.11113/jt.v78.8570</w:t>
      </w:r>
    </w:p>
    <w:p w14:paraId="756F73F2"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Hungeling, M., Lechtenberg, M., Fronczek, F. R., &amp; Nahrstedt, A. (2009). Cyanogenic and non-cyanogenic pyridone glucosides from </w:t>
      </w:r>
      <w:r w:rsidRPr="00875933">
        <w:rPr>
          <w:rFonts w:ascii="Times New Roman" w:hAnsi="Times New Roman" w:cs="Times New Roman"/>
          <w:i/>
        </w:rPr>
        <w:t>Acalypha indica</w:t>
      </w:r>
      <w:r w:rsidRPr="00875933">
        <w:rPr>
          <w:rFonts w:ascii="Times New Roman" w:hAnsi="Times New Roman" w:cs="Times New Roman"/>
        </w:rPr>
        <w:t xml:space="preserve"> (Euphorbiaceae). </w:t>
      </w:r>
      <w:r w:rsidRPr="00875933">
        <w:rPr>
          <w:rFonts w:ascii="Times New Roman" w:hAnsi="Times New Roman" w:cs="Times New Roman"/>
          <w:i/>
        </w:rPr>
        <w:t>Phytochemistry</w:t>
      </w:r>
      <w:r w:rsidRPr="00875933">
        <w:rPr>
          <w:rFonts w:ascii="Times New Roman" w:hAnsi="Times New Roman" w:cs="Times New Roman"/>
        </w:rPr>
        <w:t xml:space="preserve">, </w:t>
      </w:r>
      <w:r w:rsidRPr="00875933">
        <w:rPr>
          <w:rFonts w:ascii="Times New Roman" w:hAnsi="Times New Roman" w:cs="Times New Roman"/>
          <w:i/>
        </w:rPr>
        <w:t>70</w:t>
      </w:r>
      <w:r w:rsidRPr="00875933">
        <w:rPr>
          <w:rFonts w:ascii="Times New Roman" w:hAnsi="Times New Roman" w:cs="Times New Roman"/>
        </w:rPr>
        <w:t xml:space="preserve">(2), 270–277. </w:t>
      </w:r>
      <w:r w:rsidRPr="00875933">
        <w:rPr>
          <w:rFonts w:ascii="Times New Roman" w:hAnsi="Times New Roman" w:cs="Times New Roman"/>
          <w:color w:val="0563C1"/>
          <w:u w:val="single"/>
        </w:rPr>
        <w:t>https://doi.org/10.1016/j.phytochem.2008.12.011</w:t>
      </w:r>
    </w:p>
    <w:p w14:paraId="4FC00F50"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Ibrahim, A. M., Hamid, M. A., Althiab, R. A., Mohd Shariff, A. H., &amp; Zulkifli, R. M. (2021). In vitro fibroblasts viability and migration stimulation of </w:t>
      </w:r>
      <w:r w:rsidRPr="00875933">
        <w:rPr>
          <w:rFonts w:ascii="Times New Roman" w:hAnsi="Times New Roman" w:cs="Times New Roman"/>
          <w:i/>
        </w:rPr>
        <w:t>Acalypha indica</w:t>
      </w:r>
      <w:r w:rsidRPr="00875933">
        <w:rPr>
          <w:rFonts w:ascii="Times New Roman" w:hAnsi="Times New Roman" w:cs="Times New Roman"/>
        </w:rPr>
        <w:t xml:space="preserve">: An insight on wound healing activity. </w:t>
      </w:r>
      <w:r w:rsidRPr="00875933">
        <w:rPr>
          <w:rFonts w:ascii="Times New Roman" w:hAnsi="Times New Roman" w:cs="Times New Roman"/>
          <w:i/>
        </w:rPr>
        <w:t>Future Journal of Pharmaceutical Sciences</w:t>
      </w:r>
      <w:r w:rsidRPr="00875933">
        <w:rPr>
          <w:rFonts w:ascii="Times New Roman" w:hAnsi="Times New Roman" w:cs="Times New Roman"/>
        </w:rPr>
        <w:t xml:space="preserve">, </w:t>
      </w:r>
      <w:r w:rsidRPr="00875933">
        <w:rPr>
          <w:rFonts w:ascii="Times New Roman" w:hAnsi="Times New Roman" w:cs="Times New Roman"/>
          <w:i/>
        </w:rPr>
        <w:t>7</w:t>
      </w:r>
      <w:r w:rsidRPr="00875933">
        <w:rPr>
          <w:rFonts w:ascii="Times New Roman" w:hAnsi="Times New Roman" w:cs="Times New Roman"/>
        </w:rPr>
        <w:t xml:space="preserve">, Article 167. </w:t>
      </w:r>
      <w:r w:rsidRPr="00875933">
        <w:rPr>
          <w:rFonts w:ascii="Times New Roman" w:hAnsi="Times New Roman" w:cs="Times New Roman"/>
          <w:color w:val="0563C1"/>
          <w:u w:val="single"/>
        </w:rPr>
        <w:t>https://doi.org/10.1186/s43094-021-00333-0</w:t>
      </w:r>
    </w:p>
    <w:p w14:paraId="1618486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Jiménez-González, V., Kowalczyk, T., Piekarski, J., Szemraj, J., Rijo, P., &amp; Sitarek, P. (2024). Nature's green potential: Anticancer properties of plants of the Euphorbiaceae family. </w:t>
      </w:r>
      <w:r w:rsidRPr="00875933">
        <w:rPr>
          <w:rFonts w:ascii="Times New Roman" w:hAnsi="Times New Roman" w:cs="Times New Roman"/>
          <w:i/>
        </w:rPr>
        <w:t>Cancers</w:t>
      </w:r>
      <w:r w:rsidRPr="00875933">
        <w:rPr>
          <w:rFonts w:ascii="Times New Roman" w:hAnsi="Times New Roman" w:cs="Times New Roman"/>
        </w:rPr>
        <w:t xml:space="preserve">, </w:t>
      </w:r>
      <w:r w:rsidRPr="00875933">
        <w:rPr>
          <w:rFonts w:ascii="Times New Roman" w:hAnsi="Times New Roman" w:cs="Times New Roman"/>
          <w:i/>
        </w:rPr>
        <w:t>16</w:t>
      </w:r>
      <w:r w:rsidRPr="00875933">
        <w:rPr>
          <w:rFonts w:ascii="Times New Roman" w:hAnsi="Times New Roman" w:cs="Times New Roman"/>
        </w:rPr>
        <w:t xml:space="preserve">(1), Article 114. </w:t>
      </w:r>
      <w:r w:rsidRPr="00875933">
        <w:rPr>
          <w:rFonts w:ascii="Times New Roman" w:hAnsi="Times New Roman" w:cs="Times New Roman"/>
          <w:color w:val="0563C1"/>
          <w:u w:val="single"/>
        </w:rPr>
        <w:t>https://doi.org/10.3390/cancers16010114</w:t>
      </w:r>
    </w:p>
    <w:p w14:paraId="3C9E772D"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Johari, N. A., Hoo, W. Q., Lo, L. T. H., Idris, M. K. H., Amran, S. I., Ab Latif, N., &amp; Jemon, K. (2024). In vitro and in silico evaluation of </w:t>
      </w:r>
      <w:r w:rsidRPr="00875933">
        <w:rPr>
          <w:rFonts w:ascii="Times New Roman" w:hAnsi="Times New Roman" w:cs="Times New Roman"/>
          <w:i/>
        </w:rPr>
        <w:t>Acalypha indica</w:t>
      </w:r>
      <w:r w:rsidRPr="00875933">
        <w:rPr>
          <w:rFonts w:ascii="Times New Roman" w:hAnsi="Times New Roman" w:cs="Times New Roman"/>
        </w:rPr>
        <w:t xml:space="preserve"> ethanolic extract on lipid metabolism-related protein expression on breast cancer cells. </w:t>
      </w:r>
      <w:r w:rsidRPr="00875933">
        <w:rPr>
          <w:rFonts w:ascii="Times New Roman" w:hAnsi="Times New Roman" w:cs="Times New Roman"/>
          <w:i/>
        </w:rPr>
        <w:t>Journal of Materials in Life Sciences</w:t>
      </w:r>
      <w:r w:rsidRPr="00875933">
        <w:rPr>
          <w:rFonts w:ascii="Times New Roman" w:hAnsi="Times New Roman" w:cs="Times New Roman"/>
        </w:rPr>
        <w:t xml:space="preserve">, </w:t>
      </w:r>
      <w:r w:rsidRPr="00875933">
        <w:rPr>
          <w:rFonts w:ascii="Times New Roman" w:hAnsi="Times New Roman" w:cs="Times New Roman"/>
          <w:i/>
        </w:rPr>
        <w:t>3</w:t>
      </w:r>
      <w:r w:rsidRPr="00875933">
        <w:rPr>
          <w:rFonts w:ascii="Times New Roman" w:hAnsi="Times New Roman" w:cs="Times New Roman"/>
        </w:rPr>
        <w:t xml:space="preserve">(2), 8–19. </w:t>
      </w:r>
      <w:r w:rsidRPr="00875933">
        <w:rPr>
          <w:rFonts w:ascii="Times New Roman" w:hAnsi="Times New Roman" w:cs="Times New Roman"/>
          <w:color w:val="0563C1"/>
          <w:u w:val="single"/>
        </w:rPr>
        <w:t>https://doi.org/10.11113/jomalisc.v3.74</w:t>
      </w:r>
    </w:p>
    <w:p w14:paraId="264ED86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Karthik, S., Suriyaprabha, R., Vinoth, M., Srither, S. R., Manivasakan, P., Rajendran, V., &amp; Valiyaveettil, S. (2017). Larvicidal, super hydrophobic and antibacterial properties of herbal nanoparticles from </w:t>
      </w:r>
      <w:r w:rsidRPr="00875933">
        <w:rPr>
          <w:rFonts w:ascii="Times New Roman" w:hAnsi="Times New Roman" w:cs="Times New Roman"/>
          <w:i/>
        </w:rPr>
        <w:t>Acalypha indica</w:t>
      </w:r>
      <w:r w:rsidRPr="00875933">
        <w:rPr>
          <w:rFonts w:ascii="Times New Roman" w:hAnsi="Times New Roman" w:cs="Times New Roman"/>
        </w:rPr>
        <w:t xml:space="preserve"> for biomedical applications. </w:t>
      </w:r>
      <w:r w:rsidRPr="00875933">
        <w:rPr>
          <w:rFonts w:ascii="Times New Roman" w:hAnsi="Times New Roman" w:cs="Times New Roman"/>
          <w:i/>
        </w:rPr>
        <w:t>RSC Advances</w:t>
      </w:r>
      <w:r w:rsidRPr="00875933">
        <w:rPr>
          <w:rFonts w:ascii="Times New Roman" w:hAnsi="Times New Roman" w:cs="Times New Roman"/>
        </w:rPr>
        <w:t xml:space="preserve">, </w:t>
      </w:r>
      <w:r w:rsidRPr="00875933">
        <w:rPr>
          <w:rFonts w:ascii="Times New Roman" w:hAnsi="Times New Roman" w:cs="Times New Roman"/>
          <w:i/>
        </w:rPr>
        <w:t>7</w:t>
      </w:r>
      <w:r w:rsidRPr="00875933">
        <w:rPr>
          <w:rFonts w:ascii="Times New Roman" w:hAnsi="Times New Roman" w:cs="Times New Roman"/>
        </w:rPr>
        <w:t xml:space="preserve">, 41763–41770. </w:t>
      </w:r>
      <w:r w:rsidRPr="00875933">
        <w:rPr>
          <w:rFonts w:ascii="Times New Roman" w:hAnsi="Times New Roman" w:cs="Times New Roman"/>
          <w:color w:val="0563C1"/>
          <w:u w:val="single"/>
        </w:rPr>
        <w:t>https://doi.org/10.1039/C7RA05697D</w:t>
      </w:r>
    </w:p>
    <w:p w14:paraId="39D1E10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Krishnaraj, C., Jagan, E. G., Rajasekar, S., Selvakumar, P., Kalaichelvan, P. T., &amp; Mohan, N. (2010). Synthesis of silver nanoparticles using </w:t>
      </w:r>
      <w:r w:rsidRPr="00875933">
        <w:rPr>
          <w:rFonts w:ascii="Times New Roman" w:hAnsi="Times New Roman" w:cs="Times New Roman"/>
          <w:i/>
        </w:rPr>
        <w:t>Acalypha indica</w:t>
      </w:r>
      <w:r w:rsidRPr="00875933">
        <w:rPr>
          <w:rFonts w:ascii="Times New Roman" w:hAnsi="Times New Roman" w:cs="Times New Roman"/>
        </w:rPr>
        <w:t xml:space="preserve"> leaf extracts and its antibacterial activity against water borne pathogens. </w:t>
      </w:r>
      <w:r w:rsidRPr="00875933">
        <w:rPr>
          <w:rFonts w:ascii="Times New Roman" w:hAnsi="Times New Roman" w:cs="Times New Roman"/>
          <w:i/>
        </w:rPr>
        <w:t>Colloids and Surfaces B: Biointerfaces</w:t>
      </w:r>
      <w:r w:rsidRPr="00875933">
        <w:rPr>
          <w:rFonts w:ascii="Times New Roman" w:hAnsi="Times New Roman" w:cs="Times New Roman"/>
        </w:rPr>
        <w:t xml:space="preserve">, </w:t>
      </w:r>
      <w:r w:rsidRPr="00875933">
        <w:rPr>
          <w:rFonts w:ascii="Times New Roman" w:hAnsi="Times New Roman" w:cs="Times New Roman"/>
          <w:i/>
        </w:rPr>
        <w:t>76</w:t>
      </w:r>
      <w:r w:rsidRPr="00875933">
        <w:rPr>
          <w:rFonts w:ascii="Times New Roman" w:hAnsi="Times New Roman" w:cs="Times New Roman"/>
        </w:rPr>
        <w:t xml:space="preserve">(1), 50–56. </w:t>
      </w:r>
      <w:r w:rsidRPr="00875933">
        <w:rPr>
          <w:rFonts w:ascii="Times New Roman" w:hAnsi="Times New Roman" w:cs="Times New Roman"/>
          <w:color w:val="0563C1"/>
          <w:u w:val="single"/>
        </w:rPr>
        <w:t>https://doi.org/10.1016/j.colsurfb.2009.10.008</w:t>
      </w:r>
    </w:p>
    <w:p w14:paraId="43B3C1E8"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Nahrstedt, A., Hungeling, M., &amp; Petereit, F. (2006). Flavonoids from </w:t>
      </w:r>
      <w:r w:rsidRPr="00875933">
        <w:rPr>
          <w:rFonts w:ascii="Times New Roman" w:hAnsi="Times New Roman" w:cs="Times New Roman"/>
          <w:i/>
        </w:rPr>
        <w:t>Acalypha indica</w:t>
      </w:r>
      <w:r w:rsidRPr="00875933">
        <w:rPr>
          <w:rFonts w:ascii="Times New Roman" w:hAnsi="Times New Roman" w:cs="Times New Roman"/>
        </w:rPr>
        <w:t xml:space="preserve">. </w:t>
      </w:r>
      <w:r w:rsidRPr="00875933">
        <w:rPr>
          <w:rFonts w:ascii="Times New Roman" w:hAnsi="Times New Roman" w:cs="Times New Roman"/>
          <w:i/>
        </w:rPr>
        <w:t>Fitoterapia</w:t>
      </w:r>
      <w:r w:rsidRPr="00875933">
        <w:rPr>
          <w:rFonts w:ascii="Times New Roman" w:hAnsi="Times New Roman" w:cs="Times New Roman"/>
        </w:rPr>
        <w:t xml:space="preserve">, </w:t>
      </w:r>
      <w:r w:rsidRPr="00875933">
        <w:rPr>
          <w:rFonts w:ascii="Times New Roman" w:hAnsi="Times New Roman" w:cs="Times New Roman"/>
          <w:i/>
        </w:rPr>
        <w:t>77</w:t>
      </w:r>
      <w:r w:rsidRPr="00875933">
        <w:rPr>
          <w:rFonts w:ascii="Times New Roman" w:hAnsi="Times New Roman" w:cs="Times New Roman"/>
        </w:rPr>
        <w:t xml:space="preserve">(6), 484–486. </w:t>
      </w:r>
      <w:r w:rsidRPr="00875933">
        <w:rPr>
          <w:rFonts w:ascii="Times New Roman" w:hAnsi="Times New Roman" w:cs="Times New Roman"/>
          <w:color w:val="0563C1"/>
          <w:u w:val="single"/>
        </w:rPr>
        <w:t>https://doi.org/10.1016/j.fitote.2006.04.007</w:t>
      </w:r>
    </w:p>
    <w:p w14:paraId="6222C9BB"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Nahrstedt, A., Kant, J.-D., &amp; Wray, V. (1982). Acalyphin, a cyanogenic glucoside from </w:t>
      </w:r>
      <w:r w:rsidRPr="00875933">
        <w:rPr>
          <w:rFonts w:ascii="Times New Roman" w:hAnsi="Times New Roman" w:cs="Times New Roman"/>
          <w:i/>
        </w:rPr>
        <w:t>Acalypha indica</w:t>
      </w:r>
      <w:r w:rsidRPr="00875933">
        <w:rPr>
          <w:rFonts w:ascii="Times New Roman" w:hAnsi="Times New Roman" w:cs="Times New Roman"/>
        </w:rPr>
        <w:t xml:space="preserve">. </w:t>
      </w:r>
      <w:r w:rsidRPr="00875933">
        <w:rPr>
          <w:rFonts w:ascii="Times New Roman" w:hAnsi="Times New Roman" w:cs="Times New Roman"/>
          <w:i/>
        </w:rPr>
        <w:t>Phytochemistry</w:t>
      </w:r>
      <w:r w:rsidRPr="00875933">
        <w:rPr>
          <w:rFonts w:ascii="Times New Roman" w:hAnsi="Times New Roman" w:cs="Times New Roman"/>
        </w:rPr>
        <w:t xml:space="preserve">, </w:t>
      </w:r>
      <w:r w:rsidRPr="00875933">
        <w:rPr>
          <w:rFonts w:ascii="Times New Roman" w:hAnsi="Times New Roman" w:cs="Times New Roman"/>
          <w:i/>
        </w:rPr>
        <w:t>21</w:t>
      </w:r>
      <w:r w:rsidRPr="00875933">
        <w:rPr>
          <w:rFonts w:ascii="Times New Roman" w:hAnsi="Times New Roman" w:cs="Times New Roman"/>
        </w:rPr>
        <w:t xml:space="preserve">(1), 101–105. </w:t>
      </w:r>
      <w:r w:rsidRPr="00875933">
        <w:rPr>
          <w:rFonts w:ascii="Times New Roman" w:hAnsi="Times New Roman" w:cs="Times New Roman"/>
          <w:color w:val="0563C1"/>
          <w:u w:val="single"/>
        </w:rPr>
        <w:t>https://doi.org/10.1016/0031-9422(82)80022-8</w:t>
      </w:r>
    </w:p>
    <w:p w14:paraId="6BA1ECB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Ninave, P. B., &amp; Patil, S. D. (2022). Pharmacological screening of </w:t>
      </w:r>
      <w:r w:rsidRPr="00875933">
        <w:rPr>
          <w:rFonts w:ascii="Times New Roman" w:hAnsi="Times New Roman" w:cs="Times New Roman"/>
          <w:i/>
        </w:rPr>
        <w:t>Acalypha indica</w:t>
      </w:r>
      <w:r w:rsidRPr="00875933">
        <w:rPr>
          <w:rFonts w:ascii="Times New Roman" w:hAnsi="Times New Roman" w:cs="Times New Roman"/>
        </w:rPr>
        <w:t xml:space="preserve"> L.: Possible role in the treatment of asthma.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290</w:t>
      </w:r>
      <w:r w:rsidRPr="00875933">
        <w:rPr>
          <w:rFonts w:ascii="Times New Roman" w:hAnsi="Times New Roman" w:cs="Times New Roman"/>
        </w:rPr>
        <w:t xml:space="preserve">, Article 115093. </w:t>
      </w:r>
      <w:r w:rsidRPr="00875933">
        <w:rPr>
          <w:rFonts w:ascii="Times New Roman" w:hAnsi="Times New Roman" w:cs="Times New Roman"/>
          <w:color w:val="0563C1"/>
          <w:u w:val="single"/>
        </w:rPr>
        <w:t>https://doi.org/10.1016/j.jep.2022.115093</w:t>
      </w:r>
    </w:p>
    <w:p w14:paraId="3E0303E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Pradoo, A., Sriapha, C., Trakulsrichai, S., Tongpoo, A., Kheiawsawang, M., &amp; Wananukul, W. (2020). Clinical characteristics of </w:t>
      </w:r>
      <w:r w:rsidRPr="00875933">
        <w:rPr>
          <w:rFonts w:ascii="Times New Roman" w:hAnsi="Times New Roman" w:cs="Times New Roman"/>
          <w:i/>
        </w:rPr>
        <w:t>Acalypha indica</w:t>
      </w:r>
      <w:r w:rsidRPr="00875933">
        <w:rPr>
          <w:rFonts w:ascii="Times New Roman" w:hAnsi="Times New Roman" w:cs="Times New Roman"/>
        </w:rPr>
        <w:t xml:space="preserve"> poisoning. </w:t>
      </w:r>
      <w:r w:rsidRPr="00875933">
        <w:rPr>
          <w:rFonts w:ascii="Times New Roman" w:hAnsi="Times New Roman" w:cs="Times New Roman"/>
          <w:i/>
        </w:rPr>
        <w:t>International Journal of General Medicine</w:t>
      </w:r>
      <w:r w:rsidRPr="00875933">
        <w:rPr>
          <w:rFonts w:ascii="Times New Roman" w:hAnsi="Times New Roman" w:cs="Times New Roman"/>
        </w:rPr>
        <w:t xml:space="preserve">, </w:t>
      </w:r>
      <w:r w:rsidRPr="00875933">
        <w:rPr>
          <w:rFonts w:ascii="Times New Roman" w:hAnsi="Times New Roman" w:cs="Times New Roman"/>
          <w:i/>
        </w:rPr>
        <w:t>13</w:t>
      </w:r>
      <w:r w:rsidRPr="00875933">
        <w:rPr>
          <w:rFonts w:ascii="Times New Roman" w:hAnsi="Times New Roman" w:cs="Times New Roman"/>
        </w:rPr>
        <w:t xml:space="preserve">, 539–545. </w:t>
      </w:r>
      <w:r w:rsidRPr="00875933">
        <w:rPr>
          <w:rFonts w:ascii="Times New Roman" w:hAnsi="Times New Roman" w:cs="Times New Roman"/>
          <w:color w:val="0563C1"/>
          <w:u w:val="single"/>
        </w:rPr>
        <w:t>https://doi.org/10.2147/IJGM.S263199</w:t>
      </w:r>
    </w:p>
    <w:p w14:paraId="14B932B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Priya, C. L., &amp; Rao, K. V. B. (2016). Postprandial antihyperglycemic and antioxidant activities of </w:t>
      </w:r>
      <w:r w:rsidRPr="00875933">
        <w:rPr>
          <w:rFonts w:ascii="Times New Roman" w:hAnsi="Times New Roman" w:cs="Times New Roman"/>
          <w:i/>
        </w:rPr>
        <w:t>Acalypha indica</w:t>
      </w:r>
      <w:r w:rsidRPr="00875933">
        <w:rPr>
          <w:rFonts w:ascii="Times New Roman" w:hAnsi="Times New Roman" w:cs="Times New Roman"/>
        </w:rPr>
        <w:t xml:space="preserve"> Linn stem extract: An in-vivo study. </w:t>
      </w:r>
      <w:r w:rsidRPr="00875933">
        <w:rPr>
          <w:rFonts w:ascii="Times New Roman" w:hAnsi="Times New Roman" w:cs="Times New Roman"/>
          <w:i/>
        </w:rPr>
        <w:t>Pharmacognosy Magazine</w:t>
      </w:r>
      <w:r w:rsidRPr="00875933">
        <w:rPr>
          <w:rFonts w:ascii="Times New Roman" w:hAnsi="Times New Roman" w:cs="Times New Roman"/>
        </w:rPr>
        <w:t xml:space="preserve">, </w:t>
      </w:r>
      <w:r w:rsidRPr="00875933">
        <w:rPr>
          <w:rFonts w:ascii="Times New Roman" w:hAnsi="Times New Roman" w:cs="Times New Roman"/>
          <w:i/>
        </w:rPr>
        <w:t>12</w:t>
      </w:r>
      <w:r w:rsidRPr="00875933">
        <w:rPr>
          <w:rFonts w:ascii="Times New Roman" w:hAnsi="Times New Roman" w:cs="Times New Roman"/>
        </w:rPr>
        <w:t xml:space="preserve">(Suppl 4), S475–S481. </w:t>
      </w:r>
      <w:r w:rsidRPr="00875933">
        <w:rPr>
          <w:rFonts w:ascii="Times New Roman" w:hAnsi="Times New Roman" w:cs="Times New Roman"/>
          <w:color w:val="0563C1"/>
          <w:u w:val="single"/>
        </w:rPr>
        <w:t>https://doi.org/10.4103/0973-1296.191461</w:t>
      </w:r>
    </w:p>
    <w:p w14:paraId="1FDC98F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Ravi, S., Shanmugam, B., Subbaiah, G. V., Prasad, S. H., &amp; Reddy, K. S. (2017). Identification of food preservative, stress relief compounds by GC–MS and HR-LC/Q-TOF/MS; evaluation of antioxidant activity of </w:t>
      </w:r>
      <w:r w:rsidRPr="00875933">
        <w:rPr>
          <w:rFonts w:ascii="Times New Roman" w:hAnsi="Times New Roman" w:cs="Times New Roman"/>
          <w:i/>
        </w:rPr>
        <w:t>Acalypha indica</w:t>
      </w:r>
      <w:r w:rsidRPr="00875933">
        <w:rPr>
          <w:rFonts w:ascii="Times New Roman" w:hAnsi="Times New Roman" w:cs="Times New Roman"/>
        </w:rPr>
        <w:t xml:space="preserve"> leaves methanolic extract (in vitro) and polyphenolic </w:t>
      </w:r>
      <w:r w:rsidRPr="00875933">
        <w:rPr>
          <w:rFonts w:ascii="Times New Roman" w:hAnsi="Times New Roman" w:cs="Times New Roman"/>
        </w:rPr>
        <w:lastRenderedPageBreak/>
        <w:t xml:space="preserve">fraction (in vivo). </w:t>
      </w:r>
      <w:r w:rsidRPr="00875933">
        <w:rPr>
          <w:rFonts w:ascii="Times New Roman" w:hAnsi="Times New Roman" w:cs="Times New Roman"/>
          <w:i/>
        </w:rPr>
        <w:t>Journal of Food Science and Technology</w:t>
      </w:r>
      <w:r w:rsidRPr="00875933">
        <w:rPr>
          <w:rFonts w:ascii="Times New Roman" w:hAnsi="Times New Roman" w:cs="Times New Roman"/>
        </w:rPr>
        <w:t xml:space="preserve">, </w:t>
      </w:r>
      <w:r w:rsidRPr="00875933">
        <w:rPr>
          <w:rFonts w:ascii="Times New Roman" w:hAnsi="Times New Roman" w:cs="Times New Roman"/>
          <w:i/>
        </w:rPr>
        <w:t>54</w:t>
      </w:r>
      <w:r w:rsidRPr="00875933">
        <w:rPr>
          <w:rFonts w:ascii="Times New Roman" w:hAnsi="Times New Roman" w:cs="Times New Roman"/>
        </w:rPr>
        <w:t xml:space="preserve">(6), 1585–1596. </w:t>
      </w:r>
      <w:r w:rsidRPr="00875933">
        <w:rPr>
          <w:rFonts w:ascii="Times New Roman" w:hAnsi="Times New Roman" w:cs="Times New Roman"/>
          <w:color w:val="0563C1"/>
          <w:u w:val="single"/>
        </w:rPr>
        <w:t>https://doi.org/10.1007/s13197-017-2590-z</w:t>
      </w:r>
    </w:p>
    <w:p w14:paraId="6CE4EB7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Sahukari, R., Punabaka, J., Bhasha, S., Ganjikunta, V. S., Kondeti Ramudu, S., Kesireddy, S. R., Ye, W., &amp; Korivi, M. (2021). Phytochemical profile, free radical scavenging and anti-inflammatory properties of </w:t>
      </w:r>
      <w:r w:rsidRPr="00875933">
        <w:rPr>
          <w:rFonts w:ascii="Times New Roman" w:hAnsi="Times New Roman" w:cs="Times New Roman"/>
          <w:i/>
        </w:rPr>
        <w:t>Acalypha indica</w:t>
      </w:r>
      <w:r w:rsidRPr="00875933">
        <w:rPr>
          <w:rFonts w:ascii="Times New Roman" w:hAnsi="Times New Roman" w:cs="Times New Roman"/>
        </w:rPr>
        <w:t xml:space="preserve"> root extract: Evidence from in vitro and in vivo studies. </w:t>
      </w:r>
      <w:r w:rsidRPr="00875933">
        <w:rPr>
          <w:rFonts w:ascii="Times New Roman" w:hAnsi="Times New Roman" w:cs="Times New Roman"/>
          <w:i/>
        </w:rPr>
        <w:t>Molecules</w:t>
      </w:r>
      <w:r w:rsidRPr="00875933">
        <w:rPr>
          <w:rFonts w:ascii="Times New Roman" w:hAnsi="Times New Roman" w:cs="Times New Roman"/>
        </w:rPr>
        <w:t xml:space="preserve">, </w:t>
      </w:r>
      <w:r w:rsidRPr="00875933">
        <w:rPr>
          <w:rFonts w:ascii="Times New Roman" w:hAnsi="Times New Roman" w:cs="Times New Roman"/>
          <w:i/>
        </w:rPr>
        <w:t>26</w:t>
      </w:r>
      <w:r w:rsidRPr="00875933">
        <w:rPr>
          <w:rFonts w:ascii="Times New Roman" w:hAnsi="Times New Roman" w:cs="Times New Roman"/>
        </w:rPr>
        <w:t xml:space="preserve">(20), Article 6251. </w:t>
      </w:r>
      <w:r w:rsidRPr="00875933">
        <w:rPr>
          <w:rFonts w:ascii="Times New Roman" w:hAnsi="Times New Roman" w:cs="Times New Roman"/>
          <w:color w:val="0563C1"/>
          <w:u w:val="single"/>
        </w:rPr>
        <w:t>https://doi.org/10.3390/molecules26206251</w:t>
      </w:r>
    </w:p>
    <w:p w14:paraId="2529DC6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Sakaray, V., Rao, Y. S., &amp; Naidu, N. V. (2024). Green synthesis of silver nanoparticles by </w:t>
      </w:r>
      <w:r w:rsidRPr="00875933">
        <w:rPr>
          <w:rFonts w:ascii="Times New Roman" w:hAnsi="Times New Roman" w:cs="Times New Roman"/>
          <w:i/>
        </w:rPr>
        <w:t>Acalypha indica</w:t>
      </w:r>
      <w:r w:rsidRPr="00875933">
        <w:rPr>
          <w:rFonts w:ascii="Times New Roman" w:hAnsi="Times New Roman" w:cs="Times New Roman"/>
        </w:rPr>
        <w:t xml:space="preserve"> plant extract and their approach towards multifunctional applications. </w:t>
      </w:r>
      <w:r w:rsidRPr="00875933">
        <w:rPr>
          <w:rFonts w:ascii="Times New Roman" w:hAnsi="Times New Roman" w:cs="Times New Roman"/>
          <w:i/>
        </w:rPr>
        <w:t>Nano Biomedicine and Engineering</w:t>
      </w:r>
      <w:r w:rsidRPr="00875933">
        <w:rPr>
          <w:rFonts w:ascii="Times New Roman" w:hAnsi="Times New Roman" w:cs="Times New Roman"/>
        </w:rPr>
        <w:t xml:space="preserve">, </w:t>
      </w:r>
      <w:r w:rsidRPr="00875933">
        <w:rPr>
          <w:rFonts w:ascii="Times New Roman" w:hAnsi="Times New Roman" w:cs="Times New Roman"/>
          <w:i/>
        </w:rPr>
        <w:t>16</w:t>
      </w:r>
      <w:r w:rsidRPr="00875933">
        <w:rPr>
          <w:rFonts w:ascii="Times New Roman" w:hAnsi="Times New Roman" w:cs="Times New Roman"/>
        </w:rPr>
        <w:t xml:space="preserve">(4), 665–676. </w:t>
      </w:r>
      <w:r w:rsidRPr="00875933">
        <w:rPr>
          <w:rFonts w:ascii="Times New Roman" w:hAnsi="Times New Roman" w:cs="Times New Roman"/>
          <w:color w:val="0563C1"/>
          <w:u w:val="single"/>
        </w:rPr>
        <w:t>https://doi.org/10.26599/NBE.2024.9290064</w:t>
      </w:r>
    </w:p>
    <w:p w14:paraId="51F8CFF4"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Seebaluck, R., Gurib-Fakim, A., &amp; Mahomoodally, F. (2015). Medicinal plants from the genus Acalypha (Euphorbiaceae): A review of their ethnopharmacology and phytochemistry.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159</w:t>
      </w:r>
      <w:r w:rsidRPr="00875933">
        <w:rPr>
          <w:rFonts w:ascii="Times New Roman" w:hAnsi="Times New Roman" w:cs="Times New Roman"/>
        </w:rPr>
        <w:t xml:space="preserve">, 137–157. </w:t>
      </w:r>
      <w:r w:rsidRPr="00875933">
        <w:rPr>
          <w:rFonts w:ascii="Times New Roman" w:hAnsi="Times New Roman" w:cs="Times New Roman"/>
          <w:color w:val="0563C1"/>
          <w:u w:val="single"/>
        </w:rPr>
        <w:t>https://doi.org/10.1016/j.jep.2014.10.040</w:t>
      </w:r>
    </w:p>
    <w:p w14:paraId="514EA57F"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Senanayake, N., &amp; Sanmuganathan, P. S. (1996). Acute intravascular haemolysis in glucose-6-phosphate dehydrogenase deficient patients following ingestion of herbal broth containing </w:t>
      </w:r>
      <w:r w:rsidRPr="00875933">
        <w:rPr>
          <w:rFonts w:ascii="Times New Roman" w:hAnsi="Times New Roman" w:cs="Times New Roman"/>
          <w:i/>
        </w:rPr>
        <w:t>Acalypha indica</w:t>
      </w:r>
      <w:r w:rsidRPr="00875933">
        <w:rPr>
          <w:rFonts w:ascii="Times New Roman" w:hAnsi="Times New Roman" w:cs="Times New Roman"/>
        </w:rPr>
        <w:t xml:space="preserve">. </w:t>
      </w:r>
      <w:r w:rsidRPr="00875933">
        <w:rPr>
          <w:rFonts w:ascii="Times New Roman" w:hAnsi="Times New Roman" w:cs="Times New Roman"/>
          <w:i/>
        </w:rPr>
        <w:t>Tropical Doctor</w:t>
      </w:r>
      <w:r w:rsidRPr="00875933">
        <w:rPr>
          <w:rFonts w:ascii="Times New Roman" w:hAnsi="Times New Roman" w:cs="Times New Roman"/>
        </w:rPr>
        <w:t xml:space="preserve">, </w:t>
      </w:r>
      <w:r w:rsidRPr="00875933">
        <w:rPr>
          <w:rFonts w:ascii="Times New Roman" w:hAnsi="Times New Roman" w:cs="Times New Roman"/>
          <w:i/>
        </w:rPr>
        <w:t>26</w:t>
      </w:r>
      <w:r w:rsidRPr="00875933">
        <w:rPr>
          <w:rFonts w:ascii="Times New Roman" w:hAnsi="Times New Roman" w:cs="Times New Roman"/>
        </w:rPr>
        <w:t xml:space="preserve">(1), 32. </w:t>
      </w:r>
      <w:r w:rsidRPr="00875933">
        <w:rPr>
          <w:rFonts w:ascii="Times New Roman" w:hAnsi="Times New Roman" w:cs="Times New Roman"/>
          <w:color w:val="0563C1"/>
          <w:u w:val="single"/>
        </w:rPr>
        <w:t>https://doi.org/10.1177/004947559602600113</w:t>
      </w:r>
    </w:p>
    <w:p w14:paraId="512FDB84"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Sharma, D., Shrimal, H., Singh, K., Apparsundaram, S., &amp; Dhobi, M. (2025a). Evaluation of the antiviral and anti-inflammatory activity of </w:t>
      </w:r>
      <w:r w:rsidRPr="00875933">
        <w:rPr>
          <w:rFonts w:ascii="Times New Roman" w:hAnsi="Times New Roman" w:cs="Times New Roman"/>
          <w:i/>
        </w:rPr>
        <w:t>Acalypha indica</w:t>
      </w:r>
      <w:r w:rsidRPr="00875933">
        <w:rPr>
          <w:rFonts w:ascii="Times New Roman" w:hAnsi="Times New Roman" w:cs="Times New Roman"/>
        </w:rPr>
        <w:t xml:space="preserve"> L. in LPS-induced macrophages via modulating NF-κB pathway. </w:t>
      </w:r>
      <w:r w:rsidRPr="00875933">
        <w:rPr>
          <w:rFonts w:ascii="Times New Roman" w:hAnsi="Times New Roman" w:cs="Times New Roman"/>
          <w:i/>
        </w:rPr>
        <w:t>Phytomedicine Plus</w:t>
      </w:r>
      <w:r w:rsidRPr="00875933">
        <w:rPr>
          <w:rFonts w:ascii="Times New Roman" w:hAnsi="Times New Roman" w:cs="Times New Roman"/>
        </w:rPr>
        <w:t xml:space="preserve">, </w:t>
      </w:r>
      <w:r w:rsidRPr="00875933">
        <w:rPr>
          <w:rFonts w:ascii="Times New Roman" w:hAnsi="Times New Roman" w:cs="Times New Roman"/>
          <w:i/>
        </w:rPr>
        <w:t>5</w:t>
      </w:r>
      <w:r w:rsidRPr="00875933">
        <w:rPr>
          <w:rFonts w:ascii="Times New Roman" w:hAnsi="Times New Roman" w:cs="Times New Roman"/>
        </w:rPr>
        <w:t xml:space="preserve">(4), Article 100882. </w:t>
      </w:r>
      <w:r w:rsidRPr="00875933">
        <w:rPr>
          <w:rFonts w:ascii="Times New Roman" w:hAnsi="Times New Roman" w:cs="Times New Roman"/>
          <w:color w:val="0563C1"/>
          <w:u w:val="single"/>
        </w:rPr>
        <w:t>https://doi.org/10.1016/j.phyplu.2025.100882</w:t>
      </w:r>
    </w:p>
    <w:p w14:paraId="340543C0"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Sharma, D., Singh, C., Thakur, A. K., Apparsundaram, S., &amp; Dhobi, M. (2025b). Therapeutic potential of standardized </w:t>
      </w:r>
      <w:r w:rsidRPr="00875933">
        <w:rPr>
          <w:rFonts w:ascii="Times New Roman" w:hAnsi="Times New Roman" w:cs="Times New Roman"/>
          <w:i/>
        </w:rPr>
        <w:t>Acalypha indica</w:t>
      </w:r>
      <w:r w:rsidRPr="00875933">
        <w:rPr>
          <w:rFonts w:ascii="Times New Roman" w:hAnsi="Times New Roman" w:cs="Times New Roman"/>
        </w:rPr>
        <w:t xml:space="preserve"> extract in MPTP-induced parkinsonism in mice. </w:t>
      </w:r>
      <w:r w:rsidRPr="00875933">
        <w:rPr>
          <w:rFonts w:ascii="Times New Roman" w:hAnsi="Times New Roman" w:cs="Times New Roman"/>
          <w:i/>
        </w:rPr>
        <w:t>Chemistry &amp; Biodiversity</w:t>
      </w:r>
      <w:r w:rsidRPr="00875933">
        <w:rPr>
          <w:rFonts w:ascii="Times New Roman" w:hAnsi="Times New Roman" w:cs="Times New Roman"/>
        </w:rPr>
        <w:t xml:space="preserve">, </w:t>
      </w:r>
      <w:r w:rsidRPr="00875933">
        <w:rPr>
          <w:rFonts w:ascii="Times New Roman" w:hAnsi="Times New Roman" w:cs="Times New Roman"/>
          <w:i/>
        </w:rPr>
        <w:t>22</w:t>
      </w:r>
      <w:r w:rsidRPr="00875933">
        <w:rPr>
          <w:rFonts w:ascii="Times New Roman" w:hAnsi="Times New Roman" w:cs="Times New Roman"/>
        </w:rPr>
        <w:t xml:space="preserve">(11), Article e01226. </w:t>
      </w:r>
      <w:r w:rsidRPr="00875933">
        <w:rPr>
          <w:rFonts w:ascii="Times New Roman" w:hAnsi="Times New Roman" w:cs="Times New Roman"/>
          <w:color w:val="0563C1"/>
          <w:u w:val="single"/>
        </w:rPr>
        <w:t>https://doi.org/10.1002/cbdv.202501226</w:t>
      </w:r>
    </w:p>
    <w:p w14:paraId="4904ECB3"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Sharma, D., Sharma, S., Mandal, V., &amp; Dhobi, M. (2024). Unveiling the anti-inflammatory potential of </w:t>
      </w:r>
      <w:r w:rsidRPr="00875933">
        <w:rPr>
          <w:rFonts w:ascii="Times New Roman" w:hAnsi="Times New Roman" w:cs="Times New Roman"/>
          <w:i/>
        </w:rPr>
        <w:t>Acalypha indica</w:t>
      </w:r>
      <w:r w:rsidRPr="00875933">
        <w:rPr>
          <w:rFonts w:ascii="Times New Roman" w:hAnsi="Times New Roman" w:cs="Times New Roman"/>
        </w:rPr>
        <w:t xml:space="preserve"> L. and analyzing its research trend: Digging deep to learn deep. </w:t>
      </w:r>
      <w:r w:rsidRPr="00875933">
        <w:rPr>
          <w:rFonts w:ascii="Times New Roman" w:hAnsi="Times New Roman" w:cs="Times New Roman"/>
          <w:i/>
        </w:rPr>
        <w:t>Naunyn-Schmiedeberg's Archives of Pharmacology</w:t>
      </w:r>
      <w:r w:rsidRPr="00875933">
        <w:rPr>
          <w:rFonts w:ascii="Times New Roman" w:hAnsi="Times New Roman" w:cs="Times New Roman"/>
        </w:rPr>
        <w:t xml:space="preserve">, </w:t>
      </w:r>
      <w:r w:rsidRPr="00875933">
        <w:rPr>
          <w:rFonts w:ascii="Times New Roman" w:hAnsi="Times New Roman" w:cs="Times New Roman"/>
          <w:i/>
        </w:rPr>
        <w:t>397</w:t>
      </w:r>
      <w:r w:rsidRPr="00875933">
        <w:rPr>
          <w:rFonts w:ascii="Times New Roman" w:hAnsi="Times New Roman" w:cs="Times New Roman"/>
        </w:rPr>
        <w:t xml:space="preserve">(4), 1935–1956. </w:t>
      </w:r>
      <w:r w:rsidRPr="00875933">
        <w:rPr>
          <w:rFonts w:ascii="Times New Roman" w:hAnsi="Times New Roman" w:cs="Times New Roman"/>
          <w:color w:val="0563C1"/>
          <w:u w:val="single"/>
        </w:rPr>
        <w:t>https://doi.org/10.1007/s00210-023-02734-9</w:t>
      </w:r>
    </w:p>
    <w:p w14:paraId="5CF96199"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Sriram, R., &amp; Yoganandam, G. P. (2025). In vitro skin anti-aging potential evaluation of methanolic extract of aerial parts from </w:t>
      </w:r>
      <w:r w:rsidRPr="00875933">
        <w:rPr>
          <w:rFonts w:ascii="Times New Roman" w:hAnsi="Times New Roman" w:cs="Times New Roman"/>
          <w:i/>
        </w:rPr>
        <w:t>Acalypha indica</w:t>
      </w:r>
      <w:r w:rsidRPr="00875933">
        <w:rPr>
          <w:rFonts w:ascii="Times New Roman" w:hAnsi="Times New Roman" w:cs="Times New Roman"/>
        </w:rPr>
        <w:t xml:space="preserve"> Linn. </w:t>
      </w:r>
      <w:r w:rsidRPr="00875933">
        <w:rPr>
          <w:rFonts w:ascii="Times New Roman" w:hAnsi="Times New Roman" w:cs="Times New Roman"/>
          <w:i/>
        </w:rPr>
        <w:t>Bioinformation</w:t>
      </w:r>
      <w:r w:rsidRPr="00875933">
        <w:rPr>
          <w:rFonts w:ascii="Times New Roman" w:hAnsi="Times New Roman" w:cs="Times New Roman"/>
        </w:rPr>
        <w:t xml:space="preserve">, </w:t>
      </w:r>
      <w:r w:rsidRPr="00875933">
        <w:rPr>
          <w:rFonts w:ascii="Times New Roman" w:hAnsi="Times New Roman" w:cs="Times New Roman"/>
          <w:i/>
        </w:rPr>
        <w:t>21</w:t>
      </w:r>
      <w:r w:rsidRPr="00875933">
        <w:rPr>
          <w:rFonts w:ascii="Times New Roman" w:hAnsi="Times New Roman" w:cs="Times New Roman"/>
        </w:rPr>
        <w:t xml:space="preserve">(7), 1796–1803. </w:t>
      </w:r>
      <w:r w:rsidRPr="00875933">
        <w:rPr>
          <w:rFonts w:ascii="Times New Roman" w:hAnsi="Times New Roman" w:cs="Times New Roman"/>
          <w:color w:val="0563C1"/>
          <w:u w:val="single"/>
        </w:rPr>
        <w:t>https://doi.org/10.6026/973206300211796</w:t>
      </w:r>
    </w:p>
    <w:p w14:paraId="66220ADD"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Sukhera, J. (2022). Narrative reviews: Flexible, rigorous, and practical. </w:t>
      </w:r>
      <w:r w:rsidRPr="00875933">
        <w:rPr>
          <w:rFonts w:ascii="Times New Roman" w:hAnsi="Times New Roman" w:cs="Times New Roman"/>
          <w:i/>
        </w:rPr>
        <w:t>Journal of Graduate Medical Education</w:t>
      </w:r>
      <w:r w:rsidRPr="00875933">
        <w:rPr>
          <w:rFonts w:ascii="Times New Roman" w:hAnsi="Times New Roman" w:cs="Times New Roman"/>
        </w:rPr>
        <w:t xml:space="preserve">, </w:t>
      </w:r>
      <w:r w:rsidRPr="00875933">
        <w:rPr>
          <w:rFonts w:ascii="Times New Roman" w:hAnsi="Times New Roman" w:cs="Times New Roman"/>
          <w:i/>
        </w:rPr>
        <w:t>14</w:t>
      </w:r>
      <w:r w:rsidRPr="00875933">
        <w:rPr>
          <w:rFonts w:ascii="Times New Roman" w:hAnsi="Times New Roman" w:cs="Times New Roman"/>
        </w:rPr>
        <w:t xml:space="preserve">(4), 414–417. </w:t>
      </w:r>
      <w:r w:rsidRPr="00875933">
        <w:rPr>
          <w:rFonts w:ascii="Times New Roman" w:hAnsi="Times New Roman" w:cs="Times New Roman"/>
          <w:color w:val="0563C1"/>
          <w:u w:val="single"/>
        </w:rPr>
        <w:t>https://doi.org/10.4300/JGME-D-22-00480.1</w:t>
      </w:r>
    </w:p>
    <w:p w14:paraId="4307A9C9"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Thamil Priya, V., Balasubramanian, N., Shanmugaiah, V., &amp; Karunakaran, C. (2020). Phyotochemical properties of </w:t>
      </w:r>
      <w:r w:rsidRPr="00875933">
        <w:rPr>
          <w:rFonts w:ascii="Times New Roman" w:hAnsi="Times New Roman" w:cs="Times New Roman"/>
          <w:i/>
        </w:rPr>
        <w:t>Acalypha indica</w:t>
      </w:r>
      <w:r w:rsidRPr="00875933">
        <w:rPr>
          <w:rFonts w:ascii="Times New Roman" w:hAnsi="Times New Roman" w:cs="Times New Roman"/>
        </w:rPr>
        <w:t xml:space="preserve"> (L), and its antimicrobial potential against human pathogens. </w:t>
      </w:r>
      <w:r w:rsidRPr="00875933">
        <w:rPr>
          <w:rFonts w:ascii="Times New Roman" w:hAnsi="Times New Roman" w:cs="Times New Roman"/>
          <w:i/>
        </w:rPr>
        <w:t>Journal of Pure and Applied Microbiology</w:t>
      </w:r>
      <w:r w:rsidRPr="00875933">
        <w:rPr>
          <w:rFonts w:ascii="Times New Roman" w:hAnsi="Times New Roman" w:cs="Times New Roman"/>
        </w:rPr>
        <w:t xml:space="preserve">, </w:t>
      </w:r>
      <w:r w:rsidRPr="00875933">
        <w:rPr>
          <w:rFonts w:ascii="Times New Roman" w:hAnsi="Times New Roman" w:cs="Times New Roman"/>
          <w:i/>
        </w:rPr>
        <w:t>14</w:t>
      </w:r>
      <w:r w:rsidRPr="00875933">
        <w:rPr>
          <w:rFonts w:ascii="Times New Roman" w:hAnsi="Times New Roman" w:cs="Times New Roman"/>
        </w:rPr>
        <w:t xml:space="preserve">(1), 319–326. </w:t>
      </w:r>
      <w:r w:rsidRPr="00875933">
        <w:rPr>
          <w:rFonts w:ascii="Times New Roman" w:hAnsi="Times New Roman" w:cs="Times New Roman"/>
          <w:color w:val="0563C1"/>
          <w:u w:val="single"/>
        </w:rPr>
        <w:t>https://doi.org/10.22207/JPAM.14.1.33</w:t>
      </w:r>
    </w:p>
    <w:p w14:paraId="18095445"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Venkatesan, U., &amp; Muniyan, R. (2026). Therapeutic potential of </w:t>
      </w:r>
      <w:r w:rsidRPr="00875933">
        <w:rPr>
          <w:rFonts w:ascii="Times New Roman" w:hAnsi="Times New Roman" w:cs="Times New Roman"/>
          <w:i/>
        </w:rPr>
        <w:t>Acalypha indica</w:t>
      </w:r>
      <w:r w:rsidRPr="00875933">
        <w:rPr>
          <w:rFonts w:ascii="Times New Roman" w:hAnsi="Times New Roman" w:cs="Times New Roman"/>
        </w:rPr>
        <w:t xml:space="preserve"> L. leaf fractions against foodborne pathogens: An in vitro and in silico study. </w:t>
      </w:r>
      <w:r w:rsidRPr="00875933">
        <w:rPr>
          <w:rFonts w:ascii="Times New Roman" w:hAnsi="Times New Roman" w:cs="Times New Roman"/>
          <w:i/>
        </w:rPr>
        <w:t>Scientific Reports</w:t>
      </w:r>
      <w:r w:rsidRPr="00875933">
        <w:rPr>
          <w:rFonts w:ascii="Times New Roman" w:hAnsi="Times New Roman" w:cs="Times New Roman"/>
        </w:rPr>
        <w:t xml:space="preserve">, </w:t>
      </w:r>
      <w:r w:rsidRPr="00875933">
        <w:rPr>
          <w:rFonts w:ascii="Times New Roman" w:hAnsi="Times New Roman" w:cs="Times New Roman"/>
          <w:i/>
        </w:rPr>
        <w:t>16</w:t>
      </w:r>
      <w:r w:rsidRPr="00875933">
        <w:rPr>
          <w:rFonts w:ascii="Times New Roman" w:hAnsi="Times New Roman" w:cs="Times New Roman"/>
        </w:rPr>
        <w:t xml:space="preserve">, Article 2423. </w:t>
      </w:r>
      <w:r w:rsidRPr="00875933">
        <w:rPr>
          <w:rFonts w:ascii="Times New Roman" w:hAnsi="Times New Roman" w:cs="Times New Roman"/>
          <w:color w:val="0563C1"/>
          <w:u w:val="single"/>
        </w:rPr>
        <w:t>https://doi.org/10.1038/s41598-025-32216-2</w:t>
      </w:r>
    </w:p>
    <w:p w14:paraId="38F2A326"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t xml:space="preserve">World Health Organization. (2013). WHO traditional medicine strategy: 2014–2023. World Health Organization. </w:t>
      </w:r>
      <w:r w:rsidRPr="00875933">
        <w:rPr>
          <w:rFonts w:ascii="Times New Roman" w:hAnsi="Times New Roman" w:cs="Times New Roman"/>
          <w:color w:val="0563C1"/>
          <w:u w:val="single"/>
        </w:rPr>
        <w:t>https://www.who.int/publications/i/item/9789241506096</w:t>
      </w:r>
    </w:p>
    <w:p w14:paraId="4F69B89A" w14:textId="77777777" w:rsidR="00426A47" w:rsidRPr="00875933" w:rsidRDefault="00426A47" w:rsidP="00426A47">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875933">
        <w:rPr>
          <w:rFonts w:ascii="Times New Roman" w:hAnsi="Times New Roman" w:cs="Times New Roman"/>
        </w:rPr>
        <w:lastRenderedPageBreak/>
        <w:t xml:space="preserve">Zahidin, N. S., Saidin, S., Zulkifli, R. M., Muhamad, I. I., Ya'akob, H., &amp; Nur, H. (2017). A review of </w:t>
      </w:r>
      <w:r w:rsidRPr="00875933">
        <w:rPr>
          <w:rFonts w:ascii="Times New Roman" w:hAnsi="Times New Roman" w:cs="Times New Roman"/>
          <w:i/>
        </w:rPr>
        <w:t>Acalypha indica</w:t>
      </w:r>
      <w:r w:rsidRPr="00875933">
        <w:rPr>
          <w:rFonts w:ascii="Times New Roman" w:hAnsi="Times New Roman" w:cs="Times New Roman"/>
        </w:rPr>
        <w:t xml:space="preserve"> L. (Euphorbiaceae) as traditional medicinal plant and its therapeutic potential. </w:t>
      </w:r>
      <w:r w:rsidRPr="00875933">
        <w:rPr>
          <w:rFonts w:ascii="Times New Roman" w:hAnsi="Times New Roman" w:cs="Times New Roman"/>
          <w:i/>
        </w:rPr>
        <w:t>Journal of Ethnopharmacology</w:t>
      </w:r>
      <w:r w:rsidRPr="00875933">
        <w:rPr>
          <w:rFonts w:ascii="Times New Roman" w:hAnsi="Times New Roman" w:cs="Times New Roman"/>
        </w:rPr>
        <w:t xml:space="preserve">, </w:t>
      </w:r>
      <w:r w:rsidRPr="00875933">
        <w:rPr>
          <w:rFonts w:ascii="Times New Roman" w:hAnsi="Times New Roman" w:cs="Times New Roman"/>
          <w:i/>
        </w:rPr>
        <w:t>207</w:t>
      </w:r>
      <w:r w:rsidRPr="00875933">
        <w:rPr>
          <w:rFonts w:ascii="Times New Roman" w:hAnsi="Times New Roman" w:cs="Times New Roman"/>
        </w:rPr>
        <w:t xml:space="preserve">, 146–173. </w:t>
      </w:r>
      <w:r w:rsidRPr="00875933">
        <w:rPr>
          <w:rFonts w:ascii="Times New Roman" w:hAnsi="Times New Roman" w:cs="Times New Roman"/>
          <w:color w:val="0563C1"/>
          <w:u w:val="single"/>
        </w:rPr>
        <w:t>https://doi.org/10.1016/j.jep.2017.06.019</w:t>
      </w:r>
    </w:p>
    <w:p w14:paraId="25DBD6F2" w14:textId="77777777" w:rsidR="004841B3" w:rsidRPr="00875933" w:rsidRDefault="004841B3">
      <w:pPr>
        <w:rPr>
          <w:rFonts w:ascii="Times New Roman" w:hAnsi="Times New Roman" w:cs="Times New Roman"/>
        </w:rPr>
      </w:pPr>
    </w:p>
    <w:sectPr w:rsidR="004841B3" w:rsidRPr="0087593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42CF" w14:textId="77777777" w:rsidR="00FF2C09" w:rsidRDefault="00FF2C09" w:rsidP="00521EAD">
      <w:pPr>
        <w:spacing w:after="0" w:line="240" w:lineRule="auto"/>
      </w:pPr>
      <w:r>
        <w:separator/>
      </w:r>
    </w:p>
  </w:endnote>
  <w:endnote w:type="continuationSeparator" w:id="0">
    <w:p w14:paraId="3FFF36DC" w14:textId="77777777" w:rsidR="00FF2C09" w:rsidRDefault="00FF2C09" w:rsidP="0052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66B4" w14:textId="77777777" w:rsidR="00521EAD" w:rsidRDefault="00521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7EF0" w14:textId="77777777" w:rsidR="00521EAD" w:rsidRDefault="00521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9E98" w14:textId="77777777" w:rsidR="00521EAD" w:rsidRDefault="0052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7F23E" w14:textId="77777777" w:rsidR="00FF2C09" w:rsidRDefault="00FF2C09" w:rsidP="00521EAD">
      <w:pPr>
        <w:spacing w:after="0" w:line="240" w:lineRule="auto"/>
      </w:pPr>
      <w:r>
        <w:separator/>
      </w:r>
    </w:p>
  </w:footnote>
  <w:footnote w:type="continuationSeparator" w:id="0">
    <w:p w14:paraId="09DCAFFA" w14:textId="77777777" w:rsidR="00FF2C09" w:rsidRDefault="00FF2C09" w:rsidP="00521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2B55" w14:textId="51D785AF" w:rsidR="00521EAD" w:rsidRDefault="00521EAD">
    <w:pPr>
      <w:pStyle w:val="Header"/>
    </w:pPr>
    <w:r>
      <w:rPr>
        <w:noProof/>
      </w:rPr>
      <w:pict w14:anchorId="5969F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F31D" w14:textId="18142CAE" w:rsidR="00521EAD" w:rsidRDefault="00521EAD">
    <w:pPr>
      <w:pStyle w:val="Header"/>
    </w:pPr>
    <w:r>
      <w:rPr>
        <w:noProof/>
      </w:rPr>
      <w:pict w14:anchorId="7C244F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92D2" w14:textId="1F5E6609" w:rsidR="00521EAD" w:rsidRDefault="00521EAD">
    <w:pPr>
      <w:pStyle w:val="Header"/>
    </w:pPr>
    <w:r>
      <w:rPr>
        <w:noProof/>
      </w:rPr>
      <w:pict w14:anchorId="54641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86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6A47"/>
    <w:rsid w:val="000674CC"/>
    <w:rsid w:val="00426A47"/>
    <w:rsid w:val="004841B3"/>
    <w:rsid w:val="00521EAD"/>
    <w:rsid w:val="00875933"/>
    <w:rsid w:val="009361CB"/>
    <w:rsid w:val="0095282B"/>
    <w:rsid w:val="00C463AE"/>
    <w:rsid w:val="00CD31EB"/>
    <w:rsid w:val="00E5437A"/>
    <w:rsid w:val="00FF2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0E1C"/>
  <w15:docId w15:val="{4159201F-A9B7-4C27-8136-21026E66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A4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A4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A4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A4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A4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A47"/>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426A47"/>
    <w:rPr>
      <w:i/>
      <w:iCs/>
    </w:rPr>
  </w:style>
  <w:style w:type="paragraph" w:customStyle="1" w:styleId="font-claude-response-body">
    <w:name w:val="font-claude-response-body"/>
    <w:basedOn w:val="Normal"/>
    <w:rsid w:val="00426A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A47"/>
    <w:rPr>
      <w:b/>
      <w:bCs/>
    </w:rPr>
  </w:style>
  <w:style w:type="character" w:styleId="Hyperlink">
    <w:name w:val="Hyperlink"/>
    <w:basedOn w:val="DefaultParagraphFont"/>
    <w:uiPriority w:val="99"/>
    <w:semiHidden/>
    <w:unhideWhenUsed/>
    <w:rsid w:val="00426A47"/>
    <w:rPr>
      <w:color w:val="0000FF"/>
      <w:u w:val="single"/>
    </w:rPr>
  </w:style>
  <w:style w:type="table" w:styleId="TableGrid">
    <w:name w:val="Table Grid"/>
    <w:basedOn w:val="TableNormal"/>
    <w:uiPriority w:val="59"/>
    <w:rsid w:val="00875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EAD"/>
  </w:style>
  <w:style w:type="paragraph" w:styleId="Footer">
    <w:name w:val="footer"/>
    <w:basedOn w:val="Normal"/>
    <w:link w:val="FooterChar"/>
    <w:uiPriority w:val="99"/>
    <w:unhideWhenUsed/>
    <w:rsid w:val="00521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65260">
      <w:bodyDiv w:val="1"/>
      <w:marLeft w:val="0"/>
      <w:marRight w:val="0"/>
      <w:marTop w:val="0"/>
      <w:marBottom w:val="0"/>
      <w:divBdr>
        <w:top w:val="none" w:sz="0" w:space="0" w:color="auto"/>
        <w:left w:val="none" w:sz="0" w:space="0" w:color="auto"/>
        <w:bottom w:val="none" w:sz="0" w:space="0" w:color="auto"/>
        <w:right w:val="none" w:sz="0" w:space="0" w:color="auto"/>
      </w:divBdr>
      <w:divsChild>
        <w:div w:id="9991157">
          <w:marLeft w:val="0"/>
          <w:marRight w:val="0"/>
          <w:marTop w:val="0"/>
          <w:marBottom w:val="0"/>
          <w:divBdr>
            <w:top w:val="none" w:sz="0" w:space="0" w:color="auto"/>
            <w:left w:val="none" w:sz="0" w:space="0" w:color="auto"/>
            <w:bottom w:val="none" w:sz="0" w:space="0" w:color="auto"/>
            <w:right w:val="none" w:sz="0" w:space="0" w:color="auto"/>
          </w:divBdr>
        </w:div>
        <w:div w:id="937833889">
          <w:marLeft w:val="0"/>
          <w:marRight w:val="0"/>
          <w:marTop w:val="0"/>
          <w:marBottom w:val="0"/>
          <w:divBdr>
            <w:top w:val="none" w:sz="0" w:space="0" w:color="auto"/>
            <w:left w:val="none" w:sz="0" w:space="0" w:color="auto"/>
            <w:bottom w:val="none" w:sz="0" w:space="0" w:color="auto"/>
            <w:right w:val="none" w:sz="0" w:space="0" w:color="auto"/>
          </w:divBdr>
        </w:div>
        <w:div w:id="1863201811">
          <w:marLeft w:val="0"/>
          <w:marRight w:val="0"/>
          <w:marTop w:val="0"/>
          <w:marBottom w:val="0"/>
          <w:divBdr>
            <w:top w:val="none" w:sz="0" w:space="0" w:color="auto"/>
            <w:left w:val="none" w:sz="0" w:space="0" w:color="auto"/>
            <w:bottom w:val="none" w:sz="0" w:space="0" w:color="auto"/>
            <w:right w:val="none" w:sz="0" w:space="0" w:color="auto"/>
          </w:divBdr>
        </w:div>
        <w:div w:id="1380281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9875</Words>
  <Characters>56294</Characters>
  <Application>Microsoft Office Word</Application>
  <DocSecurity>0</DocSecurity>
  <Lines>469</Lines>
  <Paragraphs>132</Paragraphs>
  <ScaleCrop>false</ScaleCrop>
  <Company>HP</Company>
  <LinksUpToDate>false</LinksUpToDate>
  <CharactersWithSpaces>66037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8</cp:revision>
  <dcterms:created xsi:type="dcterms:W3CDTF">2026-06-25T10:45:00Z</dcterms:created>
  <dcterms:modified xsi:type="dcterms:W3CDTF">2026-06-25T13:18:00Z</dcterms:modified>
</cp:coreProperties>
</file>