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8962F" w14:textId="77777777" w:rsidR="0053315D" w:rsidRPr="0053315D" w:rsidRDefault="0053315D" w:rsidP="0053315D">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53315D">
        <w:rPr>
          <w:rFonts w:ascii="Times New Roman" w:eastAsia="Times New Roman" w:hAnsi="Times New Roman" w:cs="Times New Roman"/>
          <w:b/>
          <w:bCs/>
          <w:i/>
          <w:iCs/>
          <w:sz w:val="36"/>
          <w:szCs w:val="36"/>
          <w:u w:val="single"/>
          <w:lang w:val="en-US" w:eastAsia="en-GB"/>
        </w:rPr>
        <w:t>Review Article</w:t>
      </w:r>
    </w:p>
    <w:p w14:paraId="04242151" w14:textId="77777777" w:rsidR="001643CA" w:rsidRPr="001643CA" w:rsidRDefault="001643CA" w:rsidP="001643CA">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1643CA">
        <w:rPr>
          <w:rFonts w:ascii="Times New Roman" w:eastAsia="Times New Roman" w:hAnsi="Times New Roman" w:cs="Times New Roman"/>
          <w:b/>
          <w:bCs/>
          <w:sz w:val="36"/>
          <w:szCs w:val="36"/>
          <w:lang w:eastAsia="en-GB"/>
        </w:rPr>
        <w:t>Chemical Functionalization of Medical Textiles: Emerging Strategies for Smart Wound Healing, Therapeutic Delivery, and Regenerative Medicine</w:t>
      </w:r>
    </w:p>
    <w:p w14:paraId="791EC643" w14:textId="77777777" w:rsidR="001643CA" w:rsidRPr="001643CA" w:rsidRDefault="001643CA" w:rsidP="001643C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Abstract</w:t>
      </w:r>
    </w:p>
    <w:p w14:paraId="2CA8EE21"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Medical textiles have moved a long way from their original role as simple protective covers. Fibres, yarns, and fabrics can now be chemically engineered to sense, signal, and actively participate in tissue repair, rather than merely shielding a wound from the outside world. This critical review brings together recent work on the chemical functionalization of textile substrates across three connected areas: wound care, therapeutic delivery, and regenerative medicine. It begins with the chemistry that turns an inert fibre into a reactive platform — plasma and physical activation, wet-chemical grafting, click chemistry and bioconjugation, and nanoparticle or sol–gel coatings — before turning to antimicrobial functionalization using metal and metal-oxide nanoparticles, chitosan and related polycationic biopolymers, and antimicrobial peptides. The discussion then moves to therapeutic delivery through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w:t>
      </w:r>
      <w:proofErr w:type="spellStart"/>
      <w:r w:rsidRPr="001643CA">
        <w:rPr>
          <w:rFonts w:ascii="Times New Roman" w:eastAsia="Times New Roman" w:hAnsi="Times New Roman" w:cs="Times New Roman"/>
          <w:sz w:val="24"/>
          <w:szCs w:val="24"/>
          <w:lang w:eastAsia="en-GB"/>
        </w:rPr>
        <w:t>nanofibres</w:t>
      </w:r>
      <w:proofErr w:type="spellEnd"/>
      <w:r w:rsidRPr="001643CA">
        <w:rPr>
          <w:rFonts w:ascii="Times New Roman" w:eastAsia="Times New Roman" w:hAnsi="Times New Roman" w:cs="Times New Roman"/>
          <w:sz w:val="24"/>
          <w:szCs w:val="24"/>
          <w:lang w:eastAsia="en-GB"/>
        </w:rPr>
        <w:t xml:space="preserve">, chemically modified gauzes, functionalized sutures, and haemostatic textiles, and from there to the growing convergence between textile science and electronics, in which fibres and fabrics are functionalized to track pH, temperature, exudate biomarkers, and infection status in real time, supporting closed-loop and </w:t>
      </w:r>
      <w:proofErr w:type="spellStart"/>
      <w:r w:rsidRPr="001643CA">
        <w:rPr>
          <w:rFonts w:ascii="Times New Roman" w:eastAsia="Times New Roman" w:hAnsi="Times New Roman" w:cs="Times New Roman"/>
          <w:sz w:val="24"/>
          <w:szCs w:val="24"/>
          <w:lang w:eastAsia="en-GB"/>
        </w:rPr>
        <w:t>theranostic</w:t>
      </w:r>
      <w:proofErr w:type="spellEnd"/>
      <w:r w:rsidRPr="001643CA">
        <w:rPr>
          <w:rFonts w:ascii="Times New Roman" w:eastAsia="Times New Roman" w:hAnsi="Times New Roman" w:cs="Times New Roman"/>
          <w:sz w:val="24"/>
          <w:szCs w:val="24"/>
          <w:lang w:eastAsia="en-GB"/>
        </w:rPr>
        <w:t xml:space="preserve"> wound management. A further section considers textile-derived scaffolds for regenerative medicine, including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nanofibrous constructs, decellularized matrices, three-dimensional </w:t>
      </w:r>
      <w:proofErr w:type="spellStart"/>
      <w:r w:rsidRPr="001643CA">
        <w:rPr>
          <w:rFonts w:ascii="Times New Roman" w:eastAsia="Times New Roman" w:hAnsi="Times New Roman" w:cs="Times New Roman"/>
          <w:sz w:val="24"/>
          <w:szCs w:val="24"/>
          <w:lang w:eastAsia="en-GB"/>
        </w:rPr>
        <w:t>bioprinted</w:t>
      </w:r>
      <w:proofErr w:type="spellEnd"/>
      <w:r w:rsidRPr="001643CA">
        <w:rPr>
          <w:rFonts w:ascii="Times New Roman" w:eastAsia="Times New Roman" w:hAnsi="Times New Roman" w:cs="Times New Roman"/>
          <w:sz w:val="24"/>
          <w:szCs w:val="24"/>
          <w:lang w:eastAsia="en-GB"/>
        </w:rPr>
        <w:t xml:space="preserve"> skin substitutes, and peptide- or growth-factor-functionalized fibres designed to mimic the extracellular matrix. Throughout, laboratory promise is weighed against translational evidence, with attention to nanomaterial safety, comparative clinical efficacy, and the sustainability cost of chemically intensive finishing processes. Taken together, the literature suggests that individual functionalization chemistries are reaching real maturity, but combining antimicrobial, sensing, and regenerative function within one durable, scalable textile remains the harder, still largely unsolved problem. The review closes by identifying priorities for future work: standardised biocompatibility testing, clearer regulatory pathways, and design choices that reconcile chemical sophistication with the comfort, breathability, and biodegradability expected of next-generation medical textiles.</w:t>
      </w:r>
    </w:p>
    <w:p w14:paraId="67C43024"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b/>
          <w:bCs/>
          <w:sz w:val="24"/>
          <w:szCs w:val="24"/>
          <w:lang w:eastAsia="en-GB"/>
        </w:rPr>
        <w:t>Keywords:</w:t>
      </w:r>
      <w:r w:rsidRPr="001643CA">
        <w:rPr>
          <w:rFonts w:ascii="Times New Roman" w:eastAsia="Times New Roman" w:hAnsi="Times New Roman" w:cs="Times New Roman"/>
          <w:sz w:val="24"/>
          <w:szCs w:val="24"/>
          <w:lang w:eastAsia="en-GB"/>
        </w:rPr>
        <w:t xml:space="preserve"> medical textiles; surface functionalization; wound healing; smart textiles; drug delivery; regenerative medicine; antimicrobial finishing; biosensors</w:t>
      </w:r>
    </w:p>
    <w:p w14:paraId="6C77D235" w14:textId="77777777" w:rsidR="001643CA" w:rsidRPr="001643CA" w:rsidRDefault="001643CA" w:rsidP="001643CA">
      <w:pPr>
        <w:spacing w:after="0" w:line="240" w:lineRule="auto"/>
        <w:rPr>
          <w:rFonts w:ascii="Times New Roman" w:eastAsia="Times New Roman" w:hAnsi="Times New Roman" w:cs="Times New Roman"/>
          <w:sz w:val="24"/>
          <w:szCs w:val="24"/>
          <w:lang w:eastAsia="en-GB"/>
        </w:rPr>
      </w:pPr>
    </w:p>
    <w:p w14:paraId="4BC82221" w14:textId="77777777" w:rsidR="001643CA" w:rsidRPr="001643CA" w:rsidRDefault="001643CA" w:rsidP="001643C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1. Introduction</w:t>
      </w:r>
    </w:p>
    <w:p w14:paraId="57D234F6"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1.1 Historical and Clinical Context of Medical Textiles</w:t>
      </w:r>
    </w:p>
    <w:p w14:paraId="3646AD91"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Fibrous materials have served medicine for thousands of years, first simply as barriers against contamination and as absorbent media for exudate. The line between "textile" and "biomaterial" has since become much harder to draw. Chronic and acute wounds remain a substantial and growing burden on health systems worldwide: diabetic foot ulceration alone </w:t>
      </w:r>
      <w:r w:rsidRPr="001643CA">
        <w:rPr>
          <w:rFonts w:ascii="Times New Roman" w:eastAsia="Times New Roman" w:hAnsi="Times New Roman" w:cs="Times New Roman"/>
          <w:sz w:val="24"/>
          <w:szCs w:val="24"/>
          <w:lang w:eastAsia="en-GB"/>
        </w:rPr>
        <w:lastRenderedPageBreak/>
        <w:t>affects an estimated 6.3% of people living with diabetes globally, carries a lifetime amputation risk approaching one in five, and is made worse by well-documented racial, ethnic, and socioeconomic disparities in access to preventive care (McDermott et al., 2023). Burn injuries impose a parallel burden, with low- and middle-income countries bearing a disproportionate share of fire-related mortality and lifelong disfigurement (World Health Organization, 2023). Venous leg ulceration, while more amenable to conservative management, still requires sustained compression delivered through textile bandaging systems, and even within high-quality systematic evidence the comparative merits of different bandage architectures remain a live question rather than a settled one (Patton et al., 2023). A multi-perspective synthesis of the chronic wound management literature reached much the same conclusion: no single dressing format, from plain gauze through to bioengineered cellular matrices, performs consistently better than the rest, which is itself a strong argument for materials that can be tailored to the specific biochemical demands of a given wound (Popescu et al., 2023).</w:t>
      </w:r>
    </w:p>
    <w:p w14:paraId="507D523D"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The vocabulary of woven, knitted, and nonwoven structures persists in modern wound care, but the chemistry layered onto these structures has changed a great deal. Cotton gauze, viscose, polyester, polyamide, and increasingly biodegradable polyesters and natural-fibre composites now serve as substrates onto which bioactive chemistries are grafted, adsorbed, or assembled electrostatically.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nanofibrous mats, wet-spun microfibres, and bacterial-cellulose pellicles push this concept further still, offering architectures that mimic the extracellular matrix; their high surface-area-to-volume ratio is not just a physical convenience but a chemical asset in its own right, since it multiplies the number of reactive functional groups available for downstream modification (Akombaetwa et al., 2022; </w:t>
      </w:r>
      <w:r w:rsidR="00E43021">
        <w:rPr>
          <w:rFonts w:ascii="Times New Roman" w:eastAsia="Times New Roman" w:hAnsi="Times New Roman" w:cs="Times New Roman"/>
          <w:sz w:val="24"/>
          <w:szCs w:val="24"/>
          <w:lang w:eastAsia="en-GB"/>
        </w:rPr>
        <w:t>De Amorim</w:t>
      </w:r>
      <w:r w:rsidRPr="001643CA">
        <w:rPr>
          <w:rFonts w:ascii="Times New Roman" w:eastAsia="Times New Roman" w:hAnsi="Times New Roman" w:cs="Times New Roman"/>
          <w:sz w:val="24"/>
          <w:szCs w:val="24"/>
          <w:lang w:eastAsia="en-GB"/>
        </w:rPr>
        <w:t xml:space="preserve"> et al., 2022). The outcome is a continuum of "medical textiles" stretching from simple absorbent dressings to multifunctional constructs that combine antimicrobial action, controlled drug release, physiological sensing, and regenerative cues within a single fabric.</w:t>
      </w:r>
    </w:p>
    <w:p w14:paraId="72C8E1B2"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1.2 Principles of Chemical Functionalization</w:t>
      </w:r>
    </w:p>
    <w:p w14:paraId="1F876D51"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Functionalization, in the textile-engineering sense, means deliberately adding new chemical or physical properties to a fibre surface without sacrificing the bulk mechanical performance that makes the substrate usable in the clinic in the first place. Cellulose, the workhorse natural-fibre backbone, offers an abundance of hydroxyl groups that lend themselves to esterification, etherification, oxidation, and cross-linking. Synthetic polyesters and polyamides are less obliging: their chemical inertness usually demands an activation step first — oxidative etching, plasma treatment, or hydrolytic ring-opening — before any covalent chemistry becomes practical (Meda et al., 2023). That activation step is not a minor technicality. It sets the density, distribution, and chemical identity of the functional handles available for whatever comes next, whether that is drug conjugation, antimicrobial grafting, or sensor immobilisation, and so it matters at least as much to the final device's performance as the choice of bioactive payload itself.</w:t>
      </w:r>
    </w:p>
    <w:p w14:paraId="29797573"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One useful way to organise this chemistry is by the type of bond formed between textile and functional moiety. Physisorption and electrostatic assembly — layer-by-layer polyelectrolyte deposition, or simple impregnation with an antiseptic-loaded cyclodextrin complex, for example — are quick and cheap but vulnerable to wash-off and to burst release that is hard to control. Covalent grafting, whether through amide coupling, Schiff-base formation, </w:t>
      </w:r>
      <w:proofErr w:type="spellStart"/>
      <w:r w:rsidRPr="001643CA">
        <w:rPr>
          <w:rFonts w:ascii="Times New Roman" w:eastAsia="Times New Roman" w:hAnsi="Times New Roman" w:cs="Times New Roman"/>
          <w:sz w:val="24"/>
          <w:szCs w:val="24"/>
          <w:lang w:eastAsia="en-GB"/>
        </w:rPr>
        <w:t>silanisation</w:t>
      </w:r>
      <w:proofErr w:type="spellEnd"/>
      <w:r w:rsidRPr="001643CA">
        <w:rPr>
          <w:rFonts w:ascii="Times New Roman" w:eastAsia="Times New Roman" w:hAnsi="Times New Roman" w:cs="Times New Roman"/>
          <w:sz w:val="24"/>
          <w:szCs w:val="24"/>
          <w:lang w:eastAsia="en-GB"/>
        </w:rPr>
        <w:t xml:space="preserve">, or the newer click-chemistry routes, gives more durable functionality, at the price of extra processing steps and, in some cases, lingering catalyst or solvent residues </w:t>
      </w:r>
      <w:r w:rsidRPr="001643CA">
        <w:rPr>
          <w:rFonts w:ascii="Times New Roman" w:eastAsia="Times New Roman" w:hAnsi="Times New Roman" w:cs="Times New Roman"/>
          <w:sz w:val="24"/>
          <w:szCs w:val="24"/>
          <w:lang w:eastAsia="en-GB"/>
        </w:rPr>
        <w:lastRenderedPageBreak/>
        <w:t>(Sánchez-</w:t>
      </w:r>
      <w:proofErr w:type="spellStart"/>
      <w:r w:rsidRPr="001643CA">
        <w:rPr>
          <w:rFonts w:ascii="Times New Roman" w:eastAsia="Times New Roman" w:hAnsi="Times New Roman" w:cs="Times New Roman"/>
          <w:sz w:val="24"/>
          <w:szCs w:val="24"/>
          <w:lang w:eastAsia="en-GB"/>
        </w:rPr>
        <w:t>Bodón</w:t>
      </w:r>
      <w:proofErr w:type="spellEnd"/>
      <w:r w:rsidRPr="001643CA">
        <w:rPr>
          <w:rFonts w:ascii="Times New Roman" w:eastAsia="Times New Roman" w:hAnsi="Times New Roman" w:cs="Times New Roman"/>
          <w:sz w:val="24"/>
          <w:szCs w:val="24"/>
          <w:lang w:eastAsia="en-GB"/>
        </w:rPr>
        <w:t xml:space="preserve"> et al., 2024a). Nanoparticle deposition sits somewhere in between: silver, zinc oxide, and silica particles can be physically trapped within the fibre matrix or covalently anchored through surface ligands, and which of these two routes is used has a real bearing on how durable the finish is and on its toxicological profile (Hemamalini et al., 2023; Liu et al., 2024). Keeping this spectrum of bonding strategies in mind is essential when reading the comparative literature discussed in later sections, since claims about antimicrobial durability, release kinetics, or sensor stability only mean something once the underlying attachment chemistry is specified.</w:t>
      </w:r>
    </w:p>
    <w:p w14:paraId="339B7905"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1.3 Scope and Objectives of This Review</w:t>
      </w:r>
    </w:p>
    <w:p w14:paraId="6E7E9027"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This review addresses the chemical functionalization of medical textiles across three connected application domains: smart wound healing, therapeutic delivery, and regenerative medicine. These domains are often treated as separate literatures, but there is good reason to bring them together here. The same chemical toolkit — surface activation, covalent grafting, nanoparticle anchoring, bioconjugation — underpins progress in each, and the most clinically meaningful innovations increasingly arise from combining functions, such as a dressing that senses infection and releases an antimicrobial payload, rather than from optimising any one function in isolation. Four objectives guide the discussion that follows: to summarise the principal chemical strategies used to functionalize fibres and fabrics for biomedical purposes; to critically assess the evidence for antimicrobial, drug-delivery, and biosensing textile platforms, with attention to mechanism, durability, and how close each is to clinical use; to examine how textile-derived scaffolds are being adapted for tissue engineering and regenerative medicine, including their integration with bioprinting and growth-factor delivery; and to identify the safety, regulatory, and sustainability questions that will decide whether laboratory-scale advances can become clinically and commercially viable products. The review is narrative rather than systematic, for reasons set out in the next section, and is written for materials scientists, biomedical engineers, and clinicians who want a critical, joined-up view of a field that is diversifying quickly.</w:t>
      </w:r>
    </w:p>
    <w:p w14:paraId="086D121F" w14:textId="77777777" w:rsidR="001643CA" w:rsidRPr="001643CA" w:rsidRDefault="001643CA" w:rsidP="001643C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2. Methods for Literature Selection</w:t>
      </w:r>
    </w:p>
    <w:p w14:paraId="5B5CDCBE"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 narrative methodology was chosen over a systematic one for this review. Systematic review suits a narrowly defined question that can be answered through exhaustive retrieval and a homogeneous study set. The present aim — mapping a chemically and clinically diverse field spanning organic synthesis, nanomaterials science, electronics, and regenerative medicine — is better served by a narrative approach able to weave together mechanistic, materials-science, and clinical evidence into a single argument. This choice follows established methodological guidance on narrative review conduct, which holds that narrative reviews remain valuable precisely when the goal is to synthesise a broad and conceptually varied literature, provided the search and selection process is made as transparent as the format allows (Ferrari, 2015).</w:t>
      </w:r>
    </w:p>
    <w:p w14:paraId="148D48AE"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The search covered the period from January 2015 to 4 June 2026, a window chosen to capture the acceleration of nanotechnology-enabled and electronics-integrated textile functionalization seen over the past decade, while still allowing a handful of earlier sources where these remained the most authoritative account of a particular methodological or epidemiological point. Searches were run in Web of Science, Scopus, Google Scholar, and PubMed, supplemented by six field-specific indexing databases chosen for their coverage of materials chemistry, biomedical engineering, and textile science: Embase, the Cumulative </w:t>
      </w:r>
      <w:r w:rsidRPr="001643CA">
        <w:rPr>
          <w:rFonts w:ascii="Times New Roman" w:eastAsia="Times New Roman" w:hAnsi="Times New Roman" w:cs="Times New Roman"/>
          <w:sz w:val="24"/>
          <w:szCs w:val="24"/>
          <w:lang w:eastAsia="en-GB"/>
        </w:rPr>
        <w:lastRenderedPageBreak/>
        <w:t xml:space="preserve">Index to Nursing and Allied Health Literature, </w:t>
      </w:r>
      <w:proofErr w:type="spellStart"/>
      <w:r w:rsidRPr="001643CA">
        <w:rPr>
          <w:rFonts w:ascii="Times New Roman" w:eastAsia="Times New Roman" w:hAnsi="Times New Roman" w:cs="Times New Roman"/>
          <w:sz w:val="24"/>
          <w:szCs w:val="24"/>
          <w:lang w:eastAsia="en-GB"/>
        </w:rPr>
        <w:t>Compendex</w:t>
      </w:r>
      <w:proofErr w:type="spellEnd"/>
      <w:r w:rsidRPr="001643CA">
        <w:rPr>
          <w:rFonts w:ascii="Times New Roman" w:eastAsia="Times New Roman" w:hAnsi="Times New Roman" w:cs="Times New Roman"/>
          <w:sz w:val="24"/>
          <w:szCs w:val="24"/>
          <w:lang w:eastAsia="en-GB"/>
        </w:rPr>
        <w:t xml:space="preserve"> (Engineering Village), the Chemical Abstracts Service literature index, INSPEC, and a dedicated textile-technology bibliographic index. Search strings combined controlled vocabulary and free-text terms across three concept clusters joined with Boolean operators: a textile-substrate cluster ("medical textile*", "smart textile*", "wound dressing*",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w:t>
      </w:r>
      <w:proofErr w:type="spellStart"/>
      <w:r w:rsidRPr="001643CA">
        <w:rPr>
          <w:rFonts w:ascii="Times New Roman" w:eastAsia="Times New Roman" w:hAnsi="Times New Roman" w:cs="Times New Roman"/>
          <w:sz w:val="24"/>
          <w:szCs w:val="24"/>
          <w:lang w:eastAsia="en-GB"/>
        </w:rPr>
        <w:t>nanofib</w:t>
      </w:r>
      <w:proofErr w:type="spellEnd"/>
      <w:r w:rsidRPr="001643CA">
        <w:rPr>
          <w:rFonts w:ascii="Times New Roman" w:eastAsia="Times New Roman" w:hAnsi="Times New Roman" w:cs="Times New Roman"/>
          <w:sz w:val="24"/>
          <w:szCs w:val="24"/>
          <w:lang w:eastAsia="en-GB"/>
        </w:rPr>
        <w:t>*", "surgical suture*", "bandage*"); a chemistry cluster ("surface functionalization", "chemical modification", "plasma treatment", "click chemistry", "grafting", "nanoparticle coating"); and an application cluster ("antimicrobial", "drug delivery", "wound monitoring", "biosensor", "tissue engineering", "regenerative medicine"). Clusters were combined with AND, and synonyms within a cluster with OR.</w:t>
      </w:r>
    </w:p>
    <w:p w14:paraId="0B2A0505"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Studies were included if they were peer-reviewed original research or review articles, published in English within the date range above, and concerned with the chemical functionalization of fibrous, woven, knitted, nonwoven, or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substrates for biomedical wound care, drug delivery, biosensing, or tissue-engineering purposes. A small number of pre-2015 sources were retained where they remained the strongest available account of a specific mechanism or clinical statistic. Books and book chapters, conference proceedings, trade or industry magazine articles, preprints, patents, and other non-peer-reviewed grey literature were excluded, as were studies in which the textile substrate was incidental rather than central to the functionalization strategy. One authoritative institutional report — a fact sheet issued by the World Health Organization — was retained where no peer-reviewed source offered comparable global epidemiological context, and is cited with a verifiable web address rather than a digital object identifier.</w:t>
      </w:r>
    </w:p>
    <w:p w14:paraId="660F4111"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Screening proceeded in two passes. Titles and abstracts were first read to remove studies clearly outside scope, after which the full text of the remaining records was checked against the inclusion and exclusion criteria. Duplicate records arising from overlapping database coverage were removed using reference-management software, with manual checking of digital object identifiers and bibliographic metadata used to resolve cases that differed only in citation formatting. No formal language filter beyond requiring an English-language full text was applied, since the great majority of relevant work in this field is published in English; non-English records identified during screening were excluded on that basis alone. Three criteria were used to prioritise particular studies for detailed discussion: the mechanistic novelty of the chemical functionalization strategy, the rigour of the in vitro or in vivo characterisation, and the standing of the journal or the citation impact of the work within materials science, chemistry, or biomedical engineering. Reference lists of the reviews retrieved were also hand-searched for primary studies the electronic search strings might have missed, a snowballing step consistent with recommended narrative-review practice (Ferrari, 2015).</w:t>
      </w:r>
    </w:p>
    <w:p w14:paraId="7240287A" w14:textId="77777777" w:rsidR="001643CA" w:rsidRPr="001643CA" w:rsidRDefault="001643CA" w:rsidP="001643C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3. Chemical Strategies for Surface Functionalization of Medical Textiles</w:t>
      </w:r>
    </w:p>
    <w:p w14:paraId="225DC177"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3.1 Plasma and Physical Activation</w:t>
      </w:r>
    </w:p>
    <w:p w14:paraId="01D3B080"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Plasma treatment has a distinctive place among activation chemistries because it touches only the outermost few nanometres of a fibre, leaving bulk mechanical and thermal properties largely untouched while still introducing reactive oxygen-, nitrogen-, or amine-bearing groups at the surface. Synthetic substrates such as polyethylene terephthalate, whose chemical inertness and low surface energy otherwise frustrate covalent finishing, particularly benefit from this kind of activation, since it provides the polar handles needed for whatever </w:t>
      </w:r>
      <w:r w:rsidRPr="001643CA">
        <w:rPr>
          <w:rFonts w:ascii="Times New Roman" w:eastAsia="Times New Roman" w:hAnsi="Times New Roman" w:cs="Times New Roman"/>
          <w:sz w:val="24"/>
          <w:szCs w:val="24"/>
          <w:lang w:eastAsia="en-GB"/>
        </w:rPr>
        <w:lastRenderedPageBreak/>
        <w:t>grafting step follows. Surgical sutures offer a direct demonstration of the principle: plasma exposure of dyed polyethylene terephthalate fibres has been used to activate the surface before chitosan immobilisation, producing a durable antibacterial coating without resorting to wet-chemical etching or organic solvents at all (</w:t>
      </w:r>
      <w:proofErr w:type="spellStart"/>
      <w:r w:rsidRPr="001643CA">
        <w:rPr>
          <w:rFonts w:ascii="Times New Roman" w:eastAsia="Times New Roman" w:hAnsi="Times New Roman" w:cs="Times New Roman"/>
          <w:sz w:val="24"/>
          <w:szCs w:val="24"/>
          <w:lang w:eastAsia="en-GB"/>
        </w:rPr>
        <w:t>Bhouri</w:t>
      </w:r>
      <w:proofErr w:type="spellEnd"/>
      <w:r w:rsidRPr="001643CA">
        <w:rPr>
          <w:rFonts w:ascii="Times New Roman" w:eastAsia="Times New Roman" w:hAnsi="Times New Roman" w:cs="Times New Roman"/>
          <w:sz w:val="24"/>
          <w:szCs w:val="24"/>
          <w:lang w:eastAsia="en-GB"/>
        </w:rPr>
        <w:t xml:space="preserve"> et al., 2022). The appeal of plasma activation lies precisely in this combination — solvent-free processing, minimal disturbance of fibre morphology, and ready compatibility with downstream biological functionalization — though the technique does require specialised equipment, and careful control of discharge power and exposure time to avoid over-etching or embrittling the fibre.</w:t>
      </w:r>
    </w:p>
    <w:p w14:paraId="3126CFCE"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3.2 Wet-Chemical Grafting and Covalent Immobilization</w:t>
      </w:r>
    </w:p>
    <w:p w14:paraId="38FED93F"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Wet-chemical routes remain the best-understood and most widely used means of attaching bioactive moieties to medical textiles, particularly cellulosic gauze. One instructive example involves a two-step sequence: cotton gauze is first grafted with glycidyl methacrylate via a Fenton-type radical reaction, after which the resulting epoxide is opened either with water or with a linear diamine of chosen chain length. This converts an otherwise unreactive cellulose surface into one bearing hydroxyl or primary amine groups capable of adsorbing ionisable drugs such as ibuprofen and amoxicillin, and the amount of drug adsorbed, together with its release kinetics, can be tuned simply by varying the chemical nature and length of the diamine spacer used (Melone, 2025). A mechanistically different approach covalently anchors bifunctional silica nanoparticles, carrying both an anti-inflammatory agent and an antibiotic, onto cotton fabric via a one-step ultrasonic coating process; protease-cleavable amide linkages were deliberately built into the design so that release is triggered by the enzymatic activity present at an inflamed or infected wound site, rather than left to passive diffusion alone (Liu et al., 2024). Chitosan grafting represents a further major route in this family: cross-linkers such as maleic acid, </w:t>
      </w:r>
      <w:proofErr w:type="spellStart"/>
      <w:r w:rsidRPr="001643CA">
        <w:rPr>
          <w:rFonts w:ascii="Times New Roman" w:eastAsia="Times New Roman" w:hAnsi="Times New Roman" w:cs="Times New Roman"/>
          <w:sz w:val="24"/>
          <w:szCs w:val="24"/>
          <w:lang w:eastAsia="en-GB"/>
        </w:rPr>
        <w:t>butanetetracarboxylic</w:t>
      </w:r>
      <w:proofErr w:type="spellEnd"/>
      <w:r w:rsidRPr="001643CA">
        <w:rPr>
          <w:rFonts w:ascii="Times New Roman" w:eastAsia="Times New Roman" w:hAnsi="Times New Roman" w:cs="Times New Roman"/>
          <w:sz w:val="24"/>
          <w:szCs w:val="24"/>
          <w:lang w:eastAsia="en-GB"/>
        </w:rPr>
        <w:t xml:space="preserve"> acid, or glutaraldehyde anchor chitosan covalently onto cellulosic or cellulose–polyester blended fabrics, and the grafted chitosan can be derivatised further still — reaction with aldehydes, for instance, can introduce fluorescent or chromogenic reporter groups, giving the finished textile simultaneous antimicrobial and </w:t>
      </w:r>
      <w:proofErr w:type="spellStart"/>
      <w:r w:rsidRPr="001643CA">
        <w:rPr>
          <w:rFonts w:ascii="Times New Roman" w:eastAsia="Times New Roman" w:hAnsi="Times New Roman" w:cs="Times New Roman"/>
          <w:sz w:val="24"/>
          <w:szCs w:val="24"/>
          <w:lang w:eastAsia="en-GB"/>
        </w:rPr>
        <w:t>theranostic</w:t>
      </w:r>
      <w:proofErr w:type="spellEnd"/>
      <w:r w:rsidRPr="001643CA">
        <w:rPr>
          <w:rFonts w:ascii="Times New Roman" w:eastAsia="Times New Roman" w:hAnsi="Times New Roman" w:cs="Times New Roman"/>
          <w:sz w:val="24"/>
          <w:szCs w:val="24"/>
          <w:lang w:eastAsia="en-GB"/>
        </w:rPr>
        <w:t xml:space="preserve"> colour-change functionality (</w:t>
      </w:r>
      <w:proofErr w:type="spellStart"/>
      <w:r w:rsidRPr="001643CA">
        <w:rPr>
          <w:rFonts w:ascii="Times New Roman" w:eastAsia="Times New Roman" w:hAnsi="Times New Roman" w:cs="Times New Roman"/>
          <w:sz w:val="24"/>
          <w:szCs w:val="24"/>
          <w:lang w:eastAsia="en-GB"/>
        </w:rPr>
        <w:t>Staneva</w:t>
      </w:r>
      <w:proofErr w:type="spellEnd"/>
      <w:r w:rsidRPr="001643CA">
        <w:rPr>
          <w:rFonts w:ascii="Times New Roman" w:eastAsia="Times New Roman" w:hAnsi="Times New Roman" w:cs="Times New Roman"/>
          <w:sz w:val="24"/>
          <w:szCs w:val="24"/>
          <w:lang w:eastAsia="en-GB"/>
        </w:rPr>
        <w:t xml:space="preserve"> et al., 2023).</w:t>
      </w:r>
    </w:p>
    <w:p w14:paraId="23E11457"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3.3 Click Chemistry and Bioconjugation</w:t>
      </w:r>
    </w:p>
    <w:p w14:paraId="0CD607E7"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Click chemistry has become an attractive alternative to classical condensation chemistry for biomedical surface functionalization, offering high yields, mild reaction conditions, and minimal by-product formation that might otherwise threaten biocompatibility. A copper-free amino-</w:t>
      </w:r>
      <w:proofErr w:type="spellStart"/>
      <w:r w:rsidRPr="001643CA">
        <w:rPr>
          <w:rFonts w:ascii="Times New Roman" w:eastAsia="Times New Roman" w:hAnsi="Times New Roman" w:cs="Times New Roman"/>
          <w:sz w:val="24"/>
          <w:szCs w:val="24"/>
          <w:lang w:eastAsia="en-GB"/>
        </w:rPr>
        <w:t>yne</w:t>
      </w:r>
      <w:proofErr w:type="spellEnd"/>
      <w:r w:rsidRPr="001643CA">
        <w:rPr>
          <w:rFonts w:ascii="Times New Roman" w:eastAsia="Times New Roman" w:hAnsi="Times New Roman" w:cs="Times New Roman"/>
          <w:sz w:val="24"/>
          <w:szCs w:val="24"/>
          <w:lang w:eastAsia="en-GB"/>
        </w:rPr>
        <w:t xml:space="preserve"> click reaction has been used to immobilise the β-lactam antibiotic amoxicillin onto poly-L-lactic acid surfaces, via alkaline hydrolysis, </w:t>
      </w:r>
      <w:proofErr w:type="spellStart"/>
      <w:r w:rsidRPr="001643CA">
        <w:rPr>
          <w:rFonts w:ascii="Times New Roman" w:eastAsia="Times New Roman" w:hAnsi="Times New Roman" w:cs="Times New Roman"/>
          <w:sz w:val="24"/>
          <w:szCs w:val="24"/>
          <w:lang w:eastAsia="en-GB"/>
        </w:rPr>
        <w:t>amidation</w:t>
      </w:r>
      <w:proofErr w:type="spellEnd"/>
      <w:r w:rsidRPr="001643CA">
        <w:rPr>
          <w:rFonts w:ascii="Times New Roman" w:eastAsia="Times New Roman" w:hAnsi="Times New Roman" w:cs="Times New Roman"/>
          <w:sz w:val="24"/>
          <w:szCs w:val="24"/>
          <w:lang w:eastAsia="en-GB"/>
        </w:rPr>
        <w:t xml:space="preserve"> with ethylenediamine, introduction of </w:t>
      </w:r>
      <w:proofErr w:type="spellStart"/>
      <w:r w:rsidRPr="001643CA">
        <w:rPr>
          <w:rFonts w:ascii="Times New Roman" w:eastAsia="Times New Roman" w:hAnsi="Times New Roman" w:cs="Times New Roman"/>
          <w:sz w:val="24"/>
          <w:szCs w:val="24"/>
          <w:lang w:eastAsia="en-GB"/>
        </w:rPr>
        <w:t>propiolic</w:t>
      </w:r>
      <w:proofErr w:type="spellEnd"/>
      <w:r w:rsidRPr="001643CA">
        <w:rPr>
          <w:rFonts w:ascii="Times New Roman" w:eastAsia="Times New Roman" w:hAnsi="Times New Roman" w:cs="Times New Roman"/>
          <w:sz w:val="24"/>
          <w:szCs w:val="24"/>
          <w:lang w:eastAsia="en-GB"/>
        </w:rPr>
        <w:t xml:space="preserve"> groups, and finally the click conjugation step itself; X-ray photoelectron spectroscopy and infrared spectroscopy together confirmed that the antibiotic was immobilised selectively and that the underlying surface remained intact (Sánchez-</w:t>
      </w:r>
      <w:proofErr w:type="spellStart"/>
      <w:r w:rsidRPr="001643CA">
        <w:rPr>
          <w:rFonts w:ascii="Times New Roman" w:eastAsia="Times New Roman" w:hAnsi="Times New Roman" w:cs="Times New Roman"/>
          <w:sz w:val="24"/>
          <w:szCs w:val="24"/>
          <w:lang w:eastAsia="en-GB"/>
        </w:rPr>
        <w:t>Bodón</w:t>
      </w:r>
      <w:proofErr w:type="spellEnd"/>
      <w:r w:rsidRPr="001643CA">
        <w:rPr>
          <w:rFonts w:ascii="Times New Roman" w:eastAsia="Times New Roman" w:hAnsi="Times New Roman" w:cs="Times New Roman"/>
          <w:sz w:val="24"/>
          <w:szCs w:val="24"/>
          <w:lang w:eastAsia="en-GB"/>
        </w:rPr>
        <w:t xml:space="preserve"> et al., 2024a). A related metal-free thiol–</w:t>
      </w:r>
      <w:proofErr w:type="spellStart"/>
      <w:r w:rsidRPr="001643CA">
        <w:rPr>
          <w:rFonts w:ascii="Times New Roman" w:eastAsia="Times New Roman" w:hAnsi="Times New Roman" w:cs="Times New Roman"/>
          <w:sz w:val="24"/>
          <w:szCs w:val="24"/>
          <w:lang w:eastAsia="en-GB"/>
        </w:rPr>
        <w:t>yne</w:t>
      </w:r>
      <w:proofErr w:type="spellEnd"/>
      <w:r w:rsidRPr="001643CA">
        <w:rPr>
          <w:rFonts w:ascii="Times New Roman" w:eastAsia="Times New Roman" w:hAnsi="Times New Roman" w:cs="Times New Roman"/>
          <w:sz w:val="24"/>
          <w:szCs w:val="24"/>
          <w:lang w:eastAsia="en-GB"/>
        </w:rPr>
        <w:t xml:space="preserve"> photo-click reaction has likewise been demonstrated for biomolecule immobilisation onto the same biodegradable polyester, using ultraviolet-initiated radical addition between thiol-bearing biomolecules and alkyne-functionalised surfaces to achieve conjugation with spatial and temporal control, while avoiding the cytotoxicity concerns that residual copper catalyst can bring (Sánchez-</w:t>
      </w:r>
      <w:proofErr w:type="spellStart"/>
      <w:r w:rsidRPr="001643CA">
        <w:rPr>
          <w:rFonts w:ascii="Times New Roman" w:eastAsia="Times New Roman" w:hAnsi="Times New Roman" w:cs="Times New Roman"/>
          <w:sz w:val="24"/>
          <w:szCs w:val="24"/>
          <w:lang w:eastAsia="en-GB"/>
        </w:rPr>
        <w:t>Bodón</w:t>
      </w:r>
      <w:proofErr w:type="spellEnd"/>
      <w:r w:rsidRPr="001643CA">
        <w:rPr>
          <w:rFonts w:ascii="Times New Roman" w:eastAsia="Times New Roman" w:hAnsi="Times New Roman" w:cs="Times New Roman"/>
          <w:sz w:val="24"/>
          <w:szCs w:val="24"/>
          <w:lang w:eastAsia="en-GB"/>
        </w:rPr>
        <w:t xml:space="preserve"> et al., 2024b). These particular demonstrations were carried out on flat poly-L-lactic acid surfaces rather than fibre substrates, but the chemistry should transfer directly to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or melt-spun medical-textile fibres made of the same biodegradable polyester, and the work as a whole points to a broader move toward </w:t>
      </w:r>
      <w:proofErr w:type="spellStart"/>
      <w:r w:rsidRPr="001643CA">
        <w:rPr>
          <w:rFonts w:ascii="Times New Roman" w:eastAsia="Times New Roman" w:hAnsi="Times New Roman" w:cs="Times New Roman"/>
          <w:sz w:val="24"/>
          <w:szCs w:val="24"/>
          <w:lang w:eastAsia="en-GB"/>
        </w:rPr>
        <w:t>bioorthogonal</w:t>
      </w:r>
      <w:proofErr w:type="spellEnd"/>
      <w:r w:rsidRPr="001643CA">
        <w:rPr>
          <w:rFonts w:ascii="Times New Roman" w:eastAsia="Times New Roman" w:hAnsi="Times New Roman" w:cs="Times New Roman"/>
          <w:sz w:val="24"/>
          <w:szCs w:val="24"/>
          <w:lang w:eastAsia="en-GB"/>
        </w:rPr>
        <w:t xml:space="preserve">, catalyst-minimised conjugation </w:t>
      </w:r>
      <w:r w:rsidRPr="001643CA">
        <w:rPr>
          <w:rFonts w:ascii="Times New Roman" w:eastAsia="Times New Roman" w:hAnsi="Times New Roman" w:cs="Times New Roman"/>
          <w:sz w:val="24"/>
          <w:szCs w:val="24"/>
          <w:lang w:eastAsia="en-GB"/>
        </w:rPr>
        <w:lastRenderedPageBreak/>
        <w:t>methods that sidestep the harsher conditions and lower selectivity of traditional carbodiimide or glutaraldehyde coupling.</w:t>
      </w:r>
    </w:p>
    <w:p w14:paraId="09F9E889"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3.4 Nanoparticle and Sol–Gel Coatings</w:t>
      </w:r>
    </w:p>
    <w:p w14:paraId="535A8B69"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Nanoparticle deposition forms a distinct functionalization class because the bioactive entity here is not a discrete small molecule but a particulate phase, whose biological performance depends jointly on size, crystallinity, and surface chemistry. Nano-engineered textiles incorporating metal, metal-oxide, and carbon-based nanostructures have been reviewed at length as a route to antimicrobial, ultraviolet-protective, conductive, and sensing functionality all at once, with the deposition method chosen — exhaustion, padding, in situ reduction, or sol–gel templating — largely determining how well the coating survives laundering and how prone it is to particle leaching (Meda et al., 2023). A good example of in situ synthesis involved </w:t>
      </w:r>
      <w:proofErr w:type="spellStart"/>
      <w:r w:rsidRPr="001643CA">
        <w:rPr>
          <w:rFonts w:ascii="Times New Roman" w:eastAsia="Times New Roman" w:hAnsi="Times New Roman" w:cs="Times New Roman"/>
          <w:sz w:val="24"/>
          <w:szCs w:val="24"/>
          <w:lang w:eastAsia="en-GB"/>
        </w:rPr>
        <w:t>cationising</w:t>
      </w:r>
      <w:proofErr w:type="spellEnd"/>
      <w:r w:rsidRPr="001643CA">
        <w:rPr>
          <w:rFonts w:ascii="Times New Roman" w:eastAsia="Times New Roman" w:hAnsi="Times New Roman" w:cs="Times New Roman"/>
          <w:sz w:val="24"/>
          <w:szCs w:val="24"/>
          <w:lang w:eastAsia="en-GB"/>
        </w:rPr>
        <w:t xml:space="preserve"> cellulosic nonwoven fibres with a quaternary ammonium agent before wet-laying, which both improved fibre dispersion during web formation and strengthened the electrostatic binding of silver nanoparticles introduced afterwards; the resulting nonwoven produced substantial zones of bacterial growth inhibition without needing a separate post-treatment coating step (Hemamalini et al., 2023). These nanoparticle and sol–gel strategies sit between textile finishing and nanomedicine proper, and Table 1 sets out their comparative strengths and limitations alongside the covalent small-molecule chemistries described above.</w:t>
      </w:r>
    </w:p>
    <w:p w14:paraId="53A32B76"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b/>
          <w:bCs/>
          <w:sz w:val="24"/>
          <w:szCs w:val="24"/>
          <w:lang w:eastAsia="en-GB"/>
        </w:rPr>
        <w:t>Table 1. Representative chemical functionalization strategies for medical textiles</w:t>
      </w:r>
    </w:p>
    <w:tbl>
      <w:tblPr>
        <w:tblStyle w:val="TableGrid"/>
        <w:tblW w:w="0" w:type="auto"/>
        <w:tblLook w:val="04A0" w:firstRow="1" w:lastRow="0" w:firstColumn="1" w:lastColumn="0" w:noHBand="0" w:noVBand="1"/>
      </w:tblPr>
      <w:tblGrid>
        <w:gridCol w:w="1689"/>
        <w:gridCol w:w="1734"/>
        <w:gridCol w:w="2079"/>
        <w:gridCol w:w="2235"/>
        <w:gridCol w:w="1505"/>
      </w:tblGrid>
      <w:tr w:rsidR="001643CA" w:rsidRPr="001643CA" w14:paraId="4B0A0331" w14:textId="77777777" w:rsidTr="00E43021">
        <w:tc>
          <w:tcPr>
            <w:tcW w:w="0" w:type="auto"/>
            <w:hideMark/>
          </w:tcPr>
          <w:p w14:paraId="35C7326C"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Strategy</w:t>
            </w:r>
          </w:p>
        </w:tc>
        <w:tc>
          <w:tcPr>
            <w:tcW w:w="0" w:type="auto"/>
            <w:hideMark/>
          </w:tcPr>
          <w:p w14:paraId="35E629EF"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Typical substrate</w:t>
            </w:r>
          </w:p>
        </w:tc>
        <w:tc>
          <w:tcPr>
            <w:tcW w:w="0" w:type="auto"/>
            <w:hideMark/>
          </w:tcPr>
          <w:p w14:paraId="59E3815A"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Mechanism of attachment</w:t>
            </w:r>
          </w:p>
        </w:tc>
        <w:tc>
          <w:tcPr>
            <w:tcW w:w="0" w:type="auto"/>
            <w:hideMark/>
          </w:tcPr>
          <w:p w14:paraId="07E63722"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Principal functional outcome</w:t>
            </w:r>
          </w:p>
        </w:tc>
        <w:tc>
          <w:tcPr>
            <w:tcW w:w="0" w:type="auto"/>
            <w:hideMark/>
          </w:tcPr>
          <w:p w14:paraId="25DDDA3C"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Key limitation</w:t>
            </w:r>
          </w:p>
        </w:tc>
      </w:tr>
      <w:tr w:rsidR="001643CA" w:rsidRPr="001643CA" w14:paraId="10E5AFAA" w14:textId="77777777" w:rsidTr="00E43021">
        <w:tc>
          <w:tcPr>
            <w:tcW w:w="0" w:type="auto"/>
            <w:hideMark/>
          </w:tcPr>
          <w:p w14:paraId="5A294F02"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Plasma activation</w:t>
            </w:r>
          </w:p>
        </w:tc>
        <w:tc>
          <w:tcPr>
            <w:tcW w:w="0" w:type="auto"/>
            <w:hideMark/>
          </w:tcPr>
          <w:p w14:paraId="7DC8E241"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Polyethylene terephthalate sutures</w:t>
            </w:r>
          </w:p>
        </w:tc>
        <w:tc>
          <w:tcPr>
            <w:tcW w:w="0" w:type="auto"/>
            <w:hideMark/>
          </w:tcPr>
          <w:p w14:paraId="1E9CD259"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Surface generation of polar/amine groups</w:t>
            </w:r>
          </w:p>
        </w:tc>
        <w:tc>
          <w:tcPr>
            <w:tcW w:w="0" w:type="auto"/>
            <w:hideMark/>
          </w:tcPr>
          <w:p w14:paraId="013E6831"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Enables subsequent chitosan or peptide grafting</w:t>
            </w:r>
          </w:p>
        </w:tc>
        <w:tc>
          <w:tcPr>
            <w:tcW w:w="0" w:type="auto"/>
            <w:hideMark/>
          </w:tcPr>
          <w:p w14:paraId="522FDAB2"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Requires specialised equipment; limited depth of modification</w:t>
            </w:r>
          </w:p>
        </w:tc>
      </w:tr>
      <w:tr w:rsidR="001643CA" w:rsidRPr="001643CA" w14:paraId="28BD474E" w14:textId="77777777" w:rsidTr="00E43021">
        <w:tc>
          <w:tcPr>
            <w:tcW w:w="0" w:type="auto"/>
            <w:hideMark/>
          </w:tcPr>
          <w:p w14:paraId="5690D942"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Diamine/epoxide wet grafting</w:t>
            </w:r>
          </w:p>
        </w:tc>
        <w:tc>
          <w:tcPr>
            <w:tcW w:w="0" w:type="auto"/>
            <w:hideMark/>
          </w:tcPr>
          <w:p w14:paraId="0DEBA447"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Cotton gauze</w:t>
            </w:r>
          </w:p>
        </w:tc>
        <w:tc>
          <w:tcPr>
            <w:tcW w:w="0" w:type="auto"/>
            <w:hideMark/>
          </w:tcPr>
          <w:p w14:paraId="2409EF77"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Covalent epoxide ring-opening</w:t>
            </w:r>
          </w:p>
        </w:tc>
        <w:tc>
          <w:tcPr>
            <w:tcW w:w="0" w:type="auto"/>
            <w:hideMark/>
          </w:tcPr>
          <w:p w14:paraId="2C34807F" w14:textId="77777777" w:rsidR="001643CA" w:rsidRPr="001643CA" w:rsidRDefault="001643CA" w:rsidP="001643CA">
            <w:pPr>
              <w:rPr>
                <w:rFonts w:ascii="Times New Roman" w:eastAsia="Times New Roman" w:hAnsi="Times New Roman" w:cs="Times New Roman"/>
                <w:sz w:val="24"/>
                <w:szCs w:val="24"/>
                <w:lang w:eastAsia="en-GB"/>
              </w:rPr>
            </w:pPr>
            <w:proofErr w:type="spellStart"/>
            <w:r w:rsidRPr="001643CA">
              <w:rPr>
                <w:rFonts w:ascii="Times New Roman" w:eastAsia="Times New Roman" w:hAnsi="Times New Roman" w:cs="Times New Roman"/>
                <w:sz w:val="24"/>
                <w:szCs w:val="24"/>
                <w:lang w:eastAsia="en-GB"/>
              </w:rPr>
              <w:t>Tunable</w:t>
            </w:r>
            <w:proofErr w:type="spellEnd"/>
            <w:r w:rsidRPr="001643CA">
              <w:rPr>
                <w:rFonts w:ascii="Times New Roman" w:eastAsia="Times New Roman" w:hAnsi="Times New Roman" w:cs="Times New Roman"/>
                <w:sz w:val="24"/>
                <w:szCs w:val="24"/>
                <w:lang w:eastAsia="en-GB"/>
              </w:rPr>
              <w:t xml:space="preserve"> drug adsorption and ionic-strength-responsive release</w:t>
            </w:r>
          </w:p>
        </w:tc>
        <w:tc>
          <w:tcPr>
            <w:tcW w:w="0" w:type="auto"/>
            <w:hideMark/>
          </w:tcPr>
          <w:p w14:paraId="753260EC"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Multistep synthesis; variable grafting density</w:t>
            </w:r>
          </w:p>
        </w:tc>
      </w:tr>
      <w:tr w:rsidR="001643CA" w:rsidRPr="001643CA" w14:paraId="24425313" w14:textId="77777777" w:rsidTr="00E43021">
        <w:tc>
          <w:tcPr>
            <w:tcW w:w="0" w:type="auto"/>
            <w:hideMark/>
          </w:tcPr>
          <w:p w14:paraId="006541B3"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Silica-nanoparticle covalent coating</w:t>
            </w:r>
          </w:p>
        </w:tc>
        <w:tc>
          <w:tcPr>
            <w:tcW w:w="0" w:type="auto"/>
            <w:hideMark/>
          </w:tcPr>
          <w:p w14:paraId="479612A5"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Cotton fabric</w:t>
            </w:r>
          </w:p>
        </w:tc>
        <w:tc>
          <w:tcPr>
            <w:tcW w:w="0" w:type="auto"/>
            <w:hideMark/>
          </w:tcPr>
          <w:p w14:paraId="63561AA2"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Amide-linked, enzyme-cleavable conjugation</w:t>
            </w:r>
          </w:p>
        </w:tc>
        <w:tc>
          <w:tcPr>
            <w:tcW w:w="0" w:type="auto"/>
            <w:hideMark/>
          </w:tcPr>
          <w:p w14:paraId="7948A725"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Dual anti-inflammatory/antibiotic, on-demand release</w:t>
            </w:r>
          </w:p>
        </w:tc>
        <w:tc>
          <w:tcPr>
            <w:tcW w:w="0" w:type="auto"/>
            <w:hideMark/>
          </w:tcPr>
          <w:p w14:paraId="73411EAA"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Nanoparticle stability and leaching considerations</w:t>
            </w:r>
          </w:p>
        </w:tc>
      </w:tr>
      <w:tr w:rsidR="001643CA" w:rsidRPr="001643CA" w14:paraId="1D896F9C" w14:textId="77777777" w:rsidTr="00E43021">
        <w:tc>
          <w:tcPr>
            <w:tcW w:w="0" w:type="auto"/>
            <w:hideMark/>
          </w:tcPr>
          <w:p w14:paraId="1F79C85C"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Chitosan cross-linking</w:t>
            </w:r>
          </w:p>
        </w:tc>
        <w:tc>
          <w:tcPr>
            <w:tcW w:w="0" w:type="auto"/>
            <w:hideMark/>
          </w:tcPr>
          <w:p w14:paraId="1E083DB4"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Cellulosic/cotton–polyester blends</w:t>
            </w:r>
          </w:p>
        </w:tc>
        <w:tc>
          <w:tcPr>
            <w:tcW w:w="0" w:type="auto"/>
            <w:hideMark/>
          </w:tcPr>
          <w:p w14:paraId="3D33D26C"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Covalent cross-linking with di- or tetracarboxylic acids</w:t>
            </w:r>
          </w:p>
        </w:tc>
        <w:tc>
          <w:tcPr>
            <w:tcW w:w="0" w:type="auto"/>
            <w:hideMark/>
          </w:tcPr>
          <w:p w14:paraId="081C3D46"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Durable antimicrobial and </w:t>
            </w:r>
            <w:proofErr w:type="spellStart"/>
            <w:r w:rsidRPr="001643CA">
              <w:rPr>
                <w:rFonts w:ascii="Times New Roman" w:eastAsia="Times New Roman" w:hAnsi="Times New Roman" w:cs="Times New Roman"/>
                <w:sz w:val="24"/>
                <w:szCs w:val="24"/>
                <w:lang w:eastAsia="en-GB"/>
              </w:rPr>
              <w:t>theranostic</w:t>
            </w:r>
            <w:proofErr w:type="spellEnd"/>
            <w:r w:rsidRPr="001643CA">
              <w:rPr>
                <w:rFonts w:ascii="Times New Roman" w:eastAsia="Times New Roman" w:hAnsi="Times New Roman" w:cs="Times New Roman"/>
                <w:sz w:val="24"/>
                <w:szCs w:val="24"/>
                <w:lang w:eastAsia="en-GB"/>
              </w:rPr>
              <w:t xml:space="preserve"> colour response</w:t>
            </w:r>
          </w:p>
        </w:tc>
        <w:tc>
          <w:tcPr>
            <w:tcW w:w="0" w:type="auto"/>
            <w:hideMark/>
          </w:tcPr>
          <w:p w14:paraId="3E675735"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Wash durability declines after repeated laundering cycles</w:t>
            </w:r>
          </w:p>
        </w:tc>
      </w:tr>
      <w:tr w:rsidR="001643CA" w:rsidRPr="001643CA" w14:paraId="6AF4D434" w14:textId="77777777" w:rsidTr="00E43021">
        <w:tc>
          <w:tcPr>
            <w:tcW w:w="0" w:type="auto"/>
            <w:hideMark/>
          </w:tcPr>
          <w:p w14:paraId="3C8B87F7"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Click chemistry (amino-</w:t>
            </w:r>
            <w:proofErr w:type="spellStart"/>
            <w:r w:rsidRPr="001643CA">
              <w:rPr>
                <w:rFonts w:ascii="Times New Roman" w:eastAsia="Times New Roman" w:hAnsi="Times New Roman" w:cs="Times New Roman"/>
                <w:sz w:val="24"/>
                <w:szCs w:val="24"/>
                <w:lang w:eastAsia="en-GB"/>
              </w:rPr>
              <w:t>yne</w:t>
            </w:r>
            <w:proofErr w:type="spellEnd"/>
            <w:r w:rsidRPr="001643CA">
              <w:rPr>
                <w:rFonts w:ascii="Times New Roman" w:eastAsia="Times New Roman" w:hAnsi="Times New Roman" w:cs="Times New Roman"/>
                <w:sz w:val="24"/>
                <w:szCs w:val="24"/>
                <w:lang w:eastAsia="en-GB"/>
              </w:rPr>
              <w:t xml:space="preserve">, </w:t>
            </w:r>
            <w:r w:rsidRPr="001643CA">
              <w:rPr>
                <w:rFonts w:ascii="Times New Roman" w:eastAsia="Times New Roman" w:hAnsi="Times New Roman" w:cs="Times New Roman"/>
                <w:sz w:val="24"/>
                <w:szCs w:val="24"/>
                <w:lang w:eastAsia="en-GB"/>
              </w:rPr>
              <w:lastRenderedPageBreak/>
              <w:t>thiol-</w:t>
            </w:r>
            <w:proofErr w:type="spellStart"/>
            <w:r w:rsidRPr="001643CA">
              <w:rPr>
                <w:rFonts w:ascii="Times New Roman" w:eastAsia="Times New Roman" w:hAnsi="Times New Roman" w:cs="Times New Roman"/>
                <w:sz w:val="24"/>
                <w:szCs w:val="24"/>
                <w:lang w:eastAsia="en-GB"/>
              </w:rPr>
              <w:t>yne</w:t>
            </w:r>
            <w:proofErr w:type="spellEnd"/>
            <w:r w:rsidRPr="001643CA">
              <w:rPr>
                <w:rFonts w:ascii="Times New Roman" w:eastAsia="Times New Roman" w:hAnsi="Times New Roman" w:cs="Times New Roman"/>
                <w:sz w:val="24"/>
                <w:szCs w:val="24"/>
                <w:lang w:eastAsia="en-GB"/>
              </w:rPr>
              <w:t>)</w:t>
            </w:r>
          </w:p>
        </w:tc>
        <w:tc>
          <w:tcPr>
            <w:tcW w:w="0" w:type="auto"/>
            <w:hideMark/>
          </w:tcPr>
          <w:p w14:paraId="4FEBF5D5"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lastRenderedPageBreak/>
              <w:t>Poly-L-lactic acid</w:t>
            </w:r>
          </w:p>
        </w:tc>
        <w:tc>
          <w:tcPr>
            <w:tcW w:w="0" w:type="auto"/>
            <w:hideMark/>
          </w:tcPr>
          <w:p w14:paraId="2A42C3D2"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Catalyst-free or metal-free cycloaddition/addit</w:t>
            </w:r>
            <w:r w:rsidRPr="001643CA">
              <w:rPr>
                <w:rFonts w:ascii="Times New Roman" w:eastAsia="Times New Roman" w:hAnsi="Times New Roman" w:cs="Times New Roman"/>
                <w:sz w:val="24"/>
                <w:szCs w:val="24"/>
                <w:lang w:eastAsia="en-GB"/>
              </w:rPr>
              <w:lastRenderedPageBreak/>
              <w:t>ion</w:t>
            </w:r>
          </w:p>
        </w:tc>
        <w:tc>
          <w:tcPr>
            <w:tcW w:w="0" w:type="auto"/>
            <w:hideMark/>
          </w:tcPr>
          <w:p w14:paraId="5E5F2827"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lastRenderedPageBreak/>
              <w:t>High-fidelity, biocompatible bioconjugation</w:t>
            </w:r>
          </w:p>
        </w:tc>
        <w:tc>
          <w:tcPr>
            <w:tcW w:w="0" w:type="auto"/>
            <w:hideMark/>
          </w:tcPr>
          <w:p w14:paraId="03944A58"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Currently demonstrated mainly on </w:t>
            </w:r>
            <w:r w:rsidRPr="001643CA">
              <w:rPr>
                <w:rFonts w:ascii="Times New Roman" w:eastAsia="Times New Roman" w:hAnsi="Times New Roman" w:cs="Times New Roman"/>
                <w:sz w:val="24"/>
                <w:szCs w:val="24"/>
                <w:lang w:eastAsia="en-GB"/>
              </w:rPr>
              <w:lastRenderedPageBreak/>
              <w:t>flat, non-fibrous surfaces</w:t>
            </w:r>
          </w:p>
        </w:tc>
      </w:tr>
      <w:tr w:rsidR="001643CA" w:rsidRPr="001643CA" w14:paraId="048679F6" w14:textId="77777777" w:rsidTr="00E43021">
        <w:tc>
          <w:tcPr>
            <w:tcW w:w="0" w:type="auto"/>
            <w:hideMark/>
          </w:tcPr>
          <w:p w14:paraId="4D7DBE9C"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lastRenderedPageBreak/>
              <w:t>Nanoparticle/sol–gel deposition</w:t>
            </w:r>
          </w:p>
        </w:tc>
        <w:tc>
          <w:tcPr>
            <w:tcW w:w="0" w:type="auto"/>
            <w:hideMark/>
          </w:tcPr>
          <w:p w14:paraId="6C0639EA"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Cellulosic nonwovens</w:t>
            </w:r>
          </w:p>
        </w:tc>
        <w:tc>
          <w:tcPr>
            <w:tcW w:w="0" w:type="auto"/>
            <w:hideMark/>
          </w:tcPr>
          <w:p w14:paraId="45E8BEA4"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Electrostatic anchoring or in situ reduction</w:t>
            </w:r>
          </w:p>
        </w:tc>
        <w:tc>
          <w:tcPr>
            <w:tcW w:w="0" w:type="auto"/>
            <w:hideMark/>
          </w:tcPr>
          <w:p w14:paraId="0CE68481"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Broad-spectrum antimicrobial and multifunctional coatings</w:t>
            </w:r>
          </w:p>
        </w:tc>
        <w:tc>
          <w:tcPr>
            <w:tcW w:w="0" w:type="auto"/>
            <w:hideMark/>
          </w:tcPr>
          <w:p w14:paraId="02760410"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Variable durability; nanotoxicology uncertainties</w:t>
            </w:r>
          </w:p>
        </w:tc>
      </w:tr>
    </w:tbl>
    <w:p w14:paraId="360182ED"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i/>
          <w:iCs/>
          <w:sz w:val="24"/>
          <w:szCs w:val="24"/>
          <w:lang w:eastAsia="en-GB"/>
        </w:rPr>
        <w:t xml:space="preserve">Sources: </w:t>
      </w:r>
      <w:proofErr w:type="spellStart"/>
      <w:r w:rsidRPr="001643CA">
        <w:rPr>
          <w:rFonts w:ascii="Times New Roman" w:eastAsia="Times New Roman" w:hAnsi="Times New Roman" w:cs="Times New Roman"/>
          <w:i/>
          <w:iCs/>
          <w:sz w:val="24"/>
          <w:szCs w:val="24"/>
          <w:lang w:eastAsia="en-GB"/>
        </w:rPr>
        <w:t>Bhouri</w:t>
      </w:r>
      <w:proofErr w:type="spellEnd"/>
      <w:r w:rsidRPr="001643CA">
        <w:rPr>
          <w:rFonts w:ascii="Times New Roman" w:eastAsia="Times New Roman" w:hAnsi="Times New Roman" w:cs="Times New Roman"/>
          <w:i/>
          <w:iCs/>
          <w:sz w:val="24"/>
          <w:szCs w:val="24"/>
          <w:lang w:eastAsia="en-GB"/>
        </w:rPr>
        <w:t xml:space="preserve"> et al. (2022); Melone (2025); Liu et al. (2024); </w:t>
      </w:r>
      <w:proofErr w:type="spellStart"/>
      <w:r w:rsidRPr="001643CA">
        <w:rPr>
          <w:rFonts w:ascii="Times New Roman" w:eastAsia="Times New Roman" w:hAnsi="Times New Roman" w:cs="Times New Roman"/>
          <w:i/>
          <w:iCs/>
          <w:sz w:val="24"/>
          <w:szCs w:val="24"/>
          <w:lang w:eastAsia="en-GB"/>
        </w:rPr>
        <w:t>Staneva</w:t>
      </w:r>
      <w:proofErr w:type="spellEnd"/>
      <w:r w:rsidRPr="001643CA">
        <w:rPr>
          <w:rFonts w:ascii="Times New Roman" w:eastAsia="Times New Roman" w:hAnsi="Times New Roman" w:cs="Times New Roman"/>
          <w:i/>
          <w:iCs/>
          <w:sz w:val="24"/>
          <w:szCs w:val="24"/>
          <w:lang w:eastAsia="en-GB"/>
        </w:rPr>
        <w:t xml:space="preserve"> et al. (2023); Sánchez-</w:t>
      </w:r>
      <w:proofErr w:type="spellStart"/>
      <w:r w:rsidRPr="001643CA">
        <w:rPr>
          <w:rFonts w:ascii="Times New Roman" w:eastAsia="Times New Roman" w:hAnsi="Times New Roman" w:cs="Times New Roman"/>
          <w:i/>
          <w:iCs/>
          <w:sz w:val="24"/>
          <w:szCs w:val="24"/>
          <w:lang w:eastAsia="en-GB"/>
        </w:rPr>
        <w:t>Bodón</w:t>
      </w:r>
      <w:proofErr w:type="spellEnd"/>
      <w:r w:rsidRPr="001643CA">
        <w:rPr>
          <w:rFonts w:ascii="Times New Roman" w:eastAsia="Times New Roman" w:hAnsi="Times New Roman" w:cs="Times New Roman"/>
          <w:i/>
          <w:iCs/>
          <w:sz w:val="24"/>
          <w:szCs w:val="24"/>
          <w:lang w:eastAsia="en-GB"/>
        </w:rPr>
        <w:t xml:space="preserve"> et al. (2024a); Sánchez-</w:t>
      </w:r>
      <w:proofErr w:type="spellStart"/>
      <w:r w:rsidRPr="001643CA">
        <w:rPr>
          <w:rFonts w:ascii="Times New Roman" w:eastAsia="Times New Roman" w:hAnsi="Times New Roman" w:cs="Times New Roman"/>
          <w:i/>
          <w:iCs/>
          <w:sz w:val="24"/>
          <w:szCs w:val="24"/>
          <w:lang w:eastAsia="en-GB"/>
        </w:rPr>
        <w:t>Bodón</w:t>
      </w:r>
      <w:proofErr w:type="spellEnd"/>
      <w:r w:rsidRPr="001643CA">
        <w:rPr>
          <w:rFonts w:ascii="Times New Roman" w:eastAsia="Times New Roman" w:hAnsi="Times New Roman" w:cs="Times New Roman"/>
          <w:i/>
          <w:iCs/>
          <w:sz w:val="24"/>
          <w:szCs w:val="24"/>
          <w:lang w:eastAsia="en-GB"/>
        </w:rPr>
        <w:t xml:space="preserve"> et al. (2024b); Meda et al. (2023); Hemamalini et al. (2023).</w:t>
      </w:r>
    </w:p>
    <w:p w14:paraId="73087D2D"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Table 1 makes a fairly simple point visible: no single chemistry wins on every criterion. Plasma activation and click chemistry are precise and disturb the bulk fibre very little, but remain comparatively unproven at fibre scale; wet-chemical grafting and nanoparticle deposition are technologically mature and easy to scale, but more prone to batch-to-batch variation in grafting density and to gradual loss of functional payload during use and laundering.</w:t>
      </w:r>
    </w:p>
    <w:p w14:paraId="27B71605" w14:textId="77777777" w:rsidR="001643CA" w:rsidRPr="001643CA" w:rsidRDefault="001643CA" w:rsidP="001643C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4. Antimicrobial and Anti-Infective Functionalization</w:t>
      </w:r>
    </w:p>
    <w:p w14:paraId="35D47C3C"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4.1 Metal and Metal-Oxide Nanoparticles</w:t>
      </w:r>
    </w:p>
    <w:p w14:paraId="33AEC90A"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Metallic and metal-oxide nanoparticles remain the most heavily studied class of antimicrobial textile finish, largely because of their broad-spectrum activity against both Gram-positive and Gram-negative bacteria, and because they appear less likely than conventional antibiotics to drive classical resistance mechanisms. A wide-ranging evaluation of metal nanoparticle–polymer hybrids for chronic wound dressings has discussed how silver, gold, zinc oxide, and copper nanoparticles act through overlapping but distinguishable pathways — disrupting bacterial membrane integrity, generating reactive oxygen species, and interfering with microbial enzymatic and genetic machinery — and stresses that hybridising these particles with a polymeric carrier is essential both to control release kinetics and to limit the cytotoxic potential unmodified nanoparticles can show toward host keratinocytes and fibroblasts (Aminzai &amp; Patan, 2024). The </w:t>
      </w:r>
      <w:proofErr w:type="spellStart"/>
      <w:r w:rsidRPr="001643CA">
        <w:rPr>
          <w:rFonts w:ascii="Times New Roman" w:eastAsia="Times New Roman" w:hAnsi="Times New Roman" w:cs="Times New Roman"/>
          <w:sz w:val="24"/>
          <w:szCs w:val="24"/>
          <w:lang w:eastAsia="en-GB"/>
        </w:rPr>
        <w:t>cationisation</w:t>
      </w:r>
      <w:proofErr w:type="spellEnd"/>
      <w:r w:rsidRPr="001643CA">
        <w:rPr>
          <w:rFonts w:ascii="Times New Roman" w:eastAsia="Times New Roman" w:hAnsi="Times New Roman" w:cs="Times New Roman"/>
          <w:sz w:val="24"/>
          <w:szCs w:val="24"/>
          <w:lang w:eastAsia="en-GB"/>
        </w:rPr>
        <w:t xml:space="preserve">-assisted </w:t>
      </w:r>
      <w:proofErr w:type="spellStart"/>
      <w:r w:rsidRPr="001643CA">
        <w:rPr>
          <w:rFonts w:ascii="Times New Roman" w:eastAsia="Times New Roman" w:hAnsi="Times New Roman" w:cs="Times New Roman"/>
          <w:sz w:val="24"/>
          <w:szCs w:val="24"/>
          <w:lang w:eastAsia="en-GB"/>
        </w:rPr>
        <w:t>nanosilver</w:t>
      </w:r>
      <w:proofErr w:type="spellEnd"/>
      <w:r w:rsidRPr="001643CA">
        <w:rPr>
          <w:rFonts w:ascii="Times New Roman" w:eastAsia="Times New Roman" w:hAnsi="Times New Roman" w:cs="Times New Roman"/>
          <w:sz w:val="24"/>
          <w:szCs w:val="24"/>
          <w:lang w:eastAsia="en-GB"/>
        </w:rPr>
        <w:t xml:space="preserve"> deposition strategy described in the previous section shows how textile-specific processing can be engineered to keep most of the nanoparticle anchored at the fibre surface while minimising the free-particle burden available for systemic uptake (Hemamalini et al., 2023). Bifunctional silica-nanoparticle coatings push this idea a step further, by covalently anchoring both an antibiotic and an anti-inflammatory agent within the same particle: here, the nanoparticle works mainly as a chemically addressable scaffold rather than as the bioactive agent itself, which has the useful effect of decoupling the antimicrobial mechanism from any intrinsic nanoparticle toxicity (Liu et al., 2024).</w:t>
      </w:r>
    </w:p>
    <w:p w14:paraId="536343CC"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4.2 Chitosan and Natural Polycationic Polymers</w:t>
      </w:r>
    </w:p>
    <w:p w14:paraId="222CC7AC"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Chitosan holds a privileged position among biopolymer-based antimicrobial finishes. Its protonatable amine groups give it intrinsic, broad-spectrum antibacterial activity through electrostatic disruption of negatively charged bacterial membranes, while the polymer itself remains biocompatible, biodegradable, and intrinsically haemostatic — properties that matter </w:t>
      </w:r>
      <w:r w:rsidRPr="001643CA">
        <w:rPr>
          <w:rFonts w:ascii="Times New Roman" w:eastAsia="Times New Roman" w:hAnsi="Times New Roman" w:cs="Times New Roman"/>
          <w:sz w:val="24"/>
          <w:szCs w:val="24"/>
          <w:lang w:eastAsia="en-GB"/>
        </w:rPr>
        <w:lastRenderedPageBreak/>
        <w:t xml:space="preserve">a great deal in a wound-care context. Catechol-modified quaternary chitosan, deposited together with a </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sponge layer onto cotton nonwoven fabric, combines rapid haemostatic action — owing to the </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layer's porosity and thickness — with immediate and long-lasting antimicrobial activity contributed by the quaternised, catechol-functionalised chitosan, and in vivo testing showed faster healing of infected wounds compared with the unmodified nonwoven substrate (L. Li et al., 2023). Beyond cotton-based dressings, chitosan and its chemically modified derivatives have been reviewed extensively as carriers and bioactive agents in skin and soft-tissue disease, exploiting the polymer's antibacterial, antitumour, and immunomodulatory chemistry across hydrogel, sponge, microsphere, and thin-film formats (Xia et al., 2022). What makes chitosan so chemically versatile — amenable to carboxymethylation, quaternisation, catechol functionalisation, and more — is that its antimicrobial potency, solubility, and mechanical compatibility with a given textile substrate can each be tuned more or less independently, a flexibility that is harder to achieve with metal-nanoparticle finishes, whose core antimicrobial mechanism is fixed by the chemistry of the metal itself.</w:t>
      </w:r>
    </w:p>
    <w:p w14:paraId="2AF4CDCE"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4.3 Antimicrobial Peptides and Quaternary Ammonium Compounds</w:t>
      </w:r>
    </w:p>
    <w:p w14:paraId="0C8813C8"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Antimicrobial peptides form a third major chemical class, set apart from metal nanoparticles and chitosan by the fact that their sequence can be designed at will, and by a generally rapid, membrane-disruptive mode of action thought to carry a lower risk of resistance than conventional antibiotics. One notable demonstration used catechol chemistry — derived from dopamine self-polymerisation — to covalently immobilise naturally sourced antimicrobial peptides onto wet-spun polycaprolactone/alginate microfibres. The catechol groups acted as a mussel-inspired adhesive interface, conjugating the peptides under mild, aqueous conditions without harsh coupling reagents; the resulting microfibres, sized to match standard surgical suture dimensions, held back growth of a clinically relevant pathogen for longer than a comparator antibiotic managed, and accelerated re-epithelialisation in an incisional wound model relative to a standard absorbable suture (</w:t>
      </w:r>
      <w:proofErr w:type="spellStart"/>
      <w:r w:rsidRPr="001643CA">
        <w:rPr>
          <w:rFonts w:ascii="Times New Roman" w:eastAsia="Times New Roman" w:hAnsi="Times New Roman" w:cs="Times New Roman"/>
          <w:sz w:val="24"/>
          <w:szCs w:val="24"/>
          <w:lang w:eastAsia="en-GB"/>
        </w:rPr>
        <w:t>Aneem</w:t>
      </w:r>
      <w:proofErr w:type="spellEnd"/>
      <w:r w:rsidRPr="001643CA">
        <w:rPr>
          <w:rFonts w:ascii="Times New Roman" w:eastAsia="Times New Roman" w:hAnsi="Times New Roman" w:cs="Times New Roman"/>
          <w:sz w:val="24"/>
          <w:szCs w:val="24"/>
          <w:lang w:eastAsia="en-GB"/>
        </w:rPr>
        <w:t xml:space="preserve"> et al., 2024). A related wet-spinning approach functionalised cross-linked sodium alginate/</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porous microfibres with the bacteriocin Nisin Z, showing that peptide-loaded biodegradable microfibres could target </w:t>
      </w:r>
      <w:r w:rsidRPr="001643CA">
        <w:rPr>
          <w:rFonts w:ascii="Times New Roman" w:eastAsia="Times New Roman" w:hAnsi="Times New Roman" w:cs="Times New Roman"/>
          <w:i/>
          <w:iCs/>
          <w:sz w:val="24"/>
          <w:szCs w:val="24"/>
          <w:lang w:eastAsia="en-GB"/>
        </w:rPr>
        <w:t>Staphylococcus aureus</w:t>
      </w:r>
      <w:r w:rsidRPr="001643CA">
        <w:rPr>
          <w:rFonts w:ascii="Times New Roman" w:eastAsia="Times New Roman" w:hAnsi="Times New Roman" w:cs="Times New Roman"/>
          <w:sz w:val="24"/>
          <w:szCs w:val="24"/>
          <w:lang w:eastAsia="en-GB"/>
        </w:rPr>
        <w:t xml:space="preserve"> specifically while still retaining the mechanical uniformity that any clinically usable fibre needs (Homem et al., 2021). Quaternary ammonium chemistry offers a separate, cationic antimicrobial strategy that has likewise been combined with chitosan grafting on plasma-activated polyester sutures, in which the plasma activation step described in Section 3.1 supplies the surface reactivity and the chitosan's own protonated amine groups supply the broad cationic antibacterial action (</w:t>
      </w:r>
      <w:proofErr w:type="spellStart"/>
      <w:r w:rsidRPr="001643CA">
        <w:rPr>
          <w:rFonts w:ascii="Times New Roman" w:eastAsia="Times New Roman" w:hAnsi="Times New Roman" w:cs="Times New Roman"/>
          <w:sz w:val="24"/>
          <w:szCs w:val="24"/>
          <w:lang w:eastAsia="en-GB"/>
        </w:rPr>
        <w:t>Bhouri</w:t>
      </w:r>
      <w:proofErr w:type="spellEnd"/>
      <w:r w:rsidRPr="001643CA">
        <w:rPr>
          <w:rFonts w:ascii="Times New Roman" w:eastAsia="Times New Roman" w:hAnsi="Times New Roman" w:cs="Times New Roman"/>
          <w:sz w:val="24"/>
          <w:szCs w:val="24"/>
          <w:lang w:eastAsia="en-GB"/>
        </w:rPr>
        <w:t xml:space="preserve"> et al., 2022). What is worth noting across all three of these chemistries — peptide, bacteriocin, and cationic biopolymer — is that plasma activation and biopolymer or peptide chemistry </w:t>
      </w:r>
      <w:proofErr w:type="gramStart"/>
      <w:r w:rsidRPr="001643CA">
        <w:rPr>
          <w:rFonts w:ascii="Times New Roman" w:eastAsia="Times New Roman" w:hAnsi="Times New Roman" w:cs="Times New Roman"/>
          <w:sz w:val="24"/>
          <w:szCs w:val="24"/>
          <w:lang w:eastAsia="en-GB"/>
        </w:rPr>
        <w:t>are</w:t>
      </w:r>
      <w:proofErr w:type="gramEnd"/>
      <w:r w:rsidRPr="001643CA">
        <w:rPr>
          <w:rFonts w:ascii="Times New Roman" w:eastAsia="Times New Roman" w:hAnsi="Times New Roman" w:cs="Times New Roman"/>
          <w:sz w:val="24"/>
          <w:szCs w:val="24"/>
          <w:lang w:eastAsia="en-GB"/>
        </w:rPr>
        <w:t xml:space="preserve"> very often deployed together rather than separately. Table 2 summarises the antimicrobial chemistries discussed in this section alongside their dominant mechanism of action.</w:t>
      </w:r>
    </w:p>
    <w:p w14:paraId="5B6B9F1F"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b/>
          <w:bCs/>
          <w:sz w:val="24"/>
          <w:szCs w:val="24"/>
          <w:lang w:eastAsia="en-GB"/>
        </w:rPr>
        <w:t>Table 2. Antimicrobial agents used in functionalized medical textiles and their principal mechanisms</w:t>
      </w:r>
    </w:p>
    <w:tbl>
      <w:tblPr>
        <w:tblStyle w:val="TableGrid"/>
        <w:tblW w:w="0" w:type="auto"/>
        <w:tblLook w:val="04A0" w:firstRow="1" w:lastRow="0" w:firstColumn="1" w:lastColumn="0" w:noHBand="0" w:noVBand="1"/>
      </w:tblPr>
      <w:tblGrid>
        <w:gridCol w:w="1750"/>
        <w:gridCol w:w="3421"/>
        <w:gridCol w:w="2313"/>
        <w:gridCol w:w="1758"/>
      </w:tblGrid>
      <w:tr w:rsidR="001643CA" w:rsidRPr="001643CA" w14:paraId="6305F483" w14:textId="77777777" w:rsidTr="00E43021">
        <w:tc>
          <w:tcPr>
            <w:tcW w:w="0" w:type="auto"/>
            <w:hideMark/>
          </w:tcPr>
          <w:p w14:paraId="4AC43C55"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Antimicrobial class</w:t>
            </w:r>
          </w:p>
        </w:tc>
        <w:tc>
          <w:tcPr>
            <w:tcW w:w="0" w:type="auto"/>
            <w:hideMark/>
          </w:tcPr>
          <w:p w14:paraId="654B5B13"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Representative chemistry</w:t>
            </w:r>
          </w:p>
        </w:tc>
        <w:tc>
          <w:tcPr>
            <w:tcW w:w="0" w:type="auto"/>
            <w:hideMark/>
          </w:tcPr>
          <w:p w14:paraId="16F1CBB6"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Principal mechanism of action</w:t>
            </w:r>
          </w:p>
        </w:tc>
        <w:tc>
          <w:tcPr>
            <w:tcW w:w="0" w:type="auto"/>
            <w:hideMark/>
          </w:tcPr>
          <w:p w14:paraId="5520B67E"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Illustrative application</w:t>
            </w:r>
          </w:p>
        </w:tc>
      </w:tr>
      <w:tr w:rsidR="001643CA" w:rsidRPr="001643CA" w14:paraId="22B66AA3" w14:textId="77777777" w:rsidTr="00E43021">
        <w:tc>
          <w:tcPr>
            <w:tcW w:w="0" w:type="auto"/>
            <w:hideMark/>
          </w:tcPr>
          <w:p w14:paraId="76821F47"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Silver/metal-oxide </w:t>
            </w:r>
            <w:r w:rsidRPr="001643CA">
              <w:rPr>
                <w:rFonts w:ascii="Times New Roman" w:eastAsia="Times New Roman" w:hAnsi="Times New Roman" w:cs="Times New Roman"/>
                <w:sz w:val="24"/>
                <w:szCs w:val="24"/>
                <w:lang w:eastAsia="en-GB"/>
              </w:rPr>
              <w:lastRenderedPageBreak/>
              <w:t>nanoparticles</w:t>
            </w:r>
          </w:p>
        </w:tc>
        <w:tc>
          <w:tcPr>
            <w:tcW w:w="0" w:type="auto"/>
            <w:hideMark/>
          </w:tcPr>
          <w:p w14:paraId="78F6D0E3" w14:textId="77777777" w:rsidR="001643CA" w:rsidRPr="001643CA" w:rsidRDefault="001643CA" w:rsidP="001643CA">
            <w:pPr>
              <w:rPr>
                <w:rFonts w:ascii="Times New Roman" w:eastAsia="Times New Roman" w:hAnsi="Times New Roman" w:cs="Times New Roman"/>
                <w:sz w:val="24"/>
                <w:szCs w:val="24"/>
                <w:lang w:eastAsia="en-GB"/>
              </w:rPr>
            </w:pPr>
            <w:proofErr w:type="spellStart"/>
            <w:r w:rsidRPr="001643CA">
              <w:rPr>
                <w:rFonts w:ascii="Times New Roman" w:eastAsia="Times New Roman" w:hAnsi="Times New Roman" w:cs="Times New Roman"/>
                <w:sz w:val="24"/>
                <w:szCs w:val="24"/>
                <w:lang w:eastAsia="en-GB"/>
              </w:rPr>
              <w:lastRenderedPageBreak/>
              <w:t>Cationised</w:t>
            </w:r>
            <w:proofErr w:type="spellEnd"/>
            <w:r w:rsidRPr="001643CA">
              <w:rPr>
                <w:rFonts w:ascii="Times New Roman" w:eastAsia="Times New Roman" w:hAnsi="Times New Roman" w:cs="Times New Roman"/>
                <w:sz w:val="24"/>
                <w:szCs w:val="24"/>
                <w:lang w:eastAsia="en-GB"/>
              </w:rPr>
              <w:t xml:space="preserve"> nonwoven with electrostatically bound </w:t>
            </w:r>
            <w:proofErr w:type="spellStart"/>
            <w:r w:rsidRPr="001643CA">
              <w:rPr>
                <w:rFonts w:ascii="Times New Roman" w:eastAsia="Times New Roman" w:hAnsi="Times New Roman" w:cs="Times New Roman"/>
                <w:sz w:val="24"/>
                <w:szCs w:val="24"/>
                <w:lang w:eastAsia="en-GB"/>
              </w:rPr>
              <w:t>AgNPs</w:t>
            </w:r>
            <w:proofErr w:type="spellEnd"/>
          </w:p>
        </w:tc>
        <w:tc>
          <w:tcPr>
            <w:tcW w:w="0" w:type="auto"/>
            <w:hideMark/>
          </w:tcPr>
          <w:p w14:paraId="2FB89C76"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Membrane disruption; reactive </w:t>
            </w:r>
            <w:r w:rsidRPr="001643CA">
              <w:rPr>
                <w:rFonts w:ascii="Times New Roman" w:eastAsia="Times New Roman" w:hAnsi="Times New Roman" w:cs="Times New Roman"/>
                <w:sz w:val="24"/>
                <w:szCs w:val="24"/>
                <w:lang w:eastAsia="en-GB"/>
              </w:rPr>
              <w:lastRenderedPageBreak/>
              <w:t>oxygen species generation</w:t>
            </w:r>
          </w:p>
        </w:tc>
        <w:tc>
          <w:tcPr>
            <w:tcW w:w="0" w:type="auto"/>
            <w:hideMark/>
          </w:tcPr>
          <w:p w14:paraId="5857286B"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lastRenderedPageBreak/>
              <w:t xml:space="preserve">Antibacterial cellulosic </w:t>
            </w:r>
            <w:r w:rsidRPr="001643CA">
              <w:rPr>
                <w:rFonts w:ascii="Times New Roman" w:eastAsia="Times New Roman" w:hAnsi="Times New Roman" w:cs="Times New Roman"/>
                <w:sz w:val="24"/>
                <w:szCs w:val="24"/>
                <w:lang w:eastAsia="en-GB"/>
              </w:rPr>
              <w:lastRenderedPageBreak/>
              <w:t>nonwoven wound dressing</w:t>
            </w:r>
          </w:p>
        </w:tc>
      </w:tr>
      <w:tr w:rsidR="001643CA" w:rsidRPr="001643CA" w14:paraId="6BE83021" w14:textId="77777777" w:rsidTr="00E43021">
        <w:tc>
          <w:tcPr>
            <w:tcW w:w="0" w:type="auto"/>
            <w:hideMark/>
          </w:tcPr>
          <w:p w14:paraId="4B25B9EB"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lastRenderedPageBreak/>
              <w:t>Bifunctional silica nanoparticles</w:t>
            </w:r>
          </w:p>
        </w:tc>
        <w:tc>
          <w:tcPr>
            <w:tcW w:w="0" w:type="auto"/>
            <w:hideMark/>
          </w:tcPr>
          <w:p w14:paraId="015A49E3"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Amide-linked antibiotic/anti-inflammatory cargo</w:t>
            </w:r>
          </w:p>
        </w:tc>
        <w:tc>
          <w:tcPr>
            <w:tcW w:w="0" w:type="auto"/>
            <w:hideMark/>
          </w:tcPr>
          <w:p w14:paraId="7FD130F3"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Enzyme-triggered antibiotic release</w:t>
            </w:r>
          </w:p>
        </w:tc>
        <w:tc>
          <w:tcPr>
            <w:tcW w:w="0" w:type="auto"/>
            <w:hideMark/>
          </w:tcPr>
          <w:p w14:paraId="174FCFEB"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Coated cotton fabric for wound healing</w:t>
            </w:r>
          </w:p>
        </w:tc>
      </w:tr>
      <w:tr w:rsidR="001643CA" w:rsidRPr="001643CA" w14:paraId="23B9587A" w14:textId="77777777" w:rsidTr="00E43021">
        <w:tc>
          <w:tcPr>
            <w:tcW w:w="0" w:type="auto"/>
            <w:hideMark/>
          </w:tcPr>
          <w:p w14:paraId="458B3FF3"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Quaternary catechol-chitosan</w:t>
            </w:r>
          </w:p>
        </w:tc>
        <w:tc>
          <w:tcPr>
            <w:tcW w:w="0" w:type="auto"/>
            <w:hideMark/>
          </w:tcPr>
          <w:p w14:paraId="0A211EBA"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Catechol/quaternary amine cross-linked chitosan</w:t>
            </w:r>
          </w:p>
        </w:tc>
        <w:tc>
          <w:tcPr>
            <w:tcW w:w="0" w:type="auto"/>
            <w:hideMark/>
          </w:tcPr>
          <w:p w14:paraId="33A48A0E"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Cationic membrane disruption; </w:t>
            </w:r>
            <w:proofErr w:type="spellStart"/>
            <w:r w:rsidRPr="001643CA">
              <w:rPr>
                <w:rFonts w:ascii="Times New Roman" w:eastAsia="Times New Roman" w:hAnsi="Times New Roman" w:cs="Times New Roman"/>
                <w:sz w:val="24"/>
                <w:szCs w:val="24"/>
                <w:lang w:eastAsia="en-GB"/>
              </w:rPr>
              <w:t>mucoadhesion</w:t>
            </w:r>
            <w:proofErr w:type="spellEnd"/>
          </w:p>
        </w:tc>
        <w:tc>
          <w:tcPr>
            <w:tcW w:w="0" w:type="auto"/>
            <w:hideMark/>
          </w:tcPr>
          <w:p w14:paraId="4A5115AD"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Haemostatic and antimicrobial cotton dressing</w:t>
            </w:r>
          </w:p>
        </w:tc>
      </w:tr>
      <w:tr w:rsidR="001643CA" w:rsidRPr="001643CA" w14:paraId="58AF24EF" w14:textId="77777777" w:rsidTr="00E43021">
        <w:tc>
          <w:tcPr>
            <w:tcW w:w="0" w:type="auto"/>
            <w:hideMark/>
          </w:tcPr>
          <w:p w14:paraId="188416DD"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Native and quaternised chitosan</w:t>
            </w:r>
          </w:p>
        </w:tc>
        <w:tc>
          <w:tcPr>
            <w:tcW w:w="0" w:type="auto"/>
            <w:hideMark/>
          </w:tcPr>
          <w:p w14:paraId="1E6DEE42"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Carboxymethylated/quaternised chitosan derivatives</w:t>
            </w:r>
          </w:p>
        </w:tc>
        <w:tc>
          <w:tcPr>
            <w:tcW w:w="0" w:type="auto"/>
            <w:hideMark/>
          </w:tcPr>
          <w:p w14:paraId="7A5A28DF"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Electrostatic membrane interaction; immunomodulation</w:t>
            </w:r>
          </w:p>
        </w:tc>
        <w:tc>
          <w:tcPr>
            <w:tcW w:w="0" w:type="auto"/>
            <w:hideMark/>
          </w:tcPr>
          <w:p w14:paraId="6FDEFD7A"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Hydrogel, sponge, and film dressings</w:t>
            </w:r>
          </w:p>
        </w:tc>
      </w:tr>
      <w:tr w:rsidR="001643CA" w:rsidRPr="001643CA" w14:paraId="52843C26" w14:textId="77777777" w:rsidTr="00E43021">
        <w:tc>
          <w:tcPr>
            <w:tcW w:w="0" w:type="auto"/>
            <w:hideMark/>
          </w:tcPr>
          <w:p w14:paraId="5228C927"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Antimicrobial peptides</w:t>
            </w:r>
          </w:p>
        </w:tc>
        <w:tc>
          <w:tcPr>
            <w:tcW w:w="0" w:type="auto"/>
            <w:hideMark/>
          </w:tcPr>
          <w:p w14:paraId="01B9BF54"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Catechol-mediated peptide immobilisation</w:t>
            </w:r>
          </w:p>
        </w:tc>
        <w:tc>
          <w:tcPr>
            <w:tcW w:w="0" w:type="auto"/>
            <w:hideMark/>
          </w:tcPr>
          <w:p w14:paraId="4DEDAB0B"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Membrane </w:t>
            </w:r>
            <w:proofErr w:type="spellStart"/>
            <w:r w:rsidRPr="001643CA">
              <w:rPr>
                <w:rFonts w:ascii="Times New Roman" w:eastAsia="Times New Roman" w:hAnsi="Times New Roman" w:cs="Times New Roman"/>
                <w:sz w:val="24"/>
                <w:szCs w:val="24"/>
                <w:lang w:eastAsia="en-GB"/>
              </w:rPr>
              <w:t>permeabilisation</w:t>
            </w:r>
            <w:proofErr w:type="spellEnd"/>
          </w:p>
        </w:tc>
        <w:tc>
          <w:tcPr>
            <w:tcW w:w="0" w:type="auto"/>
            <w:hideMark/>
          </w:tcPr>
          <w:p w14:paraId="31C7A150"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Wet-spun PCL/alginate antimicrobial suture</w:t>
            </w:r>
          </w:p>
        </w:tc>
      </w:tr>
      <w:tr w:rsidR="001643CA" w:rsidRPr="001643CA" w14:paraId="76DC6C84" w14:textId="77777777" w:rsidTr="00E43021">
        <w:tc>
          <w:tcPr>
            <w:tcW w:w="0" w:type="auto"/>
            <w:hideMark/>
          </w:tcPr>
          <w:p w14:paraId="36045F96"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Bacteriocins</w:t>
            </w:r>
          </w:p>
        </w:tc>
        <w:tc>
          <w:tcPr>
            <w:tcW w:w="0" w:type="auto"/>
            <w:hideMark/>
          </w:tcPr>
          <w:p w14:paraId="60D3D8E7"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Nisin Z conjugated to alginate/</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fibre</w:t>
            </w:r>
          </w:p>
        </w:tc>
        <w:tc>
          <w:tcPr>
            <w:tcW w:w="0" w:type="auto"/>
            <w:hideMark/>
          </w:tcPr>
          <w:p w14:paraId="3A3506D6"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Pore formation in Gram-positive membranes</w:t>
            </w:r>
          </w:p>
        </w:tc>
        <w:tc>
          <w:tcPr>
            <w:tcW w:w="0" w:type="auto"/>
            <w:hideMark/>
          </w:tcPr>
          <w:p w14:paraId="1F540F51"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Antimicrobial wound-care microfibre</w:t>
            </w:r>
          </w:p>
        </w:tc>
      </w:tr>
      <w:tr w:rsidR="001643CA" w:rsidRPr="001643CA" w14:paraId="39DB6ECC" w14:textId="77777777" w:rsidTr="00E43021">
        <w:tc>
          <w:tcPr>
            <w:tcW w:w="0" w:type="auto"/>
            <w:hideMark/>
          </w:tcPr>
          <w:p w14:paraId="013BF8D8"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Plasma–chitosan hybrid finish</w:t>
            </w:r>
          </w:p>
        </w:tc>
        <w:tc>
          <w:tcPr>
            <w:tcW w:w="0" w:type="auto"/>
            <w:hideMark/>
          </w:tcPr>
          <w:p w14:paraId="74C637BA"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Plasma-activated polyester with grafted chitosan</w:t>
            </w:r>
          </w:p>
        </w:tc>
        <w:tc>
          <w:tcPr>
            <w:tcW w:w="0" w:type="auto"/>
            <w:hideMark/>
          </w:tcPr>
          <w:p w14:paraId="7354E2CA"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Surface charge-mediated bactericidal action</w:t>
            </w:r>
          </w:p>
        </w:tc>
        <w:tc>
          <w:tcPr>
            <w:tcW w:w="0" w:type="auto"/>
            <w:hideMark/>
          </w:tcPr>
          <w:p w14:paraId="1A8D4D4E"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Antibacterial dyed polyester suture</w:t>
            </w:r>
          </w:p>
        </w:tc>
      </w:tr>
    </w:tbl>
    <w:p w14:paraId="32364A33"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i/>
          <w:iCs/>
          <w:sz w:val="24"/>
          <w:szCs w:val="24"/>
          <w:lang w:eastAsia="en-GB"/>
        </w:rPr>
        <w:t xml:space="preserve">Sources: Aminzai and Patan (2024); Hemamalini et al. (2023); Liu et al. (2024); L. Li et al. (2023); Xia et al. (2022); </w:t>
      </w:r>
      <w:proofErr w:type="spellStart"/>
      <w:r w:rsidRPr="001643CA">
        <w:rPr>
          <w:rFonts w:ascii="Times New Roman" w:eastAsia="Times New Roman" w:hAnsi="Times New Roman" w:cs="Times New Roman"/>
          <w:i/>
          <w:iCs/>
          <w:sz w:val="24"/>
          <w:szCs w:val="24"/>
          <w:lang w:eastAsia="en-GB"/>
        </w:rPr>
        <w:t>Aneem</w:t>
      </w:r>
      <w:proofErr w:type="spellEnd"/>
      <w:r w:rsidRPr="001643CA">
        <w:rPr>
          <w:rFonts w:ascii="Times New Roman" w:eastAsia="Times New Roman" w:hAnsi="Times New Roman" w:cs="Times New Roman"/>
          <w:i/>
          <w:iCs/>
          <w:sz w:val="24"/>
          <w:szCs w:val="24"/>
          <w:lang w:eastAsia="en-GB"/>
        </w:rPr>
        <w:t xml:space="preserve"> et al. (2024); Homem et al. (2021); </w:t>
      </w:r>
      <w:proofErr w:type="spellStart"/>
      <w:r w:rsidRPr="001643CA">
        <w:rPr>
          <w:rFonts w:ascii="Times New Roman" w:eastAsia="Times New Roman" w:hAnsi="Times New Roman" w:cs="Times New Roman"/>
          <w:i/>
          <w:iCs/>
          <w:sz w:val="24"/>
          <w:szCs w:val="24"/>
          <w:lang w:eastAsia="en-GB"/>
        </w:rPr>
        <w:t>Bhouri</w:t>
      </w:r>
      <w:proofErr w:type="spellEnd"/>
      <w:r w:rsidRPr="001643CA">
        <w:rPr>
          <w:rFonts w:ascii="Times New Roman" w:eastAsia="Times New Roman" w:hAnsi="Times New Roman" w:cs="Times New Roman"/>
          <w:i/>
          <w:iCs/>
          <w:sz w:val="24"/>
          <w:szCs w:val="24"/>
          <w:lang w:eastAsia="en-GB"/>
        </w:rPr>
        <w:t xml:space="preserve"> et al. (2022).</w:t>
      </w:r>
    </w:p>
    <w:p w14:paraId="67C941F2"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Reading down Table 2, antimicrobial efficacy is almost never achieved through a single isolated mechanism. The more promising systems instead combine two complementary modes of action — cationic membrane disruption alongside enzyme-triggered drug release, say, or peptide-mediated </w:t>
      </w:r>
      <w:proofErr w:type="spellStart"/>
      <w:r w:rsidRPr="001643CA">
        <w:rPr>
          <w:rFonts w:ascii="Times New Roman" w:eastAsia="Times New Roman" w:hAnsi="Times New Roman" w:cs="Times New Roman"/>
          <w:sz w:val="24"/>
          <w:szCs w:val="24"/>
          <w:lang w:eastAsia="en-GB"/>
        </w:rPr>
        <w:t>permeabilisation</w:t>
      </w:r>
      <w:proofErr w:type="spellEnd"/>
      <w:r w:rsidRPr="001643CA">
        <w:rPr>
          <w:rFonts w:ascii="Times New Roman" w:eastAsia="Times New Roman" w:hAnsi="Times New Roman" w:cs="Times New Roman"/>
          <w:sz w:val="24"/>
          <w:szCs w:val="24"/>
          <w:lang w:eastAsia="en-GB"/>
        </w:rPr>
        <w:t xml:space="preserve"> layered onto an adhesive catechol chemistry that also improves fibre mechanical cohesion. This pattern suggests that future antimicrobial textile design will keep moving away from single-agent finishes toward chemistries that work through more than one pathway at once, which echoes broader antimicrobial stewardship efforts to avoid leaning on any one bactericidal route.</w:t>
      </w:r>
    </w:p>
    <w:p w14:paraId="2EF3BC54" w14:textId="77777777" w:rsidR="001643CA" w:rsidRPr="001643CA" w:rsidRDefault="001643CA" w:rsidP="001643C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5. Chemically Functionalized Textiles for Therapeutic Delivery</w:t>
      </w:r>
    </w:p>
    <w:p w14:paraId="578CAD11"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 xml:space="preserve">5.1 </w:t>
      </w:r>
      <w:proofErr w:type="spellStart"/>
      <w:r w:rsidRPr="001643CA">
        <w:rPr>
          <w:rFonts w:ascii="Times New Roman" w:eastAsia="Times New Roman" w:hAnsi="Times New Roman" w:cs="Times New Roman"/>
          <w:b/>
          <w:bCs/>
          <w:sz w:val="24"/>
          <w:szCs w:val="24"/>
          <w:lang w:eastAsia="en-GB"/>
        </w:rPr>
        <w:t>Electrospun</w:t>
      </w:r>
      <w:proofErr w:type="spellEnd"/>
      <w:r w:rsidRPr="001643CA">
        <w:rPr>
          <w:rFonts w:ascii="Times New Roman" w:eastAsia="Times New Roman" w:hAnsi="Times New Roman" w:cs="Times New Roman"/>
          <w:b/>
          <w:bCs/>
          <w:sz w:val="24"/>
          <w:szCs w:val="24"/>
          <w:lang w:eastAsia="en-GB"/>
        </w:rPr>
        <w:t xml:space="preserve"> and Fibre-Based Drug Delivery Systems</w:t>
      </w:r>
    </w:p>
    <w:p w14:paraId="4AD85B1D"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Electrospinning has become the default fabrication route for fibre-based drug-delivery textiles, since it allows a bioactive agent to be placed within the fibre core, on its surface, or distributed through a polymer blend, all while the resulting nanofibrous mat reproduces something close to the high surface area and porosity of native extracellular matrix. One review of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drug-eluting </w:t>
      </w:r>
      <w:proofErr w:type="spellStart"/>
      <w:r w:rsidRPr="001643CA">
        <w:rPr>
          <w:rFonts w:ascii="Times New Roman" w:eastAsia="Times New Roman" w:hAnsi="Times New Roman" w:cs="Times New Roman"/>
          <w:sz w:val="24"/>
          <w:szCs w:val="24"/>
          <w:lang w:eastAsia="en-GB"/>
        </w:rPr>
        <w:t>nanofibres</w:t>
      </w:r>
      <w:proofErr w:type="spellEnd"/>
      <w:r w:rsidRPr="001643CA">
        <w:rPr>
          <w:rFonts w:ascii="Times New Roman" w:eastAsia="Times New Roman" w:hAnsi="Times New Roman" w:cs="Times New Roman"/>
          <w:sz w:val="24"/>
          <w:szCs w:val="24"/>
          <w:lang w:eastAsia="en-GB"/>
        </w:rPr>
        <w:t xml:space="preserve"> for wound healing has catalogued the main polymer systems — synthetic biodegradable polyesters, natural polysaccharides, and their blends — used to encapsulate antibiotics, growth factors, and small-molecule drugs, concluding that release kinetics depend jointly on polymer crystallinity, fibre diameter, and the chemical fit between drug and carrier (Akombaetwa et al., 2022). Ciprofloxacin-loaded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w:t>
      </w:r>
      <w:proofErr w:type="spellStart"/>
      <w:r w:rsidRPr="001643CA">
        <w:rPr>
          <w:rFonts w:ascii="Times New Roman" w:eastAsia="Times New Roman" w:hAnsi="Times New Roman" w:cs="Times New Roman"/>
          <w:sz w:val="24"/>
          <w:szCs w:val="24"/>
          <w:lang w:eastAsia="en-GB"/>
        </w:rPr>
        <w:t>nanofibres</w:t>
      </w:r>
      <w:proofErr w:type="spellEnd"/>
      <w:r w:rsidRPr="001643CA">
        <w:rPr>
          <w:rFonts w:ascii="Times New Roman" w:eastAsia="Times New Roman" w:hAnsi="Times New Roman" w:cs="Times New Roman"/>
          <w:sz w:val="24"/>
          <w:szCs w:val="24"/>
          <w:lang w:eastAsia="en-GB"/>
        </w:rPr>
        <w:t xml:space="preserve"> make this concrete: the antibiotic was incorporated directly into the </w:t>
      </w:r>
      <w:proofErr w:type="spellStart"/>
      <w:r w:rsidRPr="001643CA">
        <w:rPr>
          <w:rFonts w:ascii="Times New Roman" w:eastAsia="Times New Roman" w:hAnsi="Times New Roman" w:cs="Times New Roman"/>
          <w:sz w:val="24"/>
          <w:szCs w:val="24"/>
          <w:lang w:eastAsia="en-GB"/>
        </w:rPr>
        <w:lastRenderedPageBreak/>
        <w:t>nanofibres</w:t>
      </w:r>
      <w:proofErr w:type="spellEnd"/>
      <w:r w:rsidRPr="001643CA">
        <w:rPr>
          <w:rFonts w:ascii="Times New Roman" w:eastAsia="Times New Roman" w:hAnsi="Times New Roman" w:cs="Times New Roman"/>
          <w:sz w:val="24"/>
          <w:szCs w:val="24"/>
          <w:lang w:eastAsia="en-GB"/>
        </w:rPr>
        <w:t xml:space="preserve"> to produce dressings with sustained antibacterial release, and the chemical interaction between the fluoroquinolone and the polymer matrix was shown to shape both loading efficiency and the subsequent release profile, beyond what simple physical entrapment would achieve (Ju et al., 2024). Moving beyond single-agent loading, antibacterial nanomaterial-functionalised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membranes have been reviewed as a versatile platform onto which antibiotics, antimicrobial peptides, phytochemicals, metal ions, and inorganic nanoparticles can each be introduced through distinct routes — physical blending, surface conjugation, or coaxial core–shell architectures — so the antibacterial mechanism can be matched to the pathogen or wound context at hand (Chen et al., 2024; Gul et al., 2021). Stimuli-responsive variants take this further still, incorporating polymers or linkages that respond to pH, temperature, humidity, or electric field, so that drug release can be triggered by the biochemical signature of an infected wound rather than proceeding at a fixed, indiscriminate rate (Mercante et al., 2023).</w:t>
      </w:r>
    </w:p>
    <w:p w14:paraId="692C3DA0"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5.2 Chemically Modified Gauzes and Dressings for Controlled Release</w:t>
      </w:r>
    </w:p>
    <w:p w14:paraId="61451803"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Electrospinning offers fine control over fibre architecture, but simpler woven and nonwoven gauze formats still dominate routine clinical practice, and a good deal of chemical effort has gone into converting these familiar substrates into controlled-release platforms without abandoning the manufacturing infrastructure already built around them. The diamine-functionalised cotton gauze system described in Section 3.2 is a clear case in point: varying the chain length of the diamine spacer used to open the glycidyl methacrylate-derived epoxide changed both the equilibrium drug-adsorption capacity for ibuprofen and amoxicillin and how sensitive subsequent release was to the ionic strength of the surrounding medium, with release into physiological saline markedly greater than into deionised water — a finding directly relevant to the variable exudate composition seen across different wound types (Melone, 2025). The covalent immobilisation of bifunctional, protease-cleavable silica nanoparticles onto cotton fabric represents a related but distinct strategy, in which release is triggered not by ionic strength but by the proteolytic activity typical of an inflamed or infected wound bed — arguably a more biologically responsive mechanism than passive diffusion (Liu et al., 2024). Bacterial cellulose, grown rather than spun, provides a chemically distinctive substrate of its own: its nanofibrillar network and abundant surface hydroxyl groups make it amenable to impregnation with plant-derived antimicrobial microencapsulates, and a bacterial-cellulose dressing impregnated with </w:t>
      </w:r>
      <w:proofErr w:type="spellStart"/>
      <w:r w:rsidRPr="001643CA">
        <w:rPr>
          <w:rFonts w:ascii="Times New Roman" w:eastAsia="Times New Roman" w:hAnsi="Times New Roman" w:cs="Times New Roman"/>
          <w:sz w:val="24"/>
          <w:szCs w:val="24"/>
          <w:lang w:eastAsia="en-GB"/>
        </w:rPr>
        <w:t>andaliman</w:t>
      </w:r>
      <w:proofErr w:type="spellEnd"/>
      <w:r w:rsidRPr="001643CA">
        <w:rPr>
          <w:rFonts w:ascii="Times New Roman" w:eastAsia="Times New Roman" w:hAnsi="Times New Roman" w:cs="Times New Roman"/>
          <w:sz w:val="24"/>
          <w:szCs w:val="24"/>
          <w:lang w:eastAsia="en-GB"/>
        </w:rPr>
        <w:t xml:space="preserve"> fruit microencapsulate has been developed and characterised specifically for diabetic wound management, combining the moisture-retentive architecture native to bacterial cellulose with a phytochemical antimicrobial cargo (Gea et al., 2023).</w:t>
      </w:r>
    </w:p>
    <w:p w14:paraId="32B712B8"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5.3 Functionalized Surgical Sutures</w:t>
      </w:r>
    </w:p>
    <w:p w14:paraId="3455D856"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Sutures form a specialised but clinically important subset of therapeutic-delivery textiles, where any chemical finish has to survive needle penetration and mechanical handling, degrade appropriately in vivo, and still deliver a useful local effect at the wound-closure interface. Pressure-spun fibrous sutures have shown that localised antibacterial delivery can be engineered directly into the fibre-forming process, with pressure-spinning offered as an alternative to electrospinning that may give better control over fibre diameter and drug-loading uniformity at suture scale (Altun et al., 2023). A broader review of surgical suture materials places this kind of antibacterial functionalization within the wider picture of suture chemistry, mechanical performance, and biodegradability, and concludes that the real translational challenge is balancing whatever bioactive coating or core-loaded agent is added </w:t>
      </w:r>
      <w:r w:rsidRPr="001643CA">
        <w:rPr>
          <w:rFonts w:ascii="Times New Roman" w:eastAsia="Times New Roman" w:hAnsi="Times New Roman" w:cs="Times New Roman"/>
          <w:sz w:val="24"/>
          <w:szCs w:val="24"/>
          <w:lang w:eastAsia="en-GB"/>
        </w:rPr>
        <w:lastRenderedPageBreak/>
        <w:t>against the tensile strength, knot security, and tissue-handling properties surgeons actually need, regardless of how clever the chemistry behind it is (Y. Li et al., 2023). The catechol-mediated antimicrobial-peptide-functionalised polycaprolactone/alginate microfibre discussed in Section 4.3 illustrates a suture-format delivery system designed explicitly around USP suture-size mechanical compliance, which underlines a point worth repeating: in this particular application, drug-delivery chemistry cannot really be considered apart from the mechanical-engineering constraints that suture use imposes (</w:t>
      </w:r>
      <w:proofErr w:type="spellStart"/>
      <w:r w:rsidRPr="001643CA">
        <w:rPr>
          <w:rFonts w:ascii="Times New Roman" w:eastAsia="Times New Roman" w:hAnsi="Times New Roman" w:cs="Times New Roman"/>
          <w:sz w:val="24"/>
          <w:szCs w:val="24"/>
          <w:lang w:eastAsia="en-GB"/>
        </w:rPr>
        <w:t>Aneem</w:t>
      </w:r>
      <w:proofErr w:type="spellEnd"/>
      <w:r w:rsidRPr="001643CA">
        <w:rPr>
          <w:rFonts w:ascii="Times New Roman" w:eastAsia="Times New Roman" w:hAnsi="Times New Roman" w:cs="Times New Roman"/>
          <w:sz w:val="24"/>
          <w:szCs w:val="24"/>
          <w:lang w:eastAsia="en-GB"/>
        </w:rPr>
        <w:t xml:space="preserve"> et al., 2024).</w:t>
      </w:r>
    </w:p>
    <w:p w14:paraId="5C593D9F"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5.4 Haemostatic Textiles</w:t>
      </w:r>
    </w:p>
    <w:p w14:paraId="669DE98E"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Haemostatic functionalization meets an acute, time-critical need that is chemically distinct from the sustained antimicrobial or drug-release functions discussed above, since whatever chemistry is at work needs to act within minutes to promote platelet aggregation, erythrocyte adhesion, or fibrin network formation. The catechol-modified quaternary chitosan and </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sponge bilayer applied to cotton nonwoven fabric, introduced in Section 4.2, again shows the value of mechanistic layering: the </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sponge supplies the porous, high-surface-area architecture that drives rapid clot formation, while the underlying quaternary chitosan extends antimicrobial protection once haemostasis is achieved, and in vivo testing confirmed haemostatic performance comparable to, and in some respects better than, a commercial </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haemostatic sponge used as a comparator (L. Li et al., 2023). The chemistry behind chitosan's haemostatic action — mainly electrostatic attraction between its protonated amine groups and the negatively charged surfaces of erythrocytes and platelets — is mechanistically separate from, but works alongside, the same groups' antibacterial action, which helps explain why chitosan chemistry shows up so often across both the antimicrobial and haemostatic textile literature reviewed here (Xia et al., 2022).</w:t>
      </w:r>
    </w:p>
    <w:p w14:paraId="5315E2E6" w14:textId="77777777" w:rsidR="001643CA" w:rsidRPr="001643CA" w:rsidRDefault="001643CA" w:rsidP="001643C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6. Smart and Sensing Textiles for Wound Monitoring</w:t>
      </w:r>
    </w:p>
    <w:p w14:paraId="09AE6421"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6.1 Electronic and Wearable Textile Sensors</w:t>
      </w:r>
    </w:p>
    <w:p w14:paraId="0243FFE9"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Integrating electronic sensing into textile substrates has progressed quickly, driven by a fairly obvious observation: periodic clinical inspection of a wound only provides intermittent information, whereas continuous, in-situ monitoring of physiological parameters could let clinicians intervene sooner. A systematic review of smart e-textile systems for healthcare has catalogued the main fabrication routes — conductive yarn weaving, screen printing, embroidery, and direct deposition of conductive polymers or nanomaterials onto fibre surfaces — used to build sensing and signal-transduction capability into a textile that still feels flexible, breathable, and comfortable to wear (Zaman et al., 2022). A wirelessly powered ultraviolet-C disinfecting bandage shows what this convergence of chemistry and electronics can look like in practice for wound care specifically: an inductive coil embedded in the fabric is coupled to low-power ultraviolet light-emitting diodes through a wireless power-transfer circuit, allowing sterilisation and treatment of the wound bed without an onboard battery, and in vitro testing showed effective inactivation of a Gram-negative pathogen within hours of activation (Ullah et al., 2023). Systems like this depend on the same textile-integration chemistry covered in earlier sections — conductive tracks need to bond chemically to, or be printed directly onto, fibre surfaces in a way that survives repeated flexing and laundering — which is a reminder that electronic functionalization, although conceptually different from drug-delivery or antimicrobial finishing, draws on an overlapping set of surface-chemistry tools.</w:t>
      </w:r>
    </w:p>
    <w:p w14:paraId="05BD50C9"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lastRenderedPageBreak/>
        <w:t>6.2 Colorimetric and Optical Biosensing Dressings</w:t>
      </w:r>
    </w:p>
    <w:p w14:paraId="4AD0D8E8"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Colorimetric and optical sensing offer an alternative where simplicity, low cost, and freedom from an external power source matter more than continuous quantitative readout. A wide-ranging review of biosensors for real-time monitoring of pH, temperature, and oxygen in chronic wounds points out that these three biomarkers, alone or together, track closely with infection status and healing trajectory, and that smart bandages built around pH-sensitive dyes, thermochromic elements, or oxygen-sensitive luminescent probes can give clinicians actionable information without a laboratory test or a frequent dressing change (Youssef et al., 2023). The chemically engineered fluorescent cotton fabric described in Section 3.2, in which crosslinked chitosan was further derivatised to add fluorophore functionality, is a textile-native version of this same idea: the chemical modification responsible for antimicrobial action sits alongside a chromogenic or fluorogenic reporter that signals changes in the local wound environment, so treatment and monitoring come out of the same chemical finish (</w:t>
      </w:r>
      <w:proofErr w:type="spellStart"/>
      <w:r w:rsidRPr="001643CA">
        <w:rPr>
          <w:rFonts w:ascii="Times New Roman" w:eastAsia="Times New Roman" w:hAnsi="Times New Roman" w:cs="Times New Roman"/>
          <w:sz w:val="24"/>
          <w:szCs w:val="24"/>
          <w:lang w:eastAsia="en-GB"/>
        </w:rPr>
        <w:t>Staneva</w:t>
      </w:r>
      <w:proofErr w:type="spellEnd"/>
      <w:r w:rsidRPr="001643CA">
        <w:rPr>
          <w:rFonts w:ascii="Times New Roman" w:eastAsia="Times New Roman" w:hAnsi="Times New Roman" w:cs="Times New Roman"/>
          <w:sz w:val="24"/>
          <w:szCs w:val="24"/>
          <w:lang w:eastAsia="en-GB"/>
        </w:rPr>
        <w:t xml:space="preserve"> et al., 2023). This kind of </w:t>
      </w:r>
      <w:proofErr w:type="spellStart"/>
      <w:r w:rsidRPr="001643CA">
        <w:rPr>
          <w:rFonts w:ascii="Times New Roman" w:eastAsia="Times New Roman" w:hAnsi="Times New Roman" w:cs="Times New Roman"/>
          <w:sz w:val="24"/>
          <w:szCs w:val="24"/>
          <w:lang w:eastAsia="en-GB"/>
        </w:rPr>
        <w:t>theranostic</w:t>
      </w:r>
      <w:proofErr w:type="spellEnd"/>
      <w:r w:rsidRPr="001643CA">
        <w:rPr>
          <w:rFonts w:ascii="Times New Roman" w:eastAsia="Times New Roman" w:hAnsi="Times New Roman" w:cs="Times New Roman"/>
          <w:sz w:val="24"/>
          <w:szCs w:val="24"/>
          <w:lang w:eastAsia="en-GB"/>
        </w:rPr>
        <w:t xml:space="preserve"> convergence — where one functionalization step does double duty — is one of the more distinctive recent developments covered in this review, since it breaks down the historical separation between dressing materials and diagnostic devices.</w:t>
      </w:r>
    </w:p>
    <w:p w14:paraId="491E1B5B"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 xml:space="preserve">6.3 Closed-Loop and </w:t>
      </w:r>
      <w:proofErr w:type="spellStart"/>
      <w:r w:rsidRPr="001643CA">
        <w:rPr>
          <w:rFonts w:ascii="Times New Roman" w:eastAsia="Times New Roman" w:hAnsi="Times New Roman" w:cs="Times New Roman"/>
          <w:b/>
          <w:bCs/>
          <w:sz w:val="24"/>
          <w:szCs w:val="24"/>
          <w:lang w:eastAsia="en-GB"/>
        </w:rPr>
        <w:t>Theranostic</w:t>
      </w:r>
      <w:proofErr w:type="spellEnd"/>
      <w:r w:rsidRPr="001643CA">
        <w:rPr>
          <w:rFonts w:ascii="Times New Roman" w:eastAsia="Times New Roman" w:hAnsi="Times New Roman" w:cs="Times New Roman"/>
          <w:b/>
          <w:bCs/>
          <w:sz w:val="24"/>
          <w:szCs w:val="24"/>
          <w:lang w:eastAsia="en-GB"/>
        </w:rPr>
        <w:t xml:space="preserve"> Systems</w:t>
      </w:r>
    </w:p>
    <w:p w14:paraId="230C4FDF"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The logical next step beyond biosensing is a closed-loop system, in which the sensor output adjusts therapeutic delivery on its own, without a clinician needing to step in at every stage. Wearable textile-based sweat and biofluid sensors, reviewed systematically with attention to fabrication method, substrate choice, and target biomarker, illustrate the underlying engineering: cotton-based electrochemical sensing elements need a surface chemistry that supports stable electrode function while remaining biocompatible and non-irritating against the skin over long wear periods (Akter et al., 2024). The wirelessly powered ultraviolet-C bandage discussed above already shows much of the architecture a closed-loop system would need — wireless power delivery coupled directly to a therapeutic output — even though, in the form reported so far, activation is triggered externally rather than driven autonomously by a continuously monitored biomarker (Ullah et al., 2023). Table 3 summarises the smart and sensing textile modalities discussed in this section.</w:t>
      </w:r>
    </w:p>
    <w:p w14:paraId="2A60E160"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b/>
          <w:bCs/>
          <w:sz w:val="24"/>
          <w:szCs w:val="24"/>
          <w:lang w:eastAsia="en-GB"/>
        </w:rPr>
        <w:t>Table 3. Smart and sensing textile modalities for wound monitoring</w:t>
      </w:r>
    </w:p>
    <w:tbl>
      <w:tblPr>
        <w:tblStyle w:val="TableGrid"/>
        <w:tblW w:w="0" w:type="auto"/>
        <w:tblLook w:val="04A0" w:firstRow="1" w:lastRow="0" w:firstColumn="1" w:lastColumn="0" w:noHBand="0" w:noVBand="1"/>
      </w:tblPr>
      <w:tblGrid>
        <w:gridCol w:w="2797"/>
        <w:gridCol w:w="1740"/>
        <w:gridCol w:w="2220"/>
        <w:gridCol w:w="2485"/>
      </w:tblGrid>
      <w:tr w:rsidR="001643CA" w:rsidRPr="001643CA" w14:paraId="477B19E5" w14:textId="77777777" w:rsidTr="00E43021">
        <w:tc>
          <w:tcPr>
            <w:tcW w:w="0" w:type="auto"/>
            <w:hideMark/>
          </w:tcPr>
          <w:p w14:paraId="61B2DEAA"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Sensing modality</w:t>
            </w:r>
          </w:p>
        </w:tc>
        <w:tc>
          <w:tcPr>
            <w:tcW w:w="0" w:type="auto"/>
            <w:hideMark/>
          </w:tcPr>
          <w:p w14:paraId="261501D7"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Integration strategy</w:t>
            </w:r>
          </w:p>
        </w:tc>
        <w:tc>
          <w:tcPr>
            <w:tcW w:w="0" w:type="auto"/>
            <w:hideMark/>
          </w:tcPr>
          <w:p w14:paraId="0EF46608"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Wound-care parameter monitored</w:t>
            </w:r>
          </w:p>
        </w:tc>
        <w:tc>
          <w:tcPr>
            <w:tcW w:w="0" w:type="auto"/>
            <w:hideMark/>
          </w:tcPr>
          <w:p w14:paraId="50FAFAFA"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Reported clinical/translational relevance</w:t>
            </w:r>
          </w:p>
        </w:tc>
      </w:tr>
      <w:tr w:rsidR="001643CA" w:rsidRPr="001643CA" w14:paraId="58F09368" w14:textId="77777777" w:rsidTr="00E43021">
        <w:tc>
          <w:tcPr>
            <w:tcW w:w="0" w:type="auto"/>
            <w:hideMark/>
          </w:tcPr>
          <w:p w14:paraId="589D2E32"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Conductive yarn/embroidered circuitry</w:t>
            </w:r>
          </w:p>
        </w:tc>
        <w:tc>
          <w:tcPr>
            <w:tcW w:w="0" w:type="auto"/>
            <w:hideMark/>
          </w:tcPr>
          <w:p w14:paraId="2102235C"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Screen printing or embroidery of conductive elements</w:t>
            </w:r>
          </w:p>
        </w:tc>
        <w:tc>
          <w:tcPr>
            <w:tcW w:w="0" w:type="auto"/>
            <w:hideMark/>
          </w:tcPr>
          <w:p w14:paraId="6A13492D"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General physiological monitoring</w:t>
            </w:r>
          </w:p>
        </w:tc>
        <w:tc>
          <w:tcPr>
            <w:tcW w:w="0" w:type="auto"/>
            <w:hideMark/>
          </w:tcPr>
          <w:p w14:paraId="00EB2B81"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Foundational e-textile platform for healthcare wearables</w:t>
            </w:r>
          </w:p>
        </w:tc>
      </w:tr>
      <w:tr w:rsidR="001643CA" w:rsidRPr="001643CA" w14:paraId="01872E76" w14:textId="77777777" w:rsidTr="00E43021">
        <w:tc>
          <w:tcPr>
            <w:tcW w:w="0" w:type="auto"/>
            <w:hideMark/>
          </w:tcPr>
          <w:p w14:paraId="2053E8AE"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Wireless inductive power with UVC LEDs</w:t>
            </w:r>
          </w:p>
        </w:tc>
        <w:tc>
          <w:tcPr>
            <w:tcW w:w="0" w:type="auto"/>
            <w:hideMark/>
          </w:tcPr>
          <w:p w14:paraId="4E122FBB"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Inductive coil embedded in fabric bandage</w:t>
            </w:r>
          </w:p>
        </w:tc>
        <w:tc>
          <w:tcPr>
            <w:tcW w:w="0" w:type="auto"/>
            <w:hideMark/>
          </w:tcPr>
          <w:p w14:paraId="2ABDEE94"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Infection status; bacterial load</w:t>
            </w:r>
          </w:p>
        </w:tc>
        <w:tc>
          <w:tcPr>
            <w:tcW w:w="0" w:type="auto"/>
            <w:hideMark/>
          </w:tcPr>
          <w:p w14:paraId="53766ED8"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Demonstrated bacterial inactivation in chronic wound model</w:t>
            </w:r>
          </w:p>
        </w:tc>
      </w:tr>
      <w:tr w:rsidR="001643CA" w:rsidRPr="001643CA" w14:paraId="0F17A73B" w14:textId="77777777" w:rsidTr="00E43021">
        <w:tc>
          <w:tcPr>
            <w:tcW w:w="0" w:type="auto"/>
            <w:hideMark/>
          </w:tcPr>
          <w:p w14:paraId="3A0E1E1D"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Colorimetric/luminescent pH–temperature–oxygen sensors</w:t>
            </w:r>
          </w:p>
        </w:tc>
        <w:tc>
          <w:tcPr>
            <w:tcW w:w="0" w:type="auto"/>
            <w:hideMark/>
          </w:tcPr>
          <w:p w14:paraId="4AA60FAF"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Dye or probe incorporation into dressing matrix</w:t>
            </w:r>
          </w:p>
        </w:tc>
        <w:tc>
          <w:tcPr>
            <w:tcW w:w="0" w:type="auto"/>
            <w:hideMark/>
          </w:tcPr>
          <w:p w14:paraId="5FB48703"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pH, temperature, tissue oxygenation</w:t>
            </w:r>
          </w:p>
        </w:tc>
        <w:tc>
          <w:tcPr>
            <w:tcW w:w="0" w:type="auto"/>
            <w:hideMark/>
          </w:tcPr>
          <w:p w14:paraId="2BAC6126"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Correlates with infection and healing trajectory</w:t>
            </w:r>
          </w:p>
        </w:tc>
      </w:tr>
      <w:tr w:rsidR="001643CA" w:rsidRPr="001643CA" w14:paraId="70B7517C" w14:textId="77777777" w:rsidTr="00E43021">
        <w:tc>
          <w:tcPr>
            <w:tcW w:w="0" w:type="auto"/>
            <w:hideMark/>
          </w:tcPr>
          <w:p w14:paraId="19772D4C"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lastRenderedPageBreak/>
              <w:t>Fluorescent chitosan-modified cotton</w:t>
            </w:r>
          </w:p>
        </w:tc>
        <w:tc>
          <w:tcPr>
            <w:tcW w:w="0" w:type="auto"/>
            <w:hideMark/>
          </w:tcPr>
          <w:p w14:paraId="0C116C31"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Chemical derivatisation of crosslinked chitosan</w:t>
            </w:r>
          </w:p>
        </w:tc>
        <w:tc>
          <w:tcPr>
            <w:tcW w:w="0" w:type="auto"/>
            <w:hideMark/>
          </w:tcPr>
          <w:p w14:paraId="13705464" w14:textId="77777777" w:rsidR="001643CA" w:rsidRPr="001643CA" w:rsidRDefault="001643CA" w:rsidP="001643CA">
            <w:pPr>
              <w:rPr>
                <w:rFonts w:ascii="Times New Roman" w:eastAsia="Times New Roman" w:hAnsi="Times New Roman" w:cs="Times New Roman"/>
                <w:sz w:val="24"/>
                <w:szCs w:val="24"/>
                <w:lang w:eastAsia="en-GB"/>
              </w:rPr>
            </w:pPr>
            <w:proofErr w:type="spellStart"/>
            <w:r w:rsidRPr="001643CA">
              <w:rPr>
                <w:rFonts w:ascii="Times New Roman" w:eastAsia="Times New Roman" w:hAnsi="Times New Roman" w:cs="Times New Roman"/>
                <w:sz w:val="24"/>
                <w:szCs w:val="24"/>
                <w:lang w:eastAsia="en-GB"/>
              </w:rPr>
              <w:t>Theranostic</w:t>
            </w:r>
            <w:proofErr w:type="spellEnd"/>
            <w:r w:rsidRPr="001643CA">
              <w:rPr>
                <w:rFonts w:ascii="Times New Roman" w:eastAsia="Times New Roman" w:hAnsi="Times New Roman" w:cs="Times New Roman"/>
                <w:sz w:val="24"/>
                <w:szCs w:val="24"/>
                <w:lang w:eastAsia="en-GB"/>
              </w:rPr>
              <w:t xml:space="preserve"> colour/fluorescence response</w:t>
            </w:r>
          </w:p>
        </w:tc>
        <w:tc>
          <w:tcPr>
            <w:tcW w:w="0" w:type="auto"/>
            <w:hideMark/>
          </w:tcPr>
          <w:p w14:paraId="576249D5"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Combines antimicrobial action with optical reporting</w:t>
            </w:r>
          </w:p>
        </w:tc>
      </w:tr>
      <w:tr w:rsidR="001643CA" w:rsidRPr="001643CA" w14:paraId="6DA874F9" w14:textId="77777777" w:rsidTr="00E43021">
        <w:tc>
          <w:tcPr>
            <w:tcW w:w="0" w:type="auto"/>
            <w:hideMark/>
          </w:tcPr>
          <w:p w14:paraId="43BDEB79"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Electrochemical sweat/biofluid sensors</w:t>
            </w:r>
          </w:p>
        </w:tc>
        <w:tc>
          <w:tcPr>
            <w:tcW w:w="0" w:type="auto"/>
            <w:hideMark/>
          </w:tcPr>
          <w:p w14:paraId="67FF4A4F"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Cotton-based electrode with biocompatible coating</w:t>
            </w:r>
          </w:p>
        </w:tc>
        <w:tc>
          <w:tcPr>
            <w:tcW w:w="0" w:type="auto"/>
            <w:hideMark/>
          </w:tcPr>
          <w:p w14:paraId="47D2B23C"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Sweat biomarkers; hydration/infection indicators</w:t>
            </w:r>
          </w:p>
        </w:tc>
        <w:tc>
          <w:tcPr>
            <w:tcW w:w="0" w:type="auto"/>
            <w:hideMark/>
          </w:tcPr>
          <w:p w14:paraId="790C7319"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Validated across multiple wearable medical-monitoring contexts</w:t>
            </w:r>
          </w:p>
        </w:tc>
      </w:tr>
    </w:tbl>
    <w:p w14:paraId="729C6E10"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i/>
          <w:iCs/>
          <w:sz w:val="24"/>
          <w:szCs w:val="24"/>
          <w:lang w:eastAsia="en-GB"/>
        </w:rPr>
        <w:t xml:space="preserve">Sources: Zaman et al. (2022); Ullah et al. (2023); Youssef et al. (2023); </w:t>
      </w:r>
      <w:proofErr w:type="spellStart"/>
      <w:r w:rsidRPr="001643CA">
        <w:rPr>
          <w:rFonts w:ascii="Times New Roman" w:eastAsia="Times New Roman" w:hAnsi="Times New Roman" w:cs="Times New Roman"/>
          <w:i/>
          <w:iCs/>
          <w:sz w:val="24"/>
          <w:szCs w:val="24"/>
          <w:lang w:eastAsia="en-GB"/>
        </w:rPr>
        <w:t>Staneva</w:t>
      </w:r>
      <w:proofErr w:type="spellEnd"/>
      <w:r w:rsidRPr="001643CA">
        <w:rPr>
          <w:rFonts w:ascii="Times New Roman" w:eastAsia="Times New Roman" w:hAnsi="Times New Roman" w:cs="Times New Roman"/>
          <w:i/>
          <w:iCs/>
          <w:sz w:val="24"/>
          <w:szCs w:val="24"/>
          <w:lang w:eastAsia="en-GB"/>
        </w:rPr>
        <w:t xml:space="preserve"> et al. (2023); Akter et al. (2024).</w:t>
      </w:r>
    </w:p>
    <w:p w14:paraId="76375485"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 pattern worth drawing out from Table 3 is the trade-off between how sophisticated a sensor is and how easily it might reach the clinic. Electronic and wireless systems give rich, continuous, quantitative data but bring manufacturing complexity, power-management requirements, and extra regulatory scrutiny because they count as combination drug–device products. Colorimetric and fluorogenic strategies give up some of that quantitative precision, but the manufacturing pathway looks much closer to conventional textile finishing, which may let them reach practice sooner.</w:t>
      </w:r>
    </w:p>
    <w:p w14:paraId="43B26422" w14:textId="77777777" w:rsidR="001643CA" w:rsidRPr="001643CA" w:rsidRDefault="001643CA" w:rsidP="001643C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7. Textile-Based Scaffolds in Regenerative Medicine</w:t>
      </w:r>
    </w:p>
    <w:p w14:paraId="2DB842E5"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 xml:space="preserve">7.1 </w:t>
      </w:r>
      <w:proofErr w:type="spellStart"/>
      <w:r w:rsidRPr="001643CA">
        <w:rPr>
          <w:rFonts w:ascii="Times New Roman" w:eastAsia="Times New Roman" w:hAnsi="Times New Roman" w:cs="Times New Roman"/>
          <w:b/>
          <w:bCs/>
          <w:sz w:val="24"/>
          <w:szCs w:val="24"/>
          <w:lang w:eastAsia="en-GB"/>
        </w:rPr>
        <w:t>Electrospun</w:t>
      </w:r>
      <w:proofErr w:type="spellEnd"/>
      <w:r w:rsidRPr="001643CA">
        <w:rPr>
          <w:rFonts w:ascii="Times New Roman" w:eastAsia="Times New Roman" w:hAnsi="Times New Roman" w:cs="Times New Roman"/>
          <w:b/>
          <w:bCs/>
          <w:sz w:val="24"/>
          <w:szCs w:val="24"/>
          <w:lang w:eastAsia="en-GB"/>
        </w:rPr>
        <w:t xml:space="preserve"> Nanofibrous Scaffolds for Tissue Engineering</w:t>
      </w:r>
    </w:p>
    <w:p w14:paraId="10EB1D2B"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Beyond their role in dressings,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nanofibrous constructs also serve as scaffolds meant to actively guide tissue regeneration rather than simply protect a healing wound. The structural resemblance between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w:t>
      </w:r>
      <w:proofErr w:type="spellStart"/>
      <w:r w:rsidRPr="001643CA">
        <w:rPr>
          <w:rFonts w:ascii="Times New Roman" w:eastAsia="Times New Roman" w:hAnsi="Times New Roman" w:cs="Times New Roman"/>
          <w:sz w:val="24"/>
          <w:szCs w:val="24"/>
          <w:lang w:eastAsia="en-GB"/>
        </w:rPr>
        <w:t>nanofibres</w:t>
      </w:r>
      <w:proofErr w:type="spellEnd"/>
      <w:r w:rsidRPr="001643CA">
        <w:rPr>
          <w:rFonts w:ascii="Times New Roman" w:eastAsia="Times New Roman" w:hAnsi="Times New Roman" w:cs="Times New Roman"/>
          <w:sz w:val="24"/>
          <w:szCs w:val="24"/>
          <w:lang w:eastAsia="en-GB"/>
        </w:rPr>
        <w:t xml:space="preserve"> and the collagenous architecture of native extracellular matrix is what underpins their widespread use in skin, periodontal, and tendon tissue engineering, and a detailed review of antibacterial nanomaterial-functionalised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membranes has noted that the same fibre-surface chemistries used in antimicrobial wound dressings can be adapted to support cellular adhesion, proliferation, and tissue-specific regenerative signalling at the same time, provided the nanomaterial payload and fibre composition are chosen with the target tissue in mind (Chen et al., 2024). Stimuli-responsive antimicrobial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w:t>
      </w:r>
      <w:proofErr w:type="spellStart"/>
      <w:r w:rsidRPr="001643CA">
        <w:rPr>
          <w:rFonts w:ascii="Times New Roman" w:eastAsia="Times New Roman" w:hAnsi="Times New Roman" w:cs="Times New Roman"/>
          <w:sz w:val="24"/>
          <w:szCs w:val="24"/>
          <w:lang w:eastAsia="en-GB"/>
        </w:rPr>
        <w:t>nanofibres</w:t>
      </w:r>
      <w:proofErr w:type="spellEnd"/>
      <w:r w:rsidRPr="001643CA">
        <w:rPr>
          <w:rFonts w:ascii="Times New Roman" w:eastAsia="Times New Roman" w:hAnsi="Times New Roman" w:cs="Times New Roman"/>
          <w:sz w:val="24"/>
          <w:szCs w:val="24"/>
          <w:lang w:eastAsia="en-GB"/>
        </w:rPr>
        <w:t>, already discussed in their wound-dressing role in Section 5.1, are increasingly being explored within regenerative-medicine constructs too, on the reasoning that controlling when antimicrobial release happens relative to the phases of tissue regeneration might reduce interference with the proliferative and remodelling stages of healing once the acute infection risk has passed (Mercante et al., 2023).</w:t>
      </w:r>
    </w:p>
    <w:p w14:paraId="26CAA329"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7.2 Extracellular-Matrix Mimicry and Decellularized Scaffolds</w:t>
      </w:r>
    </w:p>
    <w:p w14:paraId="46E219A3"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Decellularized extracellular-matrix scaffolds take a chemically and biologically different approach to regenerative-textile design: native tissue is processed to remove cellular content while keeping the structural and biochemical cues of the original matrix, including collagen, glycosaminoglycans, and growth-factor-binding proteins. A review of decellularized extracellular-matrix-based composite scaffolds has pointed out that, despite real progress in fabricating polymeric scaffolds, clinical translation of purely synthetic constructs is still held back by their limited ability to reproduce the biochemical microenvironment of native tissue — which is exactly why interest has grown in composite scaffolds that combine decellularized matrix components with synthetic or natural fibre reinforcement, addressing </w:t>
      </w:r>
      <w:r w:rsidRPr="001643CA">
        <w:rPr>
          <w:rFonts w:ascii="Times New Roman" w:eastAsia="Times New Roman" w:hAnsi="Times New Roman" w:cs="Times New Roman"/>
          <w:sz w:val="24"/>
          <w:szCs w:val="24"/>
          <w:lang w:eastAsia="en-GB"/>
        </w:rPr>
        <w:lastRenderedPageBreak/>
        <w:t>the mechanical weakness that decellularized material has on its own (Xu et al., 2024). The link back to chemically functionalized medical textiles lies in the surface chemistry needed to bond these two material classes together: covalent or electrostatic anchoring strategies much like those described in Section 3 are required to attach decellularized matrix fragments to a fibrous reinforcing scaffold without provoking an unwanted immune response.</w:t>
      </w:r>
    </w:p>
    <w:p w14:paraId="6AFE4F77"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7.3 Three-Dimensional Bioprinting and Skin Regeneration</w:t>
      </w:r>
    </w:p>
    <w:p w14:paraId="393B6C7C"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Three-dimensional bioprinting adds a further layer of architectural and chemical control to scaffold design, letting cell-laden bioinks be placed with the kind of spatial precision that can mimic the layered structure of native skin, including epidermal and dermal compartments and, increasingly, appendage-bearing regions. A broad survey of three-dimensional bioprinting across regenerative-medicine applications covers the range of bioink chemistries — collagen, </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w:t>
      </w:r>
      <w:proofErr w:type="spellStart"/>
      <w:r w:rsidRPr="001643CA">
        <w:rPr>
          <w:rFonts w:ascii="Times New Roman" w:eastAsia="Times New Roman" w:hAnsi="Times New Roman" w:cs="Times New Roman"/>
          <w:sz w:val="24"/>
          <w:szCs w:val="24"/>
          <w:lang w:eastAsia="en-GB"/>
        </w:rPr>
        <w:t>methacryloyl</w:t>
      </w:r>
      <w:proofErr w:type="spellEnd"/>
      <w:r w:rsidRPr="001643CA">
        <w:rPr>
          <w:rFonts w:ascii="Times New Roman" w:eastAsia="Times New Roman" w:hAnsi="Times New Roman" w:cs="Times New Roman"/>
          <w:sz w:val="24"/>
          <w:szCs w:val="24"/>
          <w:lang w:eastAsia="en-GB"/>
        </w:rPr>
        <w:t>, alginate, and decellularized matrix-derived formulations among them — used to support bone, cartilage, neural, and skin regeneration, and concludes that the physical principles governing bioprinting and the biochemical properties of the bioink have to be optimised together, since a bioink that prints beautifully may still fail to support adequate cell viability or tissue-specific differentiation if its chemical composition lacks the right adhesion and signalling motifs (</w:t>
      </w:r>
      <w:proofErr w:type="spellStart"/>
      <w:r w:rsidRPr="001643CA">
        <w:rPr>
          <w:rFonts w:ascii="Times New Roman" w:eastAsia="Times New Roman" w:hAnsi="Times New Roman" w:cs="Times New Roman"/>
          <w:sz w:val="24"/>
          <w:szCs w:val="24"/>
          <w:lang w:eastAsia="en-GB"/>
        </w:rPr>
        <w:t>Loukelis</w:t>
      </w:r>
      <w:proofErr w:type="spellEnd"/>
      <w:r w:rsidRPr="001643CA">
        <w:rPr>
          <w:rFonts w:ascii="Times New Roman" w:eastAsia="Times New Roman" w:hAnsi="Times New Roman" w:cs="Times New Roman"/>
          <w:sz w:val="24"/>
          <w:szCs w:val="24"/>
          <w:lang w:eastAsia="en-GB"/>
        </w:rPr>
        <w:t xml:space="preserve"> et al., 2024). Within skin specifically, a focused review of three-dimensional skin bioprinting for wound healing and disease modelling argues that successful </w:t>
      </w:r>
      <w:proofErr w:type="spellStart"/>
      <w:r w:rsidRPr="001643CA">
        <w:rPr>
          <w:rFonts w:ascii="Times New Roman" w:eastAsia="Times New Roman" w:hAnsi="Times New Roman" w:cs="Times New Roman"/>
          <w:sz w:val="24"/>
          <w:szCs w:val="24"/>
          <w:lang w:eastAsia="en-GB"/>
        </w:rPr>
        <w:t>bioprinted</w:t>
      </w:r>
      <w:proofErr w:type="spellEnd"/>
      <w:r w:rsidRPr="001643CA">
        <w:rPr>
          <w:rFonts w:ascii="Times New Roman" w:eastAsia="Times New Roman" w:hAnsi="Times New Roman" w:cs="Times New Roman"/>
          <w:sz w:val="24"/>
          <w:szCs w:val="24"/>
          <w:lang w:eastAsia="en-GB"/>
        </w:rPr>
        <w:t xml:space="preserve"> skin constructs need to recapitulate not just the gross dermal–epidermal bilayer but also the finer heterogeneity of native skin, including vascular network integration, and sets out design strategies aimed at regenerating skin appendages such as hair follicles and sweat glands rather than the simpler, avascular, appendage-free skin equivalents that have historically dominated the field (Zhang et al., 2023). </w:t>
      </w:r>
      <w:proofErr w:type="spellStart"/>
      <w:r w:rsidRPr="001643CA">
        <w:rPr>
          <w:rFonts w:ascii="Times New Roman" w:eastAsia="Times New Roman" w:hAnsi="Times New Roman" w:cs="Times New Roman"/>
          <w:sz w:val="24"/>
          <w:szCs w:val="24"/>
          <w:lang w:eastAsia="en-GB"/>
        </w:rPr>
        <w:t>Bioprinted</w:t>
      </w:r>
      <w:proofErr w:type="spellEnd"/>
      <w:r w:rsidRPr="001643CA">
        <w:rPr>
          <w:rFonts w:ascii="Times New Roman" w:eastAsia="Times New Roman" w:hAnsi="Times New Roman" w:cs="Times New Roman"/>
          <w:sz w:val="24"/>
          <w:szCs w:val="24"/>
          <w:lang w:eastAsia="en-GB"/>
        </w:rPr>
        <w:t xml:space="preserve"> skin constructs are not "textiles" in the strict sense, but the fibre-reinforced and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mesh-supported bioink formulations increasingly used to improve their handling and mechanical integrity represent a real point of contact between the textile-functionalization chemistries covered throughout this review and the broader field of skin bioprinting.</w:t>
      </w:r>
    </w:p>
    <w:p w14:paraId="37BDAC63"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7.4 Growth Factor and Bioactive Peptide Delivery</w:t>
      </w:r>
    </w:p>
    <w:p w14:paraId="028B158E"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The last regenerative-medicine theme considered here concerns the chemistry used to present growth factors, bioactive peptides, or other signalling molecules from a textile or fibre scaffold in a way that actively promotes tissue regeneration rather than simply accompanying it. The catechol-mediated antimicrobial-peptide-functionalised wet-spun microfibre discussed in Sections 4.3 and 5.3 is again relevant here: the same mussel-inspired catechol chemistry used to immobilise an antimicrobial peptide should, in principle, work just as well for immobilising pro-regenerative growth factors or extracellular-matrix-derived peptides, and the faster re-epithelialisation seen in the associated incisional wound model suggests the fibre's regenerative benefit did not come solely from infection control but plausibly also from favourable cellular interactions with the catechol-functionalised surface itself (</w:t>
      </w:r>
      <w:proofErr w:type="spellStart"/>
      <w:r w:rsidRPr="001643CA">
        <w:rPr>
          <w:rFonts w:ascii="Times New Roman" w:eastAsia="Times New Roman" w:hAnsi="Times New Roman" w:cs="Times New Roman"/>
          <w:sz w:val="24"/>
          <w:szCs w:val="24"/>
          <w:lang w:eastAsia="en-GB"/>
        </w:rPr>
        <w:t>Aneem</w:t>
      </w:r>
      <w:proofErr w:type="spellEnd"/>
      <w:r w:rsidRPr="001643CA">
        <w:rPr>
          <w:rFonts w:ascii="Times New Roman" w:eastAsia="Times New Roman" w:hAnsi="Times New Roman" w:cs="Times New Roman"/>
          <w:sz w:val="24"/>
          <w:szCs w:val="24"/>
          <w:lang w:eastAsia="en-GB"/>
        </w:rPr>
        <w:t xml:space="preserve"> et al., 2024). Bacteriocin-functionalised alginate/</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microfibres tell a similar story: peptide-bearing fibre chemistries developed initially for antimicrobial purposes can be built on biodegradable, tissue-compatible carrier materials that are themselves supportive of cellular infiltration and remodelling, narrowing the conceptual gap between antimicrobial fibre functionalization and growth-factor-delivery scaffold design (Homem et al., 2021). Table 4 summarises the textile-derived scaffold strategies discussed in this section.</w:t>
      </w:r>
    </w:p>
    <w:p w14:paraId="2CC695EB"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b/>
          <w:bCs/>
          <w:sz w:val="24"/>
          <w:szCs w:val="24"/>
          <w:lang w:eastAsia="en-GB"/>
        </w:rPr>
        <w:lastRenderedPageBreak/>
        <w:t>Table 4. Textile-based scaffold strategies in regenerative medicine</w:t>
      </w:r>
    </w:p>
    <w:tbl>
      <w:tblPr>
        <w:tblStyle w:val="TableGrid"/>
        <w:tblW w:w="0" w:type="auto"/>
        <w:tblLook w:val="04A0" w:firstRow="1" w:lastRow="0" w:firstColumn="1" w:lastColumn="0" w:noHBand="0" w:noVBand="1"/>
      </w:tblPr>
      <w:tblGrid>
        <w:gridCol w:w="2010"/>
        <w:gridCol w:w="2542"/>
        <w:gridCol w:w="1679"/>
        <w:gridCol w:w="3011"/>
      </w:tblGrid>
      <w:tr w:rsidR="001643CA" w:rsidRPr="001643CA" w14:paraId="1278EFBE" w14:textId="77777777" w:rsidTr="00E43021">
        <w:tc>
          <w:tcPr>
            <w:tcW w:w="0" w:type="auto"/>
            <w:hideMark/>
          </w:tcPr>
          <w:p w14:paraId="59722E17"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Scaffold strategy</w:t>
            </w:r>
          </w:p>
        </w:tc>
        <w:tc>
          <w:tcPr>
            <w:tcW w:w="0" w:type="auto"/>
            <w:hideMark/>
          </w:tcPr>
          <w:p w14:paraId="0C5F1169"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Chemical/structural basis</w:t>
            </w:r>
          </w:p>
        </w:tc>
        <w:tc>
          <w:tcPr>
            <w:tcW w:w="0" w:type="auto"/>
            <w:hideMark/>
          </w:tcPr>
          <w:p w14:paraId="362B8F95"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Target tissue or application</w:t>
            </w:r>
          </w:p>
        </w:tc>
        <w:tc>
          <w:tcPr>
            <w:tcW w:w="0" w:type="auto"/>
            <w:hideMark/>
          </w:tcPr>
          <w:p w14:paraId="403027F0" w14:textId="77777777" w:rsidR="001643CA" w:rsidRPr="001643CA" w:rsidRDefault="001643CA" w:rsidP="001643CA">
            <w:pPr>
              <w:jc w:val="center"/>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Reported advantage</w:t>
            </w:r>
          </w:p>
        </w:tc>
      </w:tr>
      <w:tr w:rsidR="001643CA" w:rsidRPr="001643CA" w14:paraId="02B18ED5" w14:textId="77777777" w:rsidTr="00E43021">
        <w:tc>
          <w:tcPr>
            <w:tcW w:w="0" w:type="auto"/>
            <w:hideMark/>
          </w:tcPr>
          <w:p w14:paraId="4491FF6D"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Antibacterial nanomaterial-functionalised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membrane</w:t>
            </w:r>
          </w:p>
        </w:tc>
        <w:tc>
          <w:tcPr>
            <w:tcW w:w="0" w:type="auto"/>
            <w:hideMark/>
          </w:tcPr>
          <w:p w14:paraId="3000C34D"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Surface-conjugated or blended nanomaterials within </w:t>
            </w:r>
            <w:proofErr w:type="spellStart"/>
            <w:r w:rsidRPr="001643CA">
              <w:rPr>
                <w:rFonts w:ascii="Times New Roman" w:eastAsia="Times New Roman" w:hAnsi="Times New Roman" w:cs="Times New Roman"/>
                <w:sz w:val="24"/>
                <w:szCs w:val="24"/>
                <w:lang w:eastAsia="en-GB"/>
              </w:rPr>
              <w:t>nanofibre</w:t>
            </w:r>
            <w:proofErr w:type="spellEnd"/>
          </w:p>
        </w:tc>
        <w:tc>
          <w:tcPr>
            <w:tcW w:w="0" w:type="auto"/>
            <w:hideMark/>
          </w:tcPr>
          <w:p w14:paraId="28513E7C"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Skin, periodontal, tendon regeneration</w:t>
            </w:r>
          </w:p>
        </w:tc>
        <w:tc>
          <w:tcPr>
            <w:tcW w:w="0" w:type="auto"/>
            <w:hideMark/>
          </w:tcPr>
          <w:p w14:paraId="4FD6E8E6"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Combines extracellular-matrix mimicry with infection control</w:t>
            </w:r>
          </w:p>
        </w:tc>
      </w:tr>
      <w:tr w:rsidR="001643CA" w:rsidRPr="001643CA" w14:paraId="7C77B02C" w14:textId="77777777" w:rsidTr="00E43021">
        <w:tc>
          <w:tcPr>
            <w:tcW w:w="0" w:type="auto"/>
            <w:hideMark/>
          </w:tcPr>
          <w:p w14:paraId="70C13B98"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Decellularized extracellular-matrix composite scaffold</w:t>
            </w:r>
          </w:p>
        </w:tc>
        <w:tc>
          <w:tcPr>
            <w:tcW w:w="0" w:type="auto"/>
            <w:hideMark/>
          </w:tcPr>
          <w:p w14:paraId="40183B98"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Native matrix components anchored to fibrous reinforcement</w:t>
            </w:r>
          </w:p>
        </w:tc>
        <w:tc>
          <w:tcPr>
            <w:tcW w:w="0" w:type="auto"/>
            <w:hideMark/>
          </w:tcPr>
          <w:p w14:paraId="7CB30D0F"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General tissue engineering</w:t>
            </w:r>
          </w:p>
        </w:tc>
        <w:tc>
          <w:tcPr>
            <w:tcW w:w="0" w:type="auto"/>
            <w:hideMark/>
          </w:tcPr>
          <w:p w14:paraId="7C08E64A"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Retains native biochemical cues; improved mechanical integrity</w:t>
            </w:r>
          </w:p>
        </w:tc>
      </w:tr>
      <w:tr w:rsidR="001643CA" w:rsidRPr="001643CA" w14:paraId="255BC819" w14:textId="77777777" w:rsidTr="00E43021">
        <w:tc>
          <w:tcPr>
            <w:tcW w:w="0" w:type="auto"/>
            <w:hideMark/>
          </w:tcPr>
          <w:p w14:paraId="16AE7B9A"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Three-dimensional </w:t>
            </w:r>
            <w:proofErr w:type="spellStart"/>
            <w:r w:rsidRPr="001643CA">
              <w:rPr>
                <w:rFonts w:ascii="Times New Roman" w:eastAsia="Times New Roman" w:hAnsi="Times New Roman" w:cs="Times New Roman"/>
                <w:sz w:val="24"/>
                <w:szCs w:val="24"/>
                <w:lang w:eastAsia="en-GB"/>
              </w:rPr>
              <w:t>bioprinted</w:t>
            </w:r>
            <w:proofErr w:type="spellEnd"/>
            <w:r w:rsidRPr="001643CA">
              <w:rPr>
                <w:rFonts w:ascii="Times New Roman" w:eastAsia="Times New Roman" w:hAnsi="Times New Roman" w:cs="Times New Roman"/>
                <w:sz w:val="24"/>
                <w:szCs w:val="24"/>
                <w:lang w:eastAsia="en-GB"/>
              </w:rPr>
              <w:t xml:space="preserve"> skin construct</w:t>
            </w:r>
          </w:p>
        </w:tc>
        <w:tc>
          <w:tcPr>
            <w:tcW w:w="0" w:type="auto"/>
            <w:hideMark/>
          </w:tcPr>
          <w:p w14:paraId="3EC880E9"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Layered, cell-laden bioink with </w:t>
            </w:r>
            <w:proofErr w:type="spellStart"/>
            <w:r w:rsidRPr="001643CA">
              <w:rPr>
                <w:rFonts w:ascii="Times New Roman" w:eastAsia="Times New Roman" w:hAnsi="Times New Roman" w:cs="Times New Roman"/>
                <w:sz w:val="24"/>
                <w:szCs w:val="24"/>
                <w:lang w:eastAsia="en-GB"/>
              </w:rPr>
              <w:t>tunable</w:t>
            </w:r>
            <w:proofErr w:type="spellEnd"/>
            <w:r w:rsidRPr="001643CA">
              <w:rPr>
                <w:rFonts w:ascii="Times New Roman" w:eastAsia="Times New Roman" w:hAnsi="Times New Roman" w:cs="Times New Roman"/>
                <w:sz w:val="24"/>
                <w:szCs w:val="24"/>
                <w:lang w:eastAsia="en-GB"/>
              </w:rPr>
              <w:t xml:space="preserve"> chemistry</w:t>
            </w:r>
          </w:p>
        </w:tc>
        <w:tc>
          <w:tcPr>
            <w:tcW w:w="0" w:type="auto"/>
            <w:hideMark/>
          </w:tcPr>
          <w:p w14:paraId="2D064CCD"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Skin regeneration, disease modelling</w:t>
            </w:r>
          </w:p>
        </w:tc>
        <w:tc>
          <w:tcPr>
            <w:tcW w:w="0" w:type="auto"/>
            <w:hideMark/>
          </w:tcPr>
          <w:p w14:paraId="65BD2C5D"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Spatial control over dermal–epidermal architecture</w:t>
            </w:r>
          </w:p>
        </w:tc>
      </w:tr>
      <w:tr w:rsidR="001643CA" w:rsidRPr="001643CA" w14:paraId="20620A0B" w14:textId="77777777" w:rsidTr="00E43021">
        <w:tc>
          <w:tcPr>
            <w:tcW w:w="0" w:type="auto"/>
            <w:hideMark/>
          </w:tcPr>
          <w:p w14:paraId="4D183887"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Catechol-functionalised peptide-bearing microfibre</w:t>
            </w:r>
          </w:p>
        </w:tc>
        <w:tc>
          <w:tcPr>
            <w:tcW w:w="0" w:type="auto"/>
            <w:hideMark/>
          </w:tcPr>
          <w:p w14:paraId="353D7DE4"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Dopamine-derived catechol conjugation chemistry</w:t>
            </w:r>
          </w:p>
        </w:tc>
        <w:tc>
          <w:tcPr>
            <w:tcW w:w="0" w:type="auto"/>
            <w:hideMark/>
          </w:tcPr>
          <w:p w14:paraId="13136E6B"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Surgical-site wound closure and regeneration</w:t>
            </w:r>
          </w:p>
        </w:tc>
        <w:tc>
          <w:tcPr>
            <w:tcW w:w="0" w:type="auto"/>
            <w:hideMark/>
          </w:tcPr>
          <w:p w14:paraId="6B7FC97F"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Suture-compatible mechanics with antimicrobial/regenerative cargo</w:t>
            </w:r>
          </w:p>
        </w:tc>
      </w:tr>
      <w:tr w:rsidR="001643CA" w:rsidRPr="001643CA" w14:paraId="73AA5DD0" w14:textId="77777777" w:rsidTr="00E43021">
        <w:tc>
          <w:tcPr>
            <w:tcW w:w="0" w:type="auto"/>
            <w:hideMark/>
          </w:tcPr>
          <w:p w14:paraId="6C281A0A"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Bacteriocin-functionalised alginate/</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microfibre</w:t>
            </w:r>
          </w:p>
        </w:tc>
        <w:tc>
          <w:tcPr>
            <w:tcW w:w="0" w:type="auto"/>
            <w:hideMark/>
          </w:tcPr>
          <w:p w14:paraId="597BEDDD"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Peptide conjugation to wet-spun biodegradable fibre</w:t>
            </w:r>
          </w:p>
        </w:tc>
        <w:tc>
          <w:tcPr>
            <w:tcW w:w="0" w:type="auto"/>
            <w:hideMark/>
          </w:tcPr>
          <w:p w14:paraId="0261176C"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Infected wound regeneration</w:t>
            </w:r>
          </w:p>
        </w:tc>
        <w:tc>
          <w:tcPr>
            <w:tcW w:w="0" w:type="auto"/>
            <w:hideMark/>
          </w:tcPr>
          <w:p w14:paraId="61CC3F6F" w14:textId="77777777" w:rsidR="001643CA" w:rsidRPr="001643CA" w:rsidRDefault="001643CA" w:rsidP="001643CA">
            <w:pPr>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Targeted antimicrobial action within a regenerative fibre carrier</w:t>
            </w:r>
          </w:p>
        </w:tc>
      </w:tr>
    </w:tbl>
    <w:p w14:paraId="69DDF942"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i/>
          <w:iCs/>
          <w:sz w:val="24"/>
          <w:szCs w:val="24"/>
          <w:lang w:eastAsia="en-GB"/>
        </w:rPr>
        <w:t xml:space="preserve">Sources: Chen et al. (2024); Xu et al. (2024); </w:t>
      </w:r>
      <w:proofErr w:type="spellStart"/>
      <w:r w:rsidRPr="001643CA">
        <w:rPr>
          <w:rFonts w:ascii="Times New Roman" w:eastAsia="Times New Roman" w:hAnsi="Times New Roman" w:cs="Times New Roman"/>
          <w:i/>
          <w:iCs/>
          <w:sz w:val="24"/>
          <w:szCs w:val="24"/>
          <w:lang w:eastAsia="en-GB"/>
        </w:rPr>
        <w:t>Loukelis</w:t>
      </w:r>
      <w:proofErr w:type="spellEnd"/>
      <w:r w:rsidRPr="001643CA">
        <w:rPr>
          <w:rFonts w:ascii="Times New Roman" w:eastAsia="Times New Roman" w:hAnsi="Times New Roman" w:cs="Times New Roman"/>
          <w:i/>
          <w:iCs/>
          <w:sz w:val="24"/>
          <w:szCs w:val="24"/>
          <w:lang w:eastAsia="en-GB"/>
        </w:rPr>
        <w:t xml:space="preserve"> et al. (2024); Zhang et al. (2023); </w:t>
      </w:r>
      <w:proofErr w:type="spellStart"/>
      <w:r w:rsidRPr="001643CA">
        <w:rPr>
          <w:rFonts w:ascii="Times New Roman" w:eastAsia="Times New Roman" w:hAnsi="Times New Roman" w:cs="Times New Roman"/>
          <w:i/>
          <w:iCs/>
          <w:sz w:val="24"/>
          <w:szCs w:val="24"/>
          <w:lang w:eastAsia="en-GB"/>
        </w:rPr>
        <w:t>Aneem</w:t>
      </w:r>
      <w:proofErr w:type="spellEnd"/>
      <w:r w:rsidRPr="001643CA">
        <w:rPr>
          <w:rFonts w:ascii="Times New Roman" w:eastAsia="Times New Roman" w:hAnsi="Times New Roman" w:cs="Times New Roman"/>
          <w:i/>
          <w:iCs/>
          <w:sz w:val="24"/>
          <w:szCs w:val="24"/>
          <w:lang w:eastAsia="en-GB"/>
        </w:rPr>
        <w:t xml:space="preserve"> et al. (2024); Homem et al. (2021).</w:t>
      </w:r>
    </w:p>
    <w:p w14:paraId="03B04D32"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Taken together, the strategies in Table 4 point to a boundary that is becoming increasingly blurred: the line between an "antimicrobial textile" and a "regenerative scaffold" is harder to draw than it used to be, since the same catechol, peptide-conjugation, and nanomaterial-functionalisation chemistries keep turning up in both. What usually distinguishes one application from the other is not the underlying chemistry but the choice of carrier polymer, fibre architecture, and how long the construct is meant to remain in the wound or tissue defect.</w:t>
      </w:r>
    </w:p>
    <w:p w14:paraId="1D8E2014" w14:textId="77777777" w:rsidR="001643CA" w:rsidRPr="001643CA" w:rsidRDefault="001643CA" w:rsidP="001643C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8. Translational, Regulatory, and Sustainability Considerations</w:t>
      </w:r>
    </w:p>
    <w:p w14:paraId="7071597B"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8.1 Nanomaterial Safety and Biocompatibility</w:t>
      </w:r>
    </w:p>
    <w:p w14:paraId="4782C90E"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Given how heavily this review has drawn on metal, metal-oxide, and silica nanoparticles across antimicrobial, drug-delivery, and sensing applications, nanomaterial safety deserves direct attention. The same physicochemical properties that make these particles biologically active — high surface-area-to-volume ratio, surface reactivity, and a capacity for cellular uptake — are also exactly what underlies their main toxicological hazards. A comprehensive risk-assessment review of nanomaterial toxicity stresses that hazard cannot be predicted from bulk chemical identity alone: size, surface coating, aggregation state, and route of exposure all need to be considered together, and regulatory risk-assessment frameworks are still catching up with this multidimensional picture (Hartwig &amp; van </w:t>
      </w:r>
      <w:proofErr w:type="spellStart"/>
      <w:r w:rsidRPr="001643CA">
        <w:rPr>
          <w:rFonts w:ascii="Times New Roman" w:eastAsia="Times New Roman" w:hAnsi="Times New Roman" w:cs="Times New Roman"/>
          <w:sz w:val="24"/>
          <w:szCs w:val="24"/>
          <w:lang w:eastAsia="en-GB"/>
        </w:rPr>
        <w:t>Thriel</w:t>
      </w:r>
      <w:proofErr w:type="spellEnd"/>
      <w:r w:rsidRPr="001643CA">
        <w:rPr>
          <w:rFonts w:ascii="Times New Roman" w:eastAsia="Times New Roman" w:hAnsi="Times New Roman" w:cs="Times New Roman"/>
          <w:sz w:val="24"/>
          <w:szCs w:val="24"/>
          <w:lang w:eastAsia="en-GB"/>
        </w:rPr>
        <w:t xml:space="preserve">, 2023). For medical </w:t>
      </w:r>
      <w:r w:rsidRPr="001643CA">
        <w:rPr>
          <w:rFonts w:ascii="Times New Roman" w:eastAsia="Times New Roman" w:hAnsi="Times New Roman" w:cs="Times New Roman"/>
          <w:sz w:val="24"/>
          <w:szCs w:val="24"/>
          <w:lang w:eastAsia="en-GB"/>
        </w:rPr>
        <w:lastRenderedPageBreak/>
        <w:t>textiles specifically, the chemical strategy used to attach a nanoparticle to the fibre matters directly here, since covalently bound or matrix-embedded particles are, in principle, less likely to leach and translocate systemically than physically adsorbed ones. This reinforces a point made throughout this review: the choice of attachment chemistry is not just a manufacturing detail but a real determinant of clinical safety.</w:t>
      </w:r>
    </w:p>
    <w:p w14:paraId="7F680436"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8.2 Clinical Evidence and Comparative Efficacy</w:t>
      </w:r>
    </w:p>
    <w:p w14:paraId="54767B8F"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Despite the chemical sophistication evident in much of the laboratory work reviewed above, the clinical evidence supporting many functionalized medical textiles is, frankly, still thin in places — particularly for the bigger claims about accelerated healing or reduced infection rates in human populations. A meta-review of compression therapy for venous leg ulcer healing shows what rigorous comparative evidence synthesis can add even to a well-established, long-used textile-based intervention: it found moderate-certainty evidence that compression improves healing relative to no compression, but no statistically significant difference between elastic and inelastic systems, between four-layer and fewer-layer bandage regimens, or between compression bandages and stockings — a finding that should temper enthusiasm for small textile-engineering tweaks unless they are tested with equally rigorous trials (Patton et al., 2023). The substantial and growing burden of diabetic foot ulceration, together with well-documented disparities in screening and preventive care across racial, ethnic, and socioeconomic groups, makes a related point: chemical innovation in dressing materials, however elegant the mechanism, will only reduce morbidity if access to appropriate wound care improves at the same time (McDermott et al., 2023). The multi-perspective synthesis of chronic wound management literature discussed in Section 1.1 reached a broadly similar conclusion, noting that no single dressing format has shown clear superiority across the full range of chronic, complex wounds, which argues for continued comparative-effectiveness research rather than relying on mechanistic plausibility alone (Popescu et al., 2023).</w:t>
      </w:r>
    </w:p>
    <w:p w14:paraId="606F052C" w14:textId="77777777" w:rsidR="001643CA" w:rsidRPr="001643CA" w:rsidRDefault="001643CA" w:rsidP="001643C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8.3 Sustainability and Circular-Economy Considerations</w:t>
      </w:r>
    </w:p>
    <w:p w14:paraId="1E265C3A" w14:textId="77777777" w:rsid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 last translational issue, increasingly prominent in the wider textile-science literature, concerns the environmental footprint of the chemically intensive finishing processes covered throughout this review. The broader nano-engineered textile literature, including general reviews of development and application in this space, has noted that many wet-chemical and nanoparticle-deposition processes used to add antimicrobial, drug-delivery, or sensing function rely on solvent use, energy-intensive curing steps, and metal or metal-oxide precursors whose extraction and disposal carry their own environmental costs (Meda et al., 2023). This raises a fair question, worth asking explicitly here: can single-use medical textiles carrying such finishes be reconciled with the growing expectation of sustainable, circular material flows in healthcare? Plasma activation and certain click-chemistry routes are, by contrast, largely solvent-free and may offer a more sustainable path to activation, although their technology-readiness level for large-scale medical-textile manufacture currently lags well behind that of established wet-chemical finishing. This tension between functional sophistication and environmental responsibility seems likely to become an explicit design criterion in its own right, alongside the more familiar yardsticks of efficacy, biocompatibility, and cost.</w:t>
      </w:r>
    </w:p>
    <w:p w14:paraId="17459BE3" w14:textId="77777777" w:rsidR="00754EEC" w:rsidRPr="001643CA" w:rsidRDefault="00754EEC" w:rsidP="001643CA">
      <w:pPr>
        <w:spacing w:before="100" w:beforeAutospacing="1" w:after="100" w:afterAutospacing="1" w:line="240" w:lineRule="auto"/>
        <w:rPr>
          <w:rFonts w:ascii="Times New Roman" w:eastAsia="Times New Roman" w:hAnsi="Times New Roman" w:cs="Times New Roman"/>
          <w:sz w:val="24"/>
          <w:szCs w:val="24"/>
          <w:lang w:eastAsia="en-GB"/>
        </w:rPr>
      </w:pPr>
    </w:p>
    <w:p w14:paraId="40ACDE7C" w14:textId="77777777" w:rsidR="001643CA" w:rsidRPr="001643CA" w:rsidRDefault="001643CA" w:rsidP="001643C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lastRenderedPageBreak/>
        <w:t>9. Conclusions</w:t>
      </w:r>
    </w:p>
    <w:p w14:paraId="42E0047A" w14:textId="77777777" w:rsidR="001643CA" w:rsidRP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This review has traced the chemistry that turns medical textiles from passive wound coverings into multifunctional platforms for antimicrobial defence, controlled therapeutic delivery, physiological sensing, and tissue regeneration. Across all of these application areas, a fairly small set of chemical strategies keeps recurring — plasma and physical surface activation, covalent wet-chemical grafting, click chemistry and </w:t>
      </w:r>
      <w:proofErr w:type="spellStart"/>
      <w:r w:rsidRPr="001643CA">
        <w:rPr>
          <w:rFonts w:ascii="Times New Roman" w:eastAsia="Times New Roman" w:hAnsi="Times New Roman" w:cs="Times New Roman"/>
          <w:sz w:val="24"/>
          <w:szCs w:val="24"/>
          <w:lang w:eastAsia="en-GB"/>
        </w:rPr>
        <w:t>bioorthogonal</w:t>
      </w:r>
      <w:proofErr w:type="spellEnd"/>
      <w:r w:rsidRPr="001643CA">
        <w:rPr>
          <w:rFonts w:ascii="Times New Roman" w:eastAsia="Times New Roman" w:hAnsi="Times New Roman" w:cs="Times New Roman"/>
          <w:sz w:val="24"/>
          <w:szCs w:val="24"/>
          <w:lang w:eastAsia="en-GB"/>
        </w:rPr>
        <w:t xml:space="preserve"> conjugation, and nanoparticle or sol–gel deposition — and what mainly distinguishes one application from another is the choice of bioactive payload and carrier architecture rather than any fundamentally different underlying chemistry. The most promising recent work deliberately combines functions within a single chemical finish: catechol chemistries that provide antimicrobial action and support regenerative cellular interactions at the same time, protease- or pH-responsive linkages that tie drug release to the biochemical signature of infection, and fluorogenic or electronic reporter chemistries placed alongside therapeutic finishes to enable </w:t>
      </w:r>
      <w:proofErr w:type="spellStart"/>
      <w:r w:rsidRPr="001643CA">
        <w:rPr>
          <w:rFonts w:ascii="Times New Roman" w:eastAsia="Times New Roman" w:hAnsi="Times New Roman" w:cs="Times New Roman"/>
          <w:sz w:val="24"/>
          <w:szCs w:val="24"/>
          <w:lang w:eastAsia="en-GB"/>
        </w:rPr>
        <w:t>theranostic</w:t>
      </w:r>
      <w:proofErr w:type="spellEnd"/>
      <w:r w:rsidRPr="001643CA">
        <w:rPr>
          <w:rFonts w:ascii="Times New Roman" w:eastAsia="Times New Roman" w:hAnsi="Times New Roman" w:cs="Times New Roman"/>
          <w:sz w:val="24"/>
          <w:szCs w:val="24"/>
          <w:lang w:eastAsia="en-GB"/>
        </w:rPr>
        <w:t xml:space="preserve"> monitoring. At the same time, the clinical evidence base has not caught up with this mechanistic sophistication in many areas, and rigorous comparative-effectiveness research remains essential if chemically elegant innovations are to translate into measurable improvements for patients. Nanomaterial safety, the increasingly device-like regulatory status of these combination products, and the environmental sustainability of chemically intensive finishing are additional considerations that will shape which laboratory innovations actually reach routine clinical use. Taken as a whole, the evidence reviewed here suggests the field is moving toward genuinely integrated, multifunctional medical textiles — but getting there at clinical and commercial scale will demand continued attention to durability, manufacturability, safety, and the kind of comparative clinical evidence that ultimately justifies replacing existing standards of care.</w:t>
      </w:r>
    </w:p>
    <w:p w14:paraId="27189676" w14:textId="77777777" w:rsidR="001643CA" w:rsidRPr="001643CA" w:rsidRDefault="001643CA" w:rsidP="001643C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10. Limitations</w:t>
      </w:r>
    </w:p>
    <w:p w14:paraId="7550F40C" w14:textId="77777777" w:rsidR="001643CA" w:rsidRDefault="001643CA" w:rsidP="001643CA">
      <w:pPr>
        <w:spacing w:before="100" w:beforeAutospacing="1" w:after="100" w:afterAutospacing="1" w:line="240" w:lineRule="auto"/>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This review has several limitations that follow from its narrative methodology and its scope. Relying on a narrative rather than systematic search and selection process, while justified on the methodological grounds set out in Section 2, means the literature coverage, though broad, cannot be guaranteed exhaustive; some relevant studies — particularly those in venues not indexed by the databases searched, or using terminology the search strings did not capture — may have been missed. Restricting inclusion to peer-reviewed journal articles and a single authoritative institutional report excludes grey literature, conference proceedings, and patent disclosures that may document early-stage innovations not yet reported in the peer-reviewed literature, so the review probably understates how much industrial and translational activity is actually under way. The breadth of the topic — spanning organic and materials chemistry, electronics, and clinical wound care — necessarily limits how deeply any single sub-topic could be treated compared with a narrower review, and readers wanting detailed synthesis chemistry, device-engineering specifications, or trial-level clinical evidence for a particular functionalization strategy should turn to the more specialised primary literature cited throughout. Finally, because this is a fast-moving field, some of the most recent developments at the time of writing may already have been superseded by newer publications, and the review should be read as a critical snapshot of the literature available up to the stated search cut-off rather than a permanently definitive account of the state of the art.</w:t>
      </w:r>
    </w:p>
    <w:p w14:paraId="37BCA4FC" w14:textId="77777777" w:rsidR="00754EEC" w:rsidRDefault="00754EEC" w:rsidP="001643CA">
      <w:pPr>
        <w:spacing w:before="100" w:beforeAutospacing="1" w:after="100" w:afterAutospacing="1" w:line="240" w:lineRule="auto"/>
        <w:rPr>
          <w:rFonts w:ascii="Times New Roman" w:eastAsia="Times New Roman" w:hAnsi="Times New Roman" w:cs="Times New Roman"/>
          <w:sz w:val="24"/>
          <w:szCs w:val="24"/>
          <w:lang w:eastAsia="en-GB"/>
        </w:rPr>
      </w:pPr>
    </w:p>
    <w:p w14:paraId="60BBDA24" w14:textId="77777777" w:rsidR="00754EEC" w:rsidRPr="001643CA" w:rsidRDefault="00754EEC" w:rsidP="001643CA">
      <w:pPr>
        <w:spacing w:before="100" w:beforeAutospacing="1" w:after="100" w:afterAutospacing="1" w:line="240" w:lineRule="auto"/>
        <w:rPr>
          <w:rFonts w:ascii="Times New Roman" w:eastAsia="Times New Roman" w:hAnsi="Times New Roman" w:cs="Times New Roman"/>
          <w:sz w:val="24"/>
          <w:szCs w:val="24"/>
          <w:lang w:eastAsia="en-GB"/>
        </w:rPr>
      </w:pPr>
    </w:p>
    <w:p w14:paraId="55340663" w14:textId="77777777" w:rsidR="0053315D" w:rsidRPr="000839CE" w:rsidRDefault="0053315D" w:rsidP="0053315D">
      <w:pPr>
        <w:spacing w:after="0" w:line="240" w:lineRule="auto"/>
        <w:rPr>
          <w:rFonts w:ascii="Times New Roman" w:hAnsi="Times New Roman" w:cs="Times New Roman"/>
          <w:b/>
        </w:rPr>
      </w:pPr>
      <w:r w:rsidRPr="000839CE">
        <w:rPr>
          <w:rFonts w:ascii="Times New Roman" w:hAnsi="Times New Roman" w:cs="Times New Roman"/>
          <w:b/>
        </w:rPr>
        <w:lastRenderedPageBreak/>
        <w:t>Declaration of AI Use</w:t>
      </w:r>
    </w:p>
    <w:p w14:paraId="47E5D749" w14:textId="77777777" w:rsidR="0053315D" w:rsidRPr="000839CE" w:rsidRDefault="0053315D" w:rsidP="0053315D">
      <w:pPr>
        <w:spacing w:after="0" w:line="240" w:lineRule="auto"/>
        <w:rPr>
          <w:rFonts w:ascii="Times New Roman" w:hAnsi="Times New Roman" w:cs="Times New Roman"/>
        </w:rPr>
      </w:pPr>
    </w:p>
    <w:p w14:paraId="5780E4C2" w14:textId="77777777" w:rsidR="0053315D" w:rsidRPr="000839CE" w:rsidRDefault="0053315D" w:rsidP="0053315D">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DAF5FA1" w14:textId="77777777" w:rsidR="001643CA" w:rsidRPr="001643CA" w:rsidRDefault="001643CA" w:rsidP="001643CA">
      <w:pPr>
        <w:spacing w:after="0" w:line="240" w:lineRule="auto"/>
        <w:rPr>
          <w:rFonts w:ascii="Times New Roman" w:eastAsia="Times New Roman" w:hAnsi="Times New Roman" w:cs="Times New Roman"/>
          <w:sz w:val="24"/>
          <w:szCs w:val="24"/>
          <w:lang w:eastAsia="en-GB"/>
        </w:rPr>
      </w:pPr>
    </w:p>
    <w:p w14:paraId="0BF4734A" w14:textId="77777777" w:rsidR="001643CA" w:rsidRPr="001643CA" w:rsidRDefault="001643CA" w:rsidP="001643C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References</w:t>
      </w:r>
    </w:p>
    <w:p w14:paraId="3BF7A285"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Akombaetwa, N., Bwanga, A., Makoni, P. A., &amp; </w:t>
      </w:r>
      <w:proofErr w:type="spellStart"/>
      <w:r w:rsidRPr="00E43021">
        <w:rPr>
          <w:rFonts w:ascii="Times New Roman" w:hAnsi="Times New Roman" w:cs="Times New Roman"/>
          <w:sz w:val="24"/>
        </w:rPr>
        <w:t>Witika</w:t>
      </w:r>
      <w:proofErr w:type="spellEnd"/>
      <w:r w:rsidRPr="00E43021">
        <w:rPr>
          <w:rFonts w:ascii="Times New Roman" w:hAnsi="Times New Roman" w:cs="Times New Roman"/>
          <w:sz w:val="24"/>
        </w:rPr>
        <w:t xml:space="preserve">, B. A. (2022). Applications of </w:t>
      </w:r>
      <w:proofErr w:type="spellStart"/>
      <w:r w:rsidRPr="00E43021">
        <w:rPr>
          <w:rFonts w:ascii="Times New Roman" w:hAnsi="Times New Roman" w:cs="Times New Roman"/>
          <w:sz w:val="24"/>
        </w:rPr>
        <w:t>electrospun</w:t>
      </w:r>
      <w:proofErr w:type="spellEnd"/>
      <w:r w:rsidRPr="00E43021">
        <w:rPr>
          <w:rFonts w:ascii="Times New Roman" w:hAnsi="Times New Roman" w:cs="Times New Roman"/>
          <w:sz w:val="24"/>
        </w:rPr>
        <w:t xml:space="preserve"> drug-eluting nanofibers in wound healing: Current and future perspectives. Polymers, 14(14), Article 2931. https://doi.org/10.3390/polym14142931</w:t>
      </w:r>
    </w:p>
    <w:p w14:paraId="26228A7B"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Akter, A., Apu, M. M. H., </w:t>
      </w:r>
      <w:proofErr w:type="spellStart"/>
      <w:r w:rsidRPr="00E43021">
        <w:rPr>
          <w:rFonts w:ascii="Times New Roman" w:hAnsi="Times New Roman" w:cs="Times New Roman"/>
          <w:sz w:val="24"/>
        </w:rPr>
        <w:t>Veeranki</w:t>
      </w:r>
      <w:proofErr w:type="spellEnd"/>
      <w:r w:rsidRPr="00E43021">
        <w:rPr>
          <w:rFonts w:ascii="Times New Roman" w:hAnsi="Times New Roman" w:cs="Times New Roman"/>
          <w:sz w:val="24"/>
        </w:rPr>
        <w:t>, Y. R., Baroud, T. N., &amp; Posada-Quintero, H. F. (2024). Recent studies on smart textile-based wearable sweat sensors for medical monitoring: A systematic review. Journal of Sensor and Actuator Networks, 13(4), Article 40. https://doi.org/10.3390/jsan13040040</w:t>
      </w:r>
    </w:p>
    <w:p w14:paraId="16275313"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Altun, E., Bayram, C., </w:t>
      </w:r>
      <w:proofErr w:type="spellStart"/>
      <w:r w:rsidRPr="00E43021">
        <w:rPr>
          <w:rFonts w:ascii="Times New Roman" w:hAnsi="Times New Roman" w:cs="Times New Roman"/>
          <w:sz w:val="24"/>
        </w:rPr>
        <w:t>Gultekinoglu</w:t>
      </w:r>
      <w:proofErr w:type="spellEnd"/>
      <w:r w:rsidRPr="00E43021">
        <w:rPr>
          <w:rFonts w:ascii="Times New Roman" w:hAnsi="Times New Roman" w:cs="Times New Roman"/>
          <w:sz w:val="24"/>
        </w:rPr>
        <w:t xml:space="preserve">, M., Matharu, R., </w:t>
      </w:r>
      <w:proofErr w:type="spellStart"/>
      <w:r w:rsidRPr="00E43021">
        <w:rPr>
          <w:rFonts w:ascii="Times New Roman" w:hAnsi="Times New Roman" w:cs="Times New Roman"/>
          <w:sz w:val="24"/>
        </w:rPr>
        <w:t>Delbusso</w:t>
      </w:r>
      <w:proofErr w:type="spellEnd"/>
      <w:r w:rsidRPr="00E43021">
        <w:rPr>
          <w:rFonts w:ascii="Times New Roman" w:hAnsi="Times New Roman" w:cs="Times New Roman"/>
          <w:sz w:val="24"/>
        </w:rPr>
        <w:t>, A., Homer-</w:t>
      </w:r>
      <w:proofErr w:type="spellStart"/>
      <w:r w:rsidRPr="00E43021">
        <w:rPr>
          <w:rFonts w:ascii="Times New Roman" w:hAnsi="Times New Roman" w:cs="Times New Roman"/>
          <w:sz w:val="24"/>
        </w:rPr>
        <w:t>Vanniasinkam</w:t>
      </w:r>
      <w:proofErr w:type="spellEnd"/>
      <w:r w:rsidRPr="00E43021">
        <w:rPr>
          <w:rFonts w:ascii="Times New Roman" w:hAnsi="Times New Roman" w:cs="Times New Roman"/>
          <w:sz w:val="24"/>
        </w:rPr>
        <w:t>, S., &amp; Edirisinghe, M. (2023). Pressure-spun fibrous surgical sutures for localized antibacterial delivery: Development, characterization, and in vitro evaluation. ACS Applied Materials &amp; Interfaces, 15(39), 45561–45573. https://doi.org/10.1021/acsami.3c07956</w:t>
      </w:r>
    </w:p>
    <w:p w14:paraId="7DAAB0D4"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Aminzai, M. T., &amp; Patan, A. (2024). Recent applications and evaluation of metal nanoparticle–polymer hybrids as chronic wound dressings. Journal of Nanomaterials, 2024, Article 3280349. https://doi.org/10.1155/2024/3280349</w:t>
      </w:r>
    </w:p>
    <w:p w14:paraId="184EA64F"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Aneem, T. H., Sarker, M., Wong, S. Y., Lim, S., Li, X., Rashed, A., Chakravarty, S., &amp; Arafat, M. T. (2024). Antimicrobial peptide immobilization on catechol-functionalized PCL/alginate wet-spun </w:t>
      </w:r>
      <w:proofErr w:type="spellStart"/>
      <w:r w:rsidRPr="00E43021">
        <w:rPr>
          <w:rFonts w:ascii="Times New Roman" w:hAnsi="Times New Roman" w:cs="Times New Roman"/>
          <w:sz w:val="24"/>
        </w:rPr>
        <w:t>fibers</w:t>
      </w:r>
      <w:proofErr w:type="spellEnd"/>
      <w:r w:rsidRPr="00E43021">
        <w:rPr>
          <w:rFonts w:ascii="Times New Roman" w:hAnsi="Times New Roman" w:cs="Times New Roman"/>
          <w:sz w:val="24"/>
        </w:rPr>
        <w:t xml:space="preserve"> to combat surgical site infection. Journal of Materials Chemistry B, 12(30), 7401–7419. https://doi.org/10.1039/D4TB00889H</w:t>
      </w:r>
    </w:p>
    <w:p w14:paraId="1C4EF0C1"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proofErr w:type="spellStart"/>
      <w:r w:rsidRPr="00E43021">
        <w:rPr>
          <w:rFonts w:ascii="Times New Roman" w:hAnsi="Times New Roman" w:cs="Times New Roman"/>
          <w:sz w:val="24"/>
        </w:rPr>
        <w:t>Bhouri</w:t>
      </w:r>
      <w:proofErr w:type="spellEnd"/>
      <w:r w:rsidRPr="00E43021">
        <w:rPr>
          <w:rFonts w:ascii="Times New Roman" w:hAnsi="Times New Roman" w:cs="Times New Roman"/>
          <w:sz w:val="24"/>
        </w:rPr>
        <w:t xml:space="preserve">, N., </w:t>
      </w:r>
      <w:proofErr w:type="spellStart"/>
      <w:r w:rsidRPr="00E43021">
        <w:rPr>
          <w:rFonts w:ascii="Times New Roman" w:hAnsi="Times New Roman" w:cs="Times New Roman"/>
          <w:sz w:val="24"/>
        </w:rPr>
        <w:t>Debbabi</w:t>
      </w:r>
      <w:proofErr w:type="spellEnd"/>
      <w:r w:rsidRPr="00E43021">
        <w:rPr>
          <w:rFonts w:ascii="Times New Roman" w:hAnsi="Times New Roman" w:cs="Times New Roman"/>
          <w:sz w:val="24"/>
        </w:rPr>
        <w:t xml:space="preserve">, F., </w:t>
      </w:r>
      <w:proofErr w:type="spellStart"/>
      <w:r w:rsidRPr="00E43021">
        <w:rPr>
          <w:rFonts w:ascii="Times New Roman" w:hAnsi="Times New Roman" w:cs="Times New Roman"/>
          <w:sz w:val="24"/>
        </w:rPr>
        <w:t>Merghni</w:t>
      </w:r>
      <w:proofErr w:type="spellEnd"/>
      <w:r w:rsidRPr="00E43021">
        <w:rPr>
          <w:rFonts w:ascii="Times New Roman" w:hAnsi="Times New Roman" w:cs="Times New Roman"/>
          <w:sz w:val="24"/>
        </w:rPr>
        <w:t xml:space="preserve">, A., Rohleder, E., </w:t>
      </w:r>
      <w:proofErr w:type="spellStart"/>
      <w:r w:rsidRPr="00E43021">
        <w:rPr>
          <w:rFonts w:ascii="Times New Roman" w:hAnsi="Times New Roman" w:cs="Times New Roman"/>
          <w:sz w:val="24"/>
        </w:rPr>
        <w:t>Mahltig</w:t>
      </w:r>
      <w:proofErr w:type="spellEnd"/>
      <w:r w:rsidRPr="00E43021">
        <w:rPr>
          <w:rFonts w:ascii="Times New Roman" w:hAnsi="Times New Roman" w:cs="Times New Roman"/>
          <w:sz w:val="24"/>
        </w:rPr>
        <w:t>, B., &amp; Ben Abdessalem, S. (2022). New manufacturing process to develop antibacterial dyed polyethylene terephthalate sutures using plasma functionalization and chitosan immobilization. Journal of Industrial Textiles, 51(4_suppl), 6353S–6376S. https://doi.org/10.1177/15280837211050525</w:t>
      </w:r>
    </w:p>
    <w:p w14:paraId="1B76DD9A"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Chen, S., Xie, Y., Ma, K., Wei, Z., Ran, X., Fu, X., Zhang, C., &amp; Zhao, C. (2024). </w:t>
      </w:r>
      <w:proofErr w:type="spellStart"/>
      <w:r w:rsidRPr="00E43021">
        <w:rPr>
          <w:rFonts w:ascii="Times New Roman" w:hAnsi="Times New Roman" w:cs="Times New Roman"/>
          <w:sz w:val="24"/>
        </w:rPr>
        <w:t>Electrospun</w:t>
      </w:r>
      <w:proofErr w:type="spellEnd"/>
      <w:r w:rsidRPr="00E43021">
        <w:rPr>
          <w:rFonts w:ascii="Times New Roman" w:hAnsi="Times New Roman" w:cs="Times New Roman"/>
          <w:sz w:val="24"/>
        </w:rPr>
        <w:t xml:space="preserve"> nanofibrous membranes meet antibacterial nanomaterials: From preparation strategies to biomedical applications. Bioactive Materials, 42, 478–518. https://doi.org/10.1016/j.bioactmat.2024.09.003</w:t>
      </w:r>
    </w:p>
    <w:p w14:paraId="3A202D58"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Ferrari, R. (2015). Writing narrative style literature reviews. Medical Writing, 24(4), 230–235. https://doi.org/10.1179/2047480615Z.000000000329</w:t>
      </w:r>
    </w:p>
    <w:p w14:paraId="7F785EFC"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lastRenderedPageBreak/>
        <w:t xml:space="preserve">Gea, S., Putra, I. B., </w:t>
      </w:r>
      <w:proofErr w:type="spellStart"/>
      <w:r w:rsidRPr="00E43021">
        <w:rPr>
          <w:rFonts w:ascii="Times New Roman" w:hAnsi="Times New Roman" w:cs="Times New Roman"/>
          <w:sz w:val="24"/>
        </w:rPr>
        <w:t>Lindarto</w:t>
      </w:r>
      <w:proofErr w:type="spellEnd"/>
      <w:r w:rsidRPr="00E43021">
        <w:rPr>
          <w:rFonts w:ascii="Times New Roman" w:hAnsi="Times New Roman" w:cs="Times New Roman"/>
          <w:sz w:val="24"/>
        </w:rPr>
        <w:t xml:space="preserve">, D., </w:t>
      </w:r>
      <w:proofErr w:type="spellStart"/>
      <w:r w:rsidRPr="00E43021">
        <w:rPr>
          <w:rFonts w:ascii="Times New Roman" w:hAnsi="Times New Roman" w:cs="Times New Roman"/>
          <w:sz w:val="24"/>
        </w:rPr>
        <w:t>Pasaribu</w:t>
      </w:r>
      <w:proofErr w:type="spellEnd"/>
      <w:r w:rsidRPr="00E43021">
        <w:rPr>
          <w:rFonts w:ascii="Times New Roman" w:hAnsi="Times New Roman" w:cs="Times New Roman"/>
          <w:sz w:val="24"/>
        </w:rPr>
        <w:t xml:space="preserve">, K. M., Saraswati, Y., Karina, M., Goei, R., &amp; Tok, A. I. Y. (2023). Bacterial cellulose impregnated with </w:t>
      </w:r>
      <w:proofErr w:type="spellStart"/>
      <w:r w:rsidRPr="00E43021">
        <w:rPr>
          <w:rFonts w:ascii="Times New Roman" w:hAnsi="Times New Roman" w:cs="Times New Roman"/>
          <w:sz w:val="24"/>
        </w:rPr>
        <w:t>andaliman</w:t>
      </w:r>
      <w:proofErr w:type="spellEnd"/>
      <w:r w:rsidRPr="00E43021">
        <w:rPr>
          <w:rFonts w:ascii="Times New Roman" w:hAnsi="Times New Roman" w:cs="Times New Roman"/>
          <w:sz w:val="24"/>
        </w:rPr>
        <w:t xml:space="preserve"> (Zanthoxylum acanthopodium) microencapsulation as diabetic wound dressing. International Journal of Biological Macromolecules, 253(Pt 1), Article 126572. https://doi.org/10.1016/j.ijbiomac.2023.126572</w:t>
      </w:r>
    </w:p>
    <w:p w14:paraId="47E0D777"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Gul, A., Gallus, I., </w:t>
      </w:r>
      <w:proofErr w:type="spellStart"/>
      <w:r w:rsidRPr="00E43021">
        <w:rPr>
          <w:rFonts w:ascii="Times New Roman" w:hAnsi="Times New Roman" w:cs="Times New Roman"/>
          <w:sz w:val="24"/>
        </w:rPr>
        <w:t>Tegginamath</w:t>
      </w:r>
      <w:proofErr w:type="spellEnd"/>
      <w:r w:rsidRPr="00E43021">
        <w:rPr>
          <w:rFonts w:ascii="Times New Roman" w:hAnsi="Times New Roman" w:cs="Times New Roman"/>
          <w:sz w:val="24"/>
        </w:rPr>
        <w:t xml:space="preserve">, A., Maryska, J., &amp; </w:t>
      </w:r>
      <w:proofErr w:type="spellStart"/>
      <w:r w:rsidRPr="00E43021">
        <w:rPr>
          <w:rFonts w:ascii="Times New Roman" w:hAnsi="Times New Roman" w:cs="Times New Roman"/>
          <w:sz w:val="24"/>
        </w:rPr>
        <w:t>Yalcinkaya</w:t>
      </w:r>
      <w:proofErr w:type="spellEnd"/>
      <w:r w:rsidRPr="00E43021">
        <w:rPr>
          <w:rFonts w:ascii="Times New Roman" w:hAnsi="Times New Roman" w:cs="Times New Roman"/>
          <w:sz w:val="24"/>
        </w:rPr>
        <w:t xml:space="preserve">, F. (2021). </w:t>
      </w:r>
      <w:proofErr w:type="spellStart"/>
      <w:r w:rsidRPr="00E43021">
        <w:rPr>
          <w:rFonts w:ascii="Times New Roman" w:hAnsi="Times New Roman" w:cs="Times New Roman"/>
          <w:sz w:val="24"/>
        </w:rPr>
        <w:t>Electrospun</w:t>
      </w:r>
      <w:proofErr w:type="spellEnd"/>
      <w:r w:rsidRPr="00E43021">
        <w:rPr>
          <w:rFonts w:ascii="Times New Roman" w:hAnsi="Times New Roman" w:cs="Times New Roman"/>
          <w:sz w:val="24"/>
        </w:rPr>
        <w:t xml:space="preserve"> antibacterial nanomaterials for wound dressings applications. Membranes, 11(12), Article 908. https://doi.org/10.3390/membranes11120908</w:t>
      </w:r>
    </w:p>
    <w:p w14:paraId="17B6DC0E"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Hartwig, A., &amp; van </w:t>
      </w:r>
      <w:proofErr w:type="spellStart"/>
      <w:r w:rsidRPr="00E43021">
        <w:rPr>
          <w:rFonts w:ascii="Times New Roman" w:hAnsi="Times New Roman" w:cs="Times New Roman"/>
          <w:sz w:val="24"/>
        </w:rPr>
        <w:t>Thriel</w:t>
      </w:r>
      <w:proofErr w:type="spellEnd"/>
      <w:r w:rsidRPr="00E43021">
        <w:rPr>
          <w:rFonts w:ascii="Times New Roman" w:hAnsi="Times New Roman" w:cs="Times New Roman"/>
          <w:sz w:val="24"/>
        </w:rPr>
        <w:t>, C. (2023). Risk assessment of nanomaterials toxicity. Nanomaterials, 13(9), Article 1512. https://doi.org/10.3390/nano13091512</w:t>
      </w:r>
    </w:p>
    <w:p w14:paraId="5D24C72C"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Hemamalini, T., Uma Maheshwari, K., Berlin Nisha, R., Manikandan, P., &amp; Giri Dev, V. R. (2023). One pot synthesis of </w:t>
      </w:r>
      <w:proofErr w:type="spellStart"/>
      <w:r w:rsidRPr="00E43021">
        <w:rPr>
          <w:rFonts w:ascii="Times New Roman" w:hAnsi="Times New Roman" w:cs="Times New Roman"/>
          <w:sz w:val="24"/>
        </w:rPr>
        <w:t>nanosilver</w:t>
      </w:r>
      <w:proofErr w:type="spellEnd"/>
      <w:r w:rsidRPr="00E43021">
        <w:rPr>
          <w:rFonts w:ascii="Times New Roman" w:hAnsi="Times New Roman" w:cs="Times New Roman"/>
          <w:sz w:val="24"/>
        </w:rPr>
        <w:t xml:space="preserve"> incorporated cellulosic </w:t>
      </w:r>
      <w:proofErr w:type="spellStart"/>
      <w:r w:rsidRPr="00E43021">
        <w:rPr>
          <w:rFonts w:ascii="Times New Roman" w:hAnsi="Times New Roman" w:cs="Times New Roman"/>
          <w:sz w:val="24"/>
        </w:rPr>
        <w:t>fiber</w:t>
      </w:r>
      <w:proofErr w:type="spellEnd"/>
      <w:r w:rsidRPr="00E43021">
        <w:rPr>
          <w:rFonts w:ascii="Times New Roman" w:hAnsi="Times New Roman" w:cs="Times New Roman"/>
          <w:sz w:val="24"/>
        </w:rPr>
        <w:t>-based nonwovens for wound dressing applications. Journal of Natural Fibers, 20(1), Article 2150933. https://doi.org/10.1080/15440478.2022.2150933</w:t>
      </w:r>
    </w:p>
    <w:p w14:paraId="66F9C4C4"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Homem, N. C., Tavares, T. D., Miranda, C. S., Antunes, J. C., Amorim, M. T. P., &amp; Felgueiras, H. P. (2021). Functionalization of crosslinked sodium alginate/</w:t>
      </w:r>
      <w:proofErr w:type="spellStart"/>
      <w:r w:rsidRPr="00E43021">
        <w:rPr>
          <w:rFonts w:ascii="Times New Roman" w:hAnsi="Times New Roman" w:cs="Times New Roman"/>
          <w:sz w:val="24"/>
        </w:rPr>
        <w:t>gelatin</w:t>
      </w:r>
      <w:proofErr w:type="spellEnd"/>
      <w:r w:rsidRPr="00E43021">
        <w:rPr>
          <w:rFonts w:ascii="Times New Roman" w:hAnsi="Times New Roman" w:cs="Times New Roman"/>
          <w:sz w:val="24"/>
        </w:rPr>
        <w:t xml:space="preserve"> wet-spun porous </w:t>
      </w:r>
      <w:proofErr w:type="spellStart"/>
      <w:r w:rsidRPr="00E43021">
        <w:rPr>
          <w:rFonts w:ascii="Times New Roman" w:hAnsi="Times New Roman" w:cs="Times New Roman"/>
          <w:sz w:val="24"/>
        </w:rPr>
        <w:t>fibers</w:t>
      </w:r>
      <w:proofErr w:type="spellEnd"/>
      <w:r w:rsidRPr="00E43021">
        <w:rPr>
          <w:rFonts w:ascii="Times New Roman" w:hAnsi="Times New Roman" w:cs="Times New Roman"/>
          <w:sz w:val="24"/>
        </w:rPr>
        <w:t xml:space="preserve"> with Nisin Z for the inhibition of Staphylococcus aureus-induced infections. International Journal of Molecular Sciences, 22(4), Article 1930. https://doi.org/10.3390/ijms22041930</w:t>
      </w:r>
    </w:p>
    <w:p w14:paraId="16FE6E9E"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Ju, T., Gaisford, S., &amp; Williams, G. R. (2024). Ciprofloxacin-loaded </w:t>
      </w:r>
      <w:proofErr w:type="spellStart"/>
      <w:r w:rsidRPr="00E43021">
        <w:rPr>
          <w:rFonts w:ascii="Times New Roman" w:hAnsi="Times New Roman" w:cs="Times New Roman"/>
          <w:sz w:val="24"/>
        </w:rPr>
        <w:t>electrospun</w:t>
      </w:r>
      <w:proofErr w:type="spellEnd"/>
      <w:r w:rsidRPr="00E43021">
        <w:rPr>
          <w:rFonts w:ascii="Times New Roman" w:hAnsi="Times New Roman" w:cs="Times New Roman"/>
          <w:sz w:val="24"/>
        </w:rPr>
        <w:t xml:space="preserve"> </w:t>
      </w:r>
      <w:proofErr w:type="spellStart"/>
      <w:r w:rsidRPr="00E43021">
        <w:rPr>
          <w:rFonts w:ascii="Times New Roman" w:hAnsi="Times New Roman" w:cs="Times New Roman"/>
          <w:sz w:val="24"/>
        </w:rPr>
        <w:t>nanofibres</w:t>
      </w:r>
      <w:proofErr w:type="spellEnd"/>
      <w:r w:rsidRPr="00E43021">
        <w:rPr>
          <w:rFonts w:ascii="Times New Roman" w:hAnsi="Times New Roman" w:cs="Times New Roman"/>
          <w:sz w:val="24"/>
        </w:rPr>
        <w:t xml:space="preserve"> for antibacterial wound dressings. Journal of Drug Delivery Science and Technology, 91, Article 105264. https://doi.org/10.1016/j.jddst.2023.105264</w:t>
      </w:r>
    </w:p>
    <w:p w14:paraId="39E66DF4"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Li, L., Chen, D., Chen, J., Yang, C., Zeng, Y., Jin, T., Zhang, Y., Sun, X., Mao, H., Mu, Z., Shen, X., Ruan, Z., &amp; Cai, X. (2023). </w:t>
      </w:r>
      <w:proofErr w:type="spellStart"/>
      <w:r w:rsidRPr="00E43021">
        <w:rPr>
          <w:rFonts w:ascii="Times New Roman" w:hAnsi="Times New Roman" w:cs="Times New Roman"/>
          <w:sz w:val="24"/>
        </w:rPr>
        <w:t>Gelatin</w:t>
      </w:r>
      <w:proofErr w:type="spellEnd"/>
      <w:r w:rsidRPr="00E43021">
        <w:rPr>
          <w:rFonts w:ascii="Times New Roman" w:hAnsi="Times New Roman" w:cs="Times New Roman"/>
          <w:sz w:val="24"/>
        </w:rPr>
        <w:t xml:space="preserve"> and catechol-modified quaternary chitosan cotton dressings with rapid </w:t>
      </w:r>
      <w:proofErr w:type="spellStart"/>
      <w:r w:rsidRPr="00E43021">
        <w:rPr>
          <w:rFonts w:ascii="Times New Roman" w:hAnsi="Times New Roman" w:cs="Times New Roman"/>
          <w:sz w:val="24"/>
        </w:rPr>
        <w:t>hemostasis</w:t>
      </w:r>
      <w:proofErr w:type="spellEnd"/>
      <w:r w:rsidRPr="00E43021">
        <w:rPr>
          <w:rFonts w:ascii="Times New Roman" w:hAnsi="Times New Roman" w:cs="Times New Roman"/>
          <w:sz w:val="24"/>
        </w:rPr>
        <w:t xml:space="preserve"> and high-efficiency antimicrobial capacity to manage severe bleeding wounds. Materials &amp; Design, 229, Article 111927. https://doi.org/10.1016/j.matdes.2023.111927</w:t>
      </w:r>
    </w:p>
    <w:p w14:paraId="5814F937"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Li, Y., Meng, Q., Chen, S., Ling, P., Kuss, M. A., Duan, B., &amp; Wu, S. (2023). Advances, challenges, and prospects for surgical suture materials. Acta </w:t>
      </w:r>
      <w:proofErr w:type="spellStart"/>
      <w:r w:rsidRPr="00E43021">
        <w:rPr>
          <w:rFonts w:ascii="Times New Roman" w:hAnsi="Times New Roman" w:cs="Times New Roman"/>
          <w:sz w:val="24"/>
        </w:rPr>
        <w:t>Biomaterialia</w:t>
      </w:r>
      <w:proofErr w:type="spellEnd"/>
      <w:r w:rsidRPr="00E43021">
        <w:rPr>
          <w:rFonts w:ascii="Times New Roman" w:hAnsi="Times New Roman" w:cs="Times New Roman"/>
          <w:sz w:val="24"/>
        </w:rPr>
        <w:t>, 168, 78–112. https://doi.org/10.1016/j.actbio.2023.07.041</w:t>
      </w:r>
    </w:p>
    <w:p w14:paraId="37A98913"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Liu, M., </w:t>
      </w:r>
      <w:proofErr w:type="spellStart"/>
      <w:r w:rsidRPr="00E43021">
        <w:rPr>
          <w:rFonts w:ascii="Times New Roman" w:hAnsi="Times New Roman" w:cs="Times New Roman"/>
          <w:sz w:val="24"/>
        </w:rPr>
        <w:t>Guinart</w:t>
      </w:r>
      <w:proofErr w:type="spellEnd"/>
      <w:r w:rsidRPr="00E43021">
        <w:rPr>
          <w:rFonts w:ascii="Times New Roman" w:hAnsi="Times New Roman" w:cs="Times New Roman"/>
          <w:sz w:val="24"/>
        </w:rPr>
        <w:t>, A., Granados, A., Gimbert-</w:t>
      </w:r>
      <w:proofErr w:type="spellStart"/>
      <w:r w:rsidRPr="00E43021">
        <w:rPr>
          <w:rFonts w:ascii="Times New Roman" w:hAnsi="Times New Roman" w:cs="Times New Roman"/>
          <w:sz w:val="24"/>
        </w:rPr>
        <w:t>Suriñach</w:t>
      </w:r>
      <w:proofErr w:type="spellEnd"/>
      <w:r w:rsidRPr="00E43021">
        <w:rPr>
          <w:rFonts w:ascii="Times New Roman" w:hAnsi="Times New Roman" w:cs="Times New Roman"/>
          <w:sz w:val="24"/>
        </w:rPr>
        <w:t xml:space="preserve">, C., Fernández, E., </w:t>
      </w:r>
      <w:proofErr w:type="spellStart"/>
      <w:r w:rsidRPr="00E43021">
        <w:rPr>
          <w:rFonts w:ascii="Times New Roman" w:hAnsi="Times New Roman" w:cs="Times New Roman"/>
          <w:sz w:val="24"/>
        </w:rPr>
        <w:t>Pleixats</w:t>
      </w:r>
      <w:proofErr w:type="spellEnd"/>
      <w:r w:rsidRPr="00E43021">
        <w:rPr>
          <w:rFonts w:ascii="Times New Roman" w:hAnsi="Times New Roman" w:cs="Times New Roman"/>
          <w:sz w:val="24"/>
        </w:rPr>
        <w:t xml:space="preserve">, R., &amp; </w:t>
      </w:r>
      <w:proofErr w:type="spellStart"/>
      <w:r w:rsidRPr="00E43021">
        <w:rPr>
          <w:rFonts w:ascii="Times New Roman" w:hAnsi="Times New Roman" w:cs="Times New Roman"/>
          <w:sz w:val="24"/>
        </w:rPr>
        <w:t>Vallribera</w:t>
      </w:r>
      <w:proofErr w:type="spellEnd"/>
      <w:r w:rsidRPr="00E43021">
        <w:rPr>
          <w:rFonts w:ascii="Times New Roman" w:hAnsi="Times New Roman" w:cs="Times New Roman"/>
          <w:sz w:val="24"/>
        </w:rPr>
        <w:t>, A. (2024). Coated cotton fabrics with antibacterial and anti-inflammatory silica nanoparticles for improving wound healing. ACS Applied Materials &amp; Interfaces, 16(12), 14595–14604. https://doi.org/10.1021/acsami.4c00383</w:t>
      </w:r>
    </w:p>
    <w:p w14:paraId="7DFC6C6C"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proofErr w:type="spellStart"/>
      <w:r w:rsidRPr="00E43021">
        <w:rPr>
          <w:rFonts w:ascii="Times New Roman" w:hAnsi="Times New Roman" w:cs="Times New Roman"/>
          <w:sz w:val="24"/>
        </w:rPr>
        <w:t>Loukelis</w:t>
      </w:r>
      <w:proofErr w:type="spellEnd"/>
      <w:r w:rsidRPr="00E43021">
        <w:rPr>
          <w:rFonts w:ascii="Times New Roman" w:hAnsi="Times New Roman" w:cs="Times New Roman"/>
          <w:sz w:val="24"/>
        </w:rPr>
        <w:t xml:space="preserve">, K., </w:t>
      </w:r>
      <w:proofErr w:type="spellStart"/>
      <w:r w:rsidRPr="00E43021">
        <w:rPr>
          <w:rFonts w:ascii="Times New Roman" w:hAnsi="Times New Roman" w:cs="Times New Roman"/>
          <w:sz w:val="24"/>
        </w:rPr>
        <w:t>Koutsomarkos</w:t>
      </w:r>
      <w:proofErr w:type="spellEnd"/>
      <w:r w:rsidRPr="00E43021">
        <w:rPr>
          <w:rFonts w:ascii="Times New Roman" w:hAnsi="Times New Roman" w:cs="Times New Roman"/>
          <w:sz w:val="24"/>
        </w:rPr>
        <w:t xml:space="preserve">, N., Mikos, A. G., &amp; </w:t>
      </w:r>
      <w:proofErr w:type="spellStart"/>
      <w:r w:rsidRPr="00E43021">
        <w:rPr>
          <w:rFonts w:ascii="Times New Roman" w:hAnsi="Times New Roman" w:cs="Times New Roman"/>
          <w:sz w:val="24"/>
        </w:rPr>
        <w:t>Chatzinikolaidou</w:t>
      </w:r>
      <w:proofErr w:type="spellEnd"/>
      <w:r w:rsidRPr="00E43021">
        <w:rPr>
          <w:rFonts w:ascii="Times New Roman" w:hAnsi="Times New Roman" w:cs="Times New Roman"/>
          <w:sz w:val="24"/>
        </w:rPr>
        <w:t>, M. (2024). Advances in 3D bioprinting for regenerative medicine applications. Regenerative Biomaterials, 11, Article rbae033. https://doi.org/10.1093/rb/rbae033</w:t>
      </w:r>
    </w:p>
    <w:p w14:paraId="57D87939"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McDermott, K., Fang, M., Boulton, A. J. M., Selvin, E., &amp; Hicks, C. W. (2023). </w:t>
      </w:r>
      <w:proofErr w:type="spellStart"/>
      <w:r w:rsidRPr="00E43021">
        <w:rPr>
          <w:rFonts w:ascii="Times New Roman" w:hAnsi="Times New Roman" w:cs="Times New Roman"/>
          <w:sz w:val="24"/>
        </w:rPr>
        <w:t>Etiology</w:t>
      </w:r>
      <w:proofErr w:type="spellEnd"/>
      <w:r w:rsidRPr="00E43021">
        <w:rPr>
          <w:rFonts w:ascii="Times New Roman" w:hAnsi="Times New Roman" w:cs="Times New Roman"/>
          <w:sz w:val="24"/>
        </w:rPr>
        <w:t>, epidemiology, and disparities in the burden of diabetic foot ulcers. Diabetes Care, 46(1), 209–221. https://doi.org/10.2337/dci22-0043</w:t>
      </w:r>
    </w:p>
    <w:p w14:paraId="26AF61A4"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lastRenderedPageBreak/>
        <w:t>Meda, U. S., Soundarya, V. G., Madhu, H., &amp; Bhat, N. (2023). Nano-engineered textiles: Development and applications. Materials Science and Engineering: B, 296, Article 116636. https://doi.org/10.1016/j.mseb.2023.116636</w:t>
      </w:r>
    </w:p>
    <w:p w14:paraId="31419391"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Melone, L. (2025). The role of the functionalization of biomedical fabrics on their ability to adsorb and release drugs. Molecules, 30(3), Article 552. https://doi.org/10.3390/molecules30030552</w:t>
      </w:r>
    </w:p>
    <w:p w14:paraId="3BC6E3FD"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Mercante, L. A., Teodoro, K. B. R., dos Santos, D. M., dos Santos, F. V., Ballesteros, C. A. S., Ju, T., Williams, G. R., &amp; Correa, D. S. (2023). Recent progress in stimuli-responsive antimicrobial </w:t>
      </w:r>
      <w:proofErr w:type="spellStart"/>
      <w:r w:rsidRPr="00E43021">
        <w:rPr>
          <w:rFonts w:ascii="Times New Roman" w:hAnsi="Times New Roman" w:cs="Times New Roman"/>
          <w:sz w:val="24"/>
        </w:rPr>
        <w:t>electrospun</w:t>
      </w:r>
      <w:proofErr w:type="spellEnd"/>
      <w:r w:rsidRPr="00E43021">
        <w:rPr>
          <w:rFonts w:ascii="Times New Roman" w:hAnsi="Times New Roman" w:cs="Times New Roman"/>
          <w:sz w:val="24"/>
        </w:rPr>
        <w:t xml:space="preserve"> nanofibers. Polymers, 15(21), Article 4299. https://doi.org/10.3390/polym15214299</w:t>
      </w:r>
    </w:p>
    <w:p w14:paraId="5825313B"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Patton, D., </w:t>
      </w:r>
      <w:proofErr w:type="spellStart"/>
      <w:r w:rsidRPr="00E43021">
        <w:rPr>
          <w:rFonts w:ascii="Times New Roman" w:hAnsi="Times New Roman" w:cs="Times New Roman"/>
          <w:sz w:val="24"/>
        </w:rPr>
        <w:t>Avsar</w:t>
      </w:r>
      <w:proofErr w:type="spellEnd"/>
      <w:r w:rsidRPr="00E43021">
        <w:rPr>
          <w:rFonts w:ascii="Times New Roman" w:hAnsi="Times New Roman" w:cs="Times New Roman"/>
          <w:sz w:val="24"/>
        </w:rPr>
        <w:t xml:space="preserve">, P., Sayeh, A., </w:t>
      </w:r>
      <w:proofErr w:type="spellStart"/>
      <w:r w:rsidRPr="00E43021">
        <w:rPr>
          <w:rFonts w:ascii="Times New Roman" w:hAnsi="Times New Roman" w:cs="Times New Roman"/>
          <w:sz w:val="24"/>
        </w:rPr>
        <w:t>Budri</w:t>
      </w:r>
      <w:proofErr w:type="spellEnd"/>
      <w:r w:rsidRPr="00E43021">
        <w:rPr>
          <w:rFonts w:ascii="Times New Roman" w:hAnsi="Times New Roman" w:cs="Times New Roman"/>
          <w:sz w:val="24"/>
        </w:rPr>
        <w:t>, A., O’Connor, T., Walsh, S., Nugent, L., Harkin, D., O’Brien, N., Cayce, J., Corcoran, M., Gaztambide, M., &amp; Moore, Z. (2023). A meta-review of the impact of compression therapy on venous leg ulcer healing. International Wound Journal, 20(2), 430–447. https://doi.org/10.1111/iwj.13891</w:t>
      </w:r>
    </w:p>
    <w:p w14:paraId="25DE99D9"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de Amorim, J. D. P., da Silva Junior, C. J. G., de Medeiros, A. D. M., do Nascimento, H. A., Sarubbo, M., de Medeiros, T. P. M., Costa, A. F. de S., &amp; Sarubbo, L. A. (2022). Bacterial cellulose as a versatile biomaterial for wound dressing application. Molecules, 27(17), Article 5580. https://doi.org/10.3390/molecules27175580 </w:t>
      </w:r>
    </w:p>
    <w:p w14:paraId="67C0E582"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Popescu, V., Cauni, V., Petrutescu, M. S., Rustin, M. M., Bocai, R., </w:t>
      </w:r>
      <w:proofErr w:type="spellStart"/>
      <w:r w:rsidRPr="00E43021">
        <w:rPr>
          <w:rFonts w:ascii="Times New Roman" w:hAnsi="Times New Roman" w:cs="Times New Roman"/>
          <w:sz w:val="24"/>
        </w:rPr>
        <w:t>Turculet</w:t>
      </w:r>
      <w:proofErr w:type="spellEnd"/>
      <w:r w:rsidRPr="00E43021">
        <w:rPr>
          <w:rFonts w:ascii="Times New Roman" w:hAnsi="Times New Roman" w:cs="Times New Roman"/>
          <w:sz w:val="24"/>
        </w:rPr>
        <w:t xml:space="preserve">, C. R., Doran, H., Patrascu, T., Lazar, A. M., </w:t>
      </w:r>
      <w:proofErr w:type="spellStart"/>
      <w:r w:rsidRPr="00E43021">
        <w:rPr>
          <w:rFonts w:ascii="Times New Roman" w:hAnsi="Times New Roman" w:cs="Times New Roman"/>
          <w:sz w:val="24"/>
        </w:rPr>
        <w:t>Cretoiu</w:t>
      </w:r>
      <w:proofErr w:type="spellEnd"/>
      <w:r w:rsidRPr="00E43021">
        <w:rPr>
          <w:rFonts w:ascii="Times New Roman" w:hAnsi="Times New Roman" w:cs="Times New Roman"/>
          <w:sz w:val="24"/>
        </w:rPr>
        <w:t xml:space="preserve">, D., Varlas, V. N., &amp; </w:t>
      </w:r>
      <w:proofErr w:type="spellStart"/>
      <w:r w:rsidRPr="00E43021">
        <w:rPr>
          <w:rFonts w:ascii="Times New Roman" w:hAnsi="Times New Roman" w:cs="Times New Roman"/>
          <w:sz w:val="24"/>
        </w:rPr>
        <w:t>Mastalier</w:t>
      </w:r>
      <w:proofErr w:type="spellEnd"/>
      <w:r w:rsidRPr="00E43021">
        <w:rPr>
          <w:rFonts w:ascii="Times New Roman" w:hAnsi="Times New Roman" w:cs="Times New Roman"/>
          <w:sz w:val="24"/>
        </w:rPr>
        <w:t>, B. (2023). Chronic wound management: From gauze to homologous cellular matrix. Biomedicines, 11(9), Article 2457. https://doi.org/10.3390/biomedicines11092457</w:t>
      </w:r>
    </w:p>
    <w:p w14:paraId="6E319799"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Sánchez-</w:t>
      </w:r>
      <w:proofErr w:type="spellStart"/>
      <w:r w:rsidRPr="00E43021">
        <w:rPr>
          <w:rFonts w:ascii="Times New Roman" w:hAnsi="Times New Roman" w:cs="Times New Roman"/>
          <w:sz w:val="24"/>
        </w:rPr>
        <w:t>Bodón</w:t>
      </w:r>
      <w:proofErr w:type="spellEnd"/>
      <w:r w:rsidRPr="00E43021">
        <w:rPr>
          <w:rFonts w:ascii="Times New Roman" w:hAnsi="Times New Roman" w:cs="Times New Roman"/>
          <w:sz w:val="24"/>
        </w:rPr>
        <w:t>, J., Diaz-</w:t>
      </w:r>
      <w:proofErr w:type="spellStart"/>
      <w:r w:rsidRPr="00E43021">
        <w:rPr>
          <w:rFonts w:ascii="Times New Roman" w:hAnsi="Times New Roman" w:cs="Times New Roman"/>
          <w:sz w:val="24"/>
        </w:rPr>
        <w:t>Galbarriatu</w:t>
      </w:r>
      <w:proofErr w:type="spellEnd"/>
      <w:r w:rsidRPr="00E43021">
        <w:rPr>
          <w:rFonts w:ascii="Times New Roman" w:hAnsi="Times New Roman" w:cs="Times New Roman"/>
          <w:sz w:val="24"/>
        </w:rPr>
        <w:t>, M., Sola-Llano, R., Ruiz-Rubio, L., Vilas-Vilela, J. L., &amp; Moreno-Benítez, I. (2024a). Catalyst-free amino-</w:t>
      </w:r>
      <w:proofErr w:type="spellStart"/>
      <w:r w:rsidRPr="00E43021">
        <w:rPr>
          <w:rFonts w:ascii="Times New Roman" w:hAnsi="Times New Roman" w:cs="Times New Roman"/>
          <w:sz w:val="24"/>
        </w:rPr>
        <w:t>yne</w:t>
      </w:r>
      <w:proofErr w:type="spellEnd"/>
      <w:r w:rsidRPr="00E43021">
        <w:rPr>
          <w:rFonts w:ascii="Times New Roman" w:hAnsi="Times New Roman" w:cs="Times New Roman"/>
          <w:sz w:val="24"/>
        </w:rPr>
        <w:t xml:space="preserve"> click reaction: An efficient way for immobilizing amoxicillin onto polymeric surfaces. Polymers, 16(2), Article 246. https://doi.org/10.3390/polym16020246</w:t>
      </w:r>
    </w:p>
    <w:p w14:paraId="7F91AD95"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Sánchez-</w:t>
      </w:r>
      <w:proofErr w:type="spellStart"/>
      <w:r w:rsidRPr="00E43021">
        <w:rPr>
          <w:rFonts w:ascii="Times New Roman" w:hAnsi="Times New Roman" w:cs="Times New Roman"/>
          <w:sz w:val="24"/>
        </w:rPr>
        <w:t>Bodón</w:t>
      </w:r>
      <w:proofErr w:type="spellEnd"/>
      <w:r w:rsidRPr="00E43021">
        <w:rPr>
          <w:rFonts w:ascii="Times New Roman" w:hAnsi="Times New Roman" w:cs="Times New Roman"/>
          <w:sz w:val="24"/>
        </w:rPr>
        <w:t>, J., Diaz-</w:t>
      </w:r>
      <w:proofErr w:type="spellStart"/>
      <w:r w:rsidRPr="00E43021">
        <w:rPr>
          <w:rFonts w:ascii="Times New Roman" w:hAnsi="Times New Roman" w:cs="Times New Roman"/>
          <w:sz w:val="24"/>
        </w:rPr>
        <w:t>Galbarriatu</w:t>
      </w:r>
      <w:proofErr w:type="spellEnd"/>
      <w:r w:rsidRPr="00E43021">
        <w:rPr>
          <w:rFonts w:ascii="Times New Roman" w:hAnsi="Times New Roman" w:cs="Times New Roman"/>
          <w:sz w:val="24"/>
        </w:rPr>
        <w:t>, M., Pérez-Álvarez, L., Vilas-Vilela, J. L., &amp; Moreno-Benítez, I. (2024b). Expanding (bio)conjugation strategies: Metal-free thiol-</w:t>
      </w:r>
      <w:proofErr w:type="spellStart"/>
      <w:r w:rsidRPr="00E43021">
        <w:rPr>
          <w:rFonts w:ascii="Times New Roman" w:hAnsi="Times New Roman" w:cs="Times New Roman"/>
          <w:sz w:val="24"/>
        </w:rPr>
        <w:t>yne</w:t>
      </w:r>
      <w:proofErr w:type="spellEnd"/>
      <w:r w:rsidRPr="00E43021">
        <w:rPr>
          <w:rFonts w:ascii="Times New Roman" w:hAnsi="Times New Roman" w:cs="Times New Roman"/>
          <w:sz w:val="24"/>
        </w:rPr>
        <w:t xml:space="preserve"> photo-click reaction for immobilization onto PLLA surfaces. Coatings, 14(7), Article 839. https://doi.org/10.3390/coatings14070839</w:t>
      </w:r>
    </w:p>
    <w:p w14:paraId="12BD27A4"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Staneva, D., Atanasova, D., &amp; Grabchev, I. (2023). Fluorescent composite cotton fabric modified with crosslinked chitosan for </w:t>
      </w:r>
      <w:proofErr w:type="spellStart"/>
      <w:r w:rsidRPr="00E43021">
        <w:rPr>
          <w:rFonts w:ascii="Times New Roman" w:hAnsi="Times New Roman" w:cs="Times New Roman"/>
          <w:sz w:val="24"/>
        </w:rPr>
        <w:t>theranostic</w:t>
      </w:r>
      <w:proofErr w:type="spellEnd"/>
      <w:r w:rsidRPr="00E43021">
        <w:rPr>
          <w:rFonts w:ascii="Times New Roman" w:hAnsi="Times New Roman" w:cs="Times New Roman"/>
          <w:sz w:val="24"/>
        </w:rPr>
        <w:t xml:space="preserve"> applications. Applied Sciences, 13(23), Article 12660. https://doi.org/10.3390/app132312660</w:t>
      </w:r>
    </w:p>
    <w:p w14:paraId="7DA67173"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Ullah, I., Wagih, M., Sun, Y., Li, Y., Hajdu, K., Courson, R., Dreanno, C., Prado, E., Komolafe, A., Harris, N. R., White, N. M., &amp; Beeby, S. (2023). Wirelessly powered drug-free and anti-infective smart bandage for chronic wound care. IEEE Transactions on Biomedical Circuits and Systems, 17(5), 900–915. https://doi.org/10.1109/TBCAS.2023.3277318</w:t>
      </w:r>
    </w:p>
    <w:p w14:paraId="755B55CA"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World Health Organization. (2023, October 13). Burns [Fact sheet]. https://www.who.int/news-room/fact-sheets/detail/burns</w:t>
      </w:r>
    </w:p>
    <w:p w14:paraId="4BF720E4"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lastRenderedPageBreak/>
        <w:t>Xia, Y., Wang, D., Liu, D., Su, J., Jin, Y., Wang, D., Han, B., Jiang, Z., &amp; Liu, B. (2022). Applications of chitosan and its derivatives in skin and soft tissue diseases. Frontiers in Bioengineering and Biotechnology, 10, Article 894667. https://doi.org/10.3389/fbioe.2022.894667</w:t>
      </w:r>
    </w:p>
    <w:p w14:paraId="62B5A411"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Xu, P., </w:t>
      </w:r>
      <w:proofErr w:type="spellStart"/>
      <w:r w:rsidRPr="00E43021">
        <w:rPr>
          <w:rFonts w:ascii="Times New Roman" w:hAnsi="Times New Roman" w:cs="Times New Roman"/>
          <w:sz w:val="24"/>
        </w:rPr>
        <w:t>Kankala</w:t>
      </w:r>
      <w:proofErr w:type="spellEnd"/>
      <w:r w:rsidRPr="00E43021">
        <w:rPr>
          <w:rFonts w:ascii="Times New Roman" w:hAnsi="Times New Roman" w:cs="Times New Roman"/>
          <w:sz w:val="24"/>
        </w:rPr>
        <w:t>, R. K., Wang, S., &amp; Chen, A. (2024). Decellularized extracellular matrix-based composite scaffolds for tissue engineering and regenerative medicine. Regenerative Biomaterials, 11, Article rbad107. https://doi.org/10.1093/rb/rbad107</w:t>
      </w:r>
    </w:p>
    <w:p w14:paraId="6D6406D3"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Youssef, K., Ullah, A., Rezai, P., Hasan, A., &amp; </w:t>
      </w:r>
      <w:proofErr w:type="spellStart"/>
      <w:r w:rsidRPr="00E43021">
        <w:rPr>
          <w:rFonts w:ascii="Times New Roman" w:hAnsi="Times New Roman" w:cs="Times New Roman"/>
          <w:sz w:val="24"/>
        </w:rPr>
        <w:t>Amirfazli</w:t>
      </w:r>
      <w:proofErr w:type="spellEnd"/>
      <w:r w:rsidRPr="00E43021">
        <w:rPr>
          <w:rFonts w:ascii="Times New Roman" w:hAnsi="Times New Roman" w:cs="Times New Roman"/>
          <w:sz w:val="24"/>
        </w:rPr>
        <w:t>, A. (2023). Recent advances in biosensors for real time monitoring of pH, temperature, and oxygen in chronic wounds. Materials Today Bio, 22, Article 100764. https://doi.org/10.1016/j.mtbio.2023.100764</w:t>
      </w:r>
    </w:p>
    <w:p w14:paraId="3166C703" w14:textId="77777777" w:rsidR="00E43021"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Zaman, S. U., Tao, X., Cochrane, C., &amp; Koncar, V. (2022). Smart e-textile systems: A review for healthcare applications. Electronics, 11(1), Article 99. https://doi.org/10.3390/electronics11010099</w:t>
      </w:r>
    </w:p>
    <w:p w14:paraId="4EED8964" w14:textId="77777777" w:rsidR="004841B3" w:rsidRPr="00E43021" w:rsidRDefault="00E43021" w:rsidP="00E43021">
      <w:pPr>
        <w:spacing w:before="100" w:beforeAutospacing="1" w:after="100" w:afterAutospacing="1" w:line="240" w:lineRule="auto"/>
        <w:rPr>
          <w:rFonts w:ascii="Times New Roman" w:hAnsi="Times New Roman" w:cs="Times New Roman"/>
          <w:sz w:val="24"/>
        </w:rPr>
      </w:pPr>
      <w:r w:rsidRPr="00E43021">
        <w:rPr>
          <w:rFonts w:ascii="Times New Roman" w:hAnsi="Times New Roman" w:cs="Times New Roman"/>
          <w:sz w:val="24"/>
        </w:rPr>
        <w:t xml:space="preserve">Zhang, M., Zhang, C., Li, Z., Fu, X., &amp; Huang, S. (2023). Advances in 3D skin bioprinting for wound healing and disease </w:t>
      </w:r>
      <w:proofErr w:type="spellStart"/>
      <w:r w:rsidRPr="00E43021">
        <w:rPr>
          <w:rFonts w:ascii="Times New Roman" w:hAnsi="Times New Roman" w:cs="Times New Roman"/>
          <w:sz w:val="24"/>
        </w:rPr>
        <w:t>modeling</w:t>
      </w:r>
      <w:proofErr w:type="spellEnd"/>
      <w:r w:rsidRPr="00E43021">
        <w:rPr>
          <w:rFonts w:ascii="Times New Roman" w:hAnsi="Times New Roman" w:cs="Times New Roman"/>
          <w:sz w:val="24"/>
        </w:rPr>
        <w:t>. Regenerative Biomaterials, 10, Article rbac105. https://doi.org/10.1093/rb/rbac105</w:t>
      </w:r>
    </w:p>
    <w:sectPr w:rsidR="004841B3" w:rsidRPr="00E43021"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C078A" w14:textId="77777777" w:rsidR="00A909DD" w:rsidRDefault="00A909DD" w:rsidP="00754EEC">
      <w:pPr>
        <w:spacing w:after="0" w:line="240" w:lineRule="auto"/>
      </w:pPr>
      <w:r>
        <w:separator/>
      </w:r>
    </w:p>
  </w:endnote>
  <w:endnote w:type="continuationSeparator" w:id="0">
    <w:p w14:paraId="195CEE67" w14:textId="77777777" w:rsidR="00A909DD" w:rsidRDefault="00A909DD" w:rsidP="00754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477D" w14:textId="77777777" w:rsidR="00754EEC" w:rsidRDefault="00754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5EB4" w14:textId="77777777" w:rsidR="00754EEC" w:rsidRDefault="00754E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2B5DD" w14:textId="77777777" w:rsidR="00754EEC" w:rsidRDefault="00754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1351F" w14:textId="77777777" w:rsidR="00A909DD" w:rsidRDefault="00A909DD" w:rsidP="00754EEC">
      <w:pPr>
        <w:spacing w:after="0" w:line="240" w:lineRule="auto"/>
      </w:pPr>
      <w:r>
        <w:separator/>
      </w:r>
    </w:p>
  </w:footnote>
  <w:footnote w:type="continuationSeparator" w:id="0">
    <w:p w14:paraId="7DF0F89C" w14:textId="77777777" w:rsidR="00A909DD" w:rsidRDefault="00A909DD" w:rsidP="00754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902E" w14:textId="6D156B9A" w:rsidR="00754EEC" w:rsidRDefault="00754EEC">
    <w:pPr>
      <w:pStyle w:val="Header"/>
    </w:pPr>
    <w:r>
      <w:rPr>
        <w:noProof/>
      </w:rPr>
      <w:pict w14:anchorId="3192F0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2789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4D58" w14:textId="18A453E6" w:rsidR="00754EEC" w:rsidRDefault="00754EEC">
    <w:pPr>
      <w:pStyle w:val="Header"/>
    </w:pPr>
    <w:r>
      <w:rPr>
        <w:noProof/>
      </w:rPr>
      <w:pict w14:anchorId="17B869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2789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DDCDE" w14:textId="77F59E11" w:rsidR="00754EEC" w:rsidRDefault="00754EEC">
    <w:pPr>
      <w:pStyle w:val="Header"/>
    </w:pPr>
    <w:r>
      <w:rPr>
        <w:noProof/>
      </w:rPr>
      <w:pict w14:anchorId="3E3E52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2789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65A87"/>
    <w:multiLevelType w:val="hybridMultilevel"/>
    <w:tmpl w:val="6D5010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6576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43CA"/>
    <w:rsid w:val="001643CA"/>
    <w:rsid w:val="004841B3"/>
    <w:rsid w:val="0053315D"/>
    <w:rsid w:val="00555E1F"/>
    <w:rsid w:val="005D5937"/>
    <w:rsid w:val="006A1E0A"/>
    <w:rsid w:val="00754EEC"/>
    <w:rsid w:val="009361CB"/>
    <w:rsid w:val="00A909DD"/>
    <w:rsid w:val="00E43021"/>
    <w:rsid w:val="00F63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AE46A"/>
  <w15:docId w15:val="{4159201F-A9B7-4C27-8136-21026E66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1643C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643C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1643C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643C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643CA"/>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1643CA"/>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1643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643CA"/>
    <w:rPr>
      <w:b/>
      <w:bCs/>
    </w:rPr>
  </w:style>
  <w:style w:type="character" w:styleId="Emphasis">
    <w:name w:val="Emphasis"/>
    <w:basedOn w:val="DefaultParagraphFont"/>
    <w:uiPriority w:val="20"/>
    <w:qFormat/>
    <w:rsid w:val="001643CA"/>
    <w:rPr>
      <w:i/>
      <w:iCs/>
    </w:rPr>
  </w:style>
  <w:style w:type="character" w:styleId="Hyperlink">
    <w:name w:val="Hyperlink"/>
    <w:basedOn w:val="DefaultParagraphFont"/>
    <w:uiPriority w:val="99"/>
    <w:semiHidden/>
    <w:unhideWhenUsed/>
    <w:rsid w:val="001643CA"/>
    <w:rPr>
      <w:color w:val="0000FF"/>
      <w:u w:val="single"/>
    </w:rPr>
  </w:style>
  <w:style w:type="paragraph" w:styleId="ListParagraph">
    <w:name w:val="List Paragraph"/>
    <w:basedOn w:val="Normal"/>
    <w:uiPriority w:val="34"/>
    <w:qFormat/>
    <w:rsid w:val="006A1E0A"/>
    <w:pPr>
      <w:ind w:left="720"/>
      <w:contextualSpacing/>
    </w:pPr>
  </w:style>
  <w:style w:type="paragraph" w:customStyle="1" w:styleId="pdq2pgselectionanchorcontainer">
    <w:name w:val="pdq2pg_selectionanchorcontainer"/>
    <w:basedOn w:val="Normal"/>
    <w:rsid w:val="006A1E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6A1E0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E43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4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EEC"/>
  </w:style>
  <w:style w:type="paragraph" w:styleId="Footer">
    <w:name w:val="footer"/>
    <w:basedOn w:val="Normal"/>
    <w:link w:val="FooterChar"/>
    <w:uiPriority w:val="99"/>
    <w:unhideWhenUsed/>
    <w:rsid w:val="00754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128">
      <w:bodyDiv w:val="1"/>
      <w:marLeft w:val="0"/>
      <w:marRight w:val="0"/>
      <w:marTop w:val="0"/>
      <w:marBottom w:val="0"/>
      <w:divBdr>
        <w:top w:val="none" w:sz="0" w:space="0" w:color="auto"/>
        <w:left w:val="none" w:sz="0" w:space="0" w:color="auto"/>
        <w:bottom w:val="none" w:sz="0" w:space="0" w:color="auto"/>
        <w:right w:val="none" w:sz="0" w:space="0" w:color="auto"/>
      </w:divBdr>
    </w:div>
    <w:div w:id="1138844135">
      <w:bodyDiv w:val="1"/>
      <w:marLeft w:val="0"/>
      <w:marRight w:val="0"/>
      <w:marTop w:val="0"/>
      <w:marBottom w:val="0"/>
      <w:divBdr>
        <w:top w:val="none" w:sz="0" w:space="0" w:color="auto"/>
        <w:left w:val="none" w:sz="0" w:space="0" w:color="auto"/>
        <w:bottom w:val="none" w:sz="0" w:space="0" w:color="auto"/>
        <w:right w:val="none" w:sz="0" w:space="0" w:color="auto"/>
      </w:divBdr>
      <w:divsChild>
        <w:div w:id="113060301">
          <w:marLeft w:val="0"/>
          <w:marRight w:val="0"/>
          <w:marTop w:val="0"/>
          <w:marBottom w:val="0"/>
          <w:divBdr>
            <w:top w:val="none" w:sz="0" w:space="0" w:color="auto"/>
            <w:left w:val="none" w:sz="0" w:space="0" w:color="auto"/>
            <w:bottom w:val="none" w:sz="0" w:space="0" w:color="auto"/>
            <w:right w:val="none" w:sz="0" w:space="0" w:color="auto"/>
          </w:divBdr>
        </w:div>
        <w:div w:id="969432193">
          <w:marLeft w:val="0"/>
          <w:marRight w:val="0"/>
          <w:marTop w:val="0"/>
          <w:marBottom w:val="0"/>
          <w:divBdr>
            <w:top w:val="none" w:sz="0" w:space="0" w:color="auto"/>
            <w:left w:val="none" w:sz="0" w:space="0" w:color="auto"/>
            <w:bottom w:val="none" w:sz="0" w:space="0" w:color="auto"/>
            <w:right w:val="none" w:sz="0" w:space="0" w:color="auto"/>
          </w:divBdr>
        </w:div>
        <w:div w:id="1993559722">
          <w:marLeft w:val="0"/>
          <w:marRight w:val="0"/>
          <w:marTop w:val="0"/>
          <w:marBottom w:val="0"/>
          <w:divBdr>
            <w:top w:val="none" w:sz="0" w:space="0" w:color="auto"/>
            <w:left w:val="none" w:sz="0" w:space="0" w:color="auto"/>
            <w:bottom w:val="none" w:sz="0" w:space="0" w:color="auto"/>
            <w:right w:val="none" w:sz="0" w:space="0" w:color="auto"/>
          </w:divBdr>
        </w:div>
        <w:div w:id="1958176397">
          <w:marLeft w:val="0"/>
          <w:marRight w:val="0"/>
          <w:marTop w:val="0"/>
          <w:marBottom w:val="0"/>
          <w:divBdr>
            <w:top w:val="none" w:sz="0" w:space="0" w:color="auto"/>
            <w:left w:val="none" w:sz="0" w:space="0" w:color="auto"/>
            <w:bottom w:val="none" w:sz="0" w:space="0" w:color="auto"/>
            <w:right w:val="none" w:sz="0" w:space="0" w:color="auto"/>
          </w:divBdr>
        </w:div>
      </w:divsChild>
    </w:div>
    <w:div w:id="1296986115">
      <w:bodyDiv w:val="1"/>
      <w:marLeft w:val="0"/>
      <w:marRight w:val="0"/>
      <w:marTop w:val="0"/>
      <w:marBottom w:val="0"/>
      <w:divBdr>
        <w:top w:val="none" w:sz="0" w:space="0" w:color="auto"/>
        <w:left w:val="none" w:sz="0" w:space="0" w:color="auto"/>
        <w:bottom w:val="none" w:sz="0" w:space="0" w:color="auto"/>
        <w:right w:val="none" w:sz="0" w:space="0" w:color="auto"/>
      </w:divBdr>
      <w:divsChild>
        <w:div w:id="794522527">
          <w:marLeft w:val="0"/>
          <w:marRight w:val="0"/>
          <w:marTop w:val="0"/>
          <w:marBottom w:val="0"/>
          <w:divBdr>
            <w:top w:val="none" w:sz="0" w:space="0" w:color="auto"/>
            <w:left w:val="none" w:sz="0" w:space="0" w:color="auto"/>
            <w:bottom w:val="none" w:sz="0" w:space="0" w:color="auto"/>
            <w:right w:val="none" w:sz="0" w:space="0" w:color="auto"/>
          </w:divBdr>
          <w:divsChild>
            <w:div w:id="321736664">
              <w:marLeft w:val="0"/>
              <w:marRight w:val="0"/>
              <w:marTop w:val="0"/>
              <w:marBottom w:val="0"/>
              <w:divBdr>
                <w:top w:val="none" w:sz="0" w:space="0" w:color="auto"/>
                <w:left w:val="none" w:sz="0" w:space="0" w:color="auto"/>
                <w:bottom w:val="none" w:sz="0" w:space="0" w:color="auto"/>
                <w:right w:val="none" w:sz="0" w:space="0" w:color="auto"/>
              </w:divBdr>
              <w:divsChild>
                <w:div w:id="1117411348">
                  <w:marLeft w:val="0"/>
                  <w:marRight w:val="0"/>
                  <w:marTop w:val="0"/>
                  <w:marBottom w:val="0"/>
                  <w:divBdr>
                    <w:top w:val="none" w:sz="0" w:space="0" w:color="auto"/>
                    <w:left w:val="none" w:sz="0" w:space="0" w:color="auto"/>
                    <w:bottom w:val="none" w:sz="0" w:space="0" w:color="auto"/>
                    <w:right w:val="none" w:sz="0" w:space="0" w:color="auto"/>
                  </w:divBdr>
                  <w:divsChild>
                    <w:div w:id="905454866">
                      <w:marLeft w:val="0"/>
                      <w:marRight w:val="0"/>
                      <w:marTop w:val="0"/>
                      <w:marBottom w:val="0"/>
                      <w:divBdr>
                        <w:top w:val="none" w:sz="0" w:space="0" w:color="auto"/>
                        <w:left w:val="none" w:sz="0" w:space="0" w:color="auto"/>
                        <w:bottom w:val="none" w:sz="0" w:space="0" w:color="auto"/>
                        <w:right w:val="none" w:sz="0" w:space="0" w:color="auto"/>
                      </w:divBdr>
                      <w:divsChild>
                        <w:div w:id="2053535927">
                          <w:marLeft w:val="0"/>
                          <w:marRight w:val="0"/>
                          <w:marTop w:val="0"/>
                          <w:marBottom w:val="0"/>
                          <w:divBdr>
                            <w:top w:val="none" w:sz="0" w:space="0" w:color="auto"/>
                            <w:left w:val="none" w:sz="0" w:space="0" w:color="auto"/>
                            <w:bottom w:val="none" w:sz="0" w:space="0" w:color="auto"/>
                            <w:right w:val="none" w:sz="0" w:space="0" w:color="auto"/>
                          </w:divBdr>
                          <w:divsChild>
                            <w:div w:id="528227346">
                              <w:marLeft w:val="0"/>
                              <w:marRight w:val="0"/>
                              <w:marTop w:val="0"/>
                              <w:marBottom w:val="0"/>
                              <w:divBdr>
                                <w:top w:val="none" w:sz="0" w:space="0" w:color="auto"/>
                                <w:left w:val="none" w:sz="0" w:space="0" w:color="auto"/>
                                <w:bottom w:val="none" w:sz="0" w:space="0" w:color="auto"/>
                                <w:right w:val="none" w:sz="0" w:space="0" w:color="auto"/>
                              </w:divBdr>
                              <w:divsChild>
                                <w:div w:id="1693653982">
                                  <w:marLeft w:val="0"/>
                                  <w:marRight w:val="0"/>
                                  <w:marTop w:val="0"/>
                                  <w:marBottom w:val="0"/>
                                  <w:divBdr>
                                    <w:top w:val="none" w:sz="0" w:space="0" w:color="auto"/>
                                    <w:left w:val="none" w:sz="0" w:space="0" w:color="auto"/>
                                    <w:bottom w:val="none" w:sz="0" w:space="0" w:color="auto"/>
                                    <w:right w:val="none" w:sz="0" w:space="0" w:color="auto"/>
                                  </w:divBdr>
                                  <w:divsChild>
                                    <w:div w:id="3466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21</Pages>
  <Words>10413</Words>
  <Characters>59359</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1084</cp:lastModifiedBy>
  <cp:revision>7</cp:revision>
  <dcterms:created xsi:type="dcterms:W3CDTF">2026-06-21T11:45:00Z</dcterms:created>
  <dcterms:modified xsi:type="dcterms:W3CDTF">2026-06-25T11:40:00Z</dcterms:modified>
</cp:coreProperties>
</file>