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75C8A" w14:textId="77777777" w:rsidR="002F3B56" w:rsidRPr="002F3B56" w:rsidRDefault="002F3B56" w:rsidP="002F3B56">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2F3B56">
        <w:rPr>
          <w:rFonts w:ascii="Times New Roman" w:eastAsia="Times New Roman" w:hAnsi="Times New Roman" w:cs="Times New Roman"/>
          <w:b/>
          <w:bCs/>
          <w:i/>
          <w:iCs/>
          <w:sz w:val="36"/>
          <w:szCs w:val="36"/>
          <w:u w:val="single"/>
          <w:lang w:val="en-US" w:eastAsia="en-GB"/>
        </w:rPr>
        <w:t>Review Article</w:t>
      </w:r>
    </w:p>
    <w:p w14:paraId="5EC8531A" w14:textId="77777777" w:rsidR="002865FC" w:rsidRPr="002865FC" w:rsidRDefault="002865FC" w:rsidP="002865F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2865FC">
        <w:rPr>
          <w:rFonts w:ascii="Times New Roman" w:eastAsia="Times New Roman" w:hAnsi="Times New Roman" w:cs="Times New Roman"/>
          <w:b/>
          <w:bCs/>
          <w:sz w:val="36"/>
          <w:szCs w:val="36"/>
          <w:lang w:eastAsia="en-GB"/>
        </w:rPr>
        <w:t>ARTIFICIAL INTELLIGENCE ADOPTION IN SMART AGRICULTURE: A REVIEW OF CONVOLUTIONAL NEURAL NETWORKS FOR PLANT DISEASE DETECTION AND AGRIBUSINESS SUSTAINABILITY</w:t>
      </w:r>
    </w:p>
    <w:p w14:paraId="4628E8D5"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2A790BCC"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Abstract</w:t>
      </w:r>
    </w:p>
    <w:p w14:paraId="00C6517A" w14:textId="5FB7572E"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Plant diseases remain one of the most persistent and economically damaging threats to global food security, with yield losses across major staple crops running into the tens of billions of dollars each year. The rise of artificial intelligence, and convolutional neural networks (CNNs) in particular, has opened genuinely new possibilities for detecting plant disease early, accurately, and at scale. This review critically examines the state of CNN-based plant disease detection within the wider context of smart agriculture and agribusiness sustainability. Drawing on peer-reviewed literature published between 2016 and </w:t>
      </w:r>
      <w:r w:rsidR="00CB783F">
        <w:rPr>
          <w:rFonts w:ascii="Times New Roman" w:eastAsia="Times New Roman" w:hAnsi="Times New Roman" w:cs="Times New Roman"/>
          <w:sz w:val="24"/>
          <w:szCs w:val="24"/>
          <w:lang w:eastAsia="en-GB"/>
        </w:rPr>
        <w:t>March</w:t>
      </w:r>
      <w:r w:rsidRPr="002865FC">
        <w:rPr>
          <w:rFonts w:ascii="Times New Roman" w:eastAsia="Times New Roman" w:hAnsi="Times New Roman" w:cs="Times New Roman"/>
          <w:sz w:val="24"/>
          <w:szCs w:val="24"/>
          <w:lang w:eastAsia="en-GB"/>
        </w:rPr>
        <w:t xml:space="preserve"> 2026, the paper traces the evolution of CNN architectures, training methods, and benchmark performance across a wide range of crops and disease categories. Particular attention is given to transfer learning, data augmentation, and lightweight architecture design as responses to the recurring problem of limited annotated training data. The paper also considers how CNNs are being combined with complementary technologies, including the Internet of Things, unmanned aerial vehicles, and edge computing, and what this means for deployment in real farming conditions. Economic and sustainability dimensions are explored throughout, with attention to whether the gains from AI adoption are likely to reach smallholder farmers or remain concentrated among larger, better-resourced agribusinesses. Despite genuinely impressive results under controlled benchmark conditions, several barriers to field deployment persist: dataset bias, poor generalisation in complex agricultural environments, computational constraints, and a continuing shortfall in model interpretability. The review closes by identifying priority research directions, including cross-domain transfer learning, explainable AI, the development of field-representative datasets, and participatory approaches to tool design. Taken together, the evidence suggests that CNN-based disease detection holds real promise for agribusiness sustainability, but realising that promise will depend on sustained interdisciplinary collaboration and deployment strategies that are sensitive to local context rather than assuming one-size-fits-all solutions.</w:t>
      </w:r>
    </w:p>
    <w:p w14:paraId="533069EB"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Keywords:</w:t>
      </w:r>
      <w:r w:rsidRPr="002865FC">
        <w:rPr>
          <w:rFonts w:ascii="Times New Roman" w:eastAsia="Times New Roman" w:hAnsi="Times New Roman" w:cs="Times New Roman"/>
          <w:sz w:val="24"/>
          <w:szCs w:val="24"/>
          <w:lang w:eastAsia="en-GB"/>
        </w:rPr>
        <w:t xml:space="preserve"> convolutional neural networks; plant disease detection; smart agriculture; precision agriculture; deep learning; transfer learning; agribusiness sustainability; Internet of Things; unmanned aerial vehicles; food security</w:t>
      </w:r>
    </w:p>
    <w:p w14:paraId="035C49D9"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0689B0E0"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1. Introduction</w:t>
      </w:r>
    </w:p>
    <w:p w14:paraId="6B5326D6"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1.1 Global Food Security and the Challenge of Crop Disease</w:t>
      </w:r>
    </w:p>
    <w:p w14:paraId="7005D90C"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Feeding a global population expected to surpass nine billion by mid-century is one of the defining challenges of our time. Agricultural systems are already under strain from land degradation, freshwater scarcity, and increasingly erratic climate conditions, and to these pressures must be added the persistent toll of plant pathogens and insect pests—a problem that receives comparatively little public attention given its scale. Savary et al. (2019) estimated that fungi, bacteria, viruses, and arthropod pests together account for yield losses of between 17 and 30 per cent across the five major food crops—wheat, rice, maize, potato, and soybean—with the extent of loss varying regionally according to climate, the intensity of farm management, and access to crop protection technology. The Food and Agriculture Organization of the United Nations has long treated plant health as a precondition for food security, arguing that sustainable agricultural production simply cannot be achieved without disease surveillance and management systems that are both effective and affordable (FAO, 2023).</w:t>
      </w:r>
    </w:p>
    <w:p w14:paraId="2B64A48F"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economic consequences of plant disease reach well beyond losses at the farm gate. Supply chains are disrupted, input costs rise as growers turn to broad-spectrum pesticide applications, phytosanitary regulations create trade barriers, and farmer incomes are eroded—each of these compounding the underlying productivity deficit rather than acting in isolation. For smallholder farmers, who are estimated to produce approximately 70 per cent of the food consumed in low- and middle-income countries (FAO, 2021), the difference between catching a disease early and missing it can be the difference between a viable harvest and financial ruin. Yet the dominant approaches to disease management—visual inspection by trained agronomists, or precautionary blanket pesticide use—are resource-intensive, dependent on expert labour that is frequently unavailable in remote farming regions, and prone to error at precisely the early, sub-symptomatic stages of infection when intervention would do the most good (</w:t>
      </w:r>
      <w:proofErr w:type="spellStart"/>
      <w:r w:rsidRPr="002865FC">
        <w:rPr>
          <w:rFonts w:ascii="Times New Roman" w:eastAsia="Times New Roman" w:hAnsi="Times New Roman" w:cs="Times New Roman"/>
          <w:sz w:val="24"/>
          <w:szCs w:val="24"/>
          <w:lang w:eastAsia="en-GB"/>
        </w:rPr>
        <w:t>Mahlein</w:t>
      </w:r>
      <w:proofErr w:type="spellEnd"/>
      <w:r w:rsidRPr="002865FC">
        <w:rPr>
          <w:rFonts w:ascii="Times New Roman" w:eastAsia="Times New Roman" w:hAnsi="Times New Roman" w:cs="Times New Roman"/>
          <w:sz w:val="24"/>
          <w:szCs w:val="24"/>
          <w:lang w:eastAsia="en-GB"/>
        </w:rPr>
        <w:t>, 2016). The case for scalable, affordable, and operationally reliable diagnostic tools that can function in real farming environments is, accordingly, a compelling one.</w:t>
      </w:r>
    </w:p>
    <w:p w14:paraId="4F09DDE3"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1.2 The Emergence of Smart Agriculture and Artificial Intelligence</w:t>
      </w:r>
    </w:p>
    <w:p w14:paraId="4892226F"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Smart agriculture, sometimes described as Agriculture 4.0, refers to the integration of digital technologies—sensor networks, satellite and aerial remote sensing, machine learning, robotics, and communications infrastructure—into farming systems with the aim of improving productivity, resource efficiency, and environmental sustainability (Wolfert et al., 2017). Artificial intelligence has come to occupy an increasingly central place within this broader transformation. </w:t>
      </w:r>
      <w:proofErr w:type="spellStart"/>
      <w:r w:rsidRPr="002865FC">
        <w:rPr>
          <w:rFonts w:ascii="Times New Roman" w:eastAsia="Times New Roman" w:hAnsi="Times New Roman" w:cs="Times New Roman"/>
          <w:sz w:val="24"/>
          <w:szCs w:val="24"/>
          <w:lang w:eastAsia="en-GB"/>
        </w:rPr>
        <w:t>Kamilaris</w:t>
      </w:r>
      <w:proofErr w:type="spellEnd"/>
      <w:r w:rsidRPr="002865FC">
        <w:rPr>
          <w:rFonts w:ascii="Times New Roman" w:eastAsia="Times New Roman" w:hAnsi="Times New Roman" w:cs="Times New Roman"/>
          <w:sz w:val="24"/>
          <w:szCs w:val="24"/>
          <w:lang w:eastAsia="en-GB"/>
        </w:rPr>
        <w:t xml:space="preserve"> and </w:t>
      </w:r>
      <w:proofErr w:type="spellStart"/>
      <w:r w:rsidRPr="002865FC">
        <w:rPr>
          <w:rFonts w:ascii="Times New Roman" w:eastAsia="Times New Roman" w:hAnsi="Times New Roman" w:cs="Times New Roman"/>
          <w:sz w:val="24"/>
          <w:szCs w:val="24"/>
          <w:lang w:eastAsia="en-GB"/>
        </w:rPr>
        <w:t>Prenafeta-Boldú</w:t>
      </w:r>
      <w:proofErr w:type="spellEnd"/>
      <w:r w:rsidRPr="002865FC">
        <w:rPr>
          <w:rFonts w:ascii="Times New Roman" w:eastAsia="Times New Roman" w:hAnsi="Times New Roman" w:cs="Times New Roman"/>
          <w:sz w:val="24"/>
          <w:szCs w:val="24"/>
          <w:lang w:eastAsia="en-GB"/>
        </w:rPr>
        <w:t xml:space="preserve"> (2018) produced one of the earliest comprehensive surveys of deep learning in agriculture, concluding that CNNs in particular offered transformative potential for image-based tasks spanning crop classification, yield estimation, and the detection of disease and physiological stress. Machine learning more broadly has since proven its worth across a range of agricultural tasks, from crop yield prediction (Van </w:t>
      </w:r>
      <w:proofErr w:type="spellStart"/>
      <w:r w:rsidRPr="002865FC">
        <w:rPr>
          <w:rFonts w:ascii="Times New Roman" w:eastAsia="Times New Roman" w:hAnsi="Times New Roman" w:cs="Times New Roman"/>
          <w:sz w:val="24"/>
          <w:szCs w:val="24"/>
          <w:lang w:eastAsia="en-GB"/>
        </w:rPr>
        <w:t>Klompenburg</w:t>
      </w:r>
      <w:proofErr w:type="spellEnd"/>
      <w:r w:rsidRPr="002865FC">
        <w:rPr>
          <w:rFonts w:ascii="Times New Roman" w:eastAsia="Times New Roman" w:hAnsi="Times New Roman" w:cs="Times New Roman"/>
          <w:sz w:val="24"/>
          <w:szCs w:val="24"/>
          <w:lang w:eastAsia="en-GB"/>
        </w:rPr>
        <w:t xml:space="preserve"> et al., 2020) to weed identification and pest population monitoring (Sharma et al., 2021).</w:t>
      </w:r>
    </w:p>
    <w:p w14:paraId="293FD56A"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Among the many AI methods now applied in agriculture, CNNs have drawn by far the most sustained research attention in plant disease detection specifically. Their ability to extract complex, hierarchical feature representations directly from raw image data—without the need for manually engineered features—suits them well to the subtle and highly variable visual patterns that characterise plant pathology (Alzubaidi et al., 2021). The pivotal study by Mohanty et al. (2016) showed that a CNN trained on the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 xml:space="preserve"> dataset could achieve </w:t>
      </w:r>
      <w:r w:rsidRPr="002865FC">
        <w:rPr>
          <w:rFonts w:ascii="Times New Roman" w:eastAsia="Times New Roman" w:hAnsi="Times New Roman" w:cs="Times New Roman"/>
          <w:sz w:val="24"/>
          <w:szCs w:val="24"/>
          <w:lang w:eastAsia="en-GB"/>
        </w:rPr>
        <w:lastRenderedPageBreak/>
        <w:t>classification accuracies exceeding 99 per cent under controlled imaging conditions, a result that effectively set off a decade of intensive research into deep learning-based disease detection. In the years since, the field has diversified considerably, extending to an ever-broader set of crop species, disease categories, imaging modalities, deployment platforms, and geographic settings.</w:t>
      </w:r>
    </w:p>
    <w:p w14:paraId="10EB1C3A"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This alignment between what CNNs are good at and what agricultural disease detection requires is not accidental. Smartphone ownership has expanded substantially in rural areas of low- and middle-income countries, providing a familiar and accessible image-capture platform on which CNN-based diagnostic tools could, in principle, be deployed at scale. At the same time, advances in GPU computing, cloud infrastructure, and edge inference hardware have steadily lowered the computational barriers to both training and deployment. Together, these enabling factors explain not only the rapid growth of the published literature but also the considerable optimism—not always matched by equally rigorous scrutiny—about what AI might achieve for agricultural disease management.</w:t>
      </w:r>
    </w:p>
    <w:p w14:paraId="26A692F2"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1.3 Scope and Objectives of This Review</w:t>
      </w:r>
    </w:p>
    <w:p w14:paraId="5F601864" w14:textId="1372A1F9"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This review sets out to critically examine the literature on CNN-based plant disease detection, situated within the broader context of smart agriculture and agribusiness sustainability. The aim is not simply to catalogue what has been technically achieved, but to ask where claims have outpaced evidence, where genuine progress remains unrealised in practice, and which research directions are most likely to be productive going forward. More specifically, the review sets out to trace the development of CNN architectures and training strategies as applied to plant pathology; to evaluate the quality and representativeness of the datasets on which current models are trained; to assess how CNNs are being integrated with complementary smart agriculture technologies; to examine the economic and sustainability implications of AI adoption in agribusiness; and to identify the principal challenges and priorities for future research. The review draws on peer-reviewed journal literature published between 2016 and </w:t>
      </w:r>
      <w:r w:rsidR="00CB783F">
        <w:rPr>
          <w:rFonts w:ascii="Times New Roman" w:eastAsia="Times New Roman" w:hAnsi="Times New Roman" w:cs="Times New Roman"/>
          <w:sz w:val="24"/>
          <w:szCs w:val="24"/>
          <w:lang w:eastAsia="en-GB"/>
        </w:rPr>
        <w:t>March</w:t>
      </w:r>
      <w:r w:rsidRPr="002865FC">
        <w:rPr>
          <w:rFonts w:ascii="Times New Roman" w:eastAsia="Times New Roman" w:hAnsi="Times New Roman" w:cs="Times New Roman"/>
          <w:sz w:val="24"/>
          <w:szCs w:val="24"/>
          <w:lang w:eastAsia="en-GB"/>
        </w:rPr>
        <w:t xml:space="preserve"> 2026, with no restriction placed on geographic scope or crop type.</w:t>
      </w:r>
    </w:p>
    <w:p w14:paraId="0494A34D"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554974D2"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2. Methods for Literature Selection</w:t>
      </w:r>
    </w:p>
    <w:p w14:paraId="7E1390CD"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This paper takes the form of a narrative critical review rather than a systematic review or meta-analysis. That choice reflects the nature of the task: the aim was to critically synthesise a body of literature that spans several disciplines—computer science, plant pathology, agricultural economics, and sustainability science—each with its own methodological conventions and evaluation standards. A systematic review is best suited to aggregating effect sizes across methodologically comparable studies; a narrative approach, by contrast, allows for the kind of interpretive, cross-disciplinary engagement that this topic demands, including the identification of tensions and gaps that a more rigid, protocol-driven methodology might overlook (Snyder, 2019).</w:t>
      </w:r>
    </w:p>
    <w:p w14:paraId="4FA6F39F" w14:textId="17AA0BBA"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Literature was identified through searches of the following databases: Web of Science, Scopus, Google Scholar, PubMed, AGRIS (the FAO's international agricultural information system), CAB Abstracts, IEEE Xplore Digital Library, and Dimensions. Combining general multidisciplinary databases with field-specific resources was intended to ensure balanced coverage across the agricultural, engineering, and computer science literatures relevant to this </w:t>
      </w:r>
      <w:r w:rsidRPr="002865FC">
        <w:rPr>
          <w:rFonts w:ascii="Times New Roman" w:eastAsia="Times New Roman" w:hAnsi="Times New Roman" w:cs="Times New Roman"/>
          <w:sz w:val="24"/>
          <w:szCs w:val="24"/>
          <w:lang w:eastAsia="en-GB"/>
        </w:rPr>
        <w:lastRenderedPageBreak/>
        <w:t xml:space="preserve">topic. The search covered the period from January 2016 to 30 </w:t>
      </w:r>
      <w:r w:rsidR="00CB783F">
        <w:rPr>
          <w:rFonts w:ascii="Times New Roman" w:eastAsia="Times New Roman" w:hAnsi="Times New Roman" w:cs="Times New Roman"/>
          <w:sz w:val="24"/>
          <w:szCs w:val="24"/>
          <w:lang w:eastAsia="en-GB"/>
        </w:rPr>
        <w:t>March</w:t>
      </w:r>
      <w:r w:rsidRPr="002865FC">
        <w:rPr>
          <w:rFonts w:ascii="Times New Roman" w:eastAsia="Times New Roman" w:hAnsi="Times New Roman" w:cs="Times New Roman"/>
          <w:sz w:val="24"/>
          <w:szCs w:val="24"/>
          <w:lang w:eastAsia="en-GB"/>
        </w:rPr>
        <w:t xml:space="preserve"> 2026. The year 2016 was chosen as the starting point because it marks the publication of the landmark study by Mohanty et al. (2016), which effectively launched the modern era of CNN-based plant disease detection and quickly generated a substantial body of follow-on work. A small number of foundational methodological works predating 2016 were also drawn on where they provided essential conceptual grounding.</w:t>
      </w:r>
    </w:p>
    <w:p w14:paraId="52DCEB02"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Search strings were constructed using Boolean operators and included combinations such as: "convolutional neural network" AND "plant disease"; "deep learning" AND "crop disease detection"; "CNN" AND "precision agriculture"; "transfer learning" AND "leaf disease classification"; "smart agriculture" AND "artificial intelligence"; "UAV" AND "plant pathology"; "IoT" AND "disease detection agriculture"; "agribusiness sustainability" AND "machine learning"; and "hyperspectral imaging" AND "plant disease deep learning". Field-specific controlled vocabularies—CAB Thesaurus terms for plant diseases and IEEE Thesaurus terms for neural network architectures—were applied where the relevant database interface supported them.</w:t>
      </w:r>
    </w:p>
    <w:p w14:paraId="00309A2D"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To be included, a source had to be an original peer-reviewed article published in an academic journal within the specified date range and written in English. Peer-reviewed reports from authoritative intergovernmental bodies, specifically the FAO, were also included where they supplied essential contextual data unavailable in the primary journal literature and where a verifiable DOI existed. Studies qualified for inclusion if they addressed CNN or deep learning approaches to plant disease or pest detection directly, or if they contributed substantially to understanding smart agriculture technologies, dataset development, agribusiness economics, or sustainability in an AI context. Conference proceedings, grey literature, pre-prints, trade publications, and books were excluded outright, as were studies concerned solely with neural network design absent any empirical agricultural application, and studies whose findings had been substantively superseded by more comprehensive later work.</w:t>
      </w:r>
    </w:p>
    <w:p w14:paraId="639759C8"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Once initial searches were complete, titles and abstracts were screened for thematic relevance, full texts were retrieved for studies that passed this first filter, and duplicate records appearing across multiple databases were removed. Priority was given to studies published in high-impact journals, to comprehensive review articles where these existed, to work demonstrating methodological rigour in model evaluation, and—perhaps most importantly given the concerns raised later in this review—to research that tested model performance under genuine field conditions rather than relying solely on laboratory benchmarks. The final corpus comprises 48 peer-reviewed journal publications together with two institutional FAO reports.</w:t>
      </w:r>
    </w:p>
    <w:p w14:paraId="405C38A8"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2CF65595"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3. Convolutional Neural Networks: Principles and Agricultural Relevance</w:t>
      </w:r>
    </w:p>
    <w:p w14:paraId="013DF2B9"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3.1 Architectural Foundations</w:t>
      </w:r>
    </w:p>
    <w:p w14:paraId="40956286"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Convolutional neural networks are a class of deep feedforward neural network built specifically for processing grid-structured data such as images. Where earlier machine vision approaches relied on manually engineered feature descriptors—histogram of oriented gradients, scale-invariant feature transforms, local binary patterns, and the like—CNNs </w:t>
      </w:r>
      <w:r w:rsidRPr="002865FC">
        <w:rPr>
          <w:rFonts w:ascii="Times New Roman" w:eastAsia="Times New Roman" w:hAnsi="Times New Roman" w:cs="Times New Roman"/>
          <w:sz w:val="24"/>
          <w:szCs w:val="24"/>
          <w:lang w:eastAsia="en-GB"/>
        </w:rPr>
        <w:lastRenderedPageBreak/>
        <w:t>instead learn feature representations directly from raw pixel data through a process of hierarchical abstraction (Alzubaidi et al., 2021). In the network's earlier convolutional layers, trainable filter banks pick out low-level visual features such as edges, colour gradients, and local texture; in the deeper layers that follow, these elementary features are combined into increasingly complex and semantically meaningful representations, eventually encoding the kinds of patterns that matter for disease diagnosis—chlorotic halos, necrotic lesions, fungal sporulation, powdery surface coatings, and so on.</w:t>
      </w:r>
    </w:p>
    <w:p w14:paraId="3DF174D0"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typical CNN architecture brings together several functional components: convolutional layers that apply learnable filters across the spatial extent of the input; pooling layers that reduce spatial dimensionality and introduce a degree of translation invariance; batch normalisation layers that stabilise training; dropout layers that guard against overfitting; and fully connected layers that pull together spatially distributed features into class probability predictions. Non-linear activation functions—most commonly the rectified linear unit—are interleaved throughout to allow the network to model complex, non-linear decision boundaries (Alzubaidi et al., 2021).</w:t>
      </w:r>
    </w:p>
    <w:p w14:paraId="731B3576"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A handful of landmark architectures have shaped how this field has developed. </w:t>
      </w:r>
      <w:proofErr w:type="spellStart"/>
      <w:r w:rsidRPr="002865FC">
        <w:rPr>
          <w:rFonts w:ascii="Times New Roman" w:eastAsia="Times New Roman" w:hAnsi="Times New Roman" w:cs="Times New Roman"/>
          <w:sz w:val="24"/>
          <w:szCs w:val="24"/>
          <w:lang w:eastAsia="en-GB"/>
        </w:rPr>
        <w:t>AlexNet</w:t>
      </w:r>
      <w:proofErr w:type="spellEnd"/>
      <w:r w:rsidRPr="002865FC">
        <w:rPr>
          <w:rFonts w:ascii="Times New Roman" w:eastAsia="Times New Roman" w:hAnsi="Times New Roman" w:cs="Times New Roman"/>
          <w:sz w:val="24"/>
          <w:szCs w:val="24"/>
          <w:lang w:eastAsia="en-GB"/>
        </w:rPr>
        <w:t xml:space="preserve"> demonstrated decisive advantages over shallow learning methods on large-scale image benchmarks and, in doing so, helped trigger the current era of deep learning research. The architectures that followed—</w:t>
      </w:r>
      <w:proofErr w:type="spellStart"/>
      <w:r w:rsidRPr="002865FC">
        <w:rPr>
          <w:rFonts w:ascii="Times New Roman" w:eastAsia="Times New Roman" w:hAnsi="Times New Roman" w:cs="Times New Roman"/>
          <w:sz w:val="24"/>
          <w:szCs w:val="24"/>
          <w:lang w:eastAsia="en-GB"/>
        </w:rPr>
        <w:t>VGGNet</w:t>
      </w:r>
      <w:proofErr w:type="spellEnd"/>
      <w:r w:rsidRPr="002865FC">
        <w:rPr>
          <w:rFonts w:ascii="Times New Roman" w:eastAsia="Times New Roman" w:hAnsi="Times New Roman" w:cs="Times New Roman"/>
          <w:sz w:val="24"/>
          <w:szCs w:val="24"/>
          <w:lang w:eastAsia="en-GB"/>
        </w:rPr>
        <w:t xml:space="preserve">, </w:t>
      </w:r>
      <w:proofErr w:type="spellStart"/>
      <w:r w:rsidRPr="002865FC">
        <w:rPr>
          <w:rFonts w:ascii="Times New Roman" w:eastAsia="Times New Roman" w:hAnsi="Times New Roman" w:cs="Times New Roman"/>
          <w:sz w:val="24"/>
          <w:szCs w:val="24"/>
          <w:lang w:eastAsia="en-GB"/>
        </w:rPr>
        <w:t>GoogLeNet</w:t>
      </w:r>
      <w:proofErr w:type="spellEnd"/>
      <w:r w:rsidRPr="002865FC">
        <w:rPr>
          <w:rFonts w:ascii="Times New Roman" w:eastAsia="Times New Roman" w:hAnsi="Times New Roman" w:cs="Times New Roman"/>
          <w:sz w:val="24"/>
          <w:szCs w:val="24"/>
          <w:lang w:eastAsia="en-GB"/>
        </w:rPr>
        <w:t xml:space="preserve"> with its Inception modules, </w:t>
      </w:r>
      <w:proofErr w:type="spellStart"/>
      <w:r w:rsidRPr="002865FC">
        <w:rPr>
          <w:rFonts w:ascii="Times New Roman" w:eastAsia="Times New Roman" w:hAnsi="Times New Roman" w:cs="Times New Roman"/>
          <w:sz w:val="24"/>
          <w:szCs w:val="24"/>
          <w:lang w:eastAsia="en-GB"/>
        </w:rPr>
        <w:t>ResNet</w:t>
      </w:r>
      <w:proofErr w:type="spellEnd"/>
      <w:r w:rsidRPr="002865FC">
        <w:rPr>
          <w:rFonts w:ascii="Times New Roman" w:eastAsia="Times New Roman" w:hAnsi="Times New Roman" w:cs="Times New Roman"/>
          <w:sz w:val="24"/>
          <w:szCs w:val="24"/>
          <w:lang w:eastAsia="en-GB"/>
        </w:rPr>
        <w:t xml:space="preserve"> with residual skip connections, and </w:t>
      </w:r>
      <w:proofErr w:type="spellStart"/>
      <w:r w:rsidRPr="002865FC">
        <w:rPr>
          <w:rFonts w:ascii="Times New Roman" w:eastAsia="Times New Roman" w:hAnsi="Times New Roman" w:cs="Times New Roman"/>
          <w:sz w:val="24"/>
          <w:szCs w:val="24"/>
          <w:lang w:eastAsia="en-GB"/>
        </w:rPr>
        <w:t>DenseNet</w:t>
      </w:r>
      <w:proofErr w:type="spellEnd"/>
      <w:r w:rsidRPr="002865FC">
        <w:rPr>
          <w:rFonts w:ascii="Times New Roman" w:eastAsia="Times New Roman" w:hAnsi="Times New Roman" w:cs="Times New Roman"/>
          <w:sz w:val="24"/>
          <w:szCs w:val="24"/>
          <w:lang w:eastAsia="en-GB"/>
        </w:rPr>
        <w:t xml:space="preserve"> with dense feature reuse—progressively improved classification performance while introducing design innovations that made it possible to train substantially deeper and more parameter-efficient networks (Alzubaidi et al., 2021). More recently, architectures built with resource-constrained deployment specifically in mind—</w:t>
      </w:r>
      <w:proofErr w:type="spellStart"/>
      <w:r w:rsidRPr="002865FC">
        <w:rPr>
          <w:rFonts w:ascii="Times New Roman" w:eastAsia="Times New Roman" w:hAnsi="Times New Roman" w:cs="Times New Roman"/>
          <w:sz w:val="24"/>
          <w:szCs w:val="24"/>
          <w:lang w:eastAsia="en-GB"/>
        </w:rPr>
        <w:t>MobileNet</w:t>
      </w:r>
      <w:proofErr w:type="spellEnd"/>
      <w:r w:rsidRPr="002865FC">
        <w:rPr>
          <w:rFonts w:ascii="Times New Roman" w:eastAsia="Times New Roman" w:hAnsi="Times New Roman" w:cs="Times New Roman"/>
          <w:sz w:val="24"/>
          <w:szCs w:val="24"/>
          <w:lang w:eastAsia="en-GB"/>
        </w:rPr>
        <w:t xml:space="preserve">, </w:t>
      </w:r>
      <w:proofErr w:type="spellStart"/>
      <w:r w:rsidRPr="002865FC">
        <w:rPr>
          <w:rFonts w:ascii="Times New Roman" w:eastAsia="Times New Roman" w:hAnsi="Times New Roman" w:cs="Times New Roman"/>
          <w:sz w:val="24"/>
          <w:szCs w:val="24"/>
          <w:lang w:eastAsia="en-GB"/>
        </w:rPr>
        <w:t>ShuffleNet</w:t>
      </w:r>
      <w:proofErr w:type="spellEnd"/>
      <w:r w:rsidRPr="002865FC">
        <w:rPr>
          <w:rFonts w:ascii="Times New Roman" w:eastAsia="Times New Roman" w:hAnsi="Times New Roman" w:cs="Times New Roman"/>
          <w:sz w:val="24"/>
          <w:szCs w:val="24"/>
          <w:lang w:eastAsia="en-GB"/>
        </w:rPr>
        <w:t xml:space="preserve">, </w:t>
      </w:r>
      <w:proofErr w:type="spellStart"/>
      <w:r w:rsidRPr="002865FC">
        <w:rPr>
          <w:rFonts w:ascii="Times New Roman" w:eastAsia="Times New Roman" w:hAnsi="Times New Roman" w:cs="Times New Roman"/>
          <w:sz w:val="24"/>
          <w:szCs w:val="24"/>
          <w:lang w:eastAsia="en-GB"/>
        </w:rPr>
        <w:t>EfficientNet</w:t>
      </w:r>
      <w:proofErr w:type="spellEnd"/>
      <w:r w:rsidRPr="002865FC">
        <w:rPr>
          <w:rFonts w:ascii="Times New Roman" w:eastAsia="Times New Roman" w:hAnsi="Times New Roman" w:cs="Times New Roman"/>
          <w:sz w:val="24"/>
          <w:szCs w:val="24"/>
          <w:lang w:eastAsia="en-GB"/>
        </w:rPr>
        <w:t>—have managed to achieve competitive accuracy at a fraction of the computational cost of their predecessors, which matters a great deal for agricultural applications where inference often has to happen on a smartphone or an embedded edge device (Atila et al., 2021).</w:t>
      </w:r>
    </w:p>
    <w:p w14:paraId="75DEF144"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3.2 Transfer Learning and Pre-trained Models in Agricultural Contexts</w:t>
      </w:r>
    </w:p>
    <w:p w14:paraId="04DAB238"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Among the methodological developments that have shaped CNN applications in plant disease detection, few have mattered as much as the widespread adoption of transfer learning. The basic idea is straightforward: a CNN is first pre-trained on a large general-purpose image dataset—most commonly ImageNet, with its million-plus labelled images spanning a thousand categories—and is then adapted to a domain-specific task by fine-tuning some or all of its weights on a much smaller labelled dataset of plant disease images (Chen et al., 2020).</w:t>
      </w:r>
    </w:p>
    <w:p w14:paraId="54F3D334"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appeal of this approach in an agricultural context is easy to see. Assembling and annotating a large collection of disease-positive crop images is genuinely demanding: photographs must be gathered across multiple disease stages, crop varieties, and environmental conditions, and the resulting annotations need to be validated by qualified plant pathologists. By starting from feature representations already learned on large-scale datasets, CNN models can reach competitive diagnostic performance with far smaller domain-specific training sets than would otherwise be needed. Too et al. (2019) demonstrated this advantage in a systematic comparative study of several deep CNN architectures fine-tuned on the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 xml:space="preserve"> dataset, finding that fine-tuned models consistently and substantially outperformed equivalents trained from random initialisation under matched data conditions. Paymode and Malode (2022) reached a similar conclusion in a multi-crop setting, </w:t>
      </w:r>
      <w:r w:rsidRPr="002865FC">
        <w:rPr>
          <w:rFonts w:ascii="Times New Roman" w:eastAsia="Times New Roman" w:hAnsi="Times New Roman" w:cs="Times New Roman"/>
          <w:sz w:val="24"/>
          <w:szCs w:val="24"/>
          <w:lang w:eastAsia="en-GB"/>
        </w:rPr>
        <w:lastRenderedPageBreak/>
        <w:t>showing that VGG-based transfer learning achieved strong classification accuracy across multiple crop disease classes even when training data were limited. Rangarajan and Purushothaman (2020) reported much the same pattern for eggplant disease classification using a pre-trained VGG16 model, recording high performance metrics despite working with a comparatively modest domain-specific dataset.</w:t>
      </w:r>
    </w:p>
    <w:p w14:paraId="28FA48F6"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That said, transfer learning is not without real limitations in agricultural settings. ImageNet's source domain consists overwhelmingly of conventional object photographs taken under fairly standard conditions, and the statistical properties of plant disease images—particularly those captured under variable field lighting, against complex natural backgrounds, and at varying spatial scales—can differ considerably from this source distribution. This domain gap can constrain how well ImageNet-derived features actually transfer to challenging, real-world agricultural images, and it has fuelled growing interest in domain-adaptive learning, self-supervised pre-training on agricultural imagery, and few-shot methods designed specifically for plant pathology.</w:t>
      </w:r>
    </w:p>
    <w:p w14:paraId="24CDBB64"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039AC3BF"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4. CNN-Based Approaches to Plant Disease Detection</w:t>
      </w:r>
    </w:p>
    <w:p w14:paraId="635436C0"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4.1 Early Developments and Benchmark Studies</w:t>
      </w:r>
    </w:p>
    <w:p w14:paraId="30C53EB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publication of Mohanty et al. (2016) is widely regarded as the foundational study in modern CNN-based plant disease detection. The authors trained </w:t>
      </w:r>
      <w:proofErr w:type="spellStart"/>
      <w:r w:rsidRPr="002865FC">
        <w:rPr>
          <w:rFonts w:ascii="Times New Roman" w:eastAsia="Times New Roman" w:hAnsi="Times New Roman" w:cs="Times New Roman"/>
          <w:sz w:val="24"/>
          <w:szCs w:val="24"/>
          <w:lang w:eastAsia="en-GB"/>
        </w:rPr>
        <w:t>AlexNet</w:t>
      </w:r>
      <w:proofErr w:type="spellEnd"/>
      <w:r w:rsidRPr="002865FC">
        <w:rPr>
          <w:rFonts w:ascii="Times New Roman" w:eastAsia="Times New Roman" w:hAnsi="Times New Roman" w:cs="Times New Roman"/>
          <w:sz w:val="24"/>
          <w:szCs w:val="24"/>
          <w:lang w:eastAsia="en-GB"/>
        </w:rPr>
        <w:t xml:space="preserve"> and </w:t>
      </w:r>
      <w:proofErr w:type="spellStart"/>
      <w:r w:rsidRPr="002865FC">
        <w:rPr>
          <w:rFonts w:ascii="Times New Roman" w:eastAsia="Times New Roman" w:hAnsi="Times New Roman" w:cs="Times New Roman"/>
          <w:sz w:val="24"/>
          <w:szCs w:val="24"/>
          <w:lang w:eastAsia="en-GB"/>
        </w:rPr>
        <w:t>GoogLeNet</w:t>
      </w:r>
      <w:proofErr w:type="spellEnd"/>
      <w:r w:rsidRPr="002865FC">
        <w:rPr>
          <w:rFonts w:ascii="Times New Roman" w:eastAsia="Times New Roman" w:hAnsi="Times New Roman" w:cs="Times New Roman"/>
          <w:sz w:val="24"/>
          <w:szCs w:val="24"/>
          <w:lang w:eastAsia="en-GB"/>
        </w:rPr>
        <w:t xml:space="preserve"> on the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 xml:space="preserve"> dataset, comprising 87,848 images (including augmented examples) spanning 26 disease categories across 14 crop species, and tested each architecture under coloured, greyscale, and leaf-segmented imaging conditions. </w:t>
      </w:r>
      <w:proofErr w:type="spellStart"/>
      <w:r w:rsidRPr="002865FC">
        <w:rPr>
          <w:rFonts w:ascii="Times New Roman" w:eastAsia="Times New Roman" w:hAnsi="Times New Roman" w:cs="Times New Roman"/>
          <w:sz w:val="24"/>
          <w:szCs w:val="24"/>
          <w:lang w:eastAsia="en-GB"/>
        </w:rPr>
        <w:t>GoogLeNet</w:t>
      </w:r>
      <w:proofErr w:type="spellEnd"/>
      <w:r w:rsidRPr="002865FC">
        <w:rPr>
          <w:rFonts w:ascii="Times New Roman" w:eastAsia="Times New Roman" w:hAnsi="Times New Roman" w:cs="Times New Roman"/>
          <w:sz w:val="24"/>
          <w:szCs w:val="24"/>
          <w:lang w:eastAsia="en-GB"/>
        </w:rPr>
        <w:t xml:space="preserve"> achieved the best result of the two—99.35 per cent accuracy on coloured images—with </w:t>
      </w:r>
      <w:proofErr w:type="spellStart"/>
      <w:r w:rsidRPr="002865FC">
        <w:rPr>
          <w:rFonts w:ascii="Times New Roman" w:eastAsia="Times New Roman" w:hAnsi="Times New Roman" w:cs="Times New Roman"/>
          <w:sz w:val="24"/>
          <w:szCs w:val="24"/>
          <w:lang w:eastAsia="en-GB"/>
        </w:rPr>
        <w:t>AlexNet</w:t>
      </w:r>
      <w:proofErr w:type="spellEnd"/>
      <w:r w:rsidRPr="002865FC">
        <w:rPr>
          <w:rFonts w:ascii="Times New Roman" w:eastAsia="Times New Roman" w:hAnsi="Times New Roman" w:cs="Times New Roman"/>
          <w:sz w:val="24"/>
          <w:szCs w:val="24"/>
          <w:lang w:eastAsia="en-GB"/>
        </w:rPr>
        <w:t xml:space="preserve"> performing somewhat less well under equivalent conditions, though both architectures comfortably outperformed earlier shallow learning approaches. The study established the basic feasibility of deep learning for this diagnostic task, and the authors were notably candid about the gap between performance on a controlled dataset and genuine field utility—a tension that has, in many respects, defined the research agenda that followed.</w:t>
      </w:r>
    </w:p>
    <w:p w14:paraId="1A03B99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At roughly the same time, </w:t>
      </w:r>
      <w:proofErr w:type="spellStart"/>
      <w:r w:rsidRPr="002865FC">
        <w:rPr>
          <w:rFonts w:ascii="Times New Roman" w:eastAsia="Times New Roman" w:hAnsi="Times New Roman" w:cs="Times New Roman"/>
          <w:sz w:val="24"/>
          <w:szCs w:val="24"/>
          <w:lang w:eastAsia="en-GB"/>
        </w:rPr>
        <w:t>Sladojevic</w:t>
      </w:r>
      <w:proofErr w:type="spellEnd"/>
      <w:r w:rsidRPr="002865FC">
        <w:rPr>
          <w:rFonts w:ascii="Times New Roman" w:eastAsia="Times New Roman" w:hAnsi="Times New Roman" w:cs="Times New Roman"/>
          <w:sz w:val="24"/>
          <w:szCs w:val="24"/>
          <w:lang w:eastAsia="en-GB"/>
        </w:rPr>
        <w:t xml:space="preserve"> et al. (2016) showed that deep convolutional architectures could be applied to multi-class leaf disease classification using ordinary smartphone photographs taken outdoors, achieving high accuracy across multiple disease categories and demonstrating that consumer-grade photography could serve as a perfectly viable input modality. Ferentinos (2018) took this further by training five distinct CNN architectures on the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 xml:space="preserve"> dataset, reporting accuracies ranging from 93.67 to 99.53 per cent across the models tested and confirming the strong potential of deep learning for disease classification at benchmark scale. These early results generated considerable enthusiasm in both the agricultural science and computer vision communities, and the years following 2016 saw a rapid expansion of studies applying CNN methods to an ever-wider range of crops, diseases, and imaging setups.</w:t>
      </w:r>
    </w:p>
    <w:p w14:paraId="1BF397CB"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4.2 Crop-Specific Disease Detection</w:t>
      </w:r>
    </w:p>
    <w:p w14:paraId="6B131A9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literature on CNN-based disease detection has since diversified to cover a wide range of economically important crop species. Tomato has received considerable attention, partly </w:t>
      </w:r>
      <w:r w:rsidRPr="002865FC">
        <w:rPr>
          <w:rFonts w:ascii="Times New Roman" w:eastAsia="Times New Roman" w:hAnsi="Times New Roman" w:cs="Times New Roman"/>
          <w:sz w:val="24"/>
          <w:szCs w:val="24"/>
          <w:lang w:eastAsia="en-GB"/>
        </w:rPr>
        <w:lastRenderedPageBreak/>
        <w:t xml:space="preserve">because labelled data are relatively abundant and partly because of the crop's commercial and nutritional significance worldwide. Fuentes et al. (2017) built a real-time tomato disease and pest detection framework around the Single Shot </w:t>
      </w:r>
      <w:proofErr w:type="spellStart"/>
      <w:r w:rsidRPr="002865FC">
        <w:rPr>
          <w:rFonts w:ascii="Times New Roman" w:eastAsia="Times New Roman" w:hAnsi="Times New Roman" w:cs="Times New Roman"/>
          <w:sz w:val="24"/>
          <w:szCs w:val="24"/>
          <w:lang w:eastAsia="en-GB"/>
        </w:rPr>
        <w:t>MultiBox</w:t>
      </w:r>
      <w:proofErr w:type="spellEnd"/>
      <w:r w:rsidRPr="002865FC">
        <w:rPr>
          <w:rFonts w:ascii="Times New Roman" w:eastAsia="Times New Roman" w:hAnsi="Times New Roman" w:cs="Times New Roman"/>
          <w:sz w:val="24"/>
          <w:szCs w:val="24"/>
          <w:lang w:eastAsia="en-GB"/>
        </w:rPr>
        <w:t xml:space="preserve"> Detector and Faster R-CNN architectures, and showed it to be robust across varying illumination, plant growth stages, and background complexity. Their follow-up work (Fuentes et al., 2018) added a refinement filter bank to suppress background interference and sharpen detection precision in complex field environments, reporting improved mean average precision scores relative to baseline configurations—a meaningful step towards systems that could actually be deployed in real time.</w:t>
      </w:r>
    </w:p>
    <w:p w14:paraId="56EFF682"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Maize has likewise been a major focus, given how damaging diseases such as grey leaf spot, common rust, and northern leaf blight can be at a global scale. Zhang et al. (2018) developed improved deep convolutional neural network architectures for identifying maize leaf diseases and achieved strong classification accuracy on a multi-class maize disease dataset. Waheed et al. (2020) proposed an optimised dense CNN for corn leaf disease recognition, showing that carefully tuned depth and layer connectivity could yield meaningful gains on difficult multi-class problems. The field-based maize dataset developed by Wiesner-Hanks et al. (2018), focused on Northern Leaf Blight lesions, has served as an important ecological benchmark in this space—a step towards the kind of operationally realistic evaluation that researchers in the field have long recognised as necessary.</w:t>
      </w:r>
    </w:p>
    <w:p w14:paraId="4ED0C98B"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Rice, as the staple food for more than three billion people, has also attracted substantial research effort. Jiang et al. (2020) combined deep convolutional feature extraction with a support vector machine classifier to identify four major rice leaf diseases, finding that this ensemble approach improved discrimination between visually similar disease pairs. Bari et al.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 developed a real-time rice disease diagnostic system based on Faster R-CNN, demonstrating high detection rates under varied field conditions and highlighting how region-based detection frameworks can support fine-grained disease localisation at the level of individual lesions. Beyond these major crops, published studies have examined apple (Jiang et al., 2019), cassava (Ramcharan et al., 2017), eggplant (Rangarajan &amp; Purushothaman, 2020), sugar beet (</w:t>
      </w:r>
      <w:proofErr w:type="spellStart"/>
      <w:r w:rsidRPr="002865FC">
        <w:rPr>
          <w:rFonts w:ascii="Times New Roman" w:eastAsia="Times New Roman" w:hAnsi="Times New Roman" w:cs="Times New Roman"/>
          <w:sz w:val="24"/>
          <w:szCs w:val="24"/>
          <w:lang w:eastAsia="en-GB"/>
        </w:rPr>
        <w:t>Ozguven</w:t>
      </w:r>
      <w:proofErr w:type="spellEnd"/>
      <w:r w:rsidRPr="002865FC">
        <w:rPr>
          <w:rFonts w:ascii="Times New Roman" w:eastAsia="Times New Roman" w:hAnsi="Times New Roman" w:cs="Times New Roman"/>
          <w:sz w:val="24"/>
          <w:szCs w:val="24"/>
          <w:lang w:eastAsia="en-GB"/>
        </w:rPr>
        <w:t xml:space="preserve"> &amp; Adem, 2019), and guava (</w:t>
      </w:r>
      <w:proofErr w:type="spellStart"/>
      <w:r w:rsidRPr="002865FC">
        <w:rPr>
          <w:rFonts w:ascii="Times New Roman" w:eastAsia="Times New Roman" w:hAnsi="Times New Roman" w:cs="Times New Roman"/>
          <w:sz w:val="24"/>
          <w:szCs w:val="24"/>
          <w:lang w:eastAsia="en-GB"/>
        </w:rPr>
        <w:t>Almadhor</w:t>
      </w:r>
      <w:proofErr w:type="spellEnd"/>
      <w:r w:rsidRPr="002865FC">
        <w:rPr>
          <w:rFonts w:ascii="Times New Roman" w:eastAsia="Times New Roman" w:hAnsi="Times New Roman" w:cs="Times New Roman"/>
          <w:sz w:val="24"/>
          <w:szCs w:val="24"/>
          <w:lang w:eastAsia="en-GB"/>
        </w:rPr>
        <w:t xml:space="preserve"> et al.,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)—a spread of crops that illustrates how broadly applicable CNN methods have proven across taxonomically diverse hosts and pathogens.</w:t>
      </w:r>
    </w:p>
    <w:p w14:paraId="3AD0BE0D"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865FC">
        <w:rPr>
          <w:rFonts w:ascii="Times New Roman" w:eastAsia="Times New Roman" w:hAnsi="Times New Roman" w:cs="Times New Roman"/>
          <w:sz w:val="24"/>
          <w:szCs w:val="24"/>
          <w:lang w:eastAsia="en-GB"/>
        </w:rPr>
        <w:t>Geetharamani</w:t>
      </w:r>
      <w:proofErr w:type="spellEnd"/>
      <w:r w:rsidRPr="002865FC">
        <w:rPr>
          <w:rFonts w:ascii="Times New Roman" w:eastAsia="Times New Roman" w:hAnsi="Times New Roman" w:cs="Times New Roman"/>
          <w:sz w:val="24"/>
          <w:szCs w:val="24"/>
          <w:lang w:eastAsia="en-GB"/>
        </w:rPr>
        <w:t xml:space="preserve"> and Pandian (2019) evaluated a custom nine-layer CNN across the full range of disease and healthy-condition categories in the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 xml:space="preserve"> dataset, finding that architectural depth and convolutional kernel configuration had a significant bearing on performance, and that some disease conditions proved considerably harder to discriminate than others. This points to a recurring theme in the literature: per-class performance reporting matters, because aggregate accuracy figures can mask substantial weaknesses for specific, often rarer, categories. Kaur et al. (2022) built on this line of work with a hybrid CNN incorporating principal component-based feature reduction, reporting that the combined approach improved classification accuracy while meaningfully cutting computational overhead—a useful property given the resource constraints that so often apply in practice.</w:t>
      </w:r>
    </w:p>
    <w:p w14:paraId="7517C96B"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4.3 Multi-Spectral and Hyperspectral Imaging Approaches</w:t>
      </w:r>
    </w:p>
    <w:p w14:paraId="2C96FFC3"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Visible-spectrum RGB photography is practical and accessible, but it captures only part of the physiological story. Many pathogens alter cell structure, chlorophyll fluorescence, water content, and cell wall integrity in ways that show up at wavelengths outside the visible </w:t>
      </w:r>
      <w:r w:rsidRPr="002865FC">
        <w:rPr>
          <w:rFonts w:ascii="Times New Roman" w:eastAsia="Times New Roman" w:hAnsi="Times New Roman" w:cs="Times New Roman"/>
          <w:sz w:val="24"/>
          <w:szCs w:val="24"/>
          <w:lang w:eastAsia="en-GB"/>
        </w:rPr>
        <w:lastRenderedPageBreak/>
        <w:t>range—changes that carry real diagnostic information but are simply invisible to a standard camera (</w:t>
      </w:r>
      <w:proofErr w:type="spellStart"/>
      <w:r w:rsidRPr="002865FC">
        <w:rPr>
          <w:rFonts w:ascii="Times New Roman" w:eastAsia="Times New Roman" w:hAnsi="Times New Roman" w:cs="Times New Roman"/>
          <w:sz w:val="24"/>
          <w:szCs w:val="24"/>
          <w:lang w:eastAsia="en-GB"/>
        </w:rPr>
        <w:t>Golhani</w:t>
      </w:r>
      <w:proofErr w:type="spellEnd"/>
      <w:r w:rsidRPr="002865FC">
        <w:rPr>
          <w:rFonts w:ascii="Times New Roman" w:eastAsia="Times New Roman" w:hAnsi="Times New Roman" w:cs="Times New Roman"/>
          <w:sz w:val="24"/>
          <w:szCs w:val="24"/>
          <w:lang w:eastAsia="en-GB"/>
        </w:rPr>
        <w:t xml:space="preserve"> et al., 2018). Hyperspectral and multi-spectral imaging systems, which capture reflectance across dozens or even hundreds of narrow, contiguous spectral bands, offer much richer physiological information, but at the cost of greater hardware investment and analytical complexity.</w:t>
      </w:r>
    </w:p>
    <w:p w14:paraId="37DEB94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865FC">
        <w:rPr>
          <w:rFonts w:ascii="Times New Roman" w:eastAsia="Times New Roman" w:hAnsi="Times New Roman" w:cs="Times New Roman"/>
          <w:sz w:val="24"/>
          <w:szCs w:val="24"/>
          <w:lang w:eastAsia="en-GB"/>
        </w:rPr>
        <w:t>Mahlein</w:t>
      </w:r>
      <w:proofErr w:type="spellEnd"/>
      <w:r w:rsidRPr="002865FC">
        <w:rPr>
          <w:rFonts w:ascii="Times New Roman" w:eastAsia="Times New Roman" w:hAnsi="Times New Roman" w:cs="Times New Roman"/>
          <w:sz w:val="24"/>
          <w:szCs w:val="24"/>
          <w:lang w:eastAsia="en-GB"/>
        </w:rPr>
        <w:t xml:space="preserve"> et al. (2019) demonstrated the value of combining thermal imaging, chlorophyll fluorescence, and hyperspectral sensing to detect Fusarium head blight in wheat at an early stage, showing that fusing multiple modalities substantially improved diagnostic sensitivity during the pre-symptomatic phase compared with any single modality on its own. Nguyen et al. (2021) paired deep learning with hyperspectral imaging to detect viral disease in plants before symptoms became visible, showing that CNN-extracted spectral features could flag infected plants several days ahead of any outward sign of disease—a capability with real implications for how quickly growers could intervene. </w:t>
      </w:r>
      <w:proofErr w:type="spellStart"/>
      <w:r w:rsidRPr="002865FC">
        <w:rPr>
          <w:rFonts w:ascii="Times New Roman" w:eastAsia="Times New Roman" w:hAnsi="Times New Roman" w:cs="Times New Roman"/>
          <w:sz w:val="24"/>
          <w:szCs w:val="24"/>
          <w:lang w:eastAsia="en-GB"/>
        </w:rPr>
        <w:t>Barbedo</w:t>
      </w:r>
      <w:proofErr w:type="spellEnd"/>
      <w:r w:rsidRPr="002865FC">
        <w:rPr>
          <w:rFonts w:ascii="Times New Roman" w:eastAsia="Times New Roman" w:hAnsi="Times New Roman" w:cs="Times New Roman"/>
          <w:sz w:val="24"/>
          <w:szCs w:val="24"/>
          <w:lang w:eastAsia="en-GB"/>
        </w:rPr>
        <w:t xml:space="preserve"> (</w:t>
      </w:r>
      <w:r w:rsidR="000A3E0F">
        <w:rPr>
          <w:rFonts w:ascii="Times New Roman" w:eastAsia="Times New Roman" w:hAnsi="Times New Roman" w:cs="Times New Roman"/>
          <w:sz w:val="24"/>
          <w:szCs w:val="24"/>
          <w:lang w:eastAsia="en-GB"/>
        </w:rPr>
        <w:t>2023</w:t>
      </w:r>
      <w:r w:rsidRPr="002865FC">
        <w:rPr>
          <w:rFonts w:ascii="Times New Roman" w:eastAsia="Times New Roman" w:hAnsi="Times New Roman" w:cs="Times New Roman"/>
          <w:sz w:val="24"/>
          <w:szCs w:val="24"/>
          <w:lang w:eastAsia="en-GB"/>
        </w:rPr>
        <w:t>) later reviewed the combination of deep learning with multispectral and three-dimensional imaging more broadly, concluding that multi-modal fusion represents a genuinely promising frontier for precision agriculture-scale disease detection, while acknowledging that it demands a level of sensing infrastructure and field data collection that current research budgets rarely match.</w:t>
      </w:r>
    </w:p>
    <w:p w14:paraId="76769FAC"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Table 1 brings together a comparative summary of the key CNN architectures discussed in this section, alongside their reported performance across the crops and disease categories studied.</w:t>
      </w:r>
    </w:p>
    <w:p w14:paraId="3FD8833E"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702FC1CE"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Table 1.</w:t>
      </w:r>
      <w:r w:rsidRPr="002865FC">
        <w:rPr>
          <w:rFonts w:ascii="Times New Roman" w:eastAsia="Times New Roman" w:hAnsi="Times New Roman" w:cs="Times New Roman"/>
          <w:sz w:val="24"/>
          <w:szCs w:val="24"/>
          <w:lang w:eastAsia="en-GB"/>
        </w:rPr>
        <w:t xml:space="preserve"> Summary of Selected CNN Architectures Applied to Plant Disease Detection</w:t>
      </w:r>
    </w:p>
    <w:tbl>
      <w:tblPr>
        <w:tblStyle w:val="TableGrid"/>
        <w:tblW w:w="0" w:type="auto"/>
        <w:tblLook w:val="04A0" w:firstRow="1" w:lastRow="0" w:firstColumn="1" w:lastColumn="0" w:noHBand="0" w:noVBand="1"/>
      </w:tblPr>
      <w:tblGrid>
        <w:gridCol w:w="1893"/>
        <w:gridCol w:w="1594"/>
        <w:gridCol w:w="1824"/>
        <w:gridCol w:w="1625"/>
        <w:gridCol w:w="2306"/>
      </w:tblGrid>
      <w:tr w:rsidR="002865FC" w:rsidRPr="002865FC" w14:paraId="384DC1E4" w14:textId="77777777" w:rsidTr="00BF38E6">
        <w:tc>
          <w:tcPr>
            <w:tcW w:w="0" w:type="auto"/>
            <w:hideMark/>
          </w:tcPr>
          <w:p w14:paraId="732AE555"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CNN Architecture</w:t>
            </w:r>
          </w:p>
        </w:tc>
        <w:tc>
          <w:tcPr>
            <w:tcW w:w="0" w:type="auto"/>
            <w:hideMark/>
          </w:tcPr>
          <w:p w14:paraId="4FACE47D"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Crop / Disease Category</w:t>
            </w:r>
          </w:p>
        </w:tc>
        <w:tc>
          <w:tcPr>
            <w:tcW w:w="0" w:type="auto"/>
            <w:hideMark/>
          </w:tcPr>
          <w:p w14:paraId="36C67DEE"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Reported Performance Metric (%)</w:t>
            </w:r>
          </w:p>
        </w:tc>
        <w:tc>
          <w:tcPr>
            <w:tcW w:w="0" w:type="auto"/>
            <w:hideMark/>
          </w:tcPr>
          <w:p w14:paraId="77D9EA3A"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Imaging Modality</w:t>
            </w:r>
          </w:p>
        </w:tc>
        <w:tc>
          <w:tcPr>
            <w:tcW w:w="0" w:type="auto"/>
            <w:hideMark/>
          </w:tcPr>
          <w:p w14:paraId="7DFB99F2"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Defining Feature</w:t>
            </w:r>
          </w:p>
        </w:tc>
      </w:tr>
      <w:tr w:rsidR="002865FC" w:rsidRPr="002865FC" w14:paraId="5DB12F33" w14:textId="77777777" w:rsidTr="00BF38E6">
        <w:tc>
          <w:tcPr>
            <w:tcW w:w="0" w:type="auto"/>
            <w:hideMark/>
          </w:tcPr>
          <w:p w14:paraId="1A140DBD" w14:textId="77777777" w:rsidR="002865FC" w:rsidRPr="002865FC" w:rsidRDefault="002865FC" w:rsidP="002865FC">
            <w:pPr>
              <w:rPr>
                <w:rFonts w:ascii="Times New Roman" w:eastAsia="Times New Roman" w:hAnsi="Times New Roman" w:cs="Times New Roman"/>
                <w:sz w:val="24"/>
                <w:szCs w:val="24"/>
                <w:lang w:eastAsia="en-GB"/>
              </w:rPr>
            </w:pPr>
            <w:proofErr w:type="spellStart"/>
            <w:r w:rsidRPr="002865FC">
              <w:rPr>
                <w:rFonts w:ascii="Times New Roman" w:eastAsia="Times New Roman" w:hAnsi="Times New Roman" w:cs="Times New Roman"/>
                <w:sz w:val="24"/>
                <w:szCs w:val="24"/>
                <w:lang w:eastAsia="en-GB"/>
              </w:rPr>
              <w:t>GoogLeNet</w:t>
            </w:r>
            <w:proofErr w:type="spellEnd"/>
          </w:p>
        </w:tc>
        <w:tc>
          <w:tcPr>
            <w:tcW w:w="0" w:type="auto"/>
            <w:hideMark/>
          </w:tcPr>
          <w:p w14:paraId="0E5FD132"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26 diseases, 14 crop species</w:t>
            </w:r>
          </w:p>
        </w:tc>
        <w:tc>
          <w:tcPr>
            <w:tcW w:w="0" w:type="auto"/>
            <w:hideMark/>
          </w:tcPr>
          <w:p w14:paraId="0CE9343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99.35</w:t>
            </w:r>
          </w:p>
        </w:tc>
        <w:tc>
          <w:tcPr>
            <w:tcW w:w="0" w:type="auto"/>
            <w:hideMark/>
          </w:tcPr>
          <w:p w14:paraId="69852600"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 (controlled)</w:t>
            </w:r>
          </w:p>
        </w:tc>
        <w:tc>
          <w:tcPr>
            <w:tcW w:w="0" w:type="auto"/>
            <w:hideMark/>
          </w:tcPr>
          <w:p w14:paraId="340FD027"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Foundational benchmark; best-performing model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w:t>
            </w:r>
          </w:p>
        </w:tc>
      </w:tr>
      <w:tr w:rsidR="002865FC" w:rsidRPr="002865FC" w14:paraId="0254BDF9" w14:textId="77777777" w:rsidTr="00BF38E6">
        <w:tc>
          <w:tcPr>
            <w:tcW w:w="0" w:type="auto"/>
            <w:hideMark/>
          </w:tcPr>
          <w:p w14:paraId="716C98DB" w14:textId="77777777" w:rsidR="002865FC" w:rsidRPr="002865FC" w:rsidRDefault="002865FC" w:rsidP="002865FC">
            <w:pPr>
              <w:rPr>
                <w:rFonts w:ascii="Times New Roman" w:eastAsia="Times New Roman" w:hAnsi="Times New Roman" w:cs="Times New Roman"/>
                <w:sz w:val="24"/>
                <w:szCs w:val="24"/>
                <w:lang w:eastAsia="en-GB"/>
              </w:rPr>
            </w:pPr>
            <w:proofErr w:type="spellStart"/>
            <w:r w:rsidRPr="002865FC">
              <w:rPr>
                <w:rFonts w:ascii="Times New Roman" w:eastAsia="Times New Roman" w:hAnsi="Times New Roman" w:cs="Times New Roman"/>
                <w:sz w:val="24"/>
                <w:szCs w:val="24"/>
                <w:lang w:eastAsia="en-GB"/>
              </w:rPr>
              <w:t>AlexNet</w:t>
            </w:r>
            <w:proofErr w:type="spellEnd"/>
          </w:p>
        </w:tc>
        <w:tc>
          <w:tcPr>
            <w:tcW w:w="0" w:type="auto"/>
            <w:hideMark/>
          </w:tcPr>
          <w:p w14:paraId="6E3107E3"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26 diseases, 14 crop species</w:t>
            </w:r>
          </w:p>
        </w:tc>
        <w:tc>
          <w:tcPr>
            <w:tcW w:w="0" w:type="auto"/>
            <w:hideMark/>
          </w:tcPr>
          <w:p w14:paraId="6A0872E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Somewhat lower than </w:t>
            </w:r>
            <w:proofErr w:type="spellStart"/>
            <w:r w:rsidRPr="002865FC">
              <w:rPr>
                <w:rFonts w:ascii="Times New Roman" w:eastAsia="Times New Roman" w:hAnsi="Times New Roman" w:cs="Times New Roman"/>
                <w:sz w:val="24"/>
                <w:szCs w:val="24"/>
                <w:lang w:eastAsia="en-GB"/>
              </w:rPr>
              <w:t>GoogLeNet</w:t>
            </w:r>
            <w:proofErr w:type="spellEnd"/>
          </w:p>
        </w:tc>
        <w:tc>
          <w:tcPr>
            <w:tcW w:w="0" w:type="auto"/>
            <w:hideMark/>
          </w:tcPr>
          <w:p w14:paraId="612C9687"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 (controlled)</w:t>
            </w:r>
          </w:p>
        </w:tc>
        <w:tc>
          <w:tcPr>
            <w:tcW w:w="0" w:type="auto"/>
            <w:hideMark/>
          </w:tcPr>
          <w:p w14:paraId="0697A2FF"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Comparative architecture; same foundational study</w:t>
            </w:r>
          </w:p>
        </w:tc>
      </w:tr>
      <w:tr w:rsidR="002865FC" w:rsidRPr="002865FC" w14:paraId="529D6EED" w14:textId="77777777" w:rsidTr="00BF38E6">
        <w:tc>
          <w:tcPr>
            <w:tcW w:w="0" w:type="auto"/>
            <w:hideMark/>
          </w:tcPr>
          <w:p w14:paraId="0808A8D1"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CNN architectures (five models)</w:t>
            </w:r>
          </w:p>
        </w:tc>
        <w:tc>
          <w:tcPr>
            <w:tcW w:w="0" w:type="auto"/>
            <w:hideMark/>
          </w:tcPr>
          <w:p w14:paraId="4F41059C"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diseases, benchmark dataset</w:t>
            </w:r>
          </w:p>
        </w:tc>
        <w:tc>
          <w:tcPr>
            <w:tcW w:w="0" w:type="auto"/>
            <w:hideMark/>
          </w:tcPr>
          <w:p w14:paraId="0C811E8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93.67–99.53</w:t>
            </w:r>
          </w:p>
        </w:tc>
        <w:tc>
          <w:tcPr>
            <w:tcW w:w="0" w:type="auto"/>
            <w:hideMark/>
          </w:tcPr>
          <w:p w14:paraId="507D356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6E767CC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Systematic five-model comparison; </w:t>
            </w:r>
            <w:proofErr w:type="spellStart"/>
            <w:r w:rsidRPr="002865FC">
              <w:rPr>
                <w:rFonts w:ascii="Times New Roman" w:eastAsia="Times New Roman" w:hAnsi="Times New Roman" w:cs="Times New Roman"/>
                <w:sz w:val="24"/>
                <w:szCs w:val="24"/>
                <w:lang w:eastAsia="en-GB"/>
              </w:rPr>
              <w:t>PlantVillage</w:t>
            </w:r>
            <w:proofErr w:type="spellEnd"/>
          </w:p>
        </w:tc>
      </w:tr>
      <w:tr w:rsidR="002865FC" w:rsidRPr="002865FC" w14:paraId="01B372E2" w14:textId="77777777" w:rsidTr="00BF38E6">
        <w:tc>
          <w:tcPr>
            <w:tcW w:w="0" w:type="auto"/>
            <w:hideMark/>
          </w:tcPr>
          <w:p w14:paraId="7CB56085" w14:textId="77777777" w:rsidR="002865FC" w:rsidRPr="002865FC" w:rsidRDefault="002865FC" w:rsidP="002865FC">
            <w:pPr>
              <w:rPr>
                <w:rFonts w:ascii="Times New Roman" w:eastAsia="Times New Roman" w:hAnsi="Times New Roman" w:cs="Times New Roman"/>
                <w:sz w:val="24"/>
                <w:szCs w:val="24"/>
                <w:lang w:eastAsia="en-GB"/>
              </w:rPr>
            </w:pPr>
            <w:proofErr w:type="spellStart"/>
            <w:r w:rsidRPr="002865FC">
              <w:rPr>
                <w:rFonts w:ascii="Times New Roman" w:eastAsia="Times New Roman" w:hAnsi="Times New Roman" w:cs="Times New Roman"/>
                <w:sz w:val="24"/>
                <w:szCs w:val="24"/>
                <w:lang w:eastAsia="en-GB"/>
              </w:rPr>
              <w:t>ResNet</w:t>
            </w:r>
            <w:proofErr w:type="spellEnd"/>
            <w:r w:rsidRPr="002865FC">
              <w:rPr>
                <w:rFonts w:ascii="Times New Roman" w:eastAsia="Times New Roman" w:hAnsi="Times New Roman" w:cs="Times New Roman"/>
                <w:sz w:val="24"/>
                <w:szCs w:val="24"/>
                <w:lang w:eastAsia="en-GB"/>
              </w:rPr>
              <w:t xml:space="preserve"> / </w:t>
            </w:r>
            <w:proofErr w:type="spellStart"/>
            <w:r w:rsidRPr="002865FC">
              <w:rPr>
                <w:rFonts w:ascii="Times New Roman" w:eastAsia="Times New Roman" w:hAnsi="Times New Roman" w:cs="Times New Roman"/>
                <w:sz w:val="24"/>
                <w:szCs w:val="24"/>
                <w:lang w:eastAsia="en-GB"/>
              </w:rPr>
              <w:t>DenseNet</w:t>
            </w:r>
            <w:proofErr w:type="spellEnd"/>
          </w:p>
        </w:tc>
        <w:tc>
          <w:tcPr>
            <w:tcW w:w="0" w:type="auto"/>
            <w:hideMark/>
          </w:tcPr>
          <w:p w14:paraId="5544DA22"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crops, multi-disease</w:t>
            </w:r>
          </w:p>
        </w:tc>
        <w:tc>
          <w:tcPr>
            <w:tcW w:w="0" w:type="auto"/>
            <w:hideMark/>
          </w:tcPr>
          <w:p w14:paraId="4D712218"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&gt;97</w:t>
            </w:r>
          </w:p>
        </w:tc>
        <w:tc>
          <w:tcPr>
            <w:tcW w:w="0" w:type="auto"/>
            <w:hideMark/>
          </w:tcPr>
          <w:p w14:paraId="0835C11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113D8F6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Residual connections; fine-tuning benchmark</w:t>
            </w:r>
          </w:p>
        </w:tc>
      </w:tr>
      <w:tr w:rsidR="002865FC" w:rsidRPr="002865FC" w14:paraId="502EE98A" w14:textId="77777777" w:rsidTr="00BF38E6">
        <w:tc>
          <w:tcPr>
            <w:tcW w:w="0" w:type="auto"/>
            <w:hideMark/>
          </w:tcPr>
          <w:p w14:paraId="5C4B035E" w14:textId="77777777" w:rsidR="002865FC" w:rsidRPr="002865FC" w:rsidRDefault="002865FC" w:rsidP="002865FC">
            <w:pPr>
              <w:rPr>
                <w:rFonts w:ascii="Times New Roman" w:eastAsia="Times New Roman" w:hAnsi="Times New Roman" w:cs="Times New Roman"/>
                <w:sz w:val="24"/>
                <w:szCs w:val="24"/>
                <w:lang w:eastAsia="en-GB"/>
              </w:rPr>
            </w:pPr>
            <w:proofErr w:type="spellStart"/>
            <w:r w:rsidRPr="002865FC">
              <w:rPr>
                <w:rFonts w:ascii="Times New Roman" w:eastAsia="Times New Roman" w:hAnsi="Times New Roman" w:cs="Times New Roman"/>
                <w:sz w:val="24"/>
                <w:szCs w:val="24"/>
                <w:lang w:eastAsia="en-GB"/>
              </w:rPr>
              <w:t>EfficientNet</w:t>
            </w:r>
            <w:proofErr w:type="spellEnd"/>
          </w:p>
        </w:tc>
        <w:tc>
          <w:tcPr>
            <w:tcW w:w="0" w:type="auto"/>
            <w:hideMark/>
          </w:tcPr>
          <w:p w14:paraId="44CD20F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leaf diseases</w:t>
            </w:r>
          </w:p>
        </w:tc>
        <w:tc>
          <w:tcPr>
            <w:tcW w:w="0" w:type="auto"/>
            <w:hideMark/>
          </w:tcPr>
          <w:p w14:paraId="0C7773B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~98.57</w:t>
            </w:r>
          </w:p>
        </w:tc>
        <w:tc>
          <w:tcPr>
            <w:tcW w:w="0" w:type="auto"/>
            <w:hideMark/>
          </w:tcPr>
          <w:p w14:paraId="5D9ED2E0"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310CB95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Lightweight; mobile deployment suitability</w:t>
            </w:r>
          </w:p>
        </w:tc>
      </w:tr>
      <w:tr w:rsidR="002865FC" w:rsidRPr="002865FC" w14:paraId="56C52AB0" w14:textId="77777777" w:rsidTr="00BF38E6">
        <w:tc>
          <w:tcPr>
            <w:tcW w:w="0" w:type="auto"/>
            <w:hideMark/>
          </w:tcPr>
          <w:p w14:paraId="32C2300C"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Faster R-CNN / SSD</w:t>
            </w:r>
          </w:p>
        </w:tc>
        <w:tc>
          <w:tcPr>
            <w:tcW w:w="0" w:type="auto"/>
            <w:hideMark/>
          </w:tcPr>
          <w:p w14:paraId="5EB9F8D3"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Tomato diseases and pests</w:t>
            </w:r>
          </w:p>
        </w:tc>
        <w:tc>
          <w:tcPr>
            <w:tcW w:w="0" w:type="auto"/>
            <w:hideMark/>
          </w:tcPr>
          <w:p w14:paraId="1F8BA6E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&gt;90</w:t>
            </w:r>
          </w:p>
        </w:tc>
        <w:tc>
          <w:tcPr>
            <w:tcW w:w="0" w:type="auto"/>
            <w:hideMark/>
          </w:tcPr>
          <w:p w14:paraId="4B8E7CC7"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 (field)</w:t>
            </w:r>
          </w:p>
        </w:tc>
        <w:tc>
          <w:tcPr>
            <w:tcW w:w="0" w:type="auto"/>
            <w:hideMark/>
          </w:tcPr>
          <w:p w14:paraId="3455B31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Real-time object-level detection</w:t>
            </w:r>
          </w:p>
        </w:tc>
      </w:tr>
      <w:tr w:rsidR="002865FC" w:rsidRPr="002865FC" w14:paraId="76B08458" w14:textId="77777777" w:rsidTr="00BF38E6">
        <w:tc>
          <w:tcPr>
            <w:tcW w:w="0" w:type="auto"/>
            <w:hideMark/>
          </w:tcPr>
          <w:p w14:paraId="650382E5"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Dense CNN</w:t>
            </w:r>
          </w:p>
        </w:tc>
        <w:tc>
          <w:tcPr>
            <w:tcW w:w="0" w:type="auto"/>
            <w:hideMark/>
          </w:tcPr>
          <w:p w14:paraId="52C166AE"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Corn leaf diseases</w:t>
            </w:r>
          </w:p>
        </w:tc>
        <w:tc>
          <w:tcPr>
            <w:tcW w:w="0" w:type="auto"/>
            <w:hideMark/>
          </w:tcPr>
          <w:p w14:paraId="608CF2BB"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&gt;97</w:t>
            </w:r>
          </w:p>
        </w:tc>
        <w:tc>
          <w:tcPr>
            <w:tcW w:w="0" w:type="auto"/>
            <w:hideMark/>
          </w:tcPr>
          <w:p w14:paraId="1A48E1C1"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79095937"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Optimised depth; multi-class disease</w:t>
            </w:r>
          </w:p>
        </w:tc>
      </w:tr>
      <w:tr w:rsidR="002865FC" w:rsidRPr="002865FC" w14:paraId="465963BB" w14:textId="77777777" w:rsidTr="00BF38E6">
        <w:tc>
          <w:tcPr>
            <w:tcW w:w="0" w:type="auto"/>
            <w:hideMark/>
          </w:tcPr>
          <w:p w14:paraId="6CD21D6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Hybrid CNN + SVM</w:t>
            </w:r>
          </w:p>
        </w:tc>
        <w:tc>
          <w:tcPr>
            <w:tcW w:w="0" w:type="auto"/>
            <w:hideMark/>
          </w:tcPr>
          <w:p w14:paraId="53BFC95F"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Four rice leaf diseases</w:t>
            </w:r>
          </w:p>
        </w:tc>
        <w:tc>
          <w:tcPr>
            <w:tcW w:w="0" w:type="auto"/>
            <w:hideMark/>
          </w:tcPr>
          <w:p w14:paraId="7F9D153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&gt;95</w:t>
            </w:r>
          </w:p>
        </w:tc>
        <w:tc>
          <w:tcPr>
            <w:tcW w:w="0" w:type="auto"/>
            <w:hideMark/>
          </w:tcPr>
          <w:p w14:paraId="484367F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5CF88D81"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Ensemble fusion; discriminability</w:t>
            </w:r>
          </w:p>
        </w:tc>
      </w:tr>
      <w:tr w:rsidR="002865FC" w:rsidRPr="002865FC" w14:paraId="0408A0A4" w14:textId="77777777" w:rsidTr="00BF38E6">
        <w:tc>
          <w:tcPr>
            <w:tcW w:w="0" w:type="auto"/>
            <w:hideMark/>
          </w:tcPr>
          <w:p w14:paraId="6E53DCE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CNN + Hyperspectral</w:t>
            </w:r>
          </w:p>
        </w:tc>
        <w:tc>
          <w:tcPr>
            <w:tcW w:w="0" w:type="auto"/>
            <w:hideMark/>
          </w:tcPr>
          <w:p w14:paraId="224EF100"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Plant viral disease</w:t>
            </w:r>
          </w:p>
        </w:tc>
        <w:tc>
          <w:tcPr>
            <w:tcW w:w="0" w:type="auto"/>
            <w:hideMark/>
          </w:tcPr>
          <w:p w14:paraId="4980475E"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&gt;94</w:t>
            </w:r>
          </w:p>
        </w:tc>
        <w:tc>
          <w:tcPr>
            <w:tcW w:w="0" w:type="auto"/>
            <w:hideMark/>
          </w:tcPr>
          <w:p w14:paraId="593ECE18"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Hyperspectral</w:t>
            </w:r>
          </w:p>
        </w:tc>
        <w:tc>
          <w:tcPr>
            <w:tcW w:w="0" w:type="auto"/>
            <w:hideMark/>
          </w:tcPr>
          <w:p w14:paraId="59754C9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Pre-symptomatic detection capability</w:t>
            </w:r>
          </w:p>
        </w:tc>
      </w:tr>
    </w:tbl>
    <w:p w14:paraId="5A076E3F"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Note: For detection-based architectures (Faster R-CNN / SSD), the performance metric reflects mean average precision (</w:t>
      </w:r>
      <w:proofErr w:type="spellStart"/>
      <w:r w:rsidRPr="002865FC">
        <w:rPr>
          <w:rFonts w:ascii="Times New Roman" w:eastAsia="Times New Roman" w:hAnsi="Times New Roman" w:cs="Times New Roman"/>
          <w:i/>
          <w:iCs/>
          <w:sz w:val="24"/>
          <w:szCs w:val="24"/>
          <w:lang w:eastAsia="en-GB"/>
        </w:rPr>
        <w:t>mAP</w:t>
      </w:r>
      <w:proofErr w:type="spellEnd"/>
      <w:r w:rsidRPr="002865FC">
        <w:rPr>
          <w:rFonts w:ascii="Times New Roman" w:eastAsia="Times New Roman" w:hAnsi="Times New Roman" w:cs="Times New Roman"/>
          <w:i/>
          <w:iCs/>
          <w:sz w:val="24"/>
          <w:szCs w:val="24"/>
          <w:lang w:eastAsia="en-GB"/>
        </w:rPr>
        <w:t>) rather than classification accuracy.</w:t>
      </w:r>
    </w:p>
    <w:p w14:paraId="6A1D495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Sources: Mohanty et al. (2016); Ferentinos (2018); Too et al. (2019); Alzubaidi et al. (2021); Atila et al. (2021); Fuentes et al. (2017, 2018); Waheed et al. (2020); Jiang et al. (2020); Nguyen et al. (2021)</w:t>
      </w:r>
    </w:p>
    <w:p w14:paraId="00938260"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As the table makes clear, reported performance figures across the literature cluster well above 90 per cent regardless of crop, disease, or architecture—a pattern that, on the surface, looks like a field approaching maturity. The discussion in Sections 5 and 8 complicates this picture considerably, since most of these figures derive from controlled or semi-controlled benchmark conditions rather than genuinely independent field testing.</w:t>
      </w:r>
    </w:p>
    <w:p w14:paraId="35FD4257"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4FE6D68D"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5. Datasets and Benchmarking in Plant Disease Recognition</w:t>
      </w:r>
    </w:p>
    <w:p w14:paraId="65C1C772"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5.1 Controlled versus Field-Collected Datasets</w:t>
      </w:r>
    </w:p>
    <w:p w14:paraId="560D53A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quality, diversity, and ecological representativeness of training data are arguably the single most consequential factor behind CNN performance—and, more importantly, behind whether that performance translates into real diagnostic value. The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 xml:space="preserve"> dataset, comprising approximately 54,306 original images of healthy and diseased leaves photographed against plain backgrounds under standardised indoor lighting, has served as the primary benchmark for the majority of published CNN studies in this field (Mohanty et al., 2016). Its accessibility, scale, and annotation consistency have made it an invaluable resource for initial model development and comparative evaluation. Its limitations, however, are by now well understood and widely acknowledged.</w:t>
      </w:r>
    </w:p>
    <w:p w14:paraId="584F1571"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Images in the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 xml:space="preserve"> dataset were captured under conditions that strip out almost all of the visual complexity found in real agricultural fields: variable natural lighting, cluttered soil and canopy backgrounds, overlapping leaves, partial occlusion, the inevitable artefacts of hand-held photography, and the full range of symptom expression that reflects differences in cultivar susceptibility, disease stage, environmental stress, and pathogen strain. </w:t>
      </w:r>
      <w:proofErr w:type="spellStart"/>
      <w:r w:rsidRPr="002865FC">
        <w:rPr>
          <w:rFonts w:ascii="Times New Roman" w:eastAsia="Times New Roman" w:hAnsi="Times New Roman" w:cs="Times New Roman"/>
          <w:sz w:val="24"/>
          <w:szCs w:val="24"/>
          <w:lang w:eastAsia="en-GB"/>
        </w:rPr>
        <w:t>Barbedo</w:t>
      </w:r>
      <w:proofErr w:type="spellEnd"/>
      <w:r w:rsidRPr="002865FC">
        <w:rPr>
          <w:rFonts w:ascii="Times New Roman" w:eastAsia="Times New Roman" w:hAnsi="Times New Roman" w:cs="Times New Roman"/>
          <w:sz w:val="24"/>
          <w:szCs w:val="24"/>
          <w:lang w:eastAsia="en-GB"/>
        </w:rPr>
        <w:t xml:space="preserve"> (2018) offered an influential early critique of studies that reported high accuracy on controlled benchmarks without testing generalisation to field conditions, arguing persuasively that the gap between laboratory and field photography is large enough to make controlled-condition accuracy a poor guide to operational utility. </w:t>
      </w:r>
      <w:proofErr w:type="spellStart"/>
      <w:r w:rsidRPr="002865FC">
        <w:rPr>
          <w:rFonts w:ascii="Times New Roman" w:eastAsia="Times New Roman" w:hAnsi="Times New Roman" w:cs="Times New Roman"/>
          <w:sz w:val="24"/>
          <w:szCs w:val="24"/>
          <w:lang w:eastAsia="en-GB"/>
        </w:rPr>
        <w:t>Barbedo's</w:t>
      </w:r>
      <w:proofErr w:type="spellEnd"/>
      <w:r w:rsidRPr="002865FC">
        <w:rPr>
          <w:rFonts w:ascii="Times New Roman" w:eastAsia="Times New Roman" w:hAnsi="Times New Roman" w:cs="Times New Roman"/>
          <w:sz w:val="24"/>
          <w:szCs w:val="24"/>
          <w:lang w:eastAsia="en-GB"/>
        </w:rPr>
        <w:t xml:space="preserve"> (2019) subsequent work on disease identification at the individual lesion level reinforced this point, showing that the within-class variability of symptom appearance in naturally grown plants far exceeds anything captured in standard benchmark datasets.</w:t>
      </w:r>
    </w:p>
    <w:p w14:paraId="6CF67FD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 xml:space="preserve">Against this backdrop, Wiesner-Hanks et al. (2018) made a genuinely important contribution by releasing a field-collected dataset for maize, focused on Northern Leaf Blight, specifically designed to capture the visual complexity of real crop canopies. Ramcharan et al. (2017) did something similar for cassava, building a field-based disease dataset in Uganda that helped address a notable gap: sub-Saharan African crops had been substantially underrepresented in the published literature up to that point. Together, these studies demonstrated both the feasibility and the necessity of investing in ecologically representative training data, and set a methodological precedent that later work has tried to follow. </w:t>
      </w:r>
      <w:proofErr w:type="spellStart"/>
      <w:r w:rsidRPr="002865FC">
        <w:rPr>
          <w:rFonts w:ascii="Times New Roman" w:eastAsia="Times New Roman" w:hAnsi="Times New Roman" w:cs="Times New Roman"/>
          <w:sz w:val="24"/>
          <w:szCs w:val="24"/>
          <w:lang w:eastAsia="en-GB"/>
        </w:rPr>
        <w:t>Sladojevic</w:t>
      </w:r>
      <w:proofErr w:type="spellEnd"/>
      <w:r w:rsidRPr="002865FC">
        <w:rPr>
          <w:rFonts w:ascii="Times New Roman" w:eastAsia="Times New Roman" w:hAnsi="Times New Roman" w:cs="Times New Roman"/>
          <w:sz w:val="24"/>
          <w:szCs w:val="24"/>
          <w:lang w:eastAsia="en-GB"/>
        </w:rPr>
        <w:t xml:space="preserve"> et al. (2016) had already flagged the underlying problem early on, observing that models trained exclusively in one imaging environment tend to perform poorly when presented with images from a different acquisition context—a finding confirmed repeatedly since, and one that underlines the continuing need for open-access datasets that are geographically and agronomically diverse.</w:t>
      </w:r>
    </w:p>
    <w:p w14:paraId="47935B9B"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5.2 Data Augmentation Strategies</w:t>
      </w:r>
    </w:p>
    <w:p w14:paraId="7B2E36ED"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relative scarcity of labelled disease images—particularly for rare, regionally specific, or newly emerging diseases—has prompted extensive use of data augmentation as a way of artificially expanding effective training set size and improving generalisation. Standard operations such as geometric transformations, photometric adjustments, and random erasing are now applied almost universally in published CNN studies, and have consistently been shown to improve performance on held-out test data (Lu et al., 2021; </w:t>
      </w:r>
      <w:r w:rsidR="000A3E0F" w:rsidRPr="000A3E0F">
        <w:rPr>
          <w:rFonts w:ascii="Times New Roman" w:eastAsia="Times New Roman" w:hAnsi="Times New Roman" w:cs="Times New Roman"/>
          <w:sz w:val="24"/>
          <w:szCs w:val="24"/>
          <w:lang w:eastAsia="en-GB"/>
        </w:rPr>
        <w:t>Abade et al., 2021</w:t>
      </w:r>
      <w:r w:rsidRPr="002865FC">
        <w:rPr>
          <w:rFonts w:ascii="Times New Roman" w:eastAsia="Times New Roman" w:hAnsi="Times New Roman" w:cs="Times New Roman"/>
          <w:sz w:val="24"/>
          <w:szCs w:val="24"/>
          <w:lang w:eastAsia="en-GB"/>
        </w:rPr>
        <w:t xml:space="preserve">). More elaborate strategies have also been explored, including </w:t>
      </w:r>
      <w:proofErr w:type="spellStart"/>
      <w:r w:rsidRPr="002865FC">
        <w:rPr>
          <w:rFonts w:ascii="Times New Roman" w:eastAsia="Times New Roman" w:hAnsi="Times New Roman" w:cs="Times New Roman"/>
          <w:sz w:val="24"/>
          <w:szCs w:val="24"/>
          <w:lang w:eastAsia="en-GB"/>
        </w:rPr>
        <w:t>Mixup</w:t>
      </w:r>
      <w:proofErr w:type="spellEnd"/>
      <w:r w:rsidRPr="002865FC">
        <w:rPr>
          <w:rFonts w:ascii="Times New Roman" w:eastAsia="Times New Roman" w:hAnsi="Times New Roman" w:cs="Times New Roman"/>
          <w:sz w:val="24"/>
          <w:szCs w:val="24"/>
          <w:lang w:eastAsia="en-GB"/>
        </w:rPr>
        <w:t xml:space="preserve">, </w:t>
      </w:r>
      <w:proofErr w:type="spellStart"/>
      <w:r w:rsidRPr="002865FC">
        <w:rPr>
          <w:rFonts w:ascii="Times New Roman" w:eastAsia="Times New Roman" w:hAnsi="Times New Roman" w:cs="Times New Roman"/>
          <w:sz w:val="24"/>
          <w:szCs w:val="24"/>
          <w:lang w:eastAsia="en-GB"/>
        </w:rPr>
        <w:t>CutMix</w:t>
      </w:r>
      <w:proofErr w:type="spellEnd"/>
      <w:r w:rsidRPr="002865FC">
        <w:rPr>
          <w:rFonts w:ascii="Times New Roman" w:eastAsia="Times New Roman" w:hAnsi="Times New Roman" w:cs="Times New Roman"/>
          <w:sz w:val="24"/>
          <w:szCs w:val="24"/>
          <w:lang w:eastAsia="en-GB"/>
        </w:rPr>
        <w:t>, and generative adversarial network-based image synthesis, all of which can produce photorealistic synthetic disease images to supplement what was actually collected in the field.</w:t>
      </w:r>
    </w:p>
    <w:p w14:paraId="36FE1856"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Paymode and Malode (2022) found that combining transfer learning with comprehensive augmentation produced robust multi-class classification performance even when the original training set was fairly modest in size, suggesting that the two strategies reinforce one another in offsetting data scarcity. Still, real uncertainty remains about how far augmentation can compensate for a genuine lack of data diversity—particularly when the augmented images derive from a narrow original distribution that never captured the full range of symptom variation, cultivar response, environmental modulation, or geographic diversity that a deployed model will eventually encounter. This is, in effect, an argument for treating field data collection as irreplaceable rather than as something augmentation can substitute for.</w:t>
      </w:r>
      <w:r w:rsidR="00BF38E6">
        <w:rPr>
          <w:rFonts w:ascii="Times New Roman" w:eastAsia="Times New Roman" w:hAnsi="Times New Roman" w:cs="Times New Roman"/>
          <w:sz w:val="24"/>
          <w:szCs w:val="24"/>
          <w:lang w:eastAsia="en-GB"/>
        </w:rPr>
        <w:t xml:space="preserve"> </w:t>
      </w:r>
      <w:r w:rsidRPr="002865FC">
        <w:rPr>
          <w:rFonts w:ascii="Times New Roman" w:eastAsia="Times New Roman" w:hAnsi="Times New Roman" w:cs="Times New Roman"/>
          <w:sz w:val="24"/>
          <w:szCs w:val="24"/>
          <w:lang w:eastAsia="en-GB"/>
        </w:rPr>
        <w:t>Table 2 summarises the characteristics of the most widely referenced datasets in this field.</w:t>
      </w:r>
    </w:p>
    <w:p w14:paraId="4CF866FF"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7094109D"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Table 2.</w:t>
      </w:r>
      <w:r w:rsidRPr="002865FC">
        <w:rPr>
          <w:rFonts w:ascii="Times New Roman" w:eastAsia="Times New Roman" w:hAnsi="Times New Roman" w:cs="Times New Roman"/>
          <w:sz w:val="24"/>
          <w:szCs w:val="24"/>
          <w:lang w:eastAsia="en-GB"/>
        </w:rPr>
        <w:t xml:space="preserve"> Characteristics of Key Datasets Used in Plant Disease Detection Research</w:t>
      </w:r>
    </w:p>
    <w:tbl>
      <w:tblPr>
        <w:tblStyle w:val="TableGrid"/>
        <w:tblW w:w="0" w:type="auto"/>
        <w:tblLook w:val="04A0" w:firstRow="1" w:lastRow="0" w:firstColumn="1" w:lastColumn="0" w:noHBand="0" w:noVBand="1"/>
      </w:tblPr>
      <w:tblGrid>
        <w:gridCol w:w="2112"/>
        <w:gridCol w:w="1845"/>
        <w:gridCol w:w="1833"/>
        <w:gridCol w:w="2035"/>
        <w:gridCol w:w="1417"/>
      </w:tblGrid>
      <w:tr w:rsidR="002865FC" w:rsidRPr="002865FC" w14:paraId="2BCFE575" w14:textId="77777777" w:rsidTr="00BF38E6">
        <w:tc>
          <w:tcPr>
            <w:tcW w:w="0" w:type="auto"/>
            <w:hideMark/>
          </w:tcPr>
          <w:p w14:paraId="7B4E37EA"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Dataset</w:t>
            </w:r>
          </w:p>
        </w:tc>
        <w:tc>
          <w:tcPr>
            <w:tcW w:w="0" w:type="auto"/>
            <w:hideMark/>
          </w:tcPr>
          <w:p w14:paraId="02C406F8"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Approximate Image Count</w:t>
            </w:r>
          </w:p>
        </w:tc>
        <w:tc>
          <w:tcPr>
            <w:tcW w:w="0" w:type="auto"/>
            <w:hideMark/>
          </w:tcPr>
          <w:p w14:paraId="354C0E6B"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Species / Disease Categories</w:t>
            </w:r>
          </w:p>
        </w:tc>
        <w:tc>
          <w:tcPr>
            <w:tcW w:w="0" w:type="auto"/>
            <w:hideMark/>
          </w:tcPr>
          <w:p w14:paraId="41D1ECCD"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Imaging Environment</w:t>
            </w:r>
          </w:p>
        </w:tc>
        <w:tc>
          <w:tcPr>
            <w:tcW w:w="0" w:type="auto"/>
            <w:hideMark/>
          </w:tcPr>
          <w:p w14:paraId="2D763B5B"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Availability</w:t>
            </w:r>
          </w:p>
        </w:tc>
      </w:tr>
      <w:tr w:rsidR="002865FC" w:rsidRPr="002865FC" w14:paraId="6051646C" w14:textId="77777777" w:rsidTr="00BF38E6">
        <w:tc>
          <w:tcPr>
            <w:tcW w:w="0" w:type="auto"/>
            <w:hideMark/>
          </w:tcPr>
          <w:p w14:paraId="61A27359" w14:textId="77777777" w:rsidR="002865FC" w:rsidRPr="002865FC" w:rsidRDefault="002865FC" w:rsidP="002865FC">
            <w:pPr>
              <w:rPr>
                <w:rFonts w:ascii="Times New Roman" w:eastAsia="Times New Roman" w:hAnsi="Times New Roman" w:cs="Times New Roman"/>
                <w:sz w:val="24"/>
                <w:szCs w:val="24"/>
                <w:lang w:eastAsia="en-GB"/>
              </w:rPr>
            </w:pPr>
            <w:proofErr w:type="spellStart"/>
            <w:r w:rsidRPr="002865FC">
              <w:rPr>
                <w:rFonts w:ascii="Times New Roman" w:eastAsia="Times New Roman" w:hAnsi="Times New Roman" w:cs="Times New Roman"/>
                <w:sz w:val="24"/>
                <w:szCs w:val="24"/>
                <w:lang w:eastAsia="en-GB"/>
              </w:rPr>
              <w:t>PlantVillage</w:t>
            </w:r>
            <w:proofErr w:type="spellEnd"/>
          </w:p>
        </w:tc>
        <w:tc>
          <w:tcPr>
            <w:tcW w:w="0" w:type="auto"/>
            <w:hideMark/>
          </w:tcPr>
          <w:p w14:paraId="302FFFD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~54,306</w:t>
            </w:r>
          </w:p>
        </w:tc>
        <w:tc>
          <w:tcPr>
            <w:tcW w:w="0" w:type="auto"/>
            <w:hideMark/>
          </w:tcPr>
          <w:p w14:paraId="3C7795A8"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14 species / 26 diseases + healthy states</w:t>
            </w:r>
          </w:p>
        </w:tc>
        <w:tc>
          <w:tcPr>
            <w:tcW w:w="0" w:type="auto"/>
            <w:hideMark/>
          </w:tcPr>
          <w:p w14:paraId="52B515B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Controlled indoor</w:t>
            </w:r>
          </w:p>
        </w:tc>
        <w:tc>
          <w:tcPr>
            <w:tcW w:w="0" w:type="auto"/>
            <w:hideMark/>
          </w:tcPr>
          <w:p w14:paraId="080FC6FC"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Public</w:t>
            </w:r>
          </w:p>
        </w:tc>
      </w:tr>
      <w:tr w:rsidR="002865FC" w:rsidRPr="002865FC" w14:paraId="2152C499" w14:textId="77777777" w:rsidTr="00BF38E6">
        <w:tc>
          <w:tcPr>
            <w:tcW w:w="0" w:type="auto"/>
            <w:hideMark/>
          </w:tcPr>
          <w:p w14:paraId="2D8669E3"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Maize Disease (Wiesner-Hanks et al.)</w:t>
            </w:r>
          </w:p>
        </w:tc>
        <w:tc>
          <w:tcPr>
            <w:tcW w:w="0" w:type="auto"/>
            <w:hideMark/>
          </w:tcPr>
          <w:p w14:paraId="1898FD7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~18,000</w:t>
            </w:r>
          </w:p>
        </w:tc>
        <w:tc>
          <w:tcPr>
            <w:tcW w:w="0" w:type="auto"/>
            <w:hideMark/>
          </w:tcPr>
          <w:p w14:paraId="40406318"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Maize / Northern Leaf Blight lesions</w:t>
            </w:r>
          </w:p>
        </w:tc>
        <w:tc>
          <w:tcPr>
            <w:tcW w:w="0" w:type="auto"/>
            <w:hideMark/>
          </w:tcPr>
          <w:p w14:paraId="012677A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Field-collected</w:t>
            </w:r>
          </w:p>
        </w:tc>
        <w:tc>
          <w:tcPr>
            <w:tcW w:w="0" w:type="auto"/>
            <w:hideMark/>
          </w:tcPr>
          <w:p w14:paraId="3BC8CC4F"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Public</w:t>
            </w:r>
          </w:p>
        </w:tc>
      </w:tr>
      <w:tr w:rsidR="002865FC" w:rsidRPr="002865FC" w14:paraId="3D518E09" w14:textId="77777777" w:rsidTr="00BF38E6">
        <w:tc>
          <w:tcPr>
            <w:tcW w:w="0" w:type="auto"/>
            <w:hideMark/>
          </w:tcPr>
          <w:p w14:paraId="7F4CF4F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Cassava Disease (Ramcharan et al.)</w:t>
            </w:r>
          </w:p>
        </w:tc>
        <w:tc>
          <w:tcPr>
            <w:tcW w:w="0" w:type="auto"/>
            <w:hideMark/>
          </w:tcPr>
          <w:p w14:paraId="465EFB07"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~2,756</w:t>
            </w:r>
          </w:p>
        </w:tc>
        <w:tc>
          <w:tcPr>
            <w:tcW w:w="0" w:type="auto"/>
            <w:hideMark/>
          </w:tcPr>
          <w:p w14:paraId="44D11E13"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Cassava / 5 diseases</w:t>
            </w:r>
          </w:p>
        </w:tc>
        <w:tc>
          <w:tcPr>
            <w:tcW w:w="0" w:type="auto"/>
            <w:hideMark/>
          </w:tcPr>
          <w:p w14:paraId="257B934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Field-collected (Uganda)</w:t>
            </w:r>
          </w:p>
        </w:tc>
        <w:tc>
          <w:tcPr>
            <w:tcW w:w="0" w:type="auto"/>
            <w:hideMark/>
          </w:tcPr>
          <w:p w14:paraId="10CDAC2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Public</w:t>
            </w:r>
          </w:p>
        </w:tc>
      </w:tr>
      <w:tr w:rsidR="002865FC" w:rsidRPr="002865FC" w14:paraId="79CF3D27" w14:textId="77777777" w:rsidTr="00BF38E6">
        <w:tc>
          <w:tcPr>
            <w:tcW w:w="0" w:type="auto"/>
            <w:hideMark/>
          </w:tcPr>
          <w:p w14:paraId="7CC2C881"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Rice Leaf Disease (Bari et al.)</w:t>
            </w:r>
          </w:p>
        </w:tc>
        <w:tc>
          <w:tcPr>
            <w:tcW w:w="0" w:type="auto"/>
            <w:hideMark/>
          </w:tcPr>
          <w:p w14:paraId="579309E1"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Varied</w:t>
            </w:r>
          </w:p>
        </w:tc>
        <w:tc>
          <w:tcPr>
            <w:tcW w:w="0" w:type="auto"/>
            <w:hideMark/>
          </w:tcPr>
          <w:p w14:paraId="3EEED0E2"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Rice / 4 diseases</w:t>
            </w:r>
          </w:p>
        </w:tc>
        <w:tc>
          <w:tcPr>
            <w:tcW w:w="0" w:type="auto"/>
            <w:hideMark/>
          </w:tcPr>
          <w:p w14:paraId="6AD0474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Mixed</w:t>
            </w:r>
          </w:p>
        </w:tc>
        <w:tc>
          <w:tcPr>
            <w:tcW w:w="0" w:type="auto"/>
            <w:hideMark/>
          </w:tcPr>
          <w:p w14:paraId="534ADB63"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Institutional</w:t>
            </w:r>
          </w:p>
        </w:tc>
      </w:tr>
      <w:tr w:rsidR="002865FC" w:rsidRPr="002865FC" w14:paraId="295506F7" w14:textId="77777777" w:rsidTr="00BF38E6">
        <w:tc>
          <w:tcPr>
            <w:tcW w:w="0" w:type="auto"/>
            <w:hideMark/>
          </w:tcPr>
          <w:p w14:paraId="1E69F95B"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Apple Leaf Disease (Jiang et al.)</w:t>
            </w:r>
          </w:p>
        </w:tc>
        <w:tc>
          <w:tcPr>
            <w:tcW w:w="0" w:type="auto"/>
            <w:hideMark/>
          </w:tcPr>
          <w:p w14:paraId="628FD905"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Varied</w:t>
            </w:r>
          </w:p>
        </w:tc>
        <w:tc>
          <w:tcPr>
            <w:tcW w:w="0" w:type="auto"/>
            <w:hideMark/>
          </w:tcPr>
          <w:p w14:paraId="4385812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Apple / multiple diseases</w:t>
            </w:r>
          </w:p>
        </w:tc>
        <w:tc>
          <w:tcPr>
            <w:tcW w:w="0" w:type="auto"/>
            <w:hideMark/>
          </w:tcPr>
          <w:p w14:paraId="73B8F4C2"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Mixed/laboratory</w:t>
            </w:r>
          </w:p>
        </w:tc>
        <w:tc>
          <w:tcPr>
            <w:tcW w:w="0" w:type="auto"/>
            <w:hideMark/>
          </w:tcPr>
          <w:p w14:paraId="1992A1C7"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Institutional</w:t>
            </w:r>
          </w:p>
        </w:tc>
      </w:tr>
      <w:tr w:rsidR="002865FC" w:rsidRPr="002865FC" w14:paraId="20436623" w14:textId="77777777" w:rsidTr="00BF38E6">
        <w:tc>
          <w:tcPr>
            <w:tcW w:w="0" w:type="auto"/>
            <w:hideMark/>
          </w:tcPr>
          <w:p w14:paraId="3DF909FF"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Hyperspectral Viral Disease (Nguyen et al.)</w:t>
            </w:r>
          </w:p>
        </w:tc>
        <w:tc>
          <w:tcPr>
            <w:tcW w:w="0" w:type="auto"/>
            <w:hideMark/>
          </w:tcPr>
          <w:p w14:paraId="1601546E"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Varied</w:t>
            </w:r>
          </w:p>
        </w:tc>
        <w:tc>
          <w:tcPr>
            <w:tcW w:w="0" w:type="auto"/>
            <w:hideMark/>
          </w:tcPr>
          <w:p w14:paraId="4C10BCC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 viral disease</w:t>
            </w:r>
          </w:p>
        </w:tc>
        <w:tc>
          <w:tcPr>
            <w:tcW w:w="0" w:type="auto"/>
            <w:hideMark/>
          </w:tcPr>
          <w:p w14:paraId="3927F132"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Controlled hyperspectral</w:t>
            </w:r>
          </w:p>
        </w:tc>
        <w:tc>
          <w:tcPr>
            <w:tcW w:w="0" w:type="auto"/>
            <w:hideMark/>
          </w:tcPr>
          <w:p w14:paraId="4C5CD425"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Institutional</w:t>
            </w:r>
          </w:p>
        </w:tc>
      </w:tr>
    </w:tbl>
    <w:p w14:paraId="54B20642"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Sources: Mohanty et al. (2016); Wiesner-Hanks et al. (2018); Ramcharan et al. (2017); Bari et al.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i/>
          <w:iCs/>
          <w:sz w:val="24"/>
          <w:szCs w:val="24"/>
          <w:lang w:eastAsia="en-GB"/>
        </w:rPr>
        <w:t>); Jiang et al. (2019); Nguyen et al. (2021)</w:t>
      </w:r>
    </w:p>
    <w:p w14:paraId="4CA6FEFF"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What stands out in Table 2 is less the scale of these datasets than their imaging environment: only two of the six—the maize and cassava datasets—were collected directly in the field, and both remain modest in size relative to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 This imbalance between controlled and field-representative data is, as the next sections argue, central to understanding why benchmark accuracy and field performance so often diverge.</w:t>
      </w:r>
    </w:p>
    <w:p w14:paraId="3D91617E"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0D55E4FC"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6. Integration with Smart Agriculture Technologies</w:t>
      </w:r>
    </w:p>
    <w:p w14:paraId="333E5297"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6.1 IoT-Enabled Precision Agriculture</w:t>
      </w:r>
    </w:p>
    <w:p w14:paraId="78F349C9"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Plant disease detection delivers the most value when it is embedded within a broader precision agriculture system capable of pulling together multiple streams of agronomic and environmental data at once. The Internet of Things supplies the connective infrastructure that makes this possible, allowing soil moisture, ambient temperature, relative humidity, canopy microclimate, and spectral reflectance data to be collected, transmitted, and analysed continuously and in near real time (Liakos et al., 2018). When CNN-based disease classifiers are coupled with this kind of sensor network, the resulting systems can move, at least in principle, from reactive disease diagnosis towards predictive risk modelling—flagging the conditions under which intervention is likely to be needed before yield losses actually occur.</w:t>
      </w:r>
    </w:p>
    <w:p w14:paraId="2862A98B"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Wolfert et al. (2017) documented the rapid growth of sensor deployment in agricultural settings and the corresponding potential for machine learning to extract useful agronomic insight from dense, continuous data streams. Integrating CNN-based classifiers with IoT environmental monitoring is a natural extension of this infrastructure, since it allows image-based diagnosis to be combined with contextual signals—humidity thresholds conducive to fungal sporulation, for instance—that hint at elevated disease risk before any visual symptom appears. Sharma et al. (2021), in a comprehensive review of precision agriculture applications, concluded that IoT-integrated AI systems hold particular promise for optimising the timing and dosage of pesticide application, reducing both the economic cost and the environmental externalities of chemical crop protection.</w:t>
      </w:r>
    </w:p>
    <w:p w14:paraId="6C0F0758"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6.2 Unmanned Aerial Vehicles and Remote Sensing</w:t>
      </w:r>
    </w:p>
    <w:p w14:paraId="1799B09C"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Unmanned aerial vehicles have become an increasingly important platform for monitoring crop disease and conducting spatial surveillance at scale. Their ability to capture high-</w:t>
      </w:r>
      <w:r w:rsidRPr="002865FC">
        <w:rPr>
          <w:rFonts w:ascii="Times New Roman" w:eastAsia="Times New Roman" w:hAnsi="Times New Roman" w:cs="Times New Roman"/>
          <w:sz w:val="24"/>
          <w:szCs w:val="24"/>
          <w:lang w:eastAsia="en-GB"/>
        </w:rPr>
        <w:lastRenderedPageBreak/>
        <w:t>resolution imagery across large field areas, at relatively low operational cost, on a flexible schedule, and from a vantage point that captures canopy-level disease expression makes them well suited to field-scale detection and mapping. Equipped with multispectral or hyperspectral sensors and paired with CNN classifiers, UAV imagery can in principle generate disease distribution maps covering entire field paddocks from a single survey flight (</w:t>
      </w:r>
      <w:proofErr w:type="spellStart"/>
      <w:r w:rsidRPr="002865FC">
        <w:rPr>
          <w:rFonts w:ascii="Times New Roman" w:eastAsia="Times New Roman" w:hAnsi="Times New Roman" w:cs="Times New Roman"/>
          <w:sz w:val="24"/>
          <w:szCs w:val="24"/>
          <w:lang w:eastAsia="en-GB"/>
        </w:rPr>
        <w:t>Tetila</w:t>
      </w:r>
      <w:proofErr w:type="spellEnd"/>
      <w:r w:rsidRPr="002865FC">
        <w:rPr>
          <w:rFonts w:ascii="Times New Roman" w:eastAsia="Times New Roman" w:hAnsi="Times New Roman" w:cs="Times New Roman"/>
          <w:sz w:val="24"/>
          <w:szCs w:val="24"/>
          <w:lang w:eastAsia="en-GB"/>
        </w:rPr>
        <w:t xml:space="preserve"> et al., 2020).</w:t>
      </w:r>
    </w:p>
    <w:p w14:paraId="7E190B0A"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865FC">
        <w:rPr>
          <w:rFonts w:ascii="Times New Roman" w:eastAsia="Times New Roman" w:hAnsi="Times New Roman" w:cs="Times New Roman"/>
          <w:sz w:val="24"/>
          <w:szCs w:val="24"/>
          <w:lang w:eastAsia="en-GB"/>
        </w:rPr>
        <w:t>Tetila</w:t>
      </w:r>
      <w:proofErr w:type="spellEnd"/>
      <w:r w:rsidRPr="002865FC">
        <w:rPr>
          <w:rFonts w:ascii="Times New Roman" w:eastAsia="Times New Roman" w:hAnsi="Times New Roman" w:cs="Times New Roman"/>
          <w:sz w:val="24"/>
          <w:szCs w:val="24"/>
          <w:lang w:eastAsia="en-GB"/>
        </w:rPr>
        <w:t xml:space="preserve"> et al. (2020) demonstrated this potential directly, integrating UAV-acquired imagery with deep learning classifiers for soybean pest detection and achieving accuracy sufficient for practical use—a result that illustrates how UAV-based systems might substantially reduce the burden of labour-intensive ground scouting. Close-range, multi-modal sensor research has provided important scientific groundwork for this kind of aerial system design: </w:t>
      </w:r>
      <w:proofErr w:type="spellStart"/>
      <w:r w:rsidRPr="002865FC">
        <w:rPr>
          <w:rFonts w:ascii="Times New Roman" w:eastAsia="Times New Roman" w:hAnsi="Times New Roman" w:cs="Times New Roman"/>
          <w:sz w:val="24"/>
          <w:szCs w:val="24"/>
          <w:lang w:eastAsia="en-GB"/>
        </w:rPr>
        <w:t>Mahlein</w:t>
      </w:r>
      <w:proofErr w:type="spellEnd"/>
      <w:r w:rsidRPr="002865FC">
        <w:rPr>
          <w:rFonts w:ascii="Times New Roman" w:eastAsia="Times New Roman" w:hAnsi="Times New Roman" w:cs="Times New Roman"/>
          <w:sz w:val="24"/>
          <w:szCs w:val="24"/>
          <w:lang w:eastAsia="en-GB"/>
        </w:rPr>
        <w:t xml:space="preserve"> et al. (2019) showed that combining thermal imaging, chlorophyll fluorescence, and hyperspectral sensing substantially improved early detection sensitivity for Fusarium head blight in wheat, and findings of this kind have helped motivate the translation of multi-sensor approaches onto aerial platforms as sensor miniaturisation and UAV payload capacity continue to improve. The sheer volume of high-resolution aerial imagery that needs processing in near real time has, in turn, fuelled interest in efficient CNN architectures and in pushing inference to the edge—directly onboard the UAV or on a nearby ground station—rather than relying on cloud connectivity. Ang and Seng (2021), reviewing the integration of hyperspectral data with machine learning in precision agriculture, noted that the computational demands of full-resolution hyperspectral processing remain a significant barrier to real-time airborne implementation, and that hardware acceleration is an active area of ongoing development.</w:t>
      </w:r>
    </w:p>
    <w:p w14:paraId="21C96B95"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6.3 Edge Computing and Real-Time Deployment</w:t>
      </w:r>
    </w:p>
    <w:p w14:paraId="4730EACD"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Edge computing describes a setup in which inference happens on devices physically close to the data source—a smartphone, an embedded microcontroller, an onboard UAV processor—rather than depending on a round trip to centralised cloud infrastructure. For CNN-based disease detection, this matters in several practical ways: it removes dependence on reliable internet connectivity, which remains scarce or unaffordable in many remote farming regions; it cuts mobile data costs; and it allows the kind of near-instantaneous feedback that farmers actually need when making time-sensitive management decisions (</w:t>
      </w:r>
      <w:r w:rsidR="000A3E0F" w:rsidRPr="000A3E0F">
        <w:rPr>
          <w:rFonts w:ascii="Times New Roman" w:eastAsia="Times New Roman" w:hAnsi="Times New Roman" w:cs="Times New Roman"/>
          <w:sz w:val="24"/>
          <w:szCs w:val="24"/>
          <w:lang w:eastAsia="en-GB"/>
        </w:rPr>
        <w:t>Abade et al., 2021</w:t>
      </w:r>
      <w:r w:rsidRPr="002865FC">
        <w:rPr>
          <w:rFonts w:ascii="Times New Roman" w:eastAsia="Times New Roman" w:hAnsi="Times New Roman" w:cs="Times New Roman"/>
          <w:sz w:val="24"/>
          <w:szCs w:val="24"/>
          <w:lang w:eastAsia="en-GB"/>
        </w:rPr>
        <w:t>).</w:t>
      </w:r>
    </w:p>
    <w:p w14:paraId="3AAC92BD"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development of lightweight CNN architectures has been a key enabler here. </w:t>
      </w:r>
      <w:proofErr w:type="spellStart"/>
      <w:r w:rsidRPr="002865FC">
        <w:rPr>
          <w:rFonts w:ascii="Times New Roman" w:eastAsia="Times New Roman" w:hAnsi="Times New Roman" w:cs="Times New Roman"/>
          <w:sz w:val="24"/>
          <w:szCs w:val="24"/>
          <w:lang w:eastAsia="en-GB"/>
        </w:rPr>
        <w:t>MobileNet</w:t>
      </w:r>
      <w:proofErr w:type="spellEnd"/>
      <w:r w:rsidRPr="002865FC">
        <w:rPr>
          <w:rFonts w:ascii="Times New Roman" w:eastAsia="Times New Roman" w:hAnsi="Times New Roman" w:cs="Times New Roman"/>
          <w:sz w:val="24"/>
          <w:szCs w:val="24"/>
          <w:lang w:eastAsia="en-GB"/>
        </w:rPr>
        <w:t xml:space="preserve"> and </w:t>
      </w:r>
      <w:proofErr w:type="spellStart"/>
      <w:r w:rsidRPr="002865FC">
        <w:rPr>
          <w:rFonts w:ascii="Times New Roman" w:eastAsia="Times New Roman" w:hAnsi="Times New Roman" w:cs="Times New Roman"/>
          <w:sz w:val="24"/>
          <w:szCs w:val="24"/>
          <w:lang w:eastAsia="en-GB"/>
        </w:rPr>
        <w:t>EfficientNet</w:t>
      </w:r>
      <w:proofErr w:type="spellEnd"/>
      <w:r w:rsidRPr="002865FC">
        <w:rPr>
          <w:rFonts w:ascii="Times New Roman" w:eastAsia="Times New Roman" w:hAnsi="Times New Roman" w:cs="Times New Roman"/>
          <w:sz w:val="24"/>
          <w:szCs w:val="24"/>
          <w:lang w:eastAsia="en-GB"/>
        </w:rPr>
        <w:t>, in particular, were designed explicitly to deliver competitive image classification accuracy at a fraction of the computational cost of full-scale models, making them far more suitable for deployment on mobile and embedded processors (Atila et al., 2021). Fuentes et al. (2017) demonstrated real-time disease detection on embedded hardware using optimised network configurations, achieving inference speeds adequate for operational use on commercially available field platforms. Kaur et al. (2022) folded feature reduction into a hybrid CNN framework, cutting model complexity without a meaningful loss of accuracy and, in doing so, improving the prospects for edge deployment on resource-constrained consumer devices.</w:t>
      </w:r>
      <w:r w:rsidR="00BF38E6">
        <w:rPr>
          <w:rFonts w:ascii="Times New Roman" w:eastAsia="Times New Roman" w:hAnsi="Times New Roman" w:cs="Times New Roman"/>
          <w:sz w:val="24"/>
          <w:szCs w:val="24"/>
          <w:lang w:eastAsia="en-GB"/>
        </w:rPr>
        <w:t xml:space="preserve"> </w:t>
      </w:r>
      <w:r w:rsidRPr="002865FC">
        <w:rPr>
          <w:rFonts w:ascii="Times New Roman" w:eastAsia="Times New Roman" w:hAnsi="Times New Roman" w:cs="Times New Roman"/>
          <w:sz w:val="24"/>
          <w:szCs w:val="24"/>
          <w:lang w:eastAsia="en-GB"/>
        </w:rPr>
        <w:t>Table 3 brings together how these various technologies—IoT, UAV, and edge computing—have been combined with CNN-based disease detection in the literature reviewed here.</w:t>
      </w:r>
    </w:p>
    <w:p w14:paraId="09863574"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7CBD5FFB"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Table 3.</w:t>
      </w:r>
      <w:r w:rsidRPr="002865FC">
        <w:rPr>
          <w:rFonts w:ascii="Times New Roman" w:eastAsia="Times New Roman" w:hAnsi="Times New Roman" w:cs="Times New Roman"/>
          <w:sz w:val="24"/>
          <w:szCs w:val="24"/>
          <w:lang w:eastAsia="en-GB"/>
        </w:rPr>
        <w:t xml:space="preserve"> Integration of CNN-Based Disease Detection with Smart Agriculture Technologies</w:t>
      </w:r>
    </w:p>
    <w:tbl>
      <w:tblPr>
        <w:tblStyle w:val="TableGrid"/>
        <w:tblW w:w="0" w:type="auto"/>
        <w:tblLook w:val="04A0" w:firstRow="1" w:lastRow="0" w:firstColumn="1" w:lastColumn="0" w:noHBand="0" w:noVBand="1"/>
      </w:tblPr>
      <w:tblGrid>
        <w:gridCol w:w="2110"/>
        <w:gridCol w:w="2352"/>
        <w:gridCol w:w="2254"/>
        <w:gridCol w:w="2526"/>
      </w:tblGrid>
      <w:tr w:rsidR="002865FC" w:rsidRPr="002865FC" w14:paraId="3EE028C9" w14:textId="77777777" w:rsidTr="00BF38E6">
        <w:tc>
          <w:tcPr>
            <w:tcW w:w="0" w:type="auto"/>
            <w:hideMark/>
          </w:tcPr>
          <w:p w14:paraId="08180CE9"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lastRenderedPageBreak/>
              <w:t>Technology Integration</w:t>
            </w:r>
          </w:p>
        </w:tc>
        <w:tc>
          <w:tcPr>
            <w:tcW w:w="0" w:type="auto"/>
            <w:hideMark/>
          </w:tcPr>
          <w:p w14:paraId="1DB3E957"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Primary Application</w:t>
            </w:r>
          </w:p>
        </w:tc>
        <w:tc>
          <w:tcPr>
            <w:tcW w:w="0" w:type="auto"/>
            <w:hideMark/>
          </w:tcPr>
          <w:p w14:paraId="1A0B65E8"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Key Practical Benefit</w:t>
            </w:r>
          </w:p>
        </w:tc>
        <w:tc>
          <w:tcPr>
            <w:tcW w:w="0" w:type="auto"/>
            <w:hideMark/>
          </w:tcPr>
          <w:p w14:paraId="42512AB5"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Representative Limitation</w:t>
            </w:r>
          </w:p>
        </w:tc>
      </w:tr>
      <w:tr w:rsidR="002865FC" w:rsidRPr="002865FC" w14:paraId="5BC32735" w14:textId="77777777" w:rsidTr="00BF38E6">
        <w:tc>
          <w:tcPr>
            <w:tcW w:w="0" w:type="auto"/>
            <w:hideMark/>
          </w:tcPr>
          <w:p w14:paraId="3889885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IoT sensor network + CNN</w:t>
            </w:r>
          </w:p>
        </w:tc>
        <w:tc>
          <w:tcPr>
            <w:tcW w:w="0" w:type="auto"/>
            <w:hideMark/>
          </w:tcPr>
          <w:p w14:paraId="0F40BCA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Disease risk monitoring; sensor-image fusion</w:t>
            </w:r>
          </w:p>
        </w:tc>
        <w:tc>
          <w:tcPr>
            <w:tcW w:w="0" w:type="auto"/>
            <w:hideMark/>
          </w:tcPr>
          <w:p w14:paraId="419282A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Continuous field monitoring; risk prediction</w:t>
            </w:r>
          </w:p>
        </w:tc>
        <w:tc>
          <w:tcPr>
            <w:tcW w:w="0" w:type="auto"/>
            <w:hideMark/>
          </w:tcPr>
          <w:p w14:paraId="2CABF42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Connectivity dependency; sensor cost</w:t>
            </w:r>
          </w:p>
        </w:tc>
      </w:tr>
      <w:tr w:rsidR="002865FC" w:rsidRPr="002865FC" w14:paraId="1A14BFA4" w14:textId="77777777" w:rsidTr="00BF38E6">
        <w:tc>
          <w:tcPr>
            <w:tcW w:w="0" w:type="auto"/>
            <w:hideMark/>
          </w:tcPr>
          <w:p w14:paraId="68C3F352"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UAV + multispectral CNN</w:t>
            </w:r>
          </w:p>
        </w:tc>
        <w:tc>
          <w:tcPr>
            <w:tcW w:w="0" w:type="auto"/>
            <w:hideMark/>
          </w:tcPr>
          <w:p w14:paraId="405A6D2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Field-scale disease mapping</w:t>
            </w:r>
          </w:p>
        </w:tc>
        <w:tc>
          <w:tcPr>
            <w:tcW w:w="0" w:type="auto"/>
            <w:hideMark/>
          </w:tcPr>
          <w:p w14:paraId="681B2FC3"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Large-area coverage; rapid survey</w:t>
            </w:r>
          </w:p>
        </w:tc>
        <w:tc>
          <w:tcPr>
            <w:tcW w:w="0" w:type="auto"/>
            <w:hideMark/>
          </w:tcPr>
          <w:p w14:paraId="76043290"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Weather dependency; data volume</w:t>
            </w:r>
          </w:p>
        </w:tc>
      </w:tr>
      <w:tr w:rsidR="002865FC" w:rsidRPr="002865FC" w14:paraId="0B70DF8C" w14:textId="77777777" w:rsidTr="00BF38E6">
        <w:tc>
          <w:tcPr>
            <w:tcW w:w="0" w:type="auto"/>
            <w:hideMark/>
          </w:tcPr>
          <w:p w14:paraId="2908BDD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Edge computing + lightweight CNN</w:t>
            </w:r>
          </w:p>
        </w:tc>
        <w:tc>
          <w:tcPr>
            <w:tcW w:w="0" w:type="auto"/>
            <w:hideMark/>
          </w:tcPr>
          <w:p w14:paraId="4F678A9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On-device mobile diagnosis</w:t>
            </w:r>
          </w:p>
        </w:tc>
        <w:tc>
          <w:tcPr>
            <w:tcW w:w="0" w:type="auto"/>
            <w:hideMark/>
          </w:tcPr>
          <w:p w14:paraId="523D9B00"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Low latency; offline operation</w:t>
            </w:r>
          </w:p>
        </w:tc>
        <w:tc>
          <w:tcPr>
            <w:tcW w:w="0" w:type="auto"/>
            <w:hideMark/>
          </w:tcPr>
          <w:p w14:paraId="20703368"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Accuracy trade-off; image quality dependency</w:t>
            </w:r>
          </w:p>
        </w:tc>
      </w:tr>
      <w:tr w:rsidR="002865FC" w:rsidRPr="002865FC" w14:paraId="4E168B05" w14:textId="77777777" w:rsidTr="00BF38E6">
        <w:tc>
          <w:tcPr>
            <w:tcW w:w="0" w:type="auto"/>
            <w:hideMark/>
          </w:tcPr>
          <w:p w14:paraId="043CAB45"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UAV + hyperspectral CNN</w:t>
            </w:r>
          </w:p>
        </w:tc>
        <w:tc>
          <w:tcPr>
            <w:tcW w:w="0" w:type="auto"/>
            <w:hideMark/>
          </w:tcPr>
          <w:p w14:paraId="26832C6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Spectral disease fingerprinting</w:t>
            </w:r>
          </w:p>
        </w:tc>
        <w:tc>
          <w:tcPr>
            <w:tcW w:w="0" w:type="auto"/>
            <w:hideMark/>
          </w:tcPr>
          <w:p w14:paraId="114AC642"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High sensitivity; pre-symptomatic detection</w:t>
            </w:r>
          </w:p>
        </w:tc>
        <w:tc>
          <w:tcPr>
            <w:tcW w:w="0" w:type="auto"/>
            <w:hideMark/>
          </w:tcPr>
          <w:p w14:paraId="7CA481D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Sensor cost; specialist expertise required</w:t>
            </w:r>
          </w:p>
        </w:tc>
      </w:tr>
      <w:tr w:rsidR="002865FC" w:rsidRPr="002865FC" w14:paraId="42F3F7E6" w14:textId="77777777" w:rsidTr="00BF38E6">
        <w:tc>
          <w:tcPr>
            <w:tcW w:w="0" w:type="auto"/>
            <w:hideMark/>
          </w:tcPr>
          <w:p w14:paraId="51E01E5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Smartphone + transfer learning CNN</w:t>
            </w:r>
          </w:p>
        </w:tc>
        <w:tc>
          <w:tcPr>
            <w:tcW w:w="0" w:type="auto"/>
            <w:hideMark/>
          </w:tcPr>
          <w:p w14:paraId="1DF92CE0"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Farmer-facing diagnostic applications</w:t>
            </w:r>
          </w:p>
        </w:tc>
        <w:tc>
          <w:tcPr>
            <w:tcW w:w="0" w:type="auto"/>
            <w:hideMark/>
          </w:tcPr>
          <w:p w14:paraId="7B3B6078"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Low cost; accessible input modality</w:t>
            </w:r>
          </w:p>
        </w:tc>
        <w:tc>
          <w:tcPr>
            <w:tcW w:w="0" w:type="auto"/>
            <w:hideMark/>
          </w:tcPr>
          <w:p w14:paraId="2FF0C64B"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Image quality variability; connectivity</w:t>
            </w:r>
          </w:p>
        </w:tc>
      </w:tr>
    </w:tbl>
    <w:p w14:paraId="247A056D"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 xml:space="preserve">Sources: Wolfert et al. (2017); Liakos et al. (2018); </w:t>
      </w:r>
      <w:proofErr w:type="spellStart"/>
      <w:r w:rsidRPr="002865FC">
        <w:rPr>
          <w:rFonts w:ascii="Times New Roman" w:eastAsia="Times New Roman" w:hAnsi="Times New Roman" w:cs="Times New Roman"/>
          <w:i/>
          <w:iCs/>
          <w:sz w:val="24"/>
          <w:szCs w:val="24"/>
          <w:lang w:eastAsia="en-GB"/>
        </w:rPr>
        <w:t>Tetila</w:t>
      </w:r>
      <w:proofErr w:type="spellEnd"/>
      <w:r w:rsidRPr="002865FC">
        <w:rPr>
          <w:rFonts w:ascii="Times New Roman" w:eastAsia="Times New Roman" w:hAnsi="Times New Roman" w:cs="Times New Roman"/>
          <w:i/>
          <w:iCs/>
          <w:sz w:val="24"/>
          <w:szCs w:val="24"/>
          <w:lang w:eastAsia="en-GB"/>
        </w:rPr>
        <w:t xml:space="preserve"> et al. (2020); Ang &amp; Seng (2021); Nguyen et al. (2021); Fuentes et al. (2017); Atila et al. (2021); Kaur et al. (2022)</w:t>
      </w:r>
    </w:p>
    <w:p w14:paraId="782EFC63"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pattern worth drawing out from Table 3 is that nearly every technology pairing involves a meaningful trade-off—greater sensitivity or coverage on one side, set against cost, connectivity, or specialist expertise on the other. None of these combinations offers a straightforward win; each represents a different compromise depending on the resources and constraints of a given farming context.</w:t>
      </w:r>
    </w:p>
    <w:p w14:paraId="3D956158"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26C43EB8"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7. Agribusiness Sustainability and Economic Dimensions</w:t>
      </w:r>
    </w:p>
    <w:p w14:paraId="51A6D2D6"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7.1 Economic Burden of Plant Pathogens</w:t>
      </w:r>
    </w:p>
    <w:p w14:paraId="07F34C3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economic cost of plant disease is already substantial, and given the continuing globalisation of agricultural trade and the climate-driven expansion of pathogen ranges, it seems likely to grow rather than shrink in the coming decades. Savary et al. (2019) put the value of global yield losses from fungal, bacterial, and viral pathogens together with arthropod pests at tens of billions of US dollars annually across the five major staple crops. Once indirect costs are factored in—prophylactic and curative chemical applications, post-harvest storage losses linked to pathogen carry-over, the food price effects of supply shocks, and the regulatory compliance costs tied to phytosanitary standards in international trade—the true economic burden is considerably heavier than yield figures alone suggest.</w:t>
      </w:r>
    </w:p>
    <w:p w14:paraId="1BBF7FBF"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FAO (2021) has drawn particular attention to how disproportionately this burden falls on smallholder farming households in low- and middle-income countries, where food insecurity is most acute precisely because households depend directly on subsistence production and have little capacity to absorb losses through savings, insurance, or alternative income. For these households, a single severe disease outbreak can wipe out an entire season's harvest, with knock-on effects for nutrition, debt, and long-term investment decisions on the farm. The case for AI-assisted early disease surveillance, then, is not purely economic—it carries real humanitarian weight as well. Walter et al. (2017) argued that smart farming technologies, </w:t>
      </w:r>
      <w:r w:rsidRPr="002865FC">
        <w:rPr>
          <w:rFonts w:ascii="Times New Roman" w:eastAsia="Times New Roman" w:hAnsi="Times New Roman" w:cs="Times New Roman"/>
          <w:sz w:val="24"/>
          <w:szCs w:val="24"/>
          <w:lang w:eastAsia="en-GB"/>
        </w:rPr>
        <w:lastRenderedPageBreak/>
        <w:t>including AI-based diagnostic tools, are among the most promising routes to improving agricultural productivity while simultaneously reducing farming's environmental footprint, noting that precision disease management could substantially cut fungicide use and the ecological externalities that come with it.</w:t>
      </w:r>
    </w:p>
    <w:p w14:paraId="1C948AD8"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This potential has not gone unnoticed commercially. The agribusiness sector has shown growing interest in AI-based diagnostic tools, recognising their value for improving crop protection decision support, lowering the cost of agronomic advisory services, and opening new revenue streams through data-driven precision agriculture platforms. Large agricultural input companies and specialist technology providers have invested heavily in proprietary disease detection applications, often working in partnership with academic research groups (Wolfert et al., 2017). How this commercial investment landscape unfolds has real implications for whether AI diagnostic tools end up affordable and accessible to smallholder farmers—a question taken up directly in the following section.</w:t>
      </w:r>
    </w:p>
    <w:p w14:paraId="099F4CC0"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7.2 AI Adoption and Sustainable Development Goals</w:t>
      </w:r>
    </w:p>
    <w:p w14:paraId="3F5011C8"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relationship between AI adoption in agriculture and the United Nations Sustainable Development Goals is not straightforward; it depends heavily on how the underlying systems are designed and deployed. SDG 2 (Zero Hunger) and SDG 12 (Responsible Consumption and Production) are the most directly relevant: AI-assisted disease detection can, in principle, support SDG 2 by improving yields and reducing post-harvest losses, and support SDG 12 by enabling more targeted, less environmentally damaging use of crop protection inputs (FAO, 2023). The potential for precision disease management to reduce pesticide overuse matters a great deal from an environmental standpoint, given how well documented the negative externalities of excessive agrochemical use are for soil microbial communities, surface water quality, beneficial insects, and biodiversity more generally.</w:t>
      </w:r>
    </w:p>
    <w:p w14:paraId="7DC6E9B0"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Van </w:t>
      </w:r>
      <w:proofErr w:type="spellStart"/>
      <w:r w:rsidRPr="002865FC">
        <w:rPr>
          <w:rFonts w:ascii="Times New Roman" w:eastAsia="Times New Roman" w:hAnsi="Times New Roman" w:cs="Times New Roman"/>
          <w:sz w:val="24"/>
          <w:szCs w:val="24"/>
          <w:lang w:eastAsia="en-GB"/>
        </w:rPr>
        <w:t>Klompenburg</w:t>
      </w:r>
      <w:proofErr w:type="spellEnd"/>
      <w:r w:rsidRPr="002865FC">
        <w:rPr>
          <w:rFonts w:ascii="Times New Roman" w:eastAsia="Times New Roman" w:hAnsi="Times New Roman" w:cs="Times New Roman"/>
          <w:sz w:val="24"/>
          <w:szCs w:val="24"/>
          <w:lang w:eastAsia="en-GB"/>
        </w:rPr>
        <w:t xml:space="preserve"> et al. (2020) pointed out that machine learning-based yield prediction and risk management tools can also support SDG 13 (Climate Action), by enabling more adaptive responses to the climate-driven shifts in disease pressure and growing season dynamics that are likely to become more significant as plant pathogens shift their range and behaviour. Liakos et al. (2018), reviewing machine learning applications across several agricultural sub-domains, concluded that integrating AI into smart farming systems offers real potential for progress across multiple SDGs simultaneously—provided, crucially, that the technology is deployed in ways that are inclusive, sensitive to local context, and grounded in sound agronomic practice.</w:t>
      </w:r>
    </w:p>
    <w:p w14:paraId="53000271"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balanced reading of the evidence, however, requires acknowledging that the sustainability credentials of AI adoption in agriculture are not unconditionally positive. Training and running large deep learning models carries a measurable energy cost and associated carbon footprint—a concern that has received considerable attention within the AI research community at large but has been largely overlooked in the agricultural AI literature specifically. The digital infrastructure that smart agriculture deployment depends on—reliable electricity, mobile connectivity, access to cloud computing—remains absent or prohibitively expensive in many of the regions where AI-assisted disease detection would arguably do the most good. Without deliberate policy attention and investment, these infrastructure gaps risk widening rather than narrowing existing inequalities in access to agricultural technology.</w:t>
      </w:r>
    </w:p>
    <w:p w14:paraId="426A8C7B"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lastRenderedPageBreak/>
        <w:t>7.3 Smallholder Farmers and Equity Considerations</w:t>
      </w:r>
    </w:p>
    <w:p w14:paraId="0C9C25F3"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Whether the benefits of AI-based plant disease detection will be distributed equitably, or will instead accrue mainly to well-capitalised commercial agribusinesses, is among the most important and least adequately addressed questions in this field. Smallholder farmers—who make up the majority of agricultural producers across sub-Saharan Africa, South and Southeast Asia, and parts of Latin America—are simultaneously the group most exposed to crop disease risk and the group least well served by existing disease management infrastructure (FAO, 2021). For these farmers, AI-based diagnostic tools are genuinely useful only when they are accessible through affordable, widely available consumer devices, capable of working without continuous internet access, available in local languages, and tied to practical, locally relevant management recommendations rather than generic advice.</w:t>
      </w:r>
    </w:p>
    <w:p w14:paraId="5D6897E5"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Ramcharan et al. (2017) tackled this equity question head-on in their cassava disease detection work in Uganda, building a smartphone-based application with accessibility for low-resource smallholder farmers as an explicit design goal. Their work showed that a model trained on field-collected images from a sub-Saharan African context could perform well enough for practical deployment, underlining just how important locally representative training data are for model relevance in settings that have historically been underserved. Saleem et al. (2019), reviewing deep learning approaches to plant disease across a range of agricultural contexts, observed that while the literature offers plenty of proof-of-concept evidence for individual crop-disease combinations, the jump from research prototype to operational, farmer-facing tool remains the exception rather than the rule—a gap that reflects real, often underappreciated, barriers around digital literacy, language, technical support, and basic affordability.</w:t>
      </w:r>
      <w:r w:rsidR="00BF38E6">
        <w:rPr>
          <w:rFonts w:ascii="Times New Roman" w:eastAsia="Times New Roman" w:hAnsi="Times New Roman" w:cs="Times New Roman"/>
          <w:sz w:val="24"/>
          <w:szCs w:val="24"/>
          <w:lang w:eastAsia="en-GB"/>
        </w:rPr>
        <w:t xml:space="preserve"> </w:t>
      </w:r>
      <w:r w:rsidRPr="002865FC">
        <w:rPr>
          <w:rFonts w:ascii="Times New Roman" w:eastAsia="Times New Roman" w:hAnsi="Times New Roman" w:cs="Times New Roman"/>
          <w:sz w:val="24"/>
          <w:szCs w:val="24"/>
          <w:lang w:eastAsia="en-GB"/>
        </w:rPr>
        <w:t>Table 4 draws together the economic and sustainability dimensions discussed across this section.</w:t>
      </w:r>
    </w:p>
    <w:p w14:paraId="10980403"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32DE9612"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Table 4.</w:t>
      </w:r>
      <w:r w:rsidRPr="002865FC">
        <w:rPr>
          <w:rFonts w:ascii="Times New Roman" w:eastAsia="Times New Roman" w:hAnsi="Times New Roman" w:cs="Times New Roman"/>
          <w:sz w:val="24"/>
          <w:szCs w:val="24"/>
          <w:lang w:eastAsia="en-GB"/>
        </w:rPr>
        <w:t xml:space="preserve"> Economic and Sustainability Dimensions of AI-Based Plant Disease Detection</w:t>
      </w:r>
    </w:p>
    <w:tbl>
      <w:tblPr>
        <w:tblStyle w:val="TableGrid"/>
        <w:tblW w:w="0" w:type="auto"/>
        <w:tblLook w:val="04A0" w:firstRow="1" w:lastRow="0" w:firstColumn="1" w:lastColumn="0" w:noHBand="0" w:noVBand="1"/>
      </w:tblPr>
      <w:tblGrid>
        <w:gridCol w:w="2400"/>
        <w:gridCol w:w="3323"/>
        <w:gridCol w:w="3519"/>
      </w:tblGrid>
      <w:tr w:rsidR="002865FC" w:rsidRPr="002865FC" w14:paraId="5D2E5BEF" w14:textId="77777777" w:rsidTr="00BF38E6">
        <w:tc>
          <w:tcPr>
            <w:tcW w:w="0" w:type="auto"/>
            <w:hideMark/>
          </w:tcPr>
          <w:p w14:paraId="2030061C"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Dimension</w:t>
            </w:r>
          </w:p>
        </w:tc>
        <w:tc>
          <w:tcPr>
            <w:tcW w:w="0" w:type="auto"/>
            <w:hideMark/>
          </w:tcPr>
          <w:p w14:paraId="6D672447"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Key Finding</w:t>
            </w:r>
          </w:p>
        </w:tc>
        <w:tc>
          <w:tcPr>
            <w:tcW w:w="0" w:type="auto"/>
            <w:hideMark/>
          </w:tcPr>
          <w:p w14:paraId="28E7BC45"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Implication for Agribusiness</w:t>
            </w:r>
          </w:p>
        </w:tc>
      </w:tr>
      <w:tr w:rsidR="002865FC" w:rsidRPr="002865FC" w14:paraId="541775BF" w14:textId="77777777" w:rsidTr="00BF38E6">
        <w:tc>
          <w:tcPr>
            <w:tcW w:w="0" w:type="auto"/>
            <w:hideMark/>
          </w:tcPr>
          <w:p w14:paraId="5689DADB"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Yield loss from pathogens and pests</w:t>
            </w:r>
          </w:p>
        </w:tc>
        <w:tc>
          <w:tcPr>
            <w:tcW w:w="0" w:type="auto"/>
            <w:hideMark/>
          </w:tcPr>
          <w:p w14:paraId="019DE72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17–30% across major global staples</w:t>
            </w:r>
          </w:p>
        </w:tc>
        <w:tc>
          <w:tcPr>
            <w:tcW w:w="0" w:type="auto"/>
            <w:hideMark/>
          </w:tcPr>
          <w:p w14:paraId="21B912EB"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Large economic rationale for early AI-assisted detection</w:t>
            </w:r>
          </w:p>
        </w:tc>
      </w:tr>
      <w:tr w:rsidR="002865FC" w:rsidRPr="002865FC" w14:paraId="69C6FD77" w14:textId="77777777" w:rsidTr="00BF38E6">
        <w:tc>
          <w:tcPr>
            <w:tcW w:w="0" w:type="auto"/>
            <w:hideMark/>
          </w:tcPr>
          <w:p w14:paraId="230D0475"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Pesticide reduction potential</w:t>
            </w:r>
          </w:p>
        </w:tc>
        <w:tc>
          <w:tcPr>
            <w:tcW w:w="0" w:type="auto"/>
            <w:hideMark/>
          </w:tcPr>
          <w:p w14:paraId="4570B30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Precision targeting can substantially reduce overuse</w:t>
            </w:r>
          </w:p>
        </w:tc>
        <w:tc>
          <w:tcPr>
            <w:tcW w:w="0" w:type="auto"/>
            <w:hideMark/>
          </w:tcPr>
          <w:p w14:paraId="0F91DC8E"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Environmental and regulatory sustainability benefits</w:t>
            </w:r>
          </w:p>
        </w:tc>
      </w:tr>
      <w:tr w:rsidR="002865FC" w:rsidRPr="002865FC" w14:paraId="2A89EE17" w14:textId="77777777" w:rsidTr="00BF38E6">
        <w:tc>
          <w:tcPr>
            <w:tcW w:w="0" w:type="auto"/>
            <w:hideMark/>
          </w:tcPr>
          <w:p w14:paraId="11F69BD2"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Smallholder accessibility</w:t>
            </w:r>
          </w:p>
        </w:tc>
        <w:tc>
          <w:tcPr>
            <w:tcW w:w="0" w:type="auto"/>
            <w:hideMark/>
          </w:tcPr>
          <w:p w14:paraId="3CC475BF"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Field-deployable apps demonstrated in low-income settings</w:t>
            </w:r>
          </w:p>
        </w:tc>
        <w:tc>
          <w:tcPr>
            <w:tcW w:w="0" w:type="auto"/>
            <w:hideMark/>
          </w:tcPr>
          <w:p w14:paraId="57E5EB8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Inclusive design and locally collected training data essential</w:t>
            </w:r>
          </w:p>
        </w:tc>
      </w:tr>
      <w:tr w:rsidR="002865FC" w:rsidRPr="002865FC" w14:paraId="0027FB0B" w14:textId="77777777" w:rsidTr="00BF38E6">
        <w:tc>
          <w:tcPr>
            <w:tcW w:w="0" w:type="auto"/>
            <w:hideMark/>
          </w:tcPr>
          <w:p w14:paraId="087FC3D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SDG alignment</w:t>
            </w:r>
          </w:p>
        </w:tc>
        <w:tc>
          <w:tcPr>
            <w:tcW w:w="0" w:type="auto"/>
            <w:hideMark/>
          </w:tcPr>
          <w:p w14:paraId="288906FE"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AI contributes to SDGs 2, 12, and 13</w:t>
            </w:r>
          </w:p>
        </w:tc>
        <w:tc>
          <w:tcPr>
            <w:tcW w:w="0" w:type="auto"/>
            <w:hideMark/>
          </w:tcPr>
          <w:p w14:paraId="2BDE09B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Policy integration and public investment frameworks justified</w:t>
            </w:r>
          </w:p>
        </w:tc>
      </w:tr>
      <w:tr w:rsidR="002865FC" w:rsidRPr="002865FC" w14:paraId="09D8950A" w14:textId="77777777" w:rsidTr="00BF38E6">
        <w:tc>
          <w:tcPr>
            <w:tcW w:w="0" w:type="auto"/>
            <w:hideMark/>
          </w:tcPr>
          <w:p w14:paraId="18D679A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Commercial versus public tool access</w:t>
            </w:r>
          </w:p>
        </w:tc>
        <w:tc>
          <w:tcPr>
            <w:tcW w:w="0" w:type="auto"/>
            <w:hideMark/>
          </w:tcPr>
          <w:p w14:paraId="7705353C"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Proprietary platforms limit smallholder reach</w:t>
            </w:r>
          </w:p>
        </w:tc>
        <w:tc>
          <w:tcPr>
            <w:tcW w:w="0" w:type="auto"/>
            <w:hideMark/>
          </w:tcPr>
          <w:p w14:paraId="1DD830E5"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Open-source and publicly funded deployment models required</w:t>
            </w:r>
          </w:p>
        </w:tc>
      </w:tr>
    </w:tbl>
    <w:p w14:paraId="54DA5DEC"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 xml:space="preserve">Sources: Savary et al. (2019); FAO (2021); FAO (2023); Walter et al. (2017); Ramcharan et al. (2017); Van </w:t>
      </w:r>
      <w:proofErr w:type="spellStart"/>
      <w:r w:rsidRPr="002865FC">
        <w:rPr>
          <w:rFonts w:ascii="Times New Roman" w:eastAsia="Times New Roman" w:hAnsi="Times New Roman" w:cs="Times New Roman"/>
          <w:i/>
          <w:iCs/>
          <w:sz w:val="24"/>
          <w:szCs w:val="24"/>
          <w:lang w:eastAsia="en-GB"/>
        </w:rPr>
        <w:t>Klompenburg</w:t>
      </w:r>
      <w:proofErr w:type="spellEnd"/>
      <w:r w:rsidRPr="002865FC">
        <w:rPr>
          <w:rFonts w:ascii="Times New Roman" w:eastAsia="Times New Roman" w:hAnsi="Times New Roman" w:cs="Times New Roman"/>
          <w:i/>
          <w:iCs/>
          <w:sz w:val="24"/>
          <w:szCs w:val="24"/>
          <w:lang w:eastAsia="en-GB"/>
        </w:rPr>
        <w:t xml:space="preserve"> et al. (2020); Liakos et al. (2018)</w:t>
      </w:r>
    </w:p>
    <w:p w14:paraId="585216E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Read together, the rows in Table 4 point to a tension that runs through this entire section: the economic and environmental case for AI-assisted disease detection is strong, but the </w:t>
      </w:r>
      <w:r w:rsidRPr="002865FC">
        <w:rPr>
          <w:rFonts w:ascii="Times New Roman" w:eastAsia="Times New Roman" w:hAnsi="Times New Roman" w:cs="Times New Roman"/>
          <w:sz w:val="24"/>
          <w:szCs w:val="24"/>
          <w:lang w:eastAsia="en-GB"/>
        </w:rPr>
        <w:lastRenderedPageBreak/>
        <w:t>commercial incentives currently driving deployment do not automatically align with reaching the farmers who stand to benefit most.</w:t>
      </w:r>
    </w:p>
    <w:p w14:paraId="60457289"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6347CAB5"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8. Challenges and Critical Considerations</w:t>
      </w:r>
    </w:p>
    <w:p w14:paraId="543872E5"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8.1 Dataset Bias and Generalisation Limitations</w:t>
      </w:r>
    </w:p>
    <w:p w14:paraId="149C9FAC"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For all the impressive classification accuracies reported in the published literature, the field has yet to resolve a fundamental problem of generalisation. When CNNs are trained and evaluated on the same data distribution—particularly one drawn primarily from controlled laboratory images against plain backgrounds—the resulting accuracy figures tell us comparatively little about how the model would perform under genuinely variable field conditions. </w:t>
      </w:r>
      <w:proofErr w:type="spellStart"/>
      <w:r w:rsidRPr="002865FC">
        <w:rPr>
          <w:rFonts w:ascii="Times New Roman" w:eastAsia="Times New Roman" w:hAnsi="Times New Roman" w:cs="Times New Roman"/>
          <w:sz w:val="24"/>
          <w:szCs w:val="24"/>
          <w:lang w:eastAsia="en-GB"/>
        </w:rPr>
        <w:t>Barbedo</w:t>
      </w:r>
      <w:proofErr w:type="spellEnd"/>
      <w:r w:rsidRPr="002865FC">
        <w:rPr>
          <w:rFonts w:ascii="Times New Roman" w:eastAsia="Times New Roman" w:hAnsi="Times New Roman" w:cs="Times New Roman"/>
          <w:sz w:val="24"/>
          <w:szCs w:val="24"/>
          <w:lang w:eastAsia="en-GB"/>
        </w:rPr>
        <w:t xml:space="preserve"> (2018) was among the first to make this critique systematically, identifying environmental variation, background complexity, the simultaneous presence of multiple disease symptoms, and inconsistent image quality as the key drivers of performance degradation when models trained on controlled benchmark data meet field-collected images. </w:t>
      </w:r>
      <w:proofErr w:type="spellStart"/>
      <w:r w:rsidRPr="002865FC">
        <w:rPr>
          <w:rFonts w:ascii="Times New Roman" w:eastAsia="Times New Roman" w:hAnsi="Times New Roman" w:cs="Times New Roman"/>
          <w:sz w:val="24"/>
          <w:szCs w:val="24"/>
          <w:lang w:eastAsia="en-GB"/>
        </w:rPr>
        <w:t>Barbedo's</w:t>
      </w:r>
      <w:proofErr w:type="spellEnd"/>
      <w:r w:rsidRPr="002865FC">
        <w:rPr>
          <w:rFonts w:ascii="Times New Roman" w:eastAsia="Times New Roman" w:hAnsi="Times New Roman" w:cs="Times New Roman"/>
          <w:sz w:val="24"/>
          <w:szCs w:val="24"/>
          <w:lang w:eastAsia="en-GB"/>
        </w:rPr>
        <w:t xml:space="preserve"> (2019) later work reinforced the point, showing that within-class variability of symptom appearance in naturally grown plants far exceeds what standard benchmark datasets actually represent.</w:t>
      </w:r>
    </w:p>
    <w:p w14:paraId="57A65336"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Pantazi et al. (2019) demonstrated empirically that leaf disease classifiers can fail substantially when confronted with atypical symptom presentations, disease stages absent from the training data, or lighting conditions different from those used during training. </w:t>
      </w:r>
      <w:proofErr w:type="spellStart"/>
      <w:r w:rsidRPr="002865FC">
        <w:rPr>
          <w:rFonts w:ascii="Times New Roman" w:eastAsia="Times New Roman" w:hAnsi="Times New Roman" w:cs="Times New Roman"/>
          <w:sz w:val="24"/>
          <w:szCs w:val="24"/>
          <w:lang w:eastAsia="en-GB"/>
        </w:rPr>
        <w:t>Geetharamani</w:t>
      </w:r>
      <w:proofErr w:type="spellEnd"/>
      <w:r w:rsidRPr="002865FC">
        <w:rPr>
          <w:rFonts w:ascii="Times New Roman" w:eastAsia="Times New Roman" w:hAnsi="Times New Roman" w:cs="Times New Roman"/>
          <w:sz w:val="24"/>
          <w:szCs w:val="24"/>
          <w:lang w:eastAsia="en-GB"/>
        </w:rPr>
        <w:t xml:space="preserve"> and Pandian (2019) found that classification performance dropped considerably for rare disease categories with small training samples—a per-class imbalance problem that aggregate accuracy figures routinely obscure. Taken together, these findings suggest that the published literature may well overstate how ready CNN-based systems actually are for operational deployment, given that reported test accuracy is typically measured on data drawn from the same distribution as the training set rather than on genuinely independent, out-of-distribution field images.</w:t>
      </w:r>
    </w:p>
    <w:p w14:paraId="22D334A2"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8.2 Technical and Computational Barriers</w:t>
      </w:r>
    </w:p>
    <w:p w14:paraId="1B96E18D"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Model accuracy aside, deploying CNN-based disease detection in real agricultural settings runs into a separate set of technical and infrastructural obstacles. In many of the regions where crop disease poses the greatest threat to food security, farmers must contend with unreliable electricity, limited or absent mobile data connectivity, and access only to low-specification consumer devices. These constraints rule out cloud-dependent inference architectures in many contexts and place a real premium on lightweight, offline-capable models that can run efficiently on edge hardware (</w:t>
      </w:r>
      <w:proofErr w:type="spellStart"/>
      <w:r w:rsidR="000A3E0F" w:rsidRPr="000A3E0F">
        <w:rPr>
          <w:rFonts w:ascii="Times New Roman" w:eastAsia="Times New Roman" w:hAnsi="Times New Roman" w:cs="Times New Roman"/>
          <w:sz w:val="24"/>
          <w:szCs w:val="24"/>
          <w:lang w:eastAsia="en-GB"/>
        </w:rPr>
        <w:t>Fenu</w:t>
      </w:r>
      <w:proofErr w:type="spellEnd"/>
      <w:r w:rsidR="000A3E0F" w:rsidRPr="000A3E0F">
        <w:rPr>
          <w:rFonts w:ascii="Times New Roman" w:eastAsia="Times New Roman" w:hAnsi="Times New Roman" w:cs="Times New Roman"/>
          <w:sz w:val="24"/>
          <w:szCs w:val="24"/>
          <w:lang w:eastAsia="en-GB"/>
        </w:rPr>
        <w:t xml:space="preserve"> et al., 2021</w:t>
      </w:r>
      <w:r w:rsidRPr="002865FC">
        <w:rPr>
          <w:rFonts w:ascii="Times New Roman" w:eastAsia="Times New Roman" w:hAnsi="Times New Roman" w:cs="Times New Roman"/>
          <w:sz w:val="24"/>
          <w:szCs w:val="24"/>
          <w:lang w:eastAsia="en-GB"/>
        </w:rPr>
        <w:t>; Lu et al., 2021).</w:t>
      </w:r>
    </w:p>
    <w:p w14:paraId="0657A8A1"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Architectural innovations such as </w:t>
      </w:r>
      <w:proofErr w:type="spellStart"/>
      <w:r w:rsidRPr="002865FC">
        <w:rPr>
          <w:rFonts w:ascii="Times New Roman" w:eastAsia="Times New Roman" w:hAnsi="Times New Roman" w:cs="Times New Roman"/>
          <w:sz w:val="24"/>
          <w:szCs w:val="24"/>
          <w:lang w:eastAsia="en-GB"/>
        </w:rPr>
        <w:t>EfficientNet</w:t>
      </w:r>
      <w:proofErr w:type="spellEnd"/>
      <w:r w:rsidRPr="002865FC">
        <w:rPr>
          <w:rFonts w:ascii="Times New Roman" w:eastAsia="Times New Roman" w:hAnsi="Times New Roman" w:cs="Times New Roman"/>
          <w:sz w:val="24"/>
          <w:szCs w:val="24"/>
          <w:lang w:eastAsia="en-GB"/>
        </w:rPr>
        <w:t xml:space="preserve"> and </w:t>
      </w:r>
      <w:proofErr w:type="spellStart"/>
      <w:r w:rsidRPr="002865FC">
        <w:rPr>
          <w:rFonts w:ascii="Times New Roman" w:eastAsia="Times New Roman" w:hAnsi="Times New Roman" w:cs="Times New Roman"/>
          <w:sz w:val="24"/>
          <w:szCs w:val="24"/>
          <w:lang w:eastAsia="en-GB"/>
        </w:rPr>
        <w:t>MobileNet</w:t>
      </w:r>
      <w:proofErr w:type="spellEnd"/>
      <w:r w:rsidRPr="002865FC">
        <w:rPr>
          <w:rFonts w:ascii="Times New Roman" w:eastAsia="Times New Roman" w:hAnsi="Times New Roman" w:cs="Times New Roman"/>
          <w:sz w:val="24"/>
          <w:szCs w:val="24"/>
          <w:lang w:eastAsia="en-GB"/>
        </w:rPr>
        <w:t xml:space="preserve">, together with post-training optimisation techniques like model pruning, weight quantisation, and knowledge distillation, have gone some way towards addressing the challenge of compressing models for edge deployment (Atila et al., 2021). Even lightweight models, however, depend on reasonably good image acquisition conditions to reach the accuracy levels reported in controlled benchmarks. The quality of images captured on low-cost smartphones in the field—prone to motion blur, poor focus, awkward framing, and lighting that swings unpredictably—is an </w:t>
      </w:r>
      <w:r w:rsidRPr="002865FC">
        <w:rPr>
          <w:rFonts w:ascii="Times New Roman" w:eastAsia="Times New Roman" w:hAnsi="Times New Roman" w:cs="Times New Roman"/>
          <w:sz w:val="24"/>
          <w:szCs w:val="24"/>
          <w:lang w:eastAsia="en-GB"/>
        </w:rPr>
        <w:lastRenderedPageBreak/>
        <w:t>underappreciated bottleneck in the chain that ultimately determines how well a deployed disease detection application performs (</w:t>
      </w:r>
      <w:r w:rsidR="000A3E0F" w:rsidRPr="000A3E0F">
        <w:rPr>
          <w:rFonts w:ascii="Times New Roman" w:eastAsia="Times New Roman" w:hAnsi="Times New Roman" w:cs="Times New Roman"/>
          <w:sz w:val="24"/>
          <w:szCs w:val="24"/>
          <w:lang w:eastAsia="en-GB"/>
        </w:rPr>
        <w:t>Abade et al., 2021</w:t>
      </w:r>
      <w:r w:rsidRPr="002865FC">
        <w:rPr>
          <w:rFonts w:ascii="Times New Roman" w:eastAsia="Times New Roman" w:hAnsi="Times New Roman" w:cs="Times New Roman"/>
          <w:sz w:val="24"/>
          <w:szCs w:val="24"/>
          <w:lang w:eastAsia="en-GB"/>
        </w:rPr>
        <w:t>).</w:t>
      </w:r>
    </w:p>
    <w:p w14:paraId="6BECEA20"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further problem, rarely addressed directly in the literature, is that most published studies evaluate models on static datasets captured at a single point in time. This leaves open the question of how performance holds up as crops move through different growth stages, as new pathogen variants emerge through mutation and selection, or as pathogen populations evolve under the selective pressure of ongoing disease management practices. Developing robust protocols for monitoring, maintaining, and updating deployed agricultural AI systems remains an important operational challenge that has received far less systematic attention than it warrants.</w:t>
      </w:r>
    </w:p>
    <w:p w14:paraId="7ADEABF5" w14:textId="77777777" w:rsidR="002865FC" w:rsidRPr="002865FC" w:rsidRDefault="002865FC" w:rsidP="002865F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8.3 Explainability and Stakeholder Trust</w:t>
      </w:r>
    </w:p>
    <w:p w14:paraId="4B77CA38"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persistent concern running through the agricultural AI literature concerns the interpretability of CNN predictions. Deep neural networks are, by their nature, poorly suited to intuitive human explanation: a model may achieve high classification accuracy, yet the internal computations driving any particular diagnostic prediction remain opaque to end users without specialist training. This opacity is not a merely academic concern in an agricultural context. A farmer or agronomist using a CNN-based diagnostic application needs more than a predicted disease label—they need some indication of how confident that prediction is and what evidence it rests on, particularly when the recommended response involves significant expense, irreversible action, or the use of regulated chemical inputs (Sharma et al., 2021).</w:t>
      </w:r>
    </w:p>
    <w:p w14:paraId="4D9595B1"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Methods such as gradient-weighted class activation mapping, saliency map visualisation, and attention mechanism analysis have been applied in a number of plant disease detection studies to show which image regions most strongly influence a given classification, offering at least partial insight into how the model is reasoning (Liu &amp; Wang,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 These approaches can offer some reassurance that a model is responding to genuinely disease-relevant visual features—lesion boundaries, surface texture changes, chlorotic patterns—rather than to incidental background elements or imaging artefacts. That said, these interpretability methods remain computationally demanding, are not always reliably informative in practice, and have rarely been integrated into the farmer-facing applications that actually exist.</w:t>
      </w:r>
    </w:p>
    <w:p w14:paraId="7E9C8ED9"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Sujatha et al. (2021) made an important observation here: farmer adoption of AI-based diagnostic tools tends to hinge not on benchmark accuracy under controlled conditions but on perceived reliability and trustworthiness in everyday use—a bar that many current systems, judged honestly against the realities of agricultural practice, struggle to clear consistently. Closing this credibility gap will require more than technical improvements to model robustness and interpretability; it will also require sustained engagement with farming communities to understand what kind of information they actually need and trust.</w:t>
      </w:r>
    </w:p>
    <w:p w14:paraId="57211C15"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Table 5 brings together the principal challenges discussed in this section.</w:t>
      </w:r>
    </w:p>
    <w:p w14:paraId="2C3F3835" w14:textId="77777777" w:rsidR="002865FC" w:rsidRDefault="002865FC" w:rsidP="002865FC">
      <w:pPr>
        <w:spacing w:after="0" w:line="240" w:lineRule="auto"/>
        <w:rPr>
          <w:rFonts w:ascii="Times New Roman" w:eastAsia="Times New Roman" w:hAnsi="Times New Roman" w:cs="Times New Roman"/>
          <w:sz w:val="24"/>
          <w:szCs w:val="24"/>
          <w:lang w:eastAsia="en-GB"/>
        </w:rPr>
      </w:pPr>
    </w:p>
    <w:p w14:paraId="208F7EB3" w14:textId="77777777" w:rsidR="00872FC7" w:rsidRDefault="00872FC7" w:rsidP="002865FC">
      <w:pPr>
        <w:spacing w:after="0" w:line="240" w:lineRule="auto"/>
        <w:rPr>
          <w:rFonts w:ascii="Times New Roman" w:eastAsia="Times New Roman" w:hAnsi="Times New Roman" w:cs="Times New Roman"/>
          <w:sz w:val="24"/>
          <w:szCs w:val="24"/>
          <w:lang w:eastAsia="en-GB"/>
        </w:rPr>
      </w:pPr>
    </w:p>
    <w:p w14:paraId="5A96B0F2" w14:textId="77777777" w:rsidR="00872FC7" w:rsidRDefault="00872FC7" w:rsidP="002865FC">
      <w:pPr>
        <w:spacing w:after="0" w:line="240" w:lineRule="auto"/>
        <w:rPr>
          <w:rFonts w:ascii="Times New Roman" w:eastAsia="Times New Roman" w:hAnsi="Times New Roman" w:cs="Times New Roman"/>
          <w:sz w:val="24"/>
          <w:szCs w:val="24"/>
          <w:lang w:eastAsia="en-GB"/>
        </w:rPr>
      </w:pPr>
    </w:p>
    <w:p w14:paraId="78BD1DB1" w14:textId="77777777" w:rsidR="00872FC7" w:rsidRPr="002865FC" w:rsidRDefault="00872FC7" w:rsidP="002865FC">
      <w:pPr>
        <w:spacing w:after="0" w:line="240" w:lineRule="auto"/>
        <w:rPr>
          <w:rFonts w:ascii="Times New Roman" w:eastAsia="Times New Roman" w:hAnsi="Times New Roman" w:cs="Times New Roman"/>
          <w:sz w:val="24"/>
          <w:szCs w:val="24"/>
          <w:lang w:eastAsia="en-GB"/>
        </w:rPr>
      </w:pPr>
    </w:p>
    <w:p w14:paraId="105C1649"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lastRenderedPageBreak/>
        <w:t>Table 5.</w:t>
      </w:r>
      <w:r w:rsidRPr="002865FC">
        <w:rPr>
          <w:rFonts w:ascii="Times New Roman" w:eastAsia="Times New Roman" w:hAnsi="Times New Roman" w:cs="Times New Roman"/>
          <w:sz w:val="24"/>
          <w:szCs w:val="24"/>
          <w:lang w:eastAsia="en-GB"/>
        </w:rPr>
        <w:t xml:space="preserve"> Principal Challenges in CNN-Based Plant Disease Detection</w:t>
      </w:r>
    </w:p>
    <w:tbl>
      <w:tblPr>
        <w:tblStyle w:val="TableGrid"/>
        <w:tblW w:w="0" w:type="auto"/>
        <w:tblLook w:val="04A0" w:firstRow="1" w:lastRow="0" w:firstColumn="1" w:lastColumn="0" w:noHBand="0" w:noVBand="1"/>
      </w:tblPr>
      <w:tblGrid>
        <w:gridCol w:w="1857"/>
        <w:gridCol w:w="3014"/>
        <w:gridCol w:w="4371"/>
      </w:tblGrid>
      <w:tr w:rsidR="002865FC" w:rsidRPr="002865FC" w14:paraId="4F3BC131" w14:textId="77777777" w:rsidTr="00BF38E6">
        <w:tc>
          <w:tcPr>
            <w:tcW w:w="0" w:type="auto"/>
            <w:hideMark/>
          </w:tcPr>
          <w:p w14:paraId="37CF9782"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Challenge Category</w:t>
            </w:r>
          </w:p>
        </w:tc>
        <w:tc>
          <w:tcPr>
            <w:tcW w:w="0" w:type="auto"/>
            <w:hideMark/>
          </w:tcPr>
          <w:p w14:paraId="31F4176A"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Specific Issue</w:t>
            </w:r>
          </w:p>
        </w:tc>
        <w:tc>
          <w:tcPr>
            <w:tcW w:w="0" w:type="auto"/>
            <w:hideMark/>
          </w:tcPr>
          <w:p w14:paraId="7C331864" w14:textId="77777777" w:rsidR="002865FC" w:rsidRPr="002865FC" w:rsidRDefault="002865FC" w:rsidP="002865FC">
            <w:pPr>
              <w:jc w:val="center"/>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Status of Research Response</w:t>
            </w:r>
          </w:p>
        </w:tc>
      </w:tr>
      <w:tr w:rsidR="002865FC" w:rsidRPr="002865FC" w14:paraId="4AE39717" w14:textId="77777777" w:rsidTr="00BF38E6">
        <w:tc>
          <w:tcPr>
            <w:tcW w:w="0" w:type="auto"/>
            <w:hideMark/>
          </w:tcPr>
          <w:p w14:paraId="426F613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Dataset bias</w:t>
            </w:r>
          </w:p>
        </w:tc>
        <w:tc>
          <w:tcPr>
            <w:tcW w:w="0" w:type="auto"/>
            <w:hideMark/>
          </w:tcPr>
          <w:p w14:paraId="45F19B2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Controlled lab imagery; limited geographic and cultivar diversity</w:t>
            </w:r>
          </w:p>
        </w:tc>
        <w:tc>
          <w:tcPr>
            <w:tcW w:w="0" w:type="auto"/>
            <w:hideMark/>
          </w:tcPr>
          <w:p w14:paraId="60DAF48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Partially addressed by field datasets (Wiesner-Hanks et al., 2018; Ramcharan et al., 2017)</w:t>
            </w:r>
          </w:p>
        </w:tc>
      </w:tr>
      <w:tr w:rsidR="002865FC" w:rsidRPr="002865FC" w14:paraId="7385C1C9" w14:textId="77777777" w:rsidTr="00BF38E6">
        <w:tc>
          <w:tcPr>
            <w:tcW w:w="0" w:type="auto"/>
            <w:hideMark/>
          </w:tcPr>
          <w:p w14:paraId="1828221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Generalisation failure</w:t>
            </w:r>
          </w:p>
        </w:tc>
        <w:tc>
          <w:tcPr>
            <w:tcW w:w="0" w:type="auto"/>
            <w:hideMark/>
          </w:tcPr>
          <w:p w14:paraId="56B103A1"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Domain shift from lab to field; distribution mismatch</w:t>
            </w:r>
          </w:p>
        </w:tc>
        <w:tc>
          <w:tcPr>
            <w:tcW w:w="0" w:type="auto"/>
            <w:hideMark/>
          </w:tcPr>
          <w:p w14:paraId="5FE51C91"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Active but unresolved: domain adaptation and augmentation (Chen et al., 2020; Paymode &amp; Malode, 2022)</w:t>
            </w:r>
          </w:p>
        </w:tc>
      </w:tr>
      <w:tr w:rsidR="002865FC" w:rsidRPr="002865FC" w14:paraId="52732D7F" w14:textId="77777777" w:rsidTr="00BF38E6">
        <w:tc>
          <w:tcPr>
            <w:tcW w:w="0" w:type="auto"/>
            <w:hideMark/>
          </w:tcPr>
          <w:p w14:paraId="6D68376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Class imbalance</w:t>
            </w:r>
          </w:p>
        </w:tc>
        <w:tc>
          <w:tcPr>
            <w:tcW w:w="0" w:type="auto"/>
            <w:hideMark/>
          </w:tcPr>
          <w:p w14:paraId="522330BB"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Rare diseases inadequately represented</w:t>
            </w:r>
          </w:p>
        </w:tc>
        <w:tc>
          <w:tcPr>
            <w:tcW w:w="0" w:type="auto"/>
            <w:hideMark/>
          </w:tcPr>
          <w:p w14:paraId="2B115193"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Oversampling and GAN-based synthesis; limited evidence of effectiveness</w:t>
            </w:r>
          </w:p>
        </w:tc>
      </w:tr>
      <w:tr w:rsidR="002865FC" w:rsidRPr="002865FC" w14:paraId="3B227D11" w14:textId="77777777" w:rsidTr="00BF38E6">
        <w:tc>
          <w:tcPr>
            <w:tcW w:w="0" w:type="auto"/>
            <w:hideMark/>
          </w:tcPr>
          <w:p w14:paraId="27A54AB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Edge deployment</w:t>
            </w:r>
          </w:p>
        </w:tc>
        <w:tc>
          <w:tcPr>
            <w:tcW w:w="0" w:type="auto"/>
            <w:hideMark/>
          </w:tcPr>
          <w:p w14:paraId="0B2FFF5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Constrained compute; absence of connectivity</w:t>
            </w:r>
          </w:p>
        </w:tc>
        <w:tc>
          <w:tcPr>
            <w:tcW w:w="0" w:type="auto"/>
            <w:hideMark/>
          </w:tcPr>
          <w:p w14:paraId="4B634A3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Partially addressed by lightweight architectures (Atila et al., 2021)</w:t>
            </w:r>
          </w:p>
        </w:tc>
      </w:tr>
      <w:tr w:rsidR="002865FC" w:rsidRPr="002865FC" w14:paraId="318D03C4" w14:textId="77777777" w:rsidTr="00BF38E6">
        <w:tc>
          <w:tcPr>
            <w:tcW w:w="0" w:type="auto"/>
            <w:hideMark/>
          </w:tcPr>
          <w:p w14:paraId="3524B64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Model interpretability</w:t>
            </w:r>
          </w:p>
        </w:tc>
        <w:tc>
          <w:tcPr>
            <w:tcW w:w="0" w:type="auto"/>
            <w:hideMark/>
          </w:tcPr>
          <w:p w14:paraId="5C7208CD"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Black-box predictions; low stakeholder trust</w:t>
            </w:r>
          </w:p>
        </w:tc>
        <w:tc>
          <w:tcPr>
            <w:tcW w:w="0" w:type="auto"/>
            <w:hideMark/>
          </w:tcPr>
          <w:p w14:paraId="1DC88B1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Exploratory: Grad-CAM and saliency methods (Liu &amp; Wang,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w:t>
            </w:r>
          </w:p>
        </w:tc>
      </w:tr>
      <w:tr w:rsidR="002865FC" w:rsidRPr="002865FC" w14:paraId="75A27C2F" w14:textId="77777777" w:rsidTr="00BF38E6">
        <w:tc>
          <w:tcPr>
            <w:tcW w:w="0" w:type="auto"/>
            <w:hideMark/>
          </w:tcPr>
          <w:p w14:paraId="09D64D33"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Temporal robustness</w:t>
            </w:r>
          </w:p>
        </w:tc>
        <w:tc>
          <w:tcPr>
            <w:tcW w:w="0" w:type="auto"/>
            <w:hideMark/>
          </w:tcPr>
          <w:p w14:paraId="7D5C4C94"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Static models; evolving pathogen populations</w:t>
            </w:r>
          </w:p>
        </w:tc>
        <w:tc>
          <w:tcPr>
            <w:tcW w:w="0" w:type="auto"/>
            <w:hideMark/>
          </w:tcPr>
          <w:p w14:paraId="58F2CCAA"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Largely unaddressed; active research gap</w:t>
            </w:r>
          </w:p>
        </w:tc>
      </w:tr>
      <w:tr w:rsidR="002865FC" w:rsidRPr="002865FC" w14:paraId="52950340" w14:textId="77777777" w:rsidTr="00BF38E6">
        <w:tc>
          <w:tcPr>
            <w:tcW w:w="0" w:type="auto"/>
            <w:hideMark/>
          </w:tcPr>
          <w:p w14:paraId="7582FC86"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Equity of access</w:t>
            </w:r>
          </w:p>
        </w:tc>
        <w:tc>
          <w:tcPr>
            <w:tcW w:w="0" w:type="auto"/>
            <w:hideMark/>
          </w:tcPr>
          <w:p w14:paraId="3D1E9EC9"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Commercial platforms limit smallholder reach</w:t>
            </w:r>
          </w:p>
        </w:tc>
        <w:tc>
          <w:tcPr>
            <w:tcW w:w="0" w:type="auto"/>
            <w:hideMark/>
          </w:tcPr>
          <w:p w14:paraId="5ABE5378" w14:textId="77777777" w:rsidR="002865FC" w:rsidRPr="002865FC" w:rsidRDefault="002865FC" w:rsidP="002865FC">
            <w:pPr>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Limited open-source progress; co-design frameworks needed</w:t>
            </w:r>
          </w:p>
        </w:tc>
      </w:tr>
    </w:tbl>
    <w:p w14:paraId="39AA943A"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 xml:space="preserve">Sources: </w:t>
      </w:r>
      <w:proofErr w:type="spellStart"/>
      <w:r w:rsidRPr="002865FC">
        <w:rPr>
          <w:rFonts w:ascii="Times New Roman" w:eastAsia="Times New Roman" w:hAnsi="Times New Roman" w:cs="Times New Roman"/>
          <w:i/>
          <w:iCs/>
          <w:sz w:val="24"/>
          <w:szCs w:val="24"/>
          <w:lang w:eastAsia="en-GB"/>
        </w:rPr>
        <w:t>Barbedo</w:t>
      </w:r>
      <w:proofErr w:type="spellEnd"/>
      <w:r w:rsidRPr="002865FC">
        <w:rPr>
          <w:rFonts w:ascii="Times New Roman" w:eastAsia="Times New Roman" w:hAnsi="Times New Roman" w:cs="Times New Roman"/>
          <w:i/>
          <w:iCs/>
          <w:sz w:val="24"/>
          <w:szCs w:val="24"/>
          <w:lang w:eastAsia="en-GB"/>
        </w:rPr>
        <w:t xml:space="preserve"> (2018, 2019); Pantazi et al. (2019); </w:t>
      </w:r>
      <w:proofErr w:type="spellStart"/>
      <w:r w:rsidRPr="002865FC">
        <w:rPr>
          <w:rFonts w:ascii="Times New Roman" w:eastAsia="Times New Roman" w:hAnsi="Times New Roman" w:cs="Times New Roman"/>
          <w:i/>
          <w:iCs/>
          <w:sz w:val="24"/>
          <w:szCs w:val="24"/>
          <w:lang w:eastAsia="en-GB"/>
        </w:rPr>
        <w:t>Geetharamani</w:t>
      </w:r>
      <w:proofErr w:type="spellEnd"/>
      <w:r w:rsidRPr="002865FC">
        <w:rPr>
          <w:rFonts w:ascii="Times New Roman" w:eastAsia="Times New Roman" w:hAnsi="Times New Roman" w:cs="Times New Roman"/>
          <w:i/>
          <w:iCs/>
          <w:sz w:val="24"/>
          <w:szCs w:val="24"/>
          <w:lang w:eastAsia="en-GB"/>
        </w:rPr>
        <w:t xml:space="preserve"> &amp; Pandian (2019); Atila et al. (2021); </w:t>
      </w:r>
      <w:r w:rsidR="000A3E0F" w:rsidRPr="000A3E0F">
        <w:rPr>
          <w:rFonts w:ascii="Times New Roman" w:eastAsia="Times New Roman" w:hAnsi="Times New Roman" w:cs="Times New Roman"/>
          <w:i/>
          <w:iCs/>
          <w:sz w:val="24"/>
          <w:szCs w:val="24"/>
          <w:lang w:eastAsia="en-GB"/>
        </w:rPr>
        <w:t>Abade et al.,</w:t>
      </w:r>
      <w:r w:rsidR="000A3E0F">
        <w:rPr>
          <w:rFonts w:ascii="Times New Roman" w:eastAsia="Times New Roman" w:hAnsi="Times New Roman" w:cs="Times New Roman"/>
          <w:i/>
          <w:iCs/>
          <w:sz w:val="24"/>
          <w:szCs w:val="24"/>
          <w:lang w:eastAsia="en-GB"/>
        </w:rPr>
        <w:t xml:space="preserve"> (</w:t>
      </w:r>
      <w:r w:rsidR="000A3E0F" w:rsidRPr="000A3E0F">
        <w:rPr>
          <w:rFonts w:ascii="Times New Roman" w:eastAsia="Times New Roman" w:hAnsi="Times New Roman" w:cs="Times New Roman"/>
          <w:i/>
          <w:iCs/>
          <w:sz w:val="24"/>
          <w:szCs w:val="24"/>
          <w:lang w:eastAsia="en-GB"/>
        </w:rPr>
        <w:t>2021</w:t>
      </w:r>
      <w:r w:rsidR="000A3E0F">
        <w:rPr>
          <w:rFonts w:ascii="Times New Roman" w:eastAsia="Times New Roman" w:hAnsi="Times New Roman" w:cs="Times New Roman"/>
          <w:i/>
          <w:iCs/>
          <w:sz w:val="24"/>
          <w:szCs w:val="24"/>
          <w:lang w:eastAsia="en-GB"/>
        </w:rPr>
        <w:t>)</w:t>
      </w:r>
      <w:r w:rsidRPr="002865FC">
        <w:rPr>
          <w:rFonts w:ascii="Times New Roman" w:eastAsia="Times New Roman" w:hAnsi="Times New Roman" w:cs="Times New Roman"/>
          <w:i/>
          <w:iCs/>
          <w:sz w:val="24"/>
          <w:szCs w:val="24"/>
          <w:lang w:eastAsia="en-GB"/>
        </w:rPr>
        <w:t xml:space="preserve">; </w:t>
      </w:r>
      <w:proofErr w:type="spellStart"/>
      <w:r w:rsidR="000A3E0F" w:rsidRPr="000A3E0F">
        <w:rPr>
          <w:rFonts w:ascii="Times New Roman" w:eastAsia="Times New Roman" w:hAnsi="Times New Roman" w:cs="Times New Roman"/>
          <w:i/>
          <w:iCs/>
          <w:sz w:val="24"/>
          <w:szCs w:val="24"/>
          <w:lang w:eastAsia="en-GB"/>
        </w:rPr>
        <w:t>Fenu</w:t>
      </w:r>
      <w:proofErr w:type="spellEnd"/>
      <w:r w:rsidR="000A3E0F" w:rsidRPr="000A3E0F">
        <w:rPr>
          <w:rFonts w:ascii="Times New Roman" w:eastAsia="Times New Roman" w:hAnsi="Times New Roman" w:cs="Times New Roman"/>
          <w:i/>
          <w:iCs/>
          <w:sz w:val="24"/>
          <w:szCs w:val="24"/>
          <w:lang w:eastAsia="en-GB"/>
        </w:rPr>
        <w:t xml:space="preserve"> et al., </w:t>
      </w:r>
      <w:r w:rsidR="000A3E0F">
        <w:rPr>
          <w:rFonts w:ascii="Times New Roman" w:eastAsia="Times New Roman" w:hAnsi="Times New Roman" w:cs="Times New Roman"/>
          <w:i/>
          <w:iCs/>
          <w:sz w:val="24"/>
          <w:szCs w:val="24"/>
          <w:lang w:eastAsia="en-GB"/>
        </w:rPr>
        <w:t>(</w:t>
      </w:r>
      <w:r w:rsidR="000A3E0F" w:rsidRPr="000A3E0F">
        <w:rPr>
          <w:rFonts w:ascii="Times New Roman" w:eastAsia="Times New Roman" w:hAnsi="Times New Roman" w:cs="Times New Roman"/>
          <w:i/>
          <w:iCs/>
          <w:sz w:val="24"/>
          <w:szCs w:val="24"/>
          <w:lang w:eastAsia="en-GB"/>
        </w:rPr>
        <w:t>2021</w:t>
      </w:r>
      <w:r w:rsidRPr="002865FC">
        <w:rPr>
          <w:rFonts w:ascii="Times New Roman" w:eastAsia="Times New Roman" w:hAnsi="Times New Roman" w:cs="Times New Roman"/>
          <w:i/>
          <w:iCs/>
          <w:sz w:val="24"/>
          <w:szCs w:val="24"/>
          <w:lang w:eastAsia="en-GB"/>
        </w:rPr>
        <w:t>); Liu &amp; Wang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i/>
          <w:iCs/>
          <w:sz w:val="24"/>
          <w:szCs w:val="24"/>
          <w:lang w:eastAsia="en-GB"/>
        </w:rPr>
        <w:t>); Sujatha et al. (2021); Chen et al. (2020); Paymode &amp; Malode (2022); Wiesner-Hanks et al. (2018); Ramcharan et al. (2017)</w:t>
      </w:r>
    </w:p>
    <w:p w14:paraId="60055713"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What emerges from Table 5 is that the field's research response is uneven: dataset bias and edge deployment have seen at least partial progress, whereas temporal robustness and equity of access remain largely unaddressed despite their clear practical importance. This unevenness is itself instructive, and it informs much of the research agenda set out in the section that follows.</w:t>
      </w:r>
    </w:p>
    <w:p w14:paraId="47EA6438"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06139CE7"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9. Future Research Directions</w:t>
      </w:r>
    </w:p>
    <w:p w14:paraId="3976F441"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Several priorities emerge from this review as deserving sustained, coordinated investment. The most fundamental is the collection of ecologically representative, field-based training data that genuinely captures the breadth of disease symptom variation, host cultivar diversity, geographic provenance, environmental modulation, and co-occurring stress patterns found in real agricultural systems. Concerted international efforts to develop and openly share such datasets—building on the precedent set, in admittedly limited crop and geographic contexts, by Wiesner-Hanks et al. (2018) and Ramcharan et al. (2017)—would go a long way towards reducing the dataset bias that currently prevents CNN models from generalising beyond their training distribution.</w:t>
      </w:r>
    </w:p>
    <w:p w14:paraId="23852D25"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A second priority is the systematic development and testing of domain adaptation, self-supervised pre-training, and cross-domain transfer learning methods capable of bridging the persistent gap between source training distributions and real-world deployment environments. Few-shot and zero-shot learning frameworks, which aim to support disease recognition from </w:t>
      </w:r>
      <w:r w:rsidRPr="002865FC">
        <w:rPr>
          <w:rFonts w:ascii="Times New Roman" w:eastAsia="Times New Roman" w:hAnsi="Times New Roman" w:cs="Times New Roman"/>
          <w:sz w:val="24"/>
          <w:szCs w:val="24"/>
          <w:lang w:eastAsia="en-GB"/>
        </w:rPr>
        <w:lastRenderedPageBreak/>
        <w:t xml:space="preserve">very limited or even zero task-specific training examples by drawing on broader semantic and structural knowledge, seem particularly relevant here, given how often novel disease variants and previously uncharacterised outbreaks arise in farming systems under environmental and evolutionary pressure (Liu &amp; Wang,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 The early work on transfer learning for pest and disease classification by Thenmozhi and Reddy (2019) offers a foundation that broader cross-crop and cross-ecosystem generalisation research could usefully build upon.</w:t>
      </w:r>
    </w:p>
    <w:p w14:paraId="47219B83"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Third, the field would benefit considerably from more rigorous, standardised, and transparent evaluation protocols. At a minimum, published studies should report out-of-distribution test performance alongside in-distribution accuracy, present per-class performance metrics rather than relying on aggregate figures alone, provide calibration analyses showing that confidence scores actually reflect diagnostic reliability, and document the imaging conditions and device specifications used for both training and testing. The current inconsistency in evaluation methodology makes it genuinely difficult to compare results across studies, and risks misleading practitioners about how ready specific systems really are (</w:t>
      </w:r>
      <w:proofErr w:type="spellStart"/>
      <w:r w:rsidRPr="002865FC">
        <w:rPr>
          <w:rFonts w:ascii="Times New Roman" w:eastAsia="Times New Roman" w:hAnsi="Times New Roman" w:cs="Times New Roman"/>
          <w:sz w:val="24"/>
          <w:szCs w:val="24"/>
          <w:lang w:eastAsia="en-GB"/>
        </w:rPr>
        <w:t>Barbedo</w:t>
      </w:r>
      <w:proofErr w:type="spellEnd"/>
      <w:r w:rsidRPr="002865FC">
        <w:rPr>
          <w:rFonts w:ascii="Times New Roman" w:eastAsia="Times New Roman" w:hAnsi="Times New Roman" w:cs="Times New Roman"/>
          <w:sz w:val="24"/>
          <w:szCs w:val="24"/>
          <w:lang w:eastAsia="en-GB"/>
        </w:rPr>
        <w:t xml:space="preserve">, 2019; </w:t>
      </w:r>
      <w:r w:rsidR="000A3E0F" w:rsidRPr="000A3E0F">
        <w:rPr>
          <w:rFonts w:ascii="Times New Roman" w:eastAsia="Times New Roman" w:hAnsi="Times New Roman" w:cs="Times New Roman"/>
          <w:sz w:val="24"/>
          <w:szCs w:val="24"/>
          <w:lang w:eastAsia="en-GB"/>
        </w:rPr>
        <w:t>Abade et al., 2021</w:t>
      </w:r>
      <w:r w:rsidRPr="002865FC">
        <w:rPr>
          <w:rFonts w:ascii="Times New Roman" w:eastAsia="Times New Roman" w:hAnsi="Times New Roman" w:cs="Times New Roman"/>
          <w:sz w:val="24"/>
          <w:szCs w:val="24"/>
          <w:lang w:eastAsia="en-GB"/>
        </w:rPr>
        <w:t>).</w:t>
      </w:r>
    </w:p>
    <w:p w14:paraId="6F57DDD5"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Fourth, explainable AI methods deserve much deeper integration into agricultural CNN research than they currently receive. Beyond their obvious value for building farmer and agronomist trust, interpretability tools can serve a diagnostic function during model development itself, revealing cases where a classifier has learned to exploit spurious statistical correlations rather than genuine pathological features (Sharma et al., 2021). Developing lightweight, real-time interpretability methods that can run on mobile applications at the edge is a specific, tractable problem where targeted investment could pay real practical dividends.</w:t>
      </w:r>
    </w:p>
    <w:p w14:paraId="18E62E24"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Fifth, multi-modal data fusion approaches—combining visible-spectrum RGB imagery with hyperspectral, thermal, near-infrared, or active canopy spectroscopy data—deserve expanded and more systematic investigation. As </w:t>
      </w:r>
      <w:proofErr w:type="spellStart"/>
      <w:r w:rsidRPr="002865FC">
        <w:rPr>
          <w:rFonts w:ascii="Times New Roman" w:eastAsia="Times New Roman" w:hAnsi="Times New Roman" w:cs="Times New Roman"/>
          <w:sz w:val="24"/>
          <w:szCs w:val="24"/>
          <w:lang w:eastAsia="en-GB"/>
        </w:rPr>
        <w:t>Golhani</w:t>
      </w:r>
      <w:proofErr w:type="spellEnd"/>
      <w:r w:rsidRPr="002865FC">
        <w:rPr>
          <w:rFonts w:ascii="Times New Roman" w:eastAsia="Times New Roman" w:hAnsi="Times New Roman" w:cs="Times New Roman"/>
          <w:sz w:val="24"/>
          <w:szCs w:val="24"/>
          <w:lang w:eastAsia="en-GB"/>
        </w:rPr>
        <w:t xml:space="preserve"> et al. (2018) and </w:t>
      </w:r>
      <w:proofErr w:type="spellStart"/>
      <w:r w:rsidRPr="002865FC">
        <w:rPr>
          <w:rFonts w:ascii="Times New Roman" w:eastAsia="Times New Roman" w:hAnsi="Times New Roman" w:cs="Times New Roman"/>
          <w:sz w:val="24"/>
          <w:szCs w:val="24"/>
          <w:lang w:eastAsia="en-GB"/>
        </w:rPr>
        <w:t>Barbedo</w:t>
      </w:r>
      <w:proofErr w:type="spellEnd"/>
      <w:r w:rsidRPr="002865FC">
        <w:rPr>
          <w:rFonts w:ascii="Times New Roman" w:eastAsia="Times New Roman" w:hAnsi="Times New Roman" w:cs="Times New Roman"/>
          <w:sz w:val="24"/>
          <w:szCs w:val="24"/>
          <w:lang w:eastAsia="en-GB"/>
        </w:rPr>
        <w:t xml:space="preserve"> (</w:t>
      </w:r>
      <w:r w:rsidR="000A3E0F">
        <w:rPr>
          <w:rFonts w:ascii="Times New Roman" w:eastAsia="Times New Roman" w:hAnsi="Times New Roman" w:cs="Times New Roman"/>
          <w:sz w:val="24"/>
          <w:szCs w:val="24"/>
          <w:lang w:eastAsia="en-GB"/>
        </w:rPr>
        <w:t>2023</w:t>
      </w:r>
      <w:r w:rsidRPr="002865FC">
        <w:rPr>
          <w:rFonts w:ascii="Times New Roman" w:eastAsia="Times New Roman" w:hAnsi="Times New Roman" w:cs="Times New Roman"/>
          <w:sz w:val="24"/>
          <w:szCs w:val="24"/>
          <w:lang w:eastAsia="en-GB"/>
        </w:rPr>
        <w:t>) have both shown, no single sensor type captures the full range of diagnostically relevant information about plant health. Continued progress in miniaturised multi-modal sensor design and in efficient multi-stream neural network architectures should steadily improve how practical such fusion systems are to deploy on mobile and airborne platforms.</w:t>
      </w:r>
    </w:p>
    <w:p w14:paraId="5184D4FF"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Sixth, there is an urgent need for longitudinal studies that examine the genuine economic and environmental impacts of deployed AI disease detection systems under real farming conditions rather than controlled experimental settings. Walter et al. (2017) called for smart farming technologies to be judged not solely on technical performance metrics but on their measurable contribution to broader sustainability outcomes—yield stability, input use efficiency, biodiversity impacts, and farmer household welfare. This call has gone largely unanswered in the CNN-based disease detection literature published since, and addressing this evidence gap would considerably strengthen the policy case for public investment in AI-enabled plant health infrastructure.</w:t>
      </w:r>
    </w:p>
    <w:p w14:paraId="6FEC2422"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Finally, participatory and co-design approaches that treat smallholder farmers, agricultural extension workers, and local plant pathologists as active partners—rather than passive end-users—in developing and validating AI diagnostic tools offer a genuinely promising path towards tools that are both contextually relevant and more likely to be adopted and sustained in the communities that need them most. Locally collected training data, locally validated recommendations, locally appropriate interfaces, and language accessibility are not </w:t>
      </w:r>
      <w:r w:rsidRPr="002865FC">
        <w:rPr>
          <w:rFonts w:ascii="Times New Roman" w:eastAsia="Times New Roman" w:hAnsi="Times New Roman" w:cs="Times New Roman"/>
          <w:sz w:val="24"/>
          <w:szCs w:val="24"/>
          <w:lang w:eastAsia="en-GB"/>
        </w:rPr>
        <w:lastRenderedPageBreak/>
        <w:t>refinements to be added later; they are foundational requirements if these tools are to serve diverse agricultural communities fairly and effectively.</w:t>
      </w:r>
    </w:p>
    <w:p w14:paraId="513322F6"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31D125E3"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10. Conclusions</w:t>
      </w:r>
    </w:p>
    <w:p w14:paraId="3FA74C3B"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This review has set out to critically synthesise a substantial and rapidly expanding body of evidence on the application of convolutional neural networks to plant disease detection, situating that technical literature within the broader concerns of smart agriculture system design, agribusiness economics, and long-term agricultural sustainability. The headline finding is that CNNs have demonstrated remarkable technical capability for plant disease classification under controlled benchmark conditions, with leading architectures reaching classification accuracies above 99 per cent on well-established datasets. These results reflect real and substantial progress in deep learning methodology—transfer learning, targeted data augmentation, efficient architectural design, and multi-modal sensing integration among them—and they confirm that image-based CNN approaches are fundamentally well suited to the pattern recognition demands of plant pathology.</w:t>
      </w:r>
    </w:p>
    <w:p w14:paraId="10245A50"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At the same time, this review has identified persistent limitations, some insufficiently acknowledged in the published literature, that substantially constrain the translation of laboratory benchmark performance into operational agricultural value. Generalisation from controlled laboratory datasets to complex, variable field environments remains the central unresolved problem in this field. The </w:t>
      </w:r>
      <w:proofErr w:type="spellStart"/>
      <w:r w:rsidRPr="002865FC">
        <w:rPr>
          <w:rFonts w:ascii="Times New Roman" w:eastAsia="Times New Roman" w:hAnsi="Times New Roman" w:cs="Times New Roman"/>
          <w:sz w:val="24"/>
          <w:szCs w:val="24"/>
          <w:lang w:eastAsia="en-GB"/>
        </w:rPr>
        <w:t>PlantVillage</w:t>
      </w:r>
      <w:proofErr w:type="spellEnd"/>
      <w:r w:rsidRPr="002865FC">
        <w:rPr>
          <w:rFonts w:ascii="Times New Roman" w:eastAsia="Times New Roman" w:hAnsi="Times New Roman" w:cs="Times New Roman"/>
          <w:sz w:val="24"/>
          <w:szCs w:val="24"/>
          <w:lang w:eastAsia="en-GB"/>
        </w:rPr>
        <w:t xml:space="preserve"> dataset, for all its genuine contributions to model development and comparative evaluation, has arguably fostered a research culture in which reported accuracy reflects, to a meaningful degree, memorisation of dataset-specific statistical properties rather than diagnostic competence across the full spectrum of conditions found in real agriculture. The gap between benchmark performance and field performance is not a minor caveat to be footnoted; it is a substantive barrier to adoption and impact that the field needs to confront more directly and with greater methodological seriousness than has generally been the case so far.</w:t>
      </w:r>
    </w:p>
    <w:p w14:paraId="5DA97199"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Integrating CNN-based disease detection with IoT sensor networks, UAV remote sensing, and edge inference computing represents a technically plausible and genuinely promising direction for operational smart agriculture. Early demonstrations across rice, maize, soybean, cassava, and tomato systems have been encouraging, and the trajectory of hardware development is favourable. Realising this integrated vision in full, however, will require sustained investment in digital connectivity infrastructure, accessible sensor technology, open-access training datasets, and validation frameworks suited to the temporal and spatial realities that deployed farming systems actually face.</w:t>
      </w:r>
    </w:p>
    <w:p w14:paraId="4877DFCF"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sustainability case for AI-assisted plant disease management is a strong one, given the scale of crop losses attributable to pathogens and the potential for precision intervention to reduce both economic damage and the environmental externalities of broad-spectrum agrochemical use. But sustainability, understood properly, requires that the benefits of AI adoption reach those most vulnerable to food insecurity—smallholder farming communities in low- and middle-income countries—rather than accruing mainly to well-resourced commercial agribusinesses. The field has made considerable and genuinely demonstrable technical progress over the decade since its foundational benchmarks were established. The task facing the research community now is to translate that technical capability into systems </w:t>
      </w:r>
      <w:r w:rsidRPr="002865FC">
        <w:rPr>
          <w:rFonts w:ascii="Times New Roman" w:eastAsia="Times New Roman" w:hAnsi="Times New Roman" w:cs="Times New Roman"/>
          <w:sz w:val="24"/>
          <w:szCs w:val="24"/>
          <w:lang w:eastAsia="en-GB"/>
        </w:rPr>
        <w:lastRenderedPageBreak/>
        <w:t>that demonstrably, equitably, and durably improve outcomes for farmers, crops, and the environments in which they are grown.</w:t>
      </w:r>
    </w:p>
    <w:p w14:paraId="39D1F140"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4620F10D" w14:textId="77777777" w:rsidR="002865FC" w:rsidRP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11. Limitations</w:t>
      </w:r>
    </w:p>
    <w:p w14:paraId="78CC6087"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This review is subject to several limitations that deserve transparent acknowledgement. As a narrative critical review rather than a systematic review with formal quantitative synthesis, the selection, weighting, and interpretation of evidence necessarily involves a degree of authorial judgement that a more protocol-constrained methodology would have limited. Although the search strategy was designed to be broad, and inclusion and exclusion criteria were defined explicitly from the outset, there remains a real possibility of publication bias in the underlying primary literature: positive results and high-performing models tend to be reported disproportionately, while null results, deployment failures, and negative findings often go unpublished. This could lead the available evidence base to overstate how mature CNN-based disease detection systems actually are. This is a limitation of the field's publication culture rather than of this review specifically, but it inevitably shapes any synthesis built on that literature.</w:t>
      </w:r>
    </w:p>
    <w:p w14:paraId="53A00EF5"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Second, this review was restricted to peer-reviewed journal publications and selected institutional reports published in English. Research published in other languages—including relevant work from agricultural and computer science research communities in China, Brazil, India, and other major agricultural economies—is therefore likely underrepresented here. The exclusion of conference proceedings also means that some of the most methodologically current contributions in computer science and agricultural engineering, fields where conference publication often serves as the primary venue for cutting-edge work, may not be captured in this evidence base.</w:t>
      </w:r>
    </w:p>
    <w:p w14:paraId="3E6AA6D8"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Third, this is a genuinely fast-moving field, and some conclusions drawn from the literature reviewed here may already have been partially superseded by work published between the search cutoff and the date of publication. In particular, the emergence of vision transformer architectures and large-scale pre-trained foundation models for agricultural image analysis represents an active frontier that was not yet well represented in the peer-reviewed journal literature at the time this search was conducted. Developments of this kind could well modify some of the conclusions reached here regarding the comparative performance of CNN architectures and the optimal strategies for transfer learning in plant disease detection.</w:t>
      </w:r>
    </w:p>
    <w:p w14:paraId="1C8F7E25" w14:textId="77777777" w:rsidR="002865FC" w:rsidRPr="002865FC" w:rsidRDefault="002865FC" w:rsidP="002865FC">
      <w:pPr>
        <w:spacing w:before="100" w:beforeAutospacing="1" w:after="100" w:afterAutospacing="1" w:line="240" w:lineRule="auto"/>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Finally, this review presents no original primary empirical data of its own. All findings and conclusions are derived from synthesising published secondary evidence, which necessarily limits the extent to which causal conclusions can be drawn about the effectiveness of specific technical approaches, or strongly contextualised prescriptive recommendations offered. The sheer diversity of crops, diseases, imaging conditions, and evaluation protocols across the studies reviewed here further limits how precisely any conclusion can be generalised to a specific deployment scenario.</w:t>
      </w:r>
    </w:p>
    <w:p w14:paraId="6774EC8D" w14:textId="77777777" w:rsidR="002F3B56" w:rsidRPr="000839CE" w:rsidRDefault="002F3B56" w:rsidP="002F3B56">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BA3B9C3" w14:textId="77777777" w:rsidR="002F3B56" w:rsidRPr="000839CE" w:rsidRDefault="002F3B56" w:rsidP="002F3B56">
      <w:pPr>
        <w:spacing w:after="0" w:line="240" w:lineRule="auto"/>
        <w:rPr>
          <w:rFonts w:ascii="Times New Roman" w:hAnsi="Times New Roman" w:cs="Times New Roman"/>
        </w:rPr>
      </w:pPr>
    </w:p>
    <w:p w14:paraId="231A2DD5" w14:textId="77777777" w:rsidR="002F3B56" w:rsidRPr="000839CE" w:rsidRDefault="002F3B56" w:rsidP="002F3B56">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w:t>
      </w:r>
      <w:r w:rsidRPr="00C56790">
        <w:rPr>
          <w:rFonts w:ascii="Times New Roman" w:hAnsi="Times New Roman" w:cs="Times New Roman"/>
        </w:rPr>
        <w:lastRenderedPageBreak/>
        <w:t>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7E70478" w14:textId="77777777" w:rsidR="002865FC" w:rsidRPr="002865FC" w:rsidRDefault="002865FC" w:rsidP="002865FC">
      <w:pPr>
        <w:spacing w:after="0" w:line="240" w:lineRule="auto"/>
        <w:rPr>
          <w:rFonts w:ascii="Times New Roman" w:eastAsia="Times New Roman" w:hAnsi="Times New Roman" w:cs="Times New Roman"/>
          <w:sz w:val="24"/>
          <w:szCs w:val="24"/>
          <w:lang w:eastAsia="en-GB"/>
        </w:rPr>
      </w:pPr>
    </w:p>
    <w:p w14:paraId="04A33DD3" w14:textId="77777777" w:rsidR="002865FC" w:rsidRDefault="002865FC" w:rsidP="002865F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References</w:t>
      </w:r>
    </w:p>
    <w:p w14:paraId="05876D0C"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Abade, A. S., Ferreira, P. A., &amp; Vidal, F. B. (2021). Plant diseases recognition on images using convolutional neural networks: A systematic review. Computers and Electronics in Agriculture, 185, 106125. https://doi.org/10.1016/j.compag.2021.106125</w:t>
      </w:r>
    </w:p>
    <w:p w14:paraId="376F0AF9"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Almadhor</w:t>
      </w:r>
      <w:proofErr w:type="spellEnd"/>
      <w:r w:rsidRPr="00BF38E6">
        <w:rPr>
          <w:rFonts w:ascii="Times New Roman" w:eastAsia="Times New Roman" w:hAnsi="Times New Roman" w:cs="Times New Roman"/>
          <w:bCs/>
          <w:sz w:val="24"/>
          <w:szCs w:val="27"/>
          <w:lang w:eastAsia="en-GB"/>
        </w:rPr>
        <w:t xml:space="preserve">, A., Rauf, H. T., Lali, M. I. U., </w:t>
      </w:r>
      <w:proofErr w:type="spellStart"/>
      <w:r w:rsidRPr="00BF38E6">
        <w:rPr>
          <w:rFonts w:ascii="Times New Roman" w:eastAsia="Times New Roman" w:hAnsi="Times New Roman" w:cs="Times New Roman"/>
          <w:bCs/>
          <w:sz w:val="24"/>
          <w:szCs w:val="27"/>
          <w:lang w:eastAsia="en-GB"/>
        </w:rPr>
        <w:t>Damaševičius</w:t>
      </w:r>
      <w:proofErr w:type="spellEnd"/>
      <w:r w:rsidRPr="00BF38E6">
        <w:rPr>
          <w:rFonts w:ascii="Times New Roman" w:eastAsia="Times New Roman" w:hAnsi="Times New Roman" w:cs="Times New Roman"/>
          <w:bCs/>
          <w:sz w:val="24"/>
          <w:szCs w:val="27"/>
          <w:lang w:eastAsia="en-GB"/>
        </w:rPr>
        <w:t xml:space="preserve">, R., Alouffi, B., &amp; Alharbi, A. (2021). AI-driven framework for recognition of guava plant diseases through machine learning from DSLR camera sensor based high resolution imagery. Sensors, 21(11), 3830. https://doi.org/10.3390/s21113830 </w:t>
      </w:r>
    </w:p>
    <w:p w14:paraId="3A04D357"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Alzubaidi, L., Zhang, J., Humaidi, A. J., Al-</w:t>
      </w:r>
      <w:proofErr w:type="spellStart"/>
      <w:r w:rsidRPr="00BF38E6">
        <w:rPr>
          <w:rFonts w:ascii="Times New Roman" w:eastAsia="Times New Roman" w:hAnsi="Times New Roman" w:cs="Times New Roman"/>
          <w:bCs/>
          <w:sz w:val="24"/>
          <w:szCs w:val="27"/>
          <w:lang w:eastAsia="en-GB"/>
        </w:rPr>
        <w:t>Dujaili</w:t>
      </w:r>
      <w:proofErr w:type="spellEnd"/>
      <w:r w:rsidRPr="00BF38E6">
        <w:rPr>
          <w:rFonts w:ascii="Times New Roman" w:eastAsia="Times New Roman" w:hAnsi="Times New Roman" w:cs="Times New Roman"/>
          <w:bCs/>
          <w:sz w:val="24"/>
          <w:szCs w:val="27"/>
          <w:lang w:eastAsia="en-GB"/>
        </w:rPr>
        <w:t>, A., Duan, Y., Al-Shamma, O., Santamaría, J., Fadhel, M. A., Al-Amidie, M., &amp; Farhan, L. (2021). Review of deep learning: Concepts, CNN architectures, challenges, applications, future directions. Journal of Big Data, 8(1), 53. https://doi.org/10.1186/s40537-021-00444-8</w:t>
      </w:r>
    </w:p>
    <w:p w14:paraId="662C851F"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Ang, K. L. M., &amp; Seng, J. K. P. (2021). Big data and machine learning with hyperspectral information in agriculture. IEEE Access, 9, 36699–36718. https://doi.org/10.1109/ACCESS.2021.3051196</w:t>
      </w:r>
    </w:p>
    <w:p w14:paraId="54FBF244"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Atila, Ü., Uçar, M., Akyol, K., &amp; Uçar, E. (2021). Plant leaf disease classification using </w:t>
      </w:r>
      <w:proofErr w:type="spellStart"/>
      <w:r w:rsidRPr="00BF38E6">
        <w:rPr>
          <w:rFonts w:ascii="Times New Roman" w:eastAsia="Times New Roman" w:hAnsi="Times New Roman" w:cs="Times New Roman"/>
          <w:bCs/>
          <w:sz w:val="24"/>
          <w:szCs w:val="27"/>
          <w:lang w:eastAsia="en-GB"/>
        </w:rPr>
        <w:t>EfficientNet</w:t>
      </w:r>
      <w:proofErr w:type="spellEnd"/>
      <w:r w:rsidRPr="00BF38E6">
        <w:rPr>
          <w:rFonts w:ascii="Times New Roman" w:eastAsia="Times New Roman" w:hAnsi="Times New Roman" w:cs="Times New Roman"/>
          <w:bCs/>
          <w:sz w:val="24"/>
          <w:szCs w:val="27"/>
          <w:lang w:eastAsia="en-GB"/>
        </w:rPr>
        <w:t xml:space="preserve"> deep learning model. Ecological Informatics, 61, 101182. https://doi.org/10.1016/j.ecoinf.2020.101182</w:t>
      </w:r>
    </w:p>
    <w:p w14:paraId="608A0C25"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Barbedo</w:t>
      </w:r>
      <w:proofErr w:type="spellEnd"/>
      <w:r w:rsidRPr="00BF38E6">
        <w:rPr>
          <w:rFonts w:ascii="Times New Roman" w:eastAsia="Times New Roman" w:hAnsi="Times New Roman" w:cs="Times New Roman"/>
          <w:bCs/>
          <w:sz w:val="24"/>
          <w:szCs w:val="27"/>
          <w:lang w:eastAsia="en-GB"/>
        </w:rPr>
        <w:t>, J. G. A. (2018). Factors influencing the use of deep learning for plant disease recognition. Biosystems Engineering, 172, 84–91. https://doi.org/10.1016/j.biosystemseng.2018.05.013</w:t>
      </w:r>
    </w:p>
    <w:p w14:paraId="2B00C16F"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Barbedo</w:t>
      </w:r>
      <w:proofErr w:type="spellEnd"/>
      <w:r w:rsidRPr="00BF38E6">
        <w:rPr>
          <w:rFonts w:ascii="Times New Roman" w:eastAsia="Times New Roman" w:hAnsi="Times New Roman" w:cs="Times New Roman"/>
          <w:bCs/>
          <w:sz w:val="24"/>
          <w:szCs w:val="27"/>
          <w:lang w:eastAsia="en-GB"/>
        </w:rPr>
        <w:t>, J. G. A. (2019). Plant disease identification from individual lesions and spots using deep learning. Biosystems Engineering, 180, 96–107. https://doi.org/10.1016/j.biosystemseng.2019.02.002</w:t>
      </w:r>
    </w:p>
    <w:p w14:paraId="57097891"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Barbedo</w:t>
      </w:r>
      <w:proofErr w:type="spellEnd"/>
      <w:r w:rsidRPr="00BF38E6">
        <w:rPr>
          <w:rFonts w:ascii="Times New Roman" w:eastAsia="Times New Roman" w:hAnsi="Times New Roman" w:cs="Times New Roman"/>
          <w:bCs/>
          <w:sz w:val="24"/>
          <w:szCs w:val="27"/>
          <w:lang w:eastAsia="en-GB"/>
        </w:rPr>
        <w:t>, J. G. A. (2023). A review on the combination of deep learning techniques with proximal hyperspectral images in agriculture. Computers and Electronics in Agriculture, 210, 107920. https://doi.org/10.1016/j.compag.2023.107920</w:t>
      </w:r>
    </w:p>
    <w:p w14:paraId="21634A30"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Bari, B. S., Islam, M. N., Rashid, M., Hasan, M. J., </w:t>
      </w:r>
      <w:proofErr w:type="spellStart"/>
      <w:r w:rsidRPr="00BF38E6">
        <w:rPr>
          <w:rFonts w:ascii="Times New Roman" w:eastAsia="Times New Roman" w:hAnsi="Times New Roman" w:cs="Times New Roman"/>
          <w:bCs/>
          <w:sz w:val="24"/>
          <w:szCs w:val="27"/>
          <w:lang w:eastAsia="en-GB"/>
        </w:rPr>
        <w:t>Razman</w:t>
      </w:r>
      <w:proofErr w:type="spellEnd"/>
      <w:r w:rsidRPr="00BF38E6">
        <w:rPr>
          <w:rFonts w:ascii="Times New Roman" w:eastAsia="Times New Roman" w:hAnsi="Times New Roman" w:cs="Times New Roman"/>
          <w:bCs/>
          <w:sz w:val="24"/>
          <w:szCs w:val="27"/>
          <w:lang w:eastAsia="en-GB"/>
        </w:rPr>
        <w:t xml:space="preserve">, M. A. M., Musa, R. M., Ab Nasir, A. F., &amp; Abdul Majeed, A. P. P. (2021). A real-time approach of diagnosing rice leaf disease using deep learning-based faster R-CNN framework. </w:t>
      </w:r>
      <w:proofErr w:type="spellStart"/>
      <w:r w:rsidRPr="00BF38E6">
        <w:rPr>
          <w:rFonts w:ascii="Times New Roman" w:eastAsia="Times New Roman" w:hAnsi="Times New Roman" w:cs="Times New Roman"/>
          <w:bCs/>
          <w:sz w:val="24"/>
          <w:szCs w:val="27"/>
          <w:lang w:eastAsia="en-GB"/>
        </w:rPr>
        <w:t>PeerJ</w:t>
      </w:r>
      <w:proofErr w:type="spellEnd"/>
      <w:r w:rsidRPr="00BF38E6">
        <w:rPr>
          <w:rFonts w:ascii="Times New Roman" w:eastAsia="Times New Roman" w:hAnsi="Times New Roman" w:cs="Times New Roman"/>
          <w:bCs/>
          <w:sz w:val="24"/>
          <w:szCs w:val="27"/>
          <w:lang w:eastAsia="en-GB"/>
        </w:rPr>
        <w:t xml:space="preserve"> Computer Science, 7, e432. https://doi.org/10.7717/peerj-cs.432 </w:t>
      </w:r>
    </w:p>
    <w:p w14:paraId="7921E269"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lastRenderedPageBreak/>
        <w:t xml:space="preserve">Chen, J., Chen, J., Zhang, D., Sun, Y., &amp; </w:t>
      </w:r>
      <w:proofErr w:type="spellStart"/>
      <w:r w:rsidRPr="00BF38E6">
        <w:rPr>
          <w:rFonts w:ascii="Times New Roman" w:eastAsia="Times New Roman" w:hAnsi="Times New Roman" w:cs="Times New Roman"/>
          <w:bCs/>
          <w:sz w:val="24"/>
          <w:szCs w:val="27"/>
          <w:lang w:eastAsia="en-GB"/>
        </w:rPr>
        <w:t>Nanehkaran</w:t>
      </w:r>
      <w:proofErr w:type="spellEnd"/>
      <w:r w:rsidRPr="00BF38E6">
        <w:rPr>
          <w:rFonts w:ascii="Times New Roman" w:eastAsia="Times New Roman" w:hAnsi="Times New Roman" w:cs="Times New Roman"/>
          <w:bCs/>
          <w:sz w:val="24"/>
          <w:szCs w:val="27"/>
          <w:lang w:eastAsia="en-GB"/>
        </w:rPr>
        <w:t>, Y. A. (2020). Using deep transfer learning for image-based plant disease identification. Computers and Electronics in Agriculture, 173, 105393. https://doi.org/10.1016/j.compag.2020.105393</w:t>
      </w:r>
    </w:p>
    <w:p w14:paraId="23F7C138"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FAO (Food and Agriculture Organization of the United Nations), International Fund for Agricultural Development, United Nations Children’s Fund, World Food Programme, &amp; World Health Organization. (2021). The state of food security and nutrition in the world 2021: Transforming food systems for food security, improved nutrition and affordable healthy diets for all. Food and Agriculture Organization of the United Nations. https://doi.org/10.4060/cb4474en </w:t>
      </w:r>
    </w:p>
    <w:p w14:paraId="72BC4A8C"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FAO (Food and Agriculture Organization of the United Nations). (2023). The state of food and agriculture 2023: Revealing the true cost of food to transform agrifood systems. https://doi.org/10.4060/cc7724en </w:t>
      </w:r>
    </w:p>
    <w:p w14:paraId="3C84C875"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Fenu</w:t>
      </w:r>
      <w:proofErr w:type="spellEnd"/>
      <w:r w:rsidRPr="00BF38E6">
        <w:rPr>
          <w:rFonts w:ascii="Times New Roman" w:eastAsia="Times New Roman" w:hAnsi="Times New Roman" w:cs="Times New Roman"/>
          <w:bCs/>
          <w:sz w:val="24"/>
          <w:szCs w:val="27"/>
          <w:lang w:eastAsia="en-GB"/>
        </w:rPr>
        <w:t xml:space="preserve">, G., </w:t>
      </w:r>
      <w:proofErr w:type="spellStart"/>
      <w:r w:rsidRPr="00BF38E6">
        <w:rPr>
          <w:rFonts w:ascii="Times New Roman" w:eastAsia="Times New Roman" w:hAnsi="Times New Roman" w:cs="Times New Roman"/>
          <w:bCs/>
          <w:sz w:val="24"/>
          <w:szCs w:val="27"/>
          <w:lang w:eastAsia="en-GB"/>
        </w:rPr>
        <w:t>Malloci</w:t>
      </w:r>
      <w:proofErr w:type="spellEnd"/>
      <w:r w:rsidRPr="00BF38E6">
        <w:rPr>
          <w:rFonts w:ascii="Times New Roman" w:eastAsia="Times New Roman" w:hAnsi="Times New Roman" w:cs="Times New Roman"/>
          <w:bCs/>
          <w:sz w:val="24"/>
          <w:szCs w:val="27"/>
          <w:lang w:eastAsia="en-GB"/>
        </w:rPr>
        <w:t xml:space="preserve">, F. M., &amp; Khan, A. (2021). Using multioutput learning to diagnose plant disease and stress severity. Complexity, 2021, 6663442. https://doi.org/10.1155/2021/6663442 </w:t>
      </w:r>
    </w:p>
    <w:p w14:paraId="4D0B040C"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Ferentinos, K. P. (2018). Deep learning models for plant disease detection and diagnosis. Computers and Electronics in Agriculture, 145, 311–318. https://doi.org/10.1016/j.compag.2018.01.009</w:t>
      </w:r>
    </w:p>
    <w:p w14:paraId="3AA72E81"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Fuentes, A. F., Yoon, S., Lee, J., &amp; Park, D. S. (2018). High-performance deep neural network-based tomato plant diseases and pests diagnosis system with refinement filter bank. Frontiers in Plant Science, 9, 1162. https://doi.org/10.3389/fpls.2018.01162</w:t>
      </w:r>
    </w:p>
    <w:p w14:paraId="3AAFE527"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Fuentes, A., Yoon, S., Kim, S. C., &amp; Park, D. S. (2017). A robust deep-learning-based detector for real-time tomato plant diseases and </w:t>
      </w:r>
      <w:proofErr w:type="gramStart"/>
      <w:r w:rsidRPr="00BF38E6">
        <w:rPr>
          <w:rFonts w:ascii="Times New Roman" w:eastAsia="Times New Roman" w:hAnsi="Times New Roman" w:cs="Times New Roman"/>
          <w:bCs/>
          <w:sz w:val="24"/>
          <w:szCs w:val="27"/>
          <w:lang w:eastAsia="en-GB"/>
        </w:rPr>
        <w:t>pests</w:t>
      </w:r>
      <w:proofErr w:type="gramEnd"/>
      <w:r w:rsidRPr="00BF38E6">
        <w:rPr>
          <w:rFonts w:ascii="Times New Roman" w:eastAsia="Times New Roman" w:hAnsi="Times New Roman" w:cs="Times New Roman"/>
          <w:bCs/>
          <w:sz w:val="24"/>
          <w:szCs w:val="27"/>
          <w:lang w:eastAsia="en-GB"/>
        </w:rPr>
        <w:t xml:space="preserve"> recognition. Sensors, 17(9), 2022. https://doi.org/10.3390/s17092022</w:t>
      </w:r>
    </w:p>
    <w:p w14:paraId="08F6DE4A"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Geetharamani</w:t>
      </w:r>
      <w:proofErr w:type="spellEnd"/>
      <w:r w:rsidRPr="00BF38E6">
        <w:rPr>
          <w:rFonts w:ascii="Times New Roman" w:eastAsia="Times New Roman" w:hAnsi="Times New Roman" w:cs="Times New Roman"/>
          <w:bCs/>
          <w:sz w:val="24"/>
          <w:szCs w:val="27"/>
          <w:lang w:eastAsia="en-GB"/>
        </w:rPr>
        <w:t>, G., &amp; Pandian, J. A. (2019). Identification of plant leaf diseases using a nine-layer deep convolutional neural network. Computers &amp; Electrical Engineering, 76, 323–338. https://doi.org/10.1016/j.compeleceng.2019.04.011</w:t>
      </w:r>
    </w:p>
    <w:p w14:paraId="01BA7D8D"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Golhani</w:t>
      </w:r>
      <w:proofErr w:type="spellEnd"/>
      <w:r w:rsidRPr="00BF38E6">
        <w:rPr>
          <w:rFonts w:ascii="Times New Roman" w:eastAsia="Times New Roman" w:hAnsi="Times New Roman" w:cs="Times New Roman"/>
          <w:bCs/>
          <w:sz w:val="24"/>
          <w:szCs w:val="27"/>
          <w:lang w:eastAsia="en-GB"/>
        </w:rPr>
        <w:t xml:space="preserve">, K., </w:t>
      </w:r>
      <w:proofErr w:type="spellStart"/>
      <w:r w:rsidRPr="00BF38E6">
        <w:rPr>
          <w:rFonts w:ascii="Times New Roman" w:eastAsia="Times New Roman" w:hAnsi="Times New Roman" w:cs="Times New Roman"/>
          <w:bCs/>
          <w:sz w:val="24"/>
          <w:szCs w:val="27"/>
          <w:lang w:eastAsia="en-GB"/>
        </w:rPr>
        <w:t>Balasundram</w:t>
      </w:r>
      <w:proofErr w:type="spellEnd"/>
      <w:r w:rsidRPr="00BF38E6">
        <w:rPr>
          <w:rFonts w:ascii="Times New Roman" w:eastAsia="Times New Roman" w:hAnsi="Times New Roman" w:cs="Times New Roman"/>
          <w:bCs/>
          <w:sz w:val="24"/>
          <w:szCs w:val="27"/>
          <w:lang w:eastAsia="en-GB"/>
        </w:rPr>
        <w:t>, S. K., Vadamalai, G., &amp; Pradhan, B. (2018). A review of neural networks in plant disease detection using hyperspectral data. Information Processing in Agriculture, 5(3), 354–371. https://doi.org/10.1016/j.inpa.2018.05.002</w:t>
      </w:r>
    </w:p>
    <w:p w14:paraId="6A6F3455"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Jiang, F., Lu, Y., Chen, Y., Cai, D., &amp; Li, G. (2020). Image recognition of four rice leaf diseases based on deep learning and support vector machine. Computers and Electronics in Agriculture, 179, 105824. https://doi.org/10.1016/j.compag.2020.105824</w:t>
      </w:r>
    </w:p>
    <w:p w14:paraId="47377DDE"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Jiang, P., Chen, Y., Liu, B., He, D., &amp; Liang, C. (2019). Real-time detection of apple leaf diseases using deep learning approach based on improved convolutional neural networks. IEEE Access, 7, 59069–59080. https://doi.org/10.1109/ACCESS.2019.2914929</w:t>
      </w:r>
    </w:p>
    <w:p w14:paraId="36E48816"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Kamilaris</w:t>
      </w:r>
      <w:proofErr w:type="spellEnd"/>
      <w:r w:rsidRPr="00BF38E6">
        <w:rPr>
          <w:rFonts w:ascii="Times New Roman" w:eastAsia="Times New Roman" w:hAnsi="Times New Roman" w:cs="Times New Roman"/>
          <w:bCs/>
          <w:sz w:val="24"/>
          <w:szCs w:val="27"/>
          <w:lang w:eastAsia="en-GB"/>
        </w:rPr>
        <w:t xml:space="preserve">, A., &amp; </w:t>
      </w:r>
      <w:proofErr w:type="spellStart"/>
      <w:r w:rsidRPr="00BF38E6">
        <w:rPr>
          <w:rFonts w:ascii="Times New Roman" w:eastAsia="Times New Roman" w:hAnsi="Times New Roman" w:cs="Times New Roman"/>
          <w:bCs/>
          <w:sz w:val="24"/>
          <w:szCs w:val="27"/>
          <w:lang w:eastAsia="en-GB"/>
        </w:rPr>
        <w:t>Prenafeta-Boldú</w:t>
      </w:r>
      <w:proofErr w:type="spellEnd"/>
      <w:r w:rsidRPr="00BF38E6">
        <w:rPr>
          <w:rFonts w:ascii="Times New Roman" w:eastAsia="Times New Roman" w:hAnsi="Times New Roman" w:cs="Times New Roman"/>
          <w:bCs/>
          <w:sz w:val="24"/>
          <w:szCs w:val="27"/>
          <w:lang w:eastAsia="en-GB"/>
        </w:rPr>
        <w:t>, F. X. (2018). Deep learning in agriculture: A survey. Computers and Electronics in Agriculture, 147, 70–90. https://doi.org/10.1016/j.compag.2018.02.016</w:t>
      </w:r>
    </w:p>
    <w:p w14:paraId="7845970B"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lastRenderedPageBreak/>
        <w:t xml:space="preserve">Kaur, P., </w:t>
      </w:r>
      <w:proofErr w:type="spellStart"/>
      <w:r w:rsidRPr="00BF38E6">
        <w:rPr>
          <w:rFonts w:ascii="Times New Roman" w:eastAsia="Times New Roman" w:hAnsi="Times New Roman" w:cs="Times New Roman"/>
          <w:bCs/>
          <w:sz w:val="24"/>
          <w:szCs w:val="27"/>
          <w:lang w:eastAsia="en-GB"/>
        </w:rPr>
        <w:t>Harnal</w:t>
      </w:r>
      <w:proofErr w:type="spellEnd"/>
      <w:r w:rsidRPr="00BF38E6">
        <w:rPr>
          <w:rFonts w:ascii="Times New Roman" w:eastAsia="Times New Roman" w:hAnsi="Times New Roman" w:cs="Times New Roman"/>
          <w:bCs/>
          <w:sz w:val="24"/>
          <w:szCs w:val="27"/>
          <w:lang w:eastAsia="en-GB"/>
        </w:rPr>
        <w:t xml:space="preserve">, S., Tiwari, R., Upadhyay, S., Bhatia, S., </w:t>
      </w:r>
      <w:proofErr w:type="spellStart"/>
      <w:r w:rsidRPr="00BF38E6">
        <w:rPr>
          <w:rFonts w:ascii="Times New Roman" w:eastAsia="Times New Roman" w:hAnsi="Times New Roman" w:cs="Times New Roman"/>
          <w:bCs/>
          <w:sz w:val="24"/>
          <w:szCs w:val="27"/>
          <w:lang w:eastAsia="en-GB"/>
        </w:rPr>
        <w:t>Mashat</w:t>
      </w:r>
      <w:proofErr w:type="spellEnd"/>
      <w:r w:rsidRPr="00BF38E6">
        <w:rPr>
          <w:rFonts w:ascii="Times New Roman" w:eastAsia="Times New Roman" w:hAnsi="Times New Roman" w:cs="Times New Roman"/>
          <w:bCs/>
          <w:sz w:val="24"/>
          <w:szCs w:val="27"/>
          <w:lang w:eastAsia="en-GB"/>
        </w:rPr>
        <w:t xml:space="preserve">, A., &amp; </w:t>
      </w:r>
      <w:proofErr w:type="spellStart"/>
      <w:r w:rsidRPr="00BF38E6">
        <w:rPr>
          <w:rFonts w:ascii="Times New Roman" w:eastAsia="Times New Roman" w:hAnsi="Times New Roman" w:cs="Times New Roman"/>
          <w:bCs/>
          <w:sz w:val="24"/>
          <w:szCs w:val="27"/>
          <w:lang w:eastAsia="en-GB"/>
        </w:rPr>
        <w:t>Alabdali</w:t>
      </w:r>
      <w:proofErr w:type="spellEnd"/>
      <w:r w:rsidRPr="00BF38E6">
        <w:rPr>
          <w:rFonts w:ascii="Times New Roman" w:eastAsia="Times New Roman" w:hAnsi="Times New Roman" w:cs="Times New Roman"/>
          <w:bCs/>
          <w:sz w:val="24"/>
          <w:szCs w:val="27"/>
          <w:lang w:eastAsia="en-GB"/>
        </w:rPr>
        <w:t>, A. M. (2022). Recognition of leaf disease using hybrid convolutional neural network by applying feature reduction. Sensors, 22(2), 575. https://doi.org/10.3390/s22020575</w:t>
      </w:r>
    </w:p>
    <w:p w14:paraId="20C08625"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Liakos, K. G., Busato, P., </w:t>
      </w:r>
      <w:proofErr w:type="spellStart"/>
      <w:r w:rsidRPr="00BF38E6">
        <w:rPr>
          <w:rFonts w:ascii="Times New Roman" w:eastAsia="Times New Roman" w:hAnsi="Times New Roman" w:cs="Times New Roman"/>
          <w:bCs/>
          <w:sz w:val="24"/>
          <w:szCs w:val="27"/>
          <w:lang w:eastAsia="en-GB"/>
        </w:rPr>
        <w:t>Moshou</w:t>
      </w:r>
      <w:proofErr w:type="spellEnd"/>
      <w:r w:rsidRPr="00BF38E6">
        <w:rPr>
          <w:rFonts w:ascii="Times New Roman" w:eastAsia="Times New Roman" w:hAnsi="Times New Roman" w:cs="Times New Roman"/>
          <w:bCs/>
          <w:sz w:val="24"/>
          <w:szCs w:val="27"/>
          <w:lang w:eastAsia="en-GB"/>
        </w:rPr>
        <w:t xml:space="preserve">, D., Pearson, S., &amp; </w:t>
      </w:r>
      <w:proofErr w:type="spellStart"/>
      <w:r w:rsidRPr="00BF38E6">
        <w:rPr>
          <w:rFonts w:ascii="Times New Roman" w:eastAsia="Times New Roman" w:hAnsi="Times New Roman" w:cs="Times New Roman"/>
          <w:bCs/>
          <w:sz w:val="24"/>
          <w:szCs w:val="27"/>
          <w:lang w:eastAsia="en-GB"/>
        </w:rPr>
        <w:t>Bochtis</w:t>
      </w:r>
      <w:proofErr w:type="spellEnd"/>
      <w:r w:rsidRPr="00BF38E6">
        <w:rPr>
          <w:rFonts w:ascii="Times New Roman" w:eastAsia="Times New Roman" w:hAnsi="Times New Roman" w:cs="Times New Roman"/>
          <w:bCs/>
          <w:sz w:val="24"/>
          <w:szCs w:val="27"/>
          <w:lang w:eastAsia="en-GB"/>
        </w:rPr>
        <w:t>, D. (2018). Machine learning in agriculture: A review. Sensors, 18(8), 2674. https://doi.org/10.3390/s18082674</w:t>
      </w:r>
    </w:p>
    <w:p w14:paraId="14E70ABE"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Liu, J., &amp; Wang, X. (2021). Plant diseases and pests detection based on deep learning: A review. Plant Methods, 17(1), 22. https://doi.org/10.1186/s13007-021-00722-9 </w:t>
      </w:r>
    </w:p>
    <w:p w14:paraId="7E93D191"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Lu, J., Tan, L., &amp; Jiang, H. (2021). Review on convolutional neural network (CNN) applied to plant leaf disease classification. Agriculture, 11(8), 707. https://doi.org/10.3390/agriculture11080707</w:t>
      </w:r>
    </w:p>
    <w:p w14:paraId="07DBB0E0"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Mahlein, A.-K. (2016). Plant disease detection by imaging sensors: Parallels and specific demands for precision agriculture and plant phenotyping. Plant Disease, 100(2), 241–251. https://doi.org/10.1094/PDIS-03-15-0340-FE</w:t>
      </w:r>
    </w:p>
    <w:p w14:paraId="121D24F8"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Mahlein, A.-K., Alisaac, E., Al Masri, A., </w:t>
      </w:r>
      <w:proofErr w:type="spellStart"/>
      <w:r w:rsidRPr="00BF38E6">
        <w:rPr>
          <w:rFonts w:ascii="Times New Roman" w:eastAsia="Times New Roman" w:hAnsi="Times New Roman" w:cs="Times New Roman"/>
          <w:bCs/>
          <w:sz w:val="24"/>
          <w:szCs w:val="27"/>
          <w:lang w:eastAsia="en-GB"/>
        </w:rPr>
        <w:t>Behmann</w:t>
      </w:r>
      <w:proofErr w:type="spellEnd"/>
      <w:r w:rsidRPr="00BF38E6">
        <w:rPr>
          <w:rFonts w:ascii="Times New Roman" w:eastAsia="Times New Roman" w:hAnsi="Times New Roman" w:cs="Times New Roman"/>
          <w:bCs/>
          <w:sz w:val="24"/>
          <w:szCs w:val="27"/>
          <w:lang w:eastAsia="en-GB"/>
        </w:rPr>
        <w:t>, J., Dehne, H.-W., &amp; Oerke, E.-C. (2019). Comparison and combination of thermal, fluorescence, and hyperspectral imaging for monitoring Fusarium head blight of wheat on spikelet scale. Sensors, 19(10), 2281. https://doi.org/10.3390/s19102281</w:t>
      </w:r>
    </w:p>
    <w:p w14:paraId="031FFC4A"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Mohanty, S. P., Hughes, D. P., &amp; </w:t>
      </w:r>
      <w:proofErr w:type="spellStart"/>
      <w:r w:rsidRPr="00BF38E6">
        <w:rPr>
          <w:rFonts w:ascii="Times New Roman" w:eastAsia="Times New Roman" w:hAnsi="Times New Roman" w:cs="Times New Roman"/>
          <w:bCs/>
          <w:sz w:val="24"/>
          <w:szCs w:val="27"/>
          <w:lang w:eastAsia="en-GB"/>
        </w:rPr>
        <w:t>Salathé</w:t>
      </w:r>
      <w:proofErr w:type="spellEnd"/>
      <w:r w:rsidRPr="00BF38E6">
        <w:rPr>
          <w:rFonts w:ascii="Times New Roman" w:eastAsia="Times New Roman" w:hAnsi="Times New Roman" w:cs="Times New Roman"/>
          <w:bCs/>
          <w:sz w:val="24"/>
          <w:szCs w:val="27"/>
          <w:lang w:eastAsia="en-GB"/>
        </w:rPr>
        <w:t>, M. (2016). Using deep learning for image-based plant disease detection. Frontiers in Plant Science, 7, 1419. https://doi.org/10.3389/fpls.2016.01419</w:t>
      </w:r>
    </w:p>
    <w:p w14:paraId="7D1E4D37"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Nguyen, C., Sagan, V., </w:t>
      </w:r>
      <w:proofErr w:type="spellStart"/>
      <w:r w:rsidRPr="00BF38E6">
        <w:rPr>
          <w:rFonts w:ascii="Times New Roman" w:eastAsia="Times New Roman" w:hAnsi="Times New Roman" w:cs="Times New Roman"/>
          <w:bCs/>
          <w:sz w:val="24"/>
          <w:szCs w:val="27"/>
          <w:lang w:eastAsia="en-GB"/>
        </w:rPr>
        <w:t>Maimaitiyiming</w:t>
      </w:r>
      <w:proofErr w:type="spellEnd"/>
      <w:r w:rsidRPr="00BF38E6">
        <w:rPr>
          <w:rFonts w:ascii="Times New Roman" w:eastAsia="Times New Roman" w:hAnsi="Times New Roman" w:cs="Times New Roman"/>
          <w:bCs/>
          <w:sz w:val="24"/>
          <w:szCs w:val="27"/>
          <w:lang w:eastAsia="en-GB"/>
        </w:rPr>
        <w:t xml:space="preserve">, M., </w:t>
      </w:r>
      <w:proofErr w:type="spellStart"/>
      <w:r w:rsidRPr="00BF38E6">
        <w:rPr>
          <w:rFonts w:ascii="Times New Roman" w:eastAsia="Times New Roman" w:hAnsi="Times New Roman" w:cs="Times New Roman"/>
          <w:bCs/>
          <w:sz w:val="24"/>
          <w:szCs w:val="27"/>
          <w:lang w:eastAsia="en-GB"/>
        </w:rPr>
        <w:t>Maimaitijiang</w:t>
      </w:r>
      <w:proofErr w:type="spellEnd"/>
      <w:r w:rsidRPr="00BF38E6">
        <w:rPr>
          <w:rFonts w:ascii="Times New Roman" w:eastAsia="Times New Roman" w:hAnsi="Times New Roman" w:cs="Times New Roman"/>
          <w:bCs/>
          <w:sz w:val="24"/>
          <w:szCs w:val="27"/>
          <w:lang w:eastAsia="en-GB"/>
        </w:rPr>
        <w:t>, M., Bhadra, S., &amp; Kwasniewski, M. T. (2021). Early detection of plant viral disease using hyperspectral imaging and deep learning. Sensors, 21(3), 742. https://doi.org/10.3390/s21030742</w:t>
      </w:r>
    </w:p>
    <w:p w14:paraId="0E8528E1"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Ozguven</w:t>
      </w:r>
      <w:proofErr w:type="spellEnd"/>
      <w:r w:rsidRPr="00BF38E6">
        <w:rPr>
          <w:rFonts w:ascii="Times New Roman" w:eastAsia="Times New Roman" w:hAnsi="Times New Roman" w:cs="Times New Roman"/>
          <w:bCs/>
          <w:sz w:val="24"/>
          <w:szCs w:val="27"/>
          <w:lang w:eastAsia="en-GB"/>
        </w:rPr>
        <w:t>, M. M., &amp; Adem, K. (2019). Automatic detection and classification of leaf spot disease in sugar beet using deep learning algorithms. Physica A: Statistical Mechanics and Its Applications, 535, 122537. https://doi.org/10.1016/j.physa.2019.122537</w:t>
      </w:r>
    </w:p>
    <w:p w14:paraId="257DE787"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Pantazi, X. E., </w:t>
      </w:r>
      <w:proofErr w:type="spellStart"/>
      <w:r w:rsidRPr="00BF38E6">
        <w:rPr>
          <w:rFonts w:ascii="Times New Roman" w:eastAsia="Times New Roman" w:hAnsi="Times New Roman" w:cs="Times New Roman"/>
          <w:bCs/>
          <w:sz w:val="24"/>
          <w:szCs w:val="27"/>
          <w:lang w:eastAsia="en-GB"/>
        </w:rPr>
        <w:t>Moshou</w:t>
      </w:r>
      <w:proofErr w:type="spellEnd"/>
      <w:r w:rsidRPr="00BF38E6">
        <w:rPr>
          <w:rFonts w:ascii="Times New Roman" w:eastAsia="Times New Roman" w:hAnsi="Times New Roman" w:cs="Times New Roman"/>
          <w:bCs/>
          <w:sz w:val="24"/>
          <w:szCs w:val="27"/>
          <w:lang w:eastAsia="en-GB"/>
        </w:rPr>
        <w:t xml:space="preserve">, D., &amp; </w:t>
      </w:r>
      <w:proofErr w:type="spellStart"/>
      <w:r w:rsidRPr="00BF38E6">
        <w:rPr>
          <w:rFonts w:ascii="Times New Roman" w:eastAsia="Times New Roman" w:hAnsi="Times New Roman" w:cs="Times New Roman"/>
          <w:bCs/>
          <w:sz w:val="24"/>
          <w:szCs w:val="27"/>
          <w:lang w:eastAsia="en-GB"/>
        </w:rPr>
        <w:t>Tamouridou</w:t>
      </w:r>
      <w:proofErr w:type="spellEnd"/>
      <w:r w:rsidRPr="00BF38E6">
        <w:rPr>
          <w:rFonts w:ascii="Times New Roman" w:eastAsia="Times New Roman" w:hAnsi="Times New Roman" w:cs="Times New Roman"/>
          <w:bCs/>
          <w:sz w:val="24"/>
          <w:szCs w:val="27"/>
          <w:lang w:eastAsia="en-GB"/>
        </w:rPr>
        <w:t>, A. A. (2019). Automated leaf disease detection in different crop species through image features analysis and one class classifiers. Computers and Electronics in Agriculture, 156, 96–104. https://doi.org/10.1016/j.compag.2018.11.005</w:t>
      </w:r>
    </w:p>
    <w:p w14:paraId="6A27EAD3"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Paymode, A. S., &amp; Malode, V. B. (2022). Transfer learning for multi-crop leaf disease image classification using convolutional neural network VGG. Artificial Intelligence in Agriculture, 6, 23–33. https://doi.org/10.1016/j.aiia.2021.12.002</w:t>
      </w:r>
    </w:p>
    <w:p w14:paraId="1868971E"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Ramcharan, A., Baranowski, K., McCloskey, P., Ahmed, B., Legg, J., &amp; Hughes, D. P. (2017). Deep learning for image-based cassava disease detection. Frontiers in Plant Science, 8, 1852. https://doi.org/10.3389/fpls.2017.01852</w:t>
      </w:r>
    </w:p>
    <w:p w14:paraId="7F7A140A"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Rangarajan, A. K., &amp; Purushothaman, R. (2020). Disease classification in eggplant using pre-trained VGG16 and MSVM. Scientific Reports, 10(1), 2322. https://doi.org/10.1038/s41598-020-59108-x</w:t>
      </w:r>
    </w:p>
    <w:p w14:paraId="095FC20A"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lastRenderedPageBreak/>
        <w:t>Saleem, M. H., Potgieter, J., &amp; Arif, K. M. (2019). Plant disease detection and classification by deep learning. Plants, 8(11), 468. https://doi.org/10.3390/plants8110468</w:t>
      </w:r>
    </w:p>
    <w:p w14:paraId="39A3BD98"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Savary, S., </w:t>
      </w:r>
      <w:proofErr w:type="spellStart"/>
      <w:r w:rsidRPr="00BF38E6">
        <w:rPr>
          <w:rFonts w:ascii="Times New Roman" w:eastAsia="Times New Roman" w:hAnsi="Times New Roman" w:cs="Times New Roman"/>
          <w:bCs/>
          <w:sz w:val="24"/>
          <w:szCs w:val="27"/>
          <w:lang w:eastAsia="en-GB"/>
        </w:rPr>
        <w:t>Willocquet</w:t>
      </w:r>
      <w:proofErr w:type="spellEnd"/>
      <w:r w:rsidRPr="00BF38E6">
        <w:rPr>
          <w:rFonts w:ascii="Times New Roman" w:eastAsia="Times New Roman" w:hAnsi="Times New Roman" w:cs="Times New Roman"/>
          <w:bCs/>
          <w:sz w:val="24"/>
          <w:szCs w:val="27"/>
          <w:lang w:eastAsia="en-GB"/>
        </w:rPr>
        <w:t xml:space="preserve">, L., </w:t>
      </w:r>
      <w:proofErr w:type="spellStart"/>
      <w:r w:rsidRPr="00BF38E6">
        <w:rPr>
          <w:rFonts w:ascii="Times New Roman" w:eastAsia="Times New Roman" w:hAnsi="Times New Roman" w:cs="Times New Roman"/>
          <w:bCs/>
          <w:sz w:val="24"/>
          <w:szCs w:val="27"/>
          <w:lang w:eastAsia="en-GB"/>
        </w:rPr>
        <w:t>Pethybridge</w:t>
      </w:r>
      <w:proofErr w:type="spellEnd"/>
      <w:r w:rsidRPr="00BF38E6">
        <w:rPr>
          <w:rFonts w:ascii="Times New Roman" w:eastAsia="Times New Roman" w:hAnsi="Times New Roman" w:cs="Times New Roman"/>
          <w:bCs/>
          <w:sz w:val="24"/>
          <w:szCs w:val="27"/>
          <w:lang w:eastAsia="en-GB"/>
        </w:rPr>
        <w:t>, S. J., Esker, P., McRoberts, N., &amp; Nelson, A. (2019). The global burden of pathogens and pests on major food crops. Nature Ecology &amp; Evolution, 3(3), 430–439. https://doi.org/10.1038/s41559-018-0793-y</w:t>
      </w:r>
    </w:p>
    <w:p w14:paraId="59AD4064"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Sharma, A., Jain, A., Gupta, P., &amp; Chowdary, V. (2021). Machine learning applications for precision agriculture: A comprehensive review. IEEE Access, 9, 4843–4873. https://doi.org/10.1109/ACCESS.2020.3048415</w:t>
      </w:r>
    </w:p>
    <w:p w14:paraId="668C23CD"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Sladojevic</w:t>
      </w:r>
      <w:proofErr w:type="spellEnd"/>
      <w:r w:rsidRPr="00BF38E6">
        <w:rPr>
          <w:rFonts w:ascii="Times New Roman" w:eastAsia="Times New Roman" w:hAnsi="Times New Roman" w:cs="Times New Roman"/>
          <w:bCs/>
          <w:sz w:val="24"/>
          <w:szCs w:val="27"/>
          <w:lang w:eastAsia="en-GB"/>
        </w:rPr>
        <w:t xml:space="preserve">, S., </w:t>
      </w:r>
      <w:proofErr w:type="spellStart"/>
      <w:r w:rsidRPr="00BF38E6">
        <w:rPr>
          <w:rFonts w:ascii="Times New Roman" w:eastAsia="Times New Roman" w:hAnsi="Times New Roman" w:cs="Times New Roman"/>
          <w:bCs/>
          <w:sz w:val="24"/>
          <w:szCs w:val="27"/>
          <w:lang w:eastAsia="en-GB"/>
        </w:rPr>
        <w:t>Arsenovic</w:t>
      </w:r>
      <w:proofErr w:type="spellEnd"/>
      <w:r w:rsidRPr="00BF38E6">
        <w:rPr>
          <w:rFonts w:ascii="Times New Roman" w:eastAsia="Times New Roman" w:hAnsi="Times New Roman" w:cs="Times New Roman"/>
          <w:bCs/>
          <w:sz w:val="24"/>
          <w:szCs w:val="27"/>
          <w:lang w:eastAsia="en-GB"/>
        </w:rPr>
        <w:t xml:space="preserve">, M., </w:t>
      </w:r>
      <w:proofErr w:type="spellStart"/>
      <w:r w:rsidRPr="00BF38E6">
        <w:rPr>
          <w:rFonts w:ascii="Times New Roman" w:eastAsia="Times New Roman" w:hAnsi="Times New Roman" w:cs="Times New Roman"/>
          <w:bCs/>
          <w:sz w:val="24"/>
          <w:szCs w:val="27"/>
          <w:lang w:eastAsia="en-GB"/>
        </w:rPr>
        <w:t>Anderla</w:t>
      </w:r>
      <w:proofErr w:type="spellEnd"/>
      <w:r w:rsidRPr="00BF38E6">
        <w:rPr>
          <w:rFonts w:ascii="Times New Roman" w:eastAsia="Times New Roman" w:hAnsi="Times New Roman" w:cs="Times New Roman"/>
          <w:bCs/>
          <w:sz w:val="24"/>
          <w:szCs w:val="27"/>
          <w:lang w:eastAsia="en-GB"/>
        </w:rPr>
        <w:t xml:space="preserve">, A., </w:t>
      </w:r>
      <w:proofErr w:type="spellStart"/>
      <w:r w:rsidRPr="00BF38E6">
        <w:rPr>
          <w:rFonts w:ascii="Times New Roman" w:eastAsia="Times New Roman" w:hAnsi="Times New Roman" w:cs="Times New Roman"/>
          <w:bCs/>
          <w:sz w:val="24"/>
          <w:szCs w:val="27"/>
          <w:lang w:eastAsia="en-GB"/>
        </w:rPr>
        <w:t>Culibrk</w:t>
      </w:r>
      <w:proofErr w:type="spellEnd"/>
      <w:r w:rsidRPr="00BF38E6">
        <w:rPr>
          <w:rFonts w:ascii="Times New Roman" w:eastAsia="Times New Roman" w:hAnsi="Times New Roman" w:cs="Times New Roman"/>
          <w:bCs/>
          <w:sz w:val="24"/>
          <w:szCs w:val="27"/>
          <w:lang w:eastAsia="en-GB"/>
        </w:rPr>
        <w:t>, D., &amp; Stefanovic, D. (2016). Deep neural networks based recognition of plant diseases by leaf image classification. Computational Intelligence and Neuroscience, 2016, 3289801. https://doi.org/10.1155/2016/3289801</w:t>
      </w:r>
    </w:p>
    <w:p w14:paraId="294669C2"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Snyder, H. (2019). Literature review as a research methodology: An overview and guidelines. Journal of Business Research, 104, 333–339. https://doi.org/10.1016/j.jbusres.2019.07.039</w:t>
      </w:r>
    </w:p>
    <w:p w14:paraId="0D53FBBD"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Sujatha, R., Chatterjee, J. M., </w:t>
      </w:r>
      <w:proofErr w:type="spellStart"/>
      <w:r w:rsidRPr="00BF38E6">
        <w:rPr>
          <w:rFonts w:ascii="Times New Roman" w:eastAsia="Times New Roman" w:hAnsi="Times New Roman" w:cs="Times New Roman"/>
          <w:bCs/>
          <w:sz w:val="24"/>
          <w:szCs w:val="27"/>
          <w:lang w:eastAsia="en-GB"/>
        </w:rPr>
        <w:t>Jhanjhi</w:t>
      </w:r>
      <w:proofErr w:type="spellEnd"/>
      <w:r w:rsidRPr="00BF38E6">
        <w:rPr>
          <w:rFonts w:ascii="Times New Roman" w:eastAsia="Times New Roman" w:hAnsi="Times New Roman" w:cs="Times New Roman"/>
          <w:bCs/>
          <w:sz w:val="24"/>
          <w:szCs w:val="27"/>
          <w:lang w:eastAsia="en-GB"/>
        </w:rPr>
        <w:t xml:space="preserve">, N. Z., &amp; </w:t>
      </w:r>
      <w:proofErr w:type="spellStart"/>
      <w:r w:rsidRPr="00BF38E6">
        <w:rPr>
          <w:rFonts w:ascii="Times New Roman" w:eastAsia="Times New Roman" w:hAnsi="Times New Roman" w:cs="Times New Roman"/>
          <w:bCs/>
          <w:sz w:val="24"/>
          <w:szCs w:val="27"/>
          <w:lang w:eastAsia="en-GB"/>
        </w:rPr>
        <w:t>Brohi</w:t>
      </w:r>
      <w:proofErr w:type="spellEnd"/>
      <w:r w:rsidRPr="00BF38E6">
        <w:rPr>
          <w:rFonts w:ascii="Times New Roman" w:eastAsia="Times New Roman" w:hAnsi="Times New Roman" w:cs="Times New Roman"/>
          <w:bCs/>
          <w:sz w:val="24"/>
          <w:szCs w:val="27"/>
          <w:lang w:eastAsia="en-GB"/>
        </w:rPr>
        <w:t>, S. N. (2021). Performance of deep learning vs machine learning in plant leaf disease detection. Microprocessors and Microsystems, 80, 103615. https://doi.org/10.1016/j.micpro.2020.103615</w:t>
      </w:r>
    </w:p>
    <w:p w14:paraId="69ED4757"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BF38E6">
        <w:rPr>
          <w:rFonts w:ascii="Times New Roman" w:eastAsia="Times New Roman" w:hAnsi="Times New Roman" w:cs="Times New Roman"/>
          <w:bCs/>
          <w:sz w:val="24"/>
          <w:szCs w:val="27"/>
          <w:lang w:eastAsia="en-GB"/>
        </w:rPr>
        <w:t>Tetila</w:t>
      </w:r>
      <w:proofErr w:type="spellEnd"/>
      <w:r w:rsidRPr="00BF38E6">
        <w:rPr>
          <w:rFonts w:ascii="Times New Roman" w:eastAsia="Times New Roman" w:hAnsi="Times New Roman" w:cs="Times New Roman"/>
          <w:bCs/>
          <w:sz w:val="24"/>
          <w:szCs w:val="27"/>
          <w:lang w:eastAsia="en-GB"/>
        </w:rPr>
        <w:t xml:space="preserve">, E. C., Machado, B. B., Astolfi, G., de Souza Belete, N. A., Amorim, W. P., Roel, A. R., &amp; </w:t>
      </w:r>
      <w:proofErr w:type="spellStart"/>
      <w:r w:rsidRPr="00BF38E6">
        <w:rPr>
          <w:rFonts w:ascii="Times New Roman" w:eastAsia="Times New Roman" w:hAnsi="Times New Roman" w:cs="Times New Roman"/>
          <w:bCs/>
          <w:sz w:val="24"/>
          <w:szCs w:val="27"/>
          <w:lang w:eastAsia="en-GB"/>
        </w:rPr>
        <w:t>Pistori</w:t>
      </w:r>
      <w:proofErr w:type="spellEnd"/>
      <w:r w:rsidRPr="00BF38E6">
        <w:rPr>
          <w:rFonts w:ascii="Times New Roman" w:eastAsia="Times New Roman" w:hAnsi="Times New Roman" w:cs="Times New Roman"/>
          <w:bCs/>
          <w:sz w:val="24"/>
          <w:szCs w:val="27"/>
          <w:lang w:eastAsia="en-GB"/>
        </w:rPr>
        <w:t>, H. (2020). Detection and classification of soybean pests using deep learning with UAV images. Computers and Electronics in Agriculture, 179, 105836. https://doi.org/10.1016/j.compag.2020.105836</w:t>
      </w:r>
    </w:p>
    <w:p w14:paraId="4ED6D1F6"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Thenmozhi, K., &amp; Reddy, U. S. (2019). Crop pest classification based on deep convolutional neural network and transfer learning. Computers and Electronics in Agriculture, 164, 104906. https://doi.org/10.1016/j.compag.2019.104906</w:t>
      </w:r>
    </w:p>
    <w:p w14:paraId="22419FCA"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Too, E. C., Yujian, L., Njuki, S., &amp; </w:t>
      </w:r>
      <w:proofErr w:type="spellStart"/>
      <w:r w:rsidRPr="00BF38E6">
        <w:rPr>
          <w:rFonts w:ascii="Times New Roman" w:eastAsia="Times New Roman" w:hAnsi="Times New Roman" w:cs="Times New Roman"/>
          <w:bCs/>
          <w:sz w:val="24"/>
          <w:szCs w:val="27"/>
          <w:lang w:eastAsia="en-GB"/>
        </w:rPr>
        <w:t>Yingchun</w:t>
      </w:r>
      <w:proofErr w:type="spellEnd"/>
      <w:r w:rsidRPr="00BF38E6">
        <w:rPr>
          <w:rFonts w:ascii="Times New Roman" w:eastAsia="Times New Roman" w:hAnsi="Times New Roman" w:cs="Times New Roman"/>
          <w:bCs/>
          <w:sz w:val="24"/>
          <w:szCs w:val="27"/>
          <w:lang w:eastAsia="en-GB"/>
        </w:rPr>
        <w:t>, L. (2019). A comparative study of fine-tuning deep learning models for plant disease identification. Computers and Electronics in Agriculture, 161, 272–279. https://doi.org/10.1016/j.compag.2018.03.032</w:t>
      </w:r>
    </w:p>
    <w:p w14:paraId="4A9BBE8E"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van </w:t>
      </w:r>
      <w:proofErr w:type="spellStart"/>
      <w:r w:rsidRPr="00BF38E6">
        <w:rPr>
          <w:rFonts w:ascii="Times New Roman" w:eastAsia="Times New Roman" w:hAnsi="Times New Roman" w:cs="Times New Roman"/>
          <w:bCs/>
          <w:sz w:val="24"/>
          <w:szCs w:val="27"/>
          <w:lang w:eastAsia="en-GB"/>
        </w:rPr>
        <w:t>Klompenburg</w:t>
      </w:r>
      <w:proofErr w:type="spellEnd"/>
      <w:r w:rsidRPr="00BF38E6">
        <w:rPr>
          <w:rFonts w:ascii="Times New Roman" w:eastAsia="Times New Roman" w:hAnsi="Times New Roman" w:cs="Times New Roman"/>
          <w:bCs/>
          <w:sz w:val="24"/>
          <w:szCs w:val="27"/>
          <w:lang w:eastAsia="en-GB"/>
        </w:rPr>
        <w:t xml:space="preserve">, T., Kassahun, A., &amp; </w:t>
      </w:r>
      <w:proofErr w:type="spellStart"/>
      <w:r w:rsidRPr="00BF38E6">
        <w:rPr>
          <w:rFonts w:ascii="Times New Roman" w:eastAsia="Times New Roman" w:hAnsi="Times New Roman" w:cs="Times New Roman"/>
          <w:bCs/>
          <w:sz w:val="24"/>
          <w:szCs w:val="27"/>
          <w:lang w:eastAsia="en-GB"/>
        </w:rPr>
        <w:t>Catal</w:t>
      </w:r>
      <w:proofErr w:type="spellEnd"/>
      <w:r w:rsidRPr="00BF38E6">
        <w:rPr>
          <w:rFonts w:ascii="Times New Roman" w:eastAsia="Times New Roman" w:hAnsi="Times New Roman" w:cs="Times New Roman"/>
          <w:bCs/>
          <w:sz w:val="24"/>
          <w:szCs w:val="27"/>
          <w:lang w:eastAsia="en-GB"/>
        </w:rPr>
        <w:t>, C. (2020). Crop yield prediction using machine learning: A systematic literature review. Computers and Electronics in Agriculture, 177, 105709. https://doi.org/10.1016/j.compag.2020.105709</w:t>
      </w:r>
    </w:p>
    <w:p w14:paraId="53EA33F0"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Waheed, A., Goyal, M., Gupta, D., Khanna, A., </w:t>
      </w:r>
      <w:proofErr w:type="spellStart"/>
      <w:r w:rsidRPr="00BF38E6">
        <w:rPr>
          <w:rFonts w:ascii="Times New Roman" w:eastAsia="Times New Roman" w:hAnsi="Times New Roman" w:cs="Times New Roman"/>
          <w:bCs/>
          <w:sz w:val="24"/>
          <w:szCs w:val="27"/>
          <w:lang w:eastAsia="en-GB"/>
        </w:rPr>
        <w:t>Hassanien</w:t>
      </w:r>
      <w:proofErr w:type="spellEnd"/>
      <w:r w:rsidRPr="00BF38E6">
        <w:rPr>
          <w:rFonts w:ascii="Times New Roman" w:eastAsia="Times New Roman" w:hAnsi="Times New Roman" w:cs="Times New Roman"/>
          <w:bCs/>
          <w:sz w:val="24"/>
          <w:szCs w:val="27"/>
          <w:lang w:eastAsia="en-GB"/>
        </w:rPr>
        <w:t>, A. E., &amp; Pandey, H. M. (2020). An optimized dense convolutional neural network model for disease recognition and classification in corn leaf. Computers and Electronics in Agriculture, 175, 105456. https://doi.org/10.1016/j.compag.2020.105456</w:t>
      </w:r>
    </w:p>
    <w:p w14:paraId="5AD75CAC"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Walter, A., Finger, R., Huber, R., &amp; Buchmann, N. (2017). Smart farming is key to developing sustainable agriculture. Proceedings of the National Academy of Sciences, 114(24), 6148–6150. https://doi.org/10.1073/pnas.1707462114</w:t>
      </w:r>
    </w:p>
    <w:p w14:paraId="130B0E33"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Wiesner-Hanks, T., Stewart, E. L., Kaczmar, N., </w:t>
      </w:r>
      <w:proofErr w:type="spellStart"/>
      <w:r w:rsidRPr="00BF38E6">
        <w:rPr>
          <w:rFonts w:ascii="Times New Roman" w:eastAsia="Times New Roman" w:hAnsi="Times New Roman" w:cs="Times New Roman"/>
          <w:bCs/>
          <w:sz w:val="24"/>
          <w:szCs w:val="27"/>
          <w:lang w:eastAsia="en-GB"/>
        </w:rPr>
        <w:t>DeChant</w:t>
      </w:r>
      <w:proofErr w:type="spellEnd"/>
      <w:r w:rsidRPr="00BF38E6">
        <w:rPr>
          <w:rFonts w:ascii="Times New Roman" w:eastAsia="Times New Roman" w:hAnsi="Times New Roman" w:cs="Times New Roman"/>
          <w:bCs/>
          <w:sz w:val="24"/>
          <w:szCs w:val="27"/>
          <w:lang w:eastAsia="en-GB"/>
        </w:rPr>
        <w:t xml:space="preserve">, C., Wu, H., Nelson, R. J., Lipson, H., &amp; Gore, M. A. (2018). Image set for deep learning: Field images of maize annotated with </w:t>
      </w:r>
      <w:r w:rsidRPr="00BF38E6">
        <w:rPr>
          <w:rFonts w:ascii="Times New Roman" w:eastAsia="Times New Roman" w:hAnsi="Times New Roman" w:cs="Times New Roman"/>
          <w:bCs/>
          <w:sz w:val="24"/>
          <w:szCs w:val="27"/>
          <w:lang w:eastAsia="en-GB"/>
        </w:rPr>
        <w:lastRenderedPageBreak/>
        <w:t>disease symptoms. BMC Research Notes, 11(1), 440. https://doi.org/10.1186/s13104-018-3548-6</w:t>
      </w:r>
    </w:p>
    <w:p w14:paraId="2A2C7A98"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 xml:space="preserve">Wolfert, S., Ge, L., </w:t>
      </w:r>
      <w:proofErr w:type="spellStart"/>
      <w:r w:rsidRPr="00BF38E6">
        <w:rPr>
          <w:rFonts w:ascii="Times New Roman" w:eastAsia="Times New Roman" w:hAnsi="Times New Roman" w:cs="Times New Roman"/>
          <w:bCs/>
          <w:sz w:val="24"/>
          <w:szCs w:val="27"/>
          <w:lang w:eastAsia="en-GB"/>
        </w:rPr>
        <w:t>Verdouw</w:t>
      </w:r>
      <w:proofErr w:type="spellEnd"/>
      <w:r w:rsidRPr="00BF38E6">
        <w:rPr>
          <w:rFonts w:ascii="Times New Roman" w:eastAsia="Times New Roman" w:hAnsi="Times New Roman" w:cs="Times New Roman"/>
          <w:bCs/>
          <w:sz w:val="24"/>
          <w:szCs w:val="27"/>
          <w:lang w:eastAsia="en-GB"/>
        </w:rPr>
        <w:t xml:space="preserve">, C., &amp; </w:t>
      </w:r>
      <w:proofErr w:type="spellStart"/>
      <w:r w:rsidRPr="00BF38E6">
        <w:rPr>
          <w:rFonts w:ascii="Times New Roman" w:eastAsia="Times New Roman" w:hAnsi="Times New Roman" w:cs="Times New Roman"/>
          <w:bCs/>
          <w:sz w:val="24"/>
          <w:szCs w:val="27"/>
          <w:lang w:eastAsia="en-GB"/>
        </w:rPr>
        <w:t>Bogaardt</w:t>
      </w:r>
      <w:proofErr w:type="spellEnd"/>
      <w:r w:rsidRPr="00BF38E6">
        <w:rPr>
          <w:rFonts w:ascii="Times New Roman" w:eastAsia="Times New Roman" w:hAnsi="Times New Roman" w:cs="Times New Roman"/>
          <w:bCs/>
          <w:sz w:val="24"/>
          <w:szCs w:val="27"/>
          <w:lang w:eastAsia="en-GB"/>
        </w:rPr>
        <w:t>, M.-J. (2017). Big data in smart farming: A review. Agricultural Systems, 153, 69–80. https://doi.org/10.1016/j.agsy.2017.01.023</w:t>
      </w:r>
    </w:p>
    <w:p w14:paraId="0767D850" w14:textId="77777777" w:rsidR="00BF38E6" w:rsidRPr="00BF38E6" w:rsidRDefault="00BF38E6" w:rsidP="00BF38E6">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BF38E6">
        <w:rPr>
          <w:rFonts w:ascii="Times New Roman" w:eastAsia="Times New Roman" w:hAnsi="Times New Roman" w:cs="Times New Roman"/>
          <w:bCs/>
          <w:sz w:val="24"/>
          <w:szCs w:val="27"/>
          <w:lang w:eastAsia="en-GB"/>
        </w:rPr>
        <w:t>Zhang, X., Qiao, Y., Meng, F., Fan, C., &amp; Zhang, M. (2018). Identification of maize leaf diseases using improved deep convolutional neural networks. IEEE Access, 6, 30370–30377. https://doi.org/10.1109/ACCESS.2018.2844405</w:t>
      </w:r>
    </w:p>
    <w:sectPr w:rsidR="00BF38E6" w:rsidRPr="00BF38E6"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F679" w14:textId="77777777" w:rsidR="00F82454" w:rsidRDefault="00F82454" w:rsidP="00D7795E">
      <w:pPr>
        <w:spacing w:after="0" w:line="240" w:lineRule="auto"/>
      </w:pPr>
      <w:r>
        <w:separator/>
      </w:r>
    </w:p>
  </w:endnote>
  <w:endnote w:type="continuationSeparator" w:id="0">
    <w:p w14:paraId="14DCFE46" w14:textId="77777777" w:rsidR="00F82454" w:rsidRDefault="00F82454" w:rsidP="00D77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E35C" w14:textId="77777777" w:rsidR="00D7795E" w:rsidRDefault="00D77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72169" w14:textId="77777777" w:rsidR="00D7795E" w:rsidRDefault="00D77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4512" w14:textId="77777777" w:rsidR="00D7795E" w:rsidRDefault="00D77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B49BE" w14:textId="77777777" w:rsidR="00F82454" w:rsidRDefault="00F82454" w:rsidP="00D7795E">
      <w:pPr>
        <w:spacing w:after="0" w:line="240" w:lineRule="auto"/>
      </w:pPr>
      <w:r>
        <w:separator/>
      </w:r>
    </w:p>
  </w:footnote>
  <w:footnote w:type="continuationSeparator" w:id="0">
    <w:p w14:paraId="62C1E395" w14:textId="77777777" w:rsidR="00F82454" w:rsidRDefault="00F82454" w:rsidP="00D77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A765" w14:textId="4BA35DCB" w:rsidR="00D7795E" w:rsidRDefault="00D7795E">
    <w:pPr>
      <w:pStyle w:val="Header"/>
    </w:pPr>
    <w:r>
      <w:rPr>
        <w:noProof/>
      </w:rPr>
      <w:pict w14:anchorId="4A4B7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262454"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F3EB" w14:textId="12EB7126" w:rsidR="00D7795E" w:rsidRDefault="00D7795E">
    <w:pPr>
      <w:pStyle w:val="Header"/>
    </w:pPr>
    <w:r>
      <w:rPr>
        <w:noProof/>
      </w:rPr>
      <w:pict w14:anchorId="5A448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262455"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187E" w14:textId="71F29CEA" w:rsidR="00D7795E" w:rsidRDefault="00D7795E">
    <w:pPr>
      <w:pStyle w:val="Header"/>
    </w:pPr>
    <w:r>
      <w:rPr>
        <w:noProof/>
      </w:rPr>
      <w:pict w14:anchorId="7D8BA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262453"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CF3"/>
    <w:multiLevelType w:val="hybridMultilevel"/>
    <w:tmpl w:val="624C5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5258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65FC"/>
    <w:rsid w:val="00093A2A"/>
    <w:rsid w:val="000A3E0F"/>
    <w:rsid w:val="001C233E"/>
    <w:rsid w:val="00252558"/>
    <w:rsid w:val="002865FC"/>
    <w:rsid w:val="002F3B56"/>
    <w:rsid w:val="004841B3"/>
    <w:rsid w:val="006E64E2"/>
    <w:rsid w:val="007135B2"/>
    <w:rsid w:val="00872FC7"/>
    <w:rsid w:val="008961A2"/>
    <w:rsid w:val="00BD26D9"/>
    <w:rsid w:val="00BF38E6"/>
    <w:rsid w:val="00CB783F"/>
    <w:rsid w:val="00D7795E"/>
    <w:rsid w:val="00F717F1"/>
    <w:rsid w:val="00F82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07037"/>
  <w15:docId w15:val="{07FE06CD-2B09-4165-8E8E-F5FC1F9E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2865F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865F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865F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65F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865F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865FC"/>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2865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65FC"/>
    <w:rPr>
      <w:b/>
      <w:bCs/>
    </w:rPr>
  </w:style>
  <w:style w:type="character" w:styleId="Emphasis">
    <w:name w:val="Emphasis"/>
    <w:basedOn w:val="DefaultParagraphFont"/>
    <w:uiPriority w:val="20"/>
    <w:qFormat/>
    <w:rsid w:val="002865FC"/>
    <w:rPr>
      <w:i/>
      <w:iCs/>
    </w:rPr>
  </w:style>
  <w:style w:type="character" w:styleId="Hyperlink">
    <w:name w:val="Hyperlink"/>
    <w:basedOn w:val="DefaultParagraphFont"/>
    <w:uiPriority w:val="99"/>
    <w:unhideWhenUsed/>
    <w:rsid w:val="002865FC"/>
    <w:rPr>
      <w:color w:val="0000FF"/>
      <w:u w:val="single"/>
    </w:rPr>
  </w:style>
  <w:style w:type="paragraph" w:styleId="ListParagraph">
    <w:name w:val="List Paragraph"/>
    <w:basedOn w:val="Normal"/>
    <w:uiPriority w:val="34"/>
    <w:qFormat/>
    <w:rsid w:val="00BD26D9"/>
    <w:pPr>
      <w:ind w:left="720"/>
      <w:contextualSpacing/>
    </w:pPr>
  </w:style>
  <w:style w:type="paragraph" w:styleId="NormalWeb">
    <w:name w:val="Normal (Web)"/>
    <w:basedOn w:val="Normal"/>
    <w:uiPriority w:val="99"/>
    <w:unhideWhenUsed/>
    <w:rsid w:val="00BD2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BD26D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BD26D9"/>
    <w:rPr>
      <w:rFonts w:ascii="Arial" w:eastAsia="Times New Roman" w:hAnsi="Arial" w:cs="Arial"/>
      <w:vanish/>
      <w:sz w:val="16"/>
      <w:szCs w:val="16"/>
      <w:lang w:eastAsia="en-GB"/>
    </w:rPr>
  </w:style>
  <w:style w:type="paragraph" w:customStyle="1" w:styleId="placeholder">
    <w:name w:val="placeholder"/>
    <w:basedOn w:val="Normal"/>
    <w:rsid w:val="00BD2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BD26D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BD26D9"/>
    <w:rPr>
      <w:rFonts w:ascii="Arial" w:eastAsia="Times New Roman" w:hAnsi="Arial" w:cs="Arial"/>
      <w:vanish/>
      <w:sz w:val="16"/>
      <w:szCs w:val="16"/>
      <w:lang w:eastAsia="en-GB"/>
    </w:rPr>
  </w:style>
  <w:style w:type="table" w:styleId="TableGrid">
    <w:name w:val="Table Grid"/>
    <w:basedOn w:val="TableNormal"/>
    <w:uiPriority w:val="59"/>
    <w:rsid w:val="00BF3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7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95E"/>
  </w:style>
  <w:style w:type="paragraph" w:styleId="Footer">
    <w:name w:val="footer"/>
    <w:basedOn w:val="Normal"/>
    <w:link w:val="FooterChar"/>
    <w:uiPriority w:val="99"/>
    <w:unhideWhenUsed/>
    <w:rsid w:val="00D77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402415">
      <w:bodyDiv w:val="1"/>
      <w:marLeft w:val="0"/>
      <w:marRight w:val="0"/>
      <w:marTop w:val="0"/>
      <w:marBottom w:val="0"/>
      <w:divBdr>
        <w:top w:val="none" w:sz="0" w:space="0" w:color="auto"/>
        <w:left w:val="none" w:sz="0" w:space="0" w:color="auto"/>
        <w:bottom w:val="none" w:sz="0" w:space="0" w:color="auto"/>
        <w:right w:val="none" w:sz="0" w:space="0" w:color="auto"/>
      </w:divBdr>
      <w:divsChild>
        <w:div w:id="567813476">
          <w:marLeft w:val="0"/>
          <w:marRight w:val="0"/>
          <w:marTop w:val="0"/>
          <w:marBottom w:val="0"/>
          <w:divBdr>
            <w:top w:val="none" w:sz="0" w:space="0" w:color="auto"/>
            <w:left w:val="none" w:sz="0" w:space="0" w:color="auto"/>
            <w:bottom w:val="none" w:sz="0" w:space="0" w:color="auto"/>
            <w:right w:val="none" w:sz="0" w:space="0" w:color="auto"/>
          </w:divBdr>
        </w:div>
        <w:div w:id="1980184886">
          <w:marLeft w:val="0"/>
          <w:marRight w:val="0"/>
          <w:marTop w:val="0"/>
          <w:marBottom w:val="0"/>
          <w:divBdr>
            <w:top w:val="none" w:sz="0" w:space="0" w:color="auto"/>
            <w:left w:val="none" w:sz="0" w:space="0" w:color="auto"/>
            <w:bottom w:val="none" w:sz="0" w:space="0" w:color="auto"/>
            <w:right w:val="none" w:sz="0" w:space="0" w:color="auto"/>
          </w:divBdr>
        </w:div>
        <w:div w:id="1910730424">
          <w:marLeft w:val="0"/>
          <w:marRight w:val="0"/>
          <w:marTop w:val="0"/>
          <w:marBottom w:val="0"/>
          <w:divBdr>
            <w:top w:val="none" w:sz="0" w:space="0" w:color="auto"/>
            <w:left w:val="none" w:sz="0" w:space="0" w:color="auto"/>
            <w:bottom w:val="none" w:sz="0" w:space="0" w:color="auto"/>
            <w:right w:val="none" w:sz="0" w:space="0" w:color="auto"/>
          </w:divBdr>
        </w:div>
        <w:div w:id="879249339">
          <w:marLeft w:val="0"/>
          <w:marRight w:val="0"/>
          <w:marTop w:val="0"/>
          <w:marBottom w:val="0"/>
          <w:divBdr>
            <w:top w:val="none" w:sz="0" w:space="0" w:color="auto"/>
            <w:left w:val="none" w:sz="0" w:space="0" w:color="auto"/>
            <w:bottom w:val="none" w:sz="0" w:space="0" w:color="auto"/>
            <w:right w:val="none" w:sz="0" w:space="0" w:color="auto"/>
          </w:divBdr>
        </w:div>
        <w:div w:id="1837964087">
          <w:marLeft w:val="0"/>
          <w:marRight w:val="0"/>
          <w:marTop w:val="0"/>
          <w:marBottom w:val="0"/>
          <w:divBdr>
            <w:top w:val="none" w:sz="0" w:space="0" w:color="auto"/>
            <w:left w:val="none" w:sz="0" w:space="0" w:color="auto"/>
            <w:bottom w:val="none" w:sz="0" w:space="0" w:color="auto"/>
            <w:right w:val="none" w:sz="0" w:space="0" w:color="auto"/>
          </w:divBdr>
        </w:div>
      </w:divsChild>
    </w:div>
    <w:div w:id="842935494">
      <w:bodyDiv w:val="1"/>
      <w:marLeft w:val="0"/>
      <w:marRight w:val="0"/>
      <w:marTop w:val="0"/>
      <w:marBottom w:val="0"/>
      <w:divBdr>
        <w:top w:val="none" w:sz="0" w:space="0" w:color="auto"/>
        <w:left w:val="none" w:sz="0" w:space="0" w:color="auto"/>
        <w:bottom w:val="none" w:sz="0" w:space="0" w:color="auto"/>
        <w:right w:val="none" w:sz="0" w:space="0" w:color="auto"/>
      </w:divBdr>
      <w:divsChild>
        <w:div w:id="1600987626">
          <w:marLeft w:val="0"/>
          <w:marRight w:val="0"/>
          <w:marTop w:val="0"/>
          <w:marBottom w:val="0"/>
          <w:divBdr>
            <w:top w:val="none" w:sz="0" w:space="0" w:color="auto"/>
            <w:left w:val="none" w:sz="0" w:space="0" w:color="auto"/>
            <w:bottom w:val="none" w:sz="0" w:space="0" w:color="auto"/>
            <w:right w:val="none" w:sz="0" w:space="0" w:color="auto"/>
          </w:divBdr>
          <w:divsChild>
            <w:div w:id="1151602591">
              <w:marLeft w:val="0"/>
              <w:marRight w:val="0"/>
              <w:marTop w:val="0"/>
              <w:marBottom w:val="0"/>
              <w:divBdr>
                <w:top w:val="none" w:sz="0" w:space="0" w:color="auto"/>
                <w:left w:val="none" w:sz="0" w:space="0" w:color="auto"/>
                <w:bottom w:val="none" w:sz="0" w:space="0" w:color="auto"/>
                <w:right w:val="none" w:sz="0" w:space="0" w:color="auto"/>
              </w:divBdr>
              <w:divsChild>
                <w:div w:id="1183088544">
                  <w:marLeft w:val="0"/>
                  <w:marRight w:val="0"/>
                  <w:marTop w:val="0"/>
                  <w:marBottom w:val="0"/>
                  <w:divBdr>
                    <w:top w:val="none" w:sz="0" w:space="0" w:color="auto"/>
                    <w:left w:val="none" w:sz="0" w:space="0" w:color="auto"/>
                    <w:bottom w:val="none" w:sz="0" w:space="0" w:color="auto"/>
                    <w:right w:val="none" w:sz="0" w:space="0" w:color="auto"/>
                  </w:divBdr>
                  <w:divsChild>
                    <w:div w:id="910820821">
                      <w:marLeft w:val="0"/>
                      <w:marRight w:val="0"/>
                      <w:marTop w:val="0"/>
                      <w:marBottom w:val="0"/>
                      <w:divBdr>
                        <w:top w:val="none" w:sz="0" w:space="0" w:color="auto"/>
                        <w:left w:val="none" w:sz="0" w:space="0" w:color="auto"/>
                        <w:bottom w:val="none" w:sz="0" w:space="0" w:color="auto"/>
                        <w:right w:val="none" w:sz="0" w:space="0" w:color="auto"/>
                      </w:divBdr>
                      <w:divsChild>
                        <w:div w:id="1585457383">
                          <w:marLeft w:val="0"/>
                          <w:marRight w:val="0"/>
                          <w:marTop w:val="0"/>
                          <w:marBottom w:val="0"/>
                          <w:divBdr>
                            <w:top w:val="none" w:sz="0" w:space="0" w:color="auto"/>
                            <w:left w:val="none" w:sz="0" w:space="0" w:color="auto"/>
                            <w:bottom w:val="none" w:sz="0" w:space="0" w:color="auto"/>
                            <w:right w:val="none" w:sz="0" w:space="0" w:color="auto"/>
                          </w:divBdr>
                          <w:divsChild>
                            <w:div w:id="1144199943">
                              <w:marLeft w:val="0"/>
                              <w:marRight w:val="0"/>
                              <w:marTop w:val="0"/>
                              <w:marBottom w:val="0"/>
                              <w:divBdr>
                                <w:top w:val="none" w:sz="0" w:space="0" w:color="auto"/>
                                <w:left w:val="none" w:sz="0" w:space="0" w:color="auto"/>
                                <w:bottom w:val="none" w:sz="0" w:space="0" w:color="auto"/>
                                <w:right w:val="none" w:sz="0" w:space="0" w:color="auto"/>
                              </w:divBdr>
                              <w:divsChild>
                                <w:div w:id="470557680">
                                  <w:marLeft w:val="0"/>
                                  <w:marRight w:val="0"/>
                                  <w:marTop w:val="0"/>
                                  <w:marBottom w:val="0"/>
                                  <w:divBdr>
                                    <w:top w:val="none" w:sz="0" w:space="0" w:color="auto"/>
                                    <w:left w:val="none" w:sz="0" w:space="0" w:color="auto"/>
                                    <w:bottom w:val="none" w:sz="0" w:space="0" w:color="auto"/>
                                    <w:right w:val="none" w:sz="0" w:space="0" w:color="auto"/>
                                  </w:divBdr>
                                  <w:divsChild>
                                    <w:div w:id="806818688">
                                      <w:marLeft w:val="0"/>
                                      <w:marRight w:val="0"/>
                                      <w:marTop w:val="0"/>
                                      <w:marBottom w:val="0"/>
                                      <w:divBdr>
                                        <w:top w:val="none" w:sz="0" w:space="0" w:color="auto"/>
                                        <w:left w:val="none" w:sz="0" w:space="0" w:color="auto"/>
                                        <w:bottom w:val="none" w:sz="0" w:space="0" w:color="auto"/>
                                        <w:right w:val="none" w:sz="0" w:space="0" w:color="auto"/>
                                      </w:divBdr>
                                      <w:divsChild>
                                        <w:div w:id="2094159322">
                                          <w:marLeft w:val="0"/>
                                          <w:marRight w:val="0"/>
                                          <w:marTop w:val="0"/>
                                          <w:marBottom w:val="0"/>
                                          <w:divBdr>
                                            <w:top w:val="none" w:sz="0" w:space="0" w:color="auto"/>
                                            <w:left w:val="none" w:sz="0" w:space="0" w:color="auto"/>
                                            <w:bottom w:val="none" w:sz="0" w:space="0" w:color="auto"/>
                                            <w:right w:val="none" w:sz="0" w:space="0" w:color="auto"/>
                                          </w:divBdr>
                                          <w:divsChild>
                                            <w:div w:id="717054421">
                                              <w:marLeft w:val="0"/>
                                              <w:marRight w:val="0"/>
                                              <w:marTop w:val="0"/>
                                              <w:marBottom w:val="0"/>
                                              <w:divBdr>
                                                <w:top w:val="none" w:sz="0" w:space="0" w:color="auto"/>
                                                <w:left w:val="none" w:sz="0" w:space="0" w:color="auto"/>
                                                <w:bottom w:val="none" w:sz="0" w:space="0" w:color="auto"/>
                                                <w:right w:val="none" w:sz="0" w:space="0" w:color="auto"/>
                                              </w:divBdr>
                                              <w:divsChild>
                                                <w:div w:id="1113019709">
                                                  <w:marLeft w:val="0"/>
                                                  <w:marRight w:val="0"/>
                                                  <w:marTop w:val="0"/>
                                                  <w:marBottom w:val="0"/>
                                                  <w:divBdr>
                                                    <w:top w:val="none" w:sz="0" w:space="0" w:color="auto"/>
                                                    <w:left w:val="none" w:sz="0" w:space="0" w:color="auto"/>
                                                    <w:bottom w:val="none" w:sz="0" w:space="0" w:color="auto"/>
                                                    <w:right w:val="none" w:sz="0" w:space="0" w:color="auto"/>
                                                  </w:divBdr>
                                                  <w:divsChild>
                                                    <w:div w:id="2133816043">
                                                      <w:marLeft w:val="0"/>
                                                      <w:marRight w:val="0"/>
                                                      <w:marTop w:val="0"/>
                                                      <w:marBottom w:val="0"/>
                                                      <w:divBdr>
                                                        <w:top w:val="none" w:sz="0" w:space="0" w:color="auto"/>
                                                        <w:left w:val="none" w:sz="0" w:space="0" w:color="auto"/>
                                                        <w:bottom w:val="none" w:sz="0" w:space="0" w:color="auto"/>
                                                        <w:right w:val="none" w:sz="0" w:space="0" w:color="auto"/>
                                                      </w:divBdr>
                                                      <w:divsChild>
                                                        <w:div w:id="864169553">
                                                          <w:marLeft w:val="0"/>
                                                          <w:marRight w:val="0"/>
                                                          <w:marTop w:val="0"/>
                                                          <w:marBottom w:val="0"/>
                                                          <w:divBdr>
                                                            <w:top w:val="none" w:sz="0" w:space="0" w:color="auto"/>
                                                            <w:left w:val="none" w:sz="0" w:space="0" w:color="auto"/>
                                                            <w:bottom w:val="none" w:sz="0" w:space="0" w:color="auto"/>
                                                            <w:right w:val="none" w:sz="0" w:space="0" w:color="auto"/>
                                                          </w:divBdr>
                                                          <w:divsChild>
                                                            <w:div w:id="735202688">
                                                              <w:marLeft w:val="0"/>
                                                              <w:marRight w:val="0"/>
                                                              <w:marTop w:val="0"/>
                                                              <w:marBottom w:val="0"/>
                                                              <w:divBdr>
                                                                <w:top w:val="none" w:sz="0" w:space="0" w:color="auto"/>
                                                                <w:left w:val="none" w:sz="0" w:space="0" w:color="auto"/>
                                                                <w:bottom w:val="none" w:sz="0" w:space="0" w:color="auto"/>
                                                                <w:right w:val="none" w:sz="0" w:space="0" w:color="auto"/>
                                                              </w:divBdr>
                                                              <w:divsChild>
                                                                <w:div w:id="595748335">
                                                                  <w:marLeft w:val="0"/>
                                                                  <w:marRight w:val="0"/>
                                                                  <w:marTop w:val="0"/>
                                                                  <w:marBottom w:val="0"/>
                                                                  <w:divBdr>
                                                                    <w:top w:val="none" w:sz="0" w:space="0" w:color="auto"/>
                                                                    <w:left w:val="none" w:sz="0" w:space="0" w:color="auto"/>
                                                                    <w:bottom w:val="none" w:sz="0" w:space="0" w:color="auto"/>
                                                                    <w:right w:val="none" w:sz="0" w:space="0" w:color="auto"/>
                                                                  </w:divBdr>
                                                                  <w:divsChild>
                                                                    <w:div w:id="1261373658">
                                                                      <w:marLeft w:val="0"/>
                                                                      <w:marRight w:val="0"/>
                                                                      <w:marTop w:val="0"/>
                                                                      <w:marBottom w:val="0"/>
                                                                      <w:divBdr>
                                                                        <w:top w:val="none" w:sz="0" w:space="0" w:color="auto"/>
                                                                        <w:left w:val="none" w:sz="0" w:space="0" w:color="auto"/>
                                                                        <w:bottom w:val="none" w:sz="0" w:space="0" w:color="auto"/>
                                                                        <w:right w:val="none" w:sz="0" w:space="0" w:color="auto"/>
                                                                      </w:divBdr>
                                                                      <w:divsChild>
                                                                        <w:div w:id="256864940">
                                                                          <w:marLeft w:val="0"/>
                                                                          <w:marRight w:val="0"/>
                                                                          <w:marTop w:val="0"/>
                                                                          <w:marBottom w:val="0"/>
                                                                          <w:divBdr>
                                                                            <w:top w:val="none" w:sz="0" w:space="0" w:color="auto"/>
                                                                            <w:left w:val="none" w:sz="0" w:space="0" w:color="auto"/>
                                                                            <w:bottom w:val="none" w:sz="0" w:space="0" w:color="auto"/>
                                                                            <w:right w:val="none" w:sz="0" w:space="0" w:color="auto"/>
                                                                          </w:divBdr>
                                                                          <w:divsChild>
                                                                            <w:div w:id="794562408">
                                                                              <w:marLeft w:val="0"/>
                                                                              <w:marRight w:val="0"/>
                                                                              <w:marTop w:val="0"/>
                                                                              <w:marBottom w:val="0"/>
                                                                              <w:divBdr>
                                                                                <w:top w:val="none" w:sz="0" w:space="0" w:color="auto"/>
                                                                                <w:left w:val="none" w:sz="0" w:space="0" w:color="auto"/>
                                                                                <w:bottom w:val="none" w:sz="0" w:space="0" w:color="auto"/>
                                                                                <w:right w:val="none" w:sz="0" w:space="0" w:color="auto"/>
                                                                              </w:divBdr>
                                                                              <w:divsChild>
                                                                                <w:div w:id="44801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572142">
                                              <w:marLeft w:val="0"/>
                                              <w:marRight w:val="0"/>
                                              <w:marTop w:val="0"/>
                                              <w:marBottom w:val="0"/>
                                              <w:divBdr>
                                                <w:top w:val="none" w:sz="0" w:space="0" w:color="auto"/>
                                                <w:left w:val="none" w:sz="0" w:space="0" w:color="auto"/>
                                                <w:bottom w:val="none" w:sz="0" w:space="0" w:color="auto"/>
                                                <w:right w:val="none" w:sz="0" w:space="0" w:color="auto"/>
                                              </w:divBdr>
                                              <w:divsChild>
                                                <w:div w:id="738408165">
                                                  <w:marLeft w:val="0"/>
                                                  <w:marRight w:val="0"/>
                                                  <w:marTop w:val="0"/>
                                                  <w:marBottom w:val="0"/>
                                                  <w:divBdr>
                                                    <w:top w:val="none" w:sz="0" w:space="0" w:color="auto"/>
                                                    <w:left w:val="none" w:sz="0" w:space="0" w:color="auto"/>
                                                    <w:bottom w:val="none" w:sz="0" w:space="0" w:color="auto"/>
                                                    <w:right w:val="none" w:sz="0" w:space="0" w:color="auto"/>
                                                  </w:divBdr>
                                                  <w:divsChild>
                                                    <w:div w:id="472715757">
                                                      <w:marLeft w:val="0"/>
                                                      <w:marRight w:val="0"/>
                                                      <w:marTop w:val="0"/>
                                                      <w:marBottom w:val="0"/>
                                                      <w:divBdr>
                                                        <w:top w:val="none" w:sz="0" w:space="0" w:color="auto"/>
                                                        <w:left w:val="none" w:sz="0" w:space="0" w:color="auto"/>
                                                        <w:bottom w:val="none" w:sz="0" w:space="0" w:color="auto"/>
                                                        <w:right w:val="none" w:sz="0" w:space="0" w:color="auto"/>
                                                      </w:divBdr>
                                                      <w:divsChild>
                                                        <w:div w:id="329525291">
                                                          <w:marLeft w:val="0"/>
                                                          <w:marRight w:val="0"/>
                                                          <w:marTop w:val="0"/>
                                                          <w:marBottom w:val="0"/>
                                                          <w:divBdr>
                                                            <w:top w:val="none" w:sz="0" w:space="0" w:color="auto"/>
                                                            <w:left w:val="none" w:sz="0" w:space="0" w:color="auto"/>
                                                            <w:bottom w:val="none" w:sz="0" w:space="0" w:color="auto"/>
                                                            <w:right w:val="none" w:sz="0" w:space="0" w:color="auto"/>
                                                          </w:divBdr>
                                                          <w:divsChild>
                                                            <w:div w:id="1374884982">
                                                              <w:marLeft w:val="0"/>
                                                              <w:marRight w:val="0"/>
                                                              <w:marTop w:val="0"/>
                                                              <w:marBottom w:val="0"/>
                                                              <w:divBdr>
                                                                <w:top w:val="none" w:sz="0" w:space="0" w:color="auto"/>
                                                                <w:left w:val="none" w:sz="0" w:space="0" w:color="auto"/>
                                                                <w:bottom w:val="none" w:sz="0" w:space="0" w:color="auto"/>
                                                                <w:right w:val="none" w:sz="0" w:space="0" w:color="auto"/>
                                                              </w:divBdr>
                                                              <w:divsChild>
                                                                <w:div w:id="2087724340">
                                                                  <w:marLeft w:val="0"/>
                                                                  <w:marRight w:val="0"/>
                                                                  <w:marTop w:val="0"/>
                                                                  <w:marBottom w:val="0"/>
                                                                  <w:divBdr>
                                                                    <w:top w:val="none" w:sz="0" w:space="0" w:color="auto"/>
                                                                    <w:left w:val="none" w:sz="0" w:space="0" w:color="auto"/>
                                                                    <w:bottom w:val="none" w:sz="0" w:space="0" w:color="auto"/>
                                                                    <w:right w:val="none" w:sz="0" w:space="0" w:color="auto"/>
                                                                  </w:divBdr>
                                                                  <w:divsChild>
                                                                    <w:div w:id="477504484">
                                                                      <w:marLeft w:val="0"/>
                                                                      <w:marRight w:val="0"/>
                                                                      <w:marTop w:val="0"/>
                                                                      <w:marBottom w:val="0"/>
                                                                      <w:divBdr>
                                                                        <w:top w:val="none" w:sz="0" w:space="0" w:color="auto"/>
                                                                        <w:left w:val="none" w:sz="0" w:space="0" w:color="auto"/>
                                                                        <w:bottom w:val="none" w:sz="0" w:space="0" w:color="auto"/>
                                                                        <w:right w:val="none" w:sz="0" w:space="0" w:color="auto"/>
                                                                      </w:divBdr>
                                                                      <w:divsChild>
                                                                        <w:div w:id="214239884">
                                                                          <w:marLeft w:val="0"/>
                                                                          <w:marRight w:val="0"/>
                                                                          <w:marTop w:val="0"/>
                                                                          <w:marBottom w:val="0"/>
                                                                          <w:divBdr>
                                                                            <w:top w:val="none" w:sz="0" w:space="0" w:color="auto"/>
                                                                            <w:left w:val="none" w:sz="0" w:space="0" w:color="auto"/>
                                                                            <w:bottom w:val="none" w:sz="0" w:space="0" w:color="auto"/>
                                                                            <w:right w:val="none" w:sz="0" w:space="0" w:color="auto"/>
                                                                          </w:divBdr>
                                                                          <w:divsChild>
                                                                            <w:div w:id="1526210426">
                                                                              <w:marLeft w:val="0"/>
                                                                              <w:marRight w:val="0"/>
                                                                              <w:marTop w:val="0"/>
                                                                              <w:marBottom w:val="0"/>
                                                                              <w:divBdr>
                                                                                <w:top w:val="none" w:sz="0" w:space="0" w:color="auto"/>
                                                                                <w:left w:val="none" w:sz="0" w:space="0" w:color="auto"/>
                                                                                <w:bottom w:val="none" w:sz="0" w:space="0" w:color="auto"/>
                                                                                <w:right w:val="none" w:sz="0" w:space="0" w:color="auto"/>
                                                                              </w:divBdr>
                                                                              <w:divsChild>
                                                                                <w:div w:id="507674035">
                                                                                  <w:marLeft w:val="0"/>
                                                                                  <w:marRight w:val="0"/>
                                                                                  <w:marTop w:val="0"/>
                                                                                  <w:marBottom w:val="0"/>
                                                                                  <w:divBdr>
                                                                                    <w:top w:val="none" w:sz="0" w:space="0" w:color="auto"/>
                                                                                    <w:left w:val="none" w:sz="0" w:space="0" w:color="auto"/>
                                                                                    <w:bottom w:val="none" w:sz="0" w:space="0" w:color="auto"/>
                                                                                    <w:right w:val="none" w:sz="0" w:space="0" w:color="auto"/>
                                                                                  </w:divBdr>
                                                                                  <w:divsChild>
                                                                                    <w:div w:id="1390835711">
                                                                                      <w:marLeft w:val="0"/>
                                                                                      <w:marRight w:val="0"/>
                                                                                      <w:marTop w:val="0"/>
                                                                                      <w:marBottom w:val="0"/>
                                                                                      <w:divBdr>
                                                                                        <w:top w:val="none" w:sz="0" w:space="0" w:color="auto"/>
                                                                                        <w:left w:val="none" w:sz="0" w:space="0" w:color="auto"/>
                                                                                        <w:bottom w:val="none" w:sz="0" w:space="0" w:color="auto"/>
                                                                                        <w:right w:val="none" w:sz="0" w:space="0" w:color="auto"/>
                                                                                      </w:divBdr>
                                                                                      <w:divsChild>
                                                                                        <w:div w:id="186988857">
                                                                                          <w:marLeft w:val="0"/>
                                                                                          <w:marRight w:val="0"/>
                                                                                          <w:marTop w:val="0"/>
                                                                                          <w:marBottom w:val="0"/>
                                                                                          <w:divBdr>
                                                                                            <w:top w:val="none" w:sz="0" w:space="0" w:color="auto"/>
                                                                                            <w:left w:val="none" w:sz="0" w:space="0" w:color="auto"/>
                                                                                            <w:bottom w:val="none" w:sz="0" w:space="0" w:color="auto"/>
                                                                                            <w:right w:val="none" w:sz="0" w:space="0" w:color="auto"/>
                                                                                          </w:divBdr>
                                                                                          <w:divsChild>
                                                                                            <w:div w:id="108333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856477">
      <w:bodyDiv w:val="1"/>
      <w:marLeft w:val="0"/>
      <w:marRight w:val="0"/>
      <w:marTop w:val="0"/>
      <w:marBottom w:val="0"/>
      <w:divBdr>
        <w:top w:val="none" w:sz="0" w:space="0" w:color="auto"/>
        <w:left w:val="none" w:sz="0" w:space="0" w:color="auto"/>
        <w:bottom w:val="none" w:sz="0" w:space="0" w:color="auto"/>
        <w:right w:val="none" w:sz="0" w:space="0" w:color="auto"/>
      </w:divBdr>
      <w:divsChild>
        <w:div w:id="754789195">
          <w:marLeft w:val="0"/>
          <w:marRight w:val="0"/>
          <w:marTop w:val="0"/>
          <w:marBottom w:val="0"/>
          <w:divBdr>
            <w:top w:val="none" w:sz="0" w:space="0" w:color="auto"/>
            <w:left w:val="none" w:sz="0" w:space="0" w:color="auto"/>
            <w:bottom w:val="none" w:sz="0" w:space="0" w:color="auto"/>
            <w:right w:val="none" w:sz="0" w:space="0" w:color="auto"/>
          </w:divBdr>
          <w:divsChild>
            <w:div w:id="41366356">
              <w:marLeft w:val="0"/>
              <w:marRight w:val="0"/>
              <w:marTop w:val="0"/>
              <w:marBottom w:val="0"/>
              <w:divBdr>
                <w:top w:val="none" w:sz="0" w:space="0" w:color="auto"/>
                <w:left w:val="none" w:sz="0" w:space="0" w:color="auto"/>
                <w:bottom w:val="none" w:sz="0" w:space="0" w:color="auto"/>
                <w:right w:val="none" w:sz="0" w:space="0" w:color="auto"/>
              </w:divBdr>
              <w:divsChild>
                <w:div w:id="1676296507">
                  <w:marLeft w:val="0"/>
                  <w:marRight w:val="0"/>
                  <w:marTop w:val="0"/>
                  <w:marBottom w:val="0"/>
                  <w:divBdr>
                    <w:top w:val="none" w:sz="0" w:space="0" w:color="auto"/>
                    <w:left w:val="none" w:sz="0" w:space="0" w:color="auto"/>
                    <w:bottom w:val="none" w:sz="0" w:space="0" w:color="auto"/>
                    <w:right w:val="none" w:sz="0" w:space="0" w:color="auto"/>
                  </w:divBdr>
                  <w:divsChild>
                    <w:div w:id="1842887443">
                      <w:marLeft w:val="0"/>
                      <w:marRight w:val="0"/>
                      <w:marTop w:val="0"/>
                      <w:marBottom w:val="0"/>
                      <w:divBdr>
                        <w:top w:val="none" w:sz="0" w:space="0" w:color="auto"/>
                        <w:left w:val="none" w:sz="0" w:space="0" w:color="auto"/>
                        <w:bottom w:val="none" w:sz="0" w:space="0" w:color="auto"/>
                        <w:right w:val="none" w:sz="0" w:space="0" w:color="auto"/>
                      </w:divBdr>
                      <w:divsChild>
                        <w:div w:id="914586482">
                          <w:marLeft w:val="0"/>
                          <w:marRight w:val="0"/>
                          <w:marTop w:val="0"/>
                          <w:marBottom w:val="0"/>
                          <w:divBdr>
                            <w:top w:val="none" w:sz="0" w:space="0" w:color="auto"/>
                            <w:left w:val="none" w:sz="0" w:space="0" w:color="auto"/>
                            <w:bottom w:val="none" w:sz="0" w:space="0" w:color="auto"/>
                            <w:right w:val="none" w:sz="0" w:space="0" w:color="auto"/>
                          </w:divBdr>
                          <w:divsChild>
                            <w:div w:id="579218219">
                              <w:marLeft w:val="0"/>
                              <w:marRight w:val="0"/>
                              <w:marTop w:val="0"/>
                              <w:marBottom w:val="0"/>
                              <w:divBdr>
                                <w:top w:val="none" w:sz="0" w:space="0" w:color="auto"/>
                                <w:left w:val="none" w:sz="0" w:space="0" w:color="auto"/>
                                <w:bottom w:val="none" w:sz="0" w:space="0" w:color="auto"/>
                                <w:right w:val="none" w:sz="0" w:space="0" w:color="auto"/>
                              </w:divBdr>
                              <w:divsChild>
                                <w:div w:id="1354721018">
                                  <w:marLeft w:val="0"/>
                                  <w:marRight w:val="0"/>
                                  <w:marTop w:val="0"/>
                                  <w:marBottom w:val="0"/>
                                  <w:divBdr>
                                    <w:top w:val="none" w:sz="0" w:space="0" w:color="auto"/>
                                    <w:left w:val="none" w:sz="0" w:space="0" w:color="auto"/>
                                    <w:bottom w:val="none" w:sz="0" w:space="0" w:color="auto"/>
                                    <w:right w:val="none" w:sz="0" w:space="0" w:color="auto"/>
                                  </w:divBdr>
                                  <w:divsChild>
                                    <w:div w:id="17739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26</Pages>
  <Words>12269</Words>
  <Characters>69936</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1180</cp:lastModifiedBy>
  <cp:revision>24</cp:revision>
  <dcterms:created xsi:type="dcterms:W3CDTF">2026-06-21T14:06:00Z</dcterms:created>
  <dcterms:modified xsi:type="dcterms:W3CDTF">2026-06-23T11:46:00Z</dcterms:modified>
</cp:coreProperties>
</file>