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B8DBF" w14:textId="66CEBA68" w:rsidR="00C97835" w:rsidRPr="00E31A3C" w:rsidRDefault="004B28B1" w:rsidP="00EC4705">
      <w:pPr>
        <w:ind w:firstLine="0"/>
        <w:rPr>
          <w:b/>
          <w:bCs/>
          <w:color w:val="auto"/>
        </w:rPr>
      </w:pPr>
      <w:r>
        <w:rPr>
          <w:b/>
          <w:bCs/>
          <w:color w:val="auto"/>
        </w:rPr>
        <w:t xml:space="preserve">Effect of </w:t>
      </w:r>
      <w:r w:rsidR="00EC4705" w:rsidRPr="00E31A3C">
        <w:rPr>
          <w:b/>
          <w:bCs/>
          <w:color w:val="auto"/>
        </w:rPr>
        <w:t xml:space="preserve">precision nutrient management on growth indices of rice under </w:t>
      </w:r>
      <w:r>
        <w:rPr>
          <w:b/>
          <w:bCs/>
          <w:color w:val="auto"/>
        </w:rPr>
        <w:t>different establishment methods.</w:t>
      </w:r>
    </w:p>
    <w:p w14:paraId="547BBDEA" w14:textId="77777777" w:rsidR="00EC4705" w:rsidRPr="00E31A3C" w:rsidRDefault="00EC4705" w:rsidP="00EC4705">
      <w:pPr>
        <w:ind w:firstLine="0"/>
        <w:rPr>
          <w:b/>
          <w:bCs/>
          <w:color w:val="auto"/>
        </w:rPr>
      </w:pPr>
    </w:p>
    <w:p w14:paraId="49A8CD06" w14:textId="656DEE79" w:rsidR="00EC4705" w:rsidRPr="00E31A3C" w:rsidRDefault="00EC4705" w:rsidP="00EC4705">
      <w:pPr>
        <w:ind w:firstLine="0"/>
        <w:jc w:val="center"/>
        <w:rPr>
          <w:b/>
          <w:bCs/>
          <w:color w:val="auto"/>
        </w:rPr>
      </w:pPr>
      <w:r w:rsidRPr="00E31A3C">
        <w:rPr>
          <w:b/>
          <w:bCs/>
          <w:color w:val="auto"/>
        </w:rPr>
        <w:t>Abstract</w:t>
      </w:r>
    </w:p>
    <w:p w14:paraId="5849E1BA" w14:textId="56967BC5" w:rsidR="00953BEB" w:rsidRPr="00E31A3C" w:rsidRDefault="0046640E" w:rsidP="002D4E11">
      <w:pPr>
        <w:spacing w:line="240" w:lineRule="auto"/>
        <w:rPr>
          <w:color w:val="auto"/>
          <w:lang w:val="en-US"/>
        </w:rPr>
      </w:pPr>
      <w:r w:rsidRPr="00E31A3C">
        <w:rPr>
          <w:color w:val="auto"/>
        </w:rPr>
        <w:t>Rice (</w:t>
      </w:r>
      <w:r w:rsidRPr="00E31A3C">
        <w:rPr>
          <w:i/>
          <w:iCs/>
          <w:color w:val="auto"/>
        </w:rPr>
        <w:t>Oryza sativa</w:t>
      </w:r>
      <w:r w:rsidRPr="00E31A3C">
        <w:rPr>
          <w:color w:val="auto"/>
        </w:rPr>
        <w:t xml:space="preserve"> L.) </w:t>
      </w:r>
      <w:r w:rsidR="00D142EF" w:rsidRPr="00E31A3C">
        <w:rPr>
          <w:color w:val="auto"/>
        </w:rPr>
        <w:t xml:space="preserve">is a semi-aquatic annual grass plant and one of the principle staple cereal </w:t>
      </w:r>
      <w:proofErr w:type="gramStart"/>
      <w:r w:rsidR="00D142EF" w:rsidRPr="00E31A3C">
        <w:rPr>
          <w:color w:val="auto"/>
        </w:rPr>
        <w:t>crop</w:t>
      </w:r>
      <w:proofErr w:type="gramEnd"/>
      <w:r w:rsidR="00D142EF" w:rsidRPr="00E31A3C">
        <w:rPr>
          <w:color w:val="auto"/>
        </w:rPr>
        <w:t xml:space="preserve"> for more than half of the world’s population, linked to global food and nutritional security, including India</w:t>
      </w:r>
      <w:r w:rsidR="00237BB0" w:rsidRPr="00E31A3C">
        <w:rPr>
          <w:color w:val="auto"/>
        </w:rPr>
        <w:t xml:space="preserve">. The </w:t>
      </w:r>
      <w:r w:rsidR="00D142EF" w:rsidRPr="00E31A3C">
        <w:rPr>
          <w:color w:val="auto"/>
        </w:rPr>
        <w:t xml:space="preserve">cultivation is constrained by stagnating yields, </w:t>
      </w:r>
      <w:r w:rsidR="00237BB0" w:rsidRPr="00E31A3C">
        <w:rPr>
          <w:color w:val="auto"/>
        </w:rPr>
        <w:t xml:space="preserve">blanket </w:t>
      </w:r>
      <w:r w:rsidR="00D142EF" w:rsidRPr="00E31A3C">
        <w:rPr>
          <w:color w:val="auto"/>
        </w:rPr>
        <w:t xml:space="preserve">fertilizer </w:t>
      </w:r>
      <w:r w:rsidR="00237BB0" w:rsidRPr="00E31A3C">
        <w:rPr>
          <w:color w:val="auto"/>
        </w:rPr>
        <w:t>application and environmental concerns revealing a need for strategic management approaches to improve the physiological efficiency and resource use</w:t>
      </w:r>
      <w:r w:rsidR="00C2271A" w:rsidRPr="00E31A3C">
        <w:rPr>
          <w:color w:val="auto"/>
        </w:rPr>
        <w:t xml:space="preserve">. </w:t>
      </w:r>
      <w:r w:rsidR="00953BEB" w:rsidRPr="00E31A3C">
        <w:rPr>
          <w:color w:val="auto"/>
        </w:rPr>
        <w:t xml:space="preserve">Therefore, a field experiment was conducted to assess the impact of establishment methods and precision nutrient management approaches on crop growth indices of rice at an Agricultural Research Farm, Faculty of Agriculture, </w:t>
      </w:r>
      <w:proofErr w:type="spellStart"/>
      <w:r w:rsidR="00953BEB" w:rsidRPr="00E31A3C">
        <w:rPr>
          <w:color w:val="auto"/>
        </w:rPr>
        <w:t>Wadura</w:t>
      </w:r>
      <w:proofErr w:type="spellEnd"/>
      <w:r w:rsidR="00953BEB" w:rsidRPr="00E31A3C">
        <w:rPr>
          <w:color w:val="auto"/>
        </w:rPr>
        <w:t xml:space="preserve">, SKUAST-Kashmir, India, during </w:t>
      </w:r>
      <w:r w:rsidR="00953BEB" w:rsidRPr="00E31A3C">
        <w:rPr>
          <w:i/>
          <w:iCs/>
          <w:color w:val="auto"/>
        </w:rPr>
        <w:t xml:space="preserve">Kharif </w:t>
      </w:r>
      <w:r w:rsidR="00953BEB" w:rsidRPr="00E31A3C">
        <w:rPr>
          <w:color w:val="auto"/>
        </w:rPr>
        <w:t xml:space="preserve">season 2024 and 2025. The experiment comprised of two main-plot establishment levels </w:t>
      </w:r>
      <w:r w:rsidR="00953BEB" w:rsidRPr="00E31A3C">
        <w:rPr>
          <w:i/>
          <w:iCs/>
          <w:color w:val="auto"/>
        </w:rPr>
        <w:t>viz</w:t>
      </w:r>
      <w:r w:rsidR="00953BEB" w:rsidRPr="00E31A3C">
        <w:rPr>
          <w:color w:val="auto"/>
        </w:rPr>
        <w:t xml:space="preserve">., transplanting and direct seeded rice and eight sub-plot nutrient management levels </w:t>
      </w:r>
      <w:r w:rsidR="00953BEB" w:rsidRPr="00E31A3C">
        <w:rPr>
          <w:i/>
          <w:iCs/>
          <w:color w:val="auto"/>
        </w:rPr>
        <w:t>viz</w:t>
      </w:r>
      <w:r w:rsidR="00953BEB" w:rsidRPr="00E31A3C">
        <w:rPr>
          <w:color w:val="auto"/>
        </w:rPr>
        <w:t>., absolute control, recommended dose of fertilizers, Soil Test Crop Response (STCR) approach (target yield 75 q ha</w:t>
      </w:r>
      <w:r w:rsidR="00953BEB" w:rsidRPr="00E31A3C">
        <w:rPr>
          <w:color w:val="auto"/>
          <w:vertAlign w:val="superscript"/>
        </w:rPr>
        <w:t>-1</w:t>
      </w:r>
      <w:r w:rsidR="00953BEB" w:rsidRPr="00E31A3C">
        <w:rPr>
          <w:color w:val="auto"/>
        </w:rPr>
        <w:t>), STCR approach (target yield 85 q ha</w:t>
      </w:r>
      <w:r w:rsidR="00953BEB" w:rsidRPr="00E31A3C">
        <w:rPr>
          <w:color w:val="auto"/>
          <w:vertAlign w:val="superscript"/>
        </w:rPr>
        <w:t>-1</w:t>
      </w:r>
      <w:r w:rsidR="00953BEB" w:rsidRPr="00E31A3C">
        <w:rPr>
          <w:color w:val="auto"/>
        </w:rPr>
        <w:t>), STCR approach (target yield 95 q ha</w:t>
      </w:r>
      <w:r w:rsidR="00953BEB" w:rsidRPr="00E31A3C">
        <w:rPr>
          <w:color w:val="auto"/>
          <w:vertAlign w:val="superscript"/>
        </w:rPr>
        <w:t>-1</w:t>
      </w:r>
      <w:r w:rsidR="00953BEB" w:rsidRPr="00E31A3C">
        <w:rPr>
          <w:color w:val="auto"/>
        </w:rPr>
        <w:t>), Nutrient-Expert (NE) (target yield 75 q ha</w:t>
      </w:r>
      <w:r w:rsidR="00953BEB" w:rsidRPr="00E31A3C">
        <w:rPr>
          <w:color w:val="auto"/>
          <w:vertAlign w:val="superscript"/>
        </w:rPr>
        <w:t>-1</w:t>
      </w:r>
      <w:r w:rsidR="00953BEB" w:rsidRPr="00E31A3C">
        <w:rPr>
          <w:color w:val="auto"/>
        </w:rPr>
        <w:t>), NE (target yield 85 q ha</w:t>
      </w:r>
      <w:r w:rsidR="00953BEB" w:rsidRPr="00E31A3C">
        <w:rPr>
          <w:color w:val="auto"/>
          <w:vertAlign w:val="superscript"/>
        </w:rPr>
        <w:t>-1</w:t>
      </w:r>
      <w:r w:rsidR="00953BEB" w:rsidRPr="00E31A3C">
        <w:rPr>
          <w:color w:val="auto"/>
        </w:rPr>
        <w:t>) and NE (target yield 95 q ha</w:t>
      </w:r>
      <w:r w:rsidR="00953BEB" w:rsidRPr="00E31A3C">
        <w:rPr>
          <w:color w:val="auto"/>
          <w:vertAlign w:val="superscript"/>
        </w:rPr>
        <w:t>-1</w:t>
      </w:r>
      <w:r w:rsidR="00953BEB" w:rsidRPr="00E31A3C">
        <w:rPr>
          <w:color w:val="auto"/>
        </w:rPr>
        <w:t xml:space="preserve">). </w:t>
      </w:r>
      <w:r w:rsidR="00E00672" w:rsidRPr="00E31A3C">
        <w:rPr>
          <w:color w:val="auto"/>
        </w:rPr>
        <w:t xml:space="preserve">Transplanting method significantly proved to be the better method of establishment over DSR </w:t>
      </w:r>
      <w:r w:rsidR="00262E37" w:rsidRPr="00E31A3C">
        <w:rPr>
          <w:color w:val="auto"/>
        </w:rPr>
        <w:t>in terms of crop growth indices of rice.</w:t>
      </w:r>
      <w:r w:rsidR="00E00672" w:rsidRPr="00E31A3C">
        <w:rPr>
          <w:color w:val="auto"/>
        </w:rPr>
        <w:t xml:space="preserve"> </w:t>
      </w:r>
      <w:r w:rsidR="00953BEB" w:rsidRPr="00E31A3C">
        <w:rPr>
          <w:color w:val="auto"/>
        </w:rPr>
        <w:t>STCR (TY-95 q ha</w:t>
      </w:r>
      <w:r w:rsidR="00953BEB" w:rsidRPr="00E31A3C">
        <w:rPr>
          <w:color w:val="auto"/>
          <w:vertAlign w:val="superscript"/>
        </w:rPr>
        <w:t>-1</w:t>
      </w:r>
      <w:r w:rsidR="00953BEB" w:rsidRPr="00E31A3C">
        <w:rPr>
          <w:color w:val="auto"/>
        </w:rPr>
        <w:t xml:space="preserve">) significantly recorded highest LAI at all growth stages attaining peak values at </w:t>
      </w:r>
      <w:r w:rsidR="00953BEB" w:rsidRPr="00E31A3C">
        <w:rPr>
          <w:color w:val="auto"/>
          <w:lang w:val="en-US"/>
        </w:rPr>
        <w:t xml:space="preserve">85 DAS (4.29 and 4.42) </w:t>
      </w:r>
      <w:r w:rsidR="00953BEB" w:rsidRPr="00E31A3C">
        <w:rPr>
          <w:color w:val="auto"/>
        </w:rPr>
        <w:t xml:space="preserve">and </w:t>
      </w:r>
      <w:proofErr w:type="gramStart"/>
      <w:r w:rsidR="002D4E11" w:rsidRPr="00E31A3C">
        <w:rPr>
          <w:color w:val="auto"/>
          <w:lang w:val="en-US"/>
        </w:rPr>
        <w:t>At</w:t>
      </w:r>
      <w:proofErr w:type="gramEnd"/>
      <w:r w:rsidR="002D4E11" w:rsidRPr="00E31A3C">
        <w:rPr>
          <w:color w:val="auto"/>
          <w:lang w:val="en-US"/>
        </w:rPr>
        <w:t xml:space="preserve"> 65-85 DAS interval, STCR (TY-95 q ha</w:t>
      </w:r>
      <w:r w:rsidR="002D4E11" w:rsidRPr="00E31A3C">
        <w:rPr>
          <w:color w:val="auto"/>
          <w:vertAlign w:val="superscript"/>
          <w:lang w:val="en-US"/>
        </w:rPr>
        <w:t>-1</w:t>
      </w:r>
      <w:r w:rsidR="002D4E11" w:rsidRPr="00E31A3C">
        <w:rPr>
          <w:color w:val="auto"/>
          <w:lang w:val="en-US"/>
        </w:rPr>
        <w:t xml:space="preserve">) recorded highest CGR values (28.18 </w:t>
      </w:r>
      <w:r w:rsidR="00AF1349" w:rsidRPr="00E31A3C">
        <w:rPr>
          <w:color w:val="auto"/>
          <w:lang w:val="en-US"/>
        </w:rPr>
        <w:t xml:space="preserve">and 28.24 </w:t>
      </w:r>
      <w:r w:rsidR="002D4E11" w:rsidRPr="00E31A3C">
        <w:rPr>
          <w:color w:val="auto"/>
          <w:lang w:val="en-US"/>
        </w:rPr>
        <w:t>g m</w:t>
      </w:r>
      <w:r w:rsidR="002D4E11" w:rsidRPr="00E31A3C">
        <w:rPr>
          <w:color w:val="auto"/>
          <w:vertAlign w:val="superscript"/>
          <w:lang w:val="en-US"/>
        </w:rPr>
        <w:t>-2</w:t>
      </w:r>
      <w:r w:rsidR="002D4E11" w:rsidRPr="00E31A3C">
        <w:rPr>
          <w:color w:val="auto"/>
          <w:lang w:val="en-US"/>
        </w:rPr>
        <w:t xml:space="preserve"> day</w:t>
      </w:r>
      <w:r w:rsidR="002D4E11" w:rsidRPr="00E31A3C">
        <w:rPr>
          <w:color w:val="auto"/>
          <w:vertAlign w:val="superscript"/>
          <w:lang w:val="en-US"/>
        </w:rPr>
        <w:t>-1</w:t>
      </w:r>
      <w:r w:rsidR="002D4E11" w:rsidRPr="00E31A3C">
        <w:rPr>
          <w:color w:val="auto"/>
          <w:lang w:val="en-US"/>
        </w:rPr>
        <w:t>)</w:t>
      </w:r>
      <w:r w:rsidR="00953BEB" w:rsidRPr="00E31A3C">
        <w:rPr>
          <w:color w:val="auto"/>
        </w:rPr>
        <w:t xml:space="preserve">. </w:t>
      </w:r>
      <w:r w:rsidR="00953BEB" w:rsidRPr="00E31A3C">
        <w:rPr>
          <w:color w:val="auto"/>
          <w:lang w:val="en-US"/>
        </w:rPr>
        <w:t>RDF recorded numerically highest RGR at 45-65 DAS (76.83 and 73.20 mg g</w:t>
      </w:r>
      <w:r w:rsidR="00953BEB" w:rsidRPr="00E31A3C">
        <w:rPr>
          <w:color w:val="auto"/>
          <w:vertAlign w:val="superscript"/>
          <w:lang w:val="en-US"/>
        </w:rPr>
        <w:t>-1</w:t>
      </w:r>
      <w:r w:rsidR="00953BEB" w:rsidRPr="00E31A3C">
        <w:rPr>
          <w:color w:val="auto"/>
          <w:lang w:val="en-US"/>
        </w:rPr>
        <w:t xml:space="preserve"> day</w:t>
      </w:r>
      <w:r w:rsidR="00953BEB" w:rsidRPr="00E31A3C">
        <w:rPr>
          <w:color w:val="auto"/>
          <w:vertAlign w:val="superscript"/>
          <w:lang w:val="en-US"/>
        </w:rPr>
        <w:t>-1</w:t>
      </w:r>
      <w:r w:rsidR="00953BEB" w:rsidRPr="00E31A3C">
        <w:rPr>
          <w:color w:val="auto"/>
          <w:lang w:val="en-US"/>
        </w:rPr>
        <w:t>) during both years.</w:t>
      </w:r>
      <w:r w:rsidR="002D4E11" w:rsidRPr="00E31A3C">
        <w:rPr>
          <w:color w:val="auto"/>
          <w:lang w:val="en-US"/>
        </w:rPr>
        <w:t xml:space="preserve"> NE (TY-75 q ha</w:t>
      </w:r>
      <w:r w:rsidR="002D4E11" w:rsidRPr="00E31A3C">
        <w:rPr>
          <w:color w:val="auto"/>
          <w:vertAlign w:val="superscript"/>
          <w:lang w:val="en-US"/>
        </w:rPr>
        <w:t>-1</w:t>
      </w:r>
      <w:r w:rsidR="002D4E11" w:rsidRPr="00E31A3C">
        <w:rPr>
          <w:color w:val="auto"/>
          <w:lang w:val="en-US"/>
        </w:rPr>
        <w:t>) recorded significantly higher NAR (10.50 and 10.37 g m</w:t>
      </w:r>
      <w:r w:rsidR="002D4E11" w:rsidRPr="00E31A3C">
        <w:rPr>
          <w:color w:val="auto"/>
          <w:vertAlign w:val="superscript"/>
          <w:lang w:val="en-US"/>
        </w:rPr>
        <w:t>-2</w:t>
      </w:r>
      <w:r w:rsidR="002D4E11" w:rsidRPr="00E31A3C">
        <w:rPr>
          <w:color w:val="auto"/>
          <w:lang w:val="en-US"/>
        </w:rPr>
        <w:t xml:space="preserve"> day</w:t>
      </w:r>
      <w:r w:rsidR="002D4E11" w:rsidRPr="00E31A3C">
        <w:rPr>
          <w:color w:val="auto"/>
          <w:vertAlign w:val="superscript"/>
          <w:lang w:val="en-US"/>
        </w:rPr>
        <w:t>-1</w:t>
      </w:r>
      <w:r w:rsidR="002D4E11" w:rsidRPr="00E31A3C">
        <w:rPr>
          <w:color w:val="auto"/>
          <w:lang w:val="en-US"/>
        </w:rPr>
        <w:t>) at 45-65 DAS during respective years.</w:t>
      </w:r>
    </w:p>
    <w:p w14:paraId="50906377" w14:textId="57A711D3" w:rsidR="002D4E11" w:rsidRPr="00E31A3C" w:rsidRDefault="002D4E11" w:rsidP="002D4E11">
      <w:pPr>
        <w:ind w:firstLine="0"/>
        <w:rPr>
          <w:color w:val="auto"/>
        </w:rPr>
      </w:pPr>
      <w:r w:rsidRPr="00E31A3C">
        <w:rPr>
          <w:b/>
          <w:bCs/>
          <w:color w:val="auto"/>
          <w:lang w:val="en-US"/>
        </w:rPr>
        <w:t xml:space="preserve">Keywords: </w:t>
      </w:r>
      <w:r w:rsidRPr="00E31A3C">
        <w:rPr>
          <w:color w:val="auto"/>
          <w:lang w:val="en-US"/>
        </w:rPr>
        <w:t>CGR, Direct seeded rice, LAI, NAR, Nutrient-Expert, RGR, STCR</w:t>
      </w:r>
    </w:p>
    <w:p w14:paraId="021CAFA1" w14:textId="19EBAC0B" w:rsidR="004550AE" w:rsidRPr="00E31A3C" w:rsidRDefault="004550AE" w:rsidP="004550AE">
      <w:pPr>
        <w:ind w:firstLine="0"/>
        <w:rPr>
          <w:color w:val="auto"/>
        </w:rPr>
      </w:pPr>
    </w:p>
    <w:p w14:paraId="4E52C9F4" w14:textId="77777777" w:rsidR="007159B2" w:rsidRPr="00E31A3C" w:rsidRDefault="007159B2" w:rsidP="004550AE">
      <w:pPr>
        <w:ind w:firstLine="0"/>
        <w:rPr>
          <w:color w:val="auto"/>
        </w:rPr>
      </w:pPr>
    </w:p>
    <w:p w14:paraId="65142049" w14:textId="77777777" w:rsidR="007159B2" w:rsidRPr="00E31A3C" w:rsidRDefault="007159B2" w:rsidP="004550AE">
      <w:pPr>
        <w:ind w:firstLine="0"/>
        <w:rPr>
          <w:color w:val="auto"/>
        </w:rPr>
      </w:pPr>
    </w:p>
    <w:p w14:paraId="175B2CBB" w14:textId="77777777" w:rsidR="007159B2" w:rsidRPr="00E31A3C" w:rsidRDefault="007159B2" w:rsidP="004550AE">
      <w:pPr>
        <w:ind w:firstLine="0"/>
        <w:rPr>
          <w:color w:val="auto"/>
        </w:rPr>
      </w:pPr>
    </w:p>
    <w:p w14:paraId="7D5B5B3A" w14:textId="77777777" w:rsidR="007159B2" w:rsidRPr="00E31A3C" w:rsidRDefault="007159B2" w:rsidP="004550AE">
      <w:pPr>
        <w:ind w:firstLine="0"/>
        <w:rPr>
          <w:color w:val="auto"/>
        </w:rPr>
      </w:pPr>
    </w:p>
    <w:p w14:paraId="6FE2BB42" w14:textId="77777777" w:rsidR="007159B2" w:rsidRPr="00E31A3C" w:rsidRDefault="007159B2" w:rsidP="004550AE">
      <w:pPr>
        <w:ind w:firstLine="0"/>
        <w:rPr>
          <w:color w:val="auto"/>
        </w:rPr>
      </w:pPr>
    </w:p>
    <w:p w14:paraId="4E2B5376" w14:textId="77777777" w:rsidR="007159B2" w:rsidRPr="00E31A3C" w:rsidRDefault="007159B2" w:rsidP="004550AE">
      <w:pPr>
        <w:ind w:firstLine="0"/>
        <w:rPr>
          <w:color w:val="auto"/>
        </w:rPr>
      </w:pPr>
    </w:p>
    <w:p w14:paraId="5CD6A286" w14:textId="0B7FCF39" w:rsidR="00EC4705" w:rsidRPr="00E31A3C" w:rsidRDefault="00EC4705" w:rsidP="00EC4705">
      <w:pPr>
        <w:ind w:firstLine="0"/>
        <w:rPr>
          <w:b/>
          <w:bCs/>
          <w:color w:val="auto"/>
        </w:rPr>
      </w:pPr>
      <w:r w:rsidRPr="00E31A3C">
        <w:rPr>
          <w:b/>
          <w:bCs/>
          <w:color w:val="auto"/>
        </w:rPr>
        <w:t>Introduction</w:t>
      </w:r>
    </w:p>
    <w:p w14:paraId="5E1A5FFB" w14:textId="5B8FC8AB" w:rsidR="000407E5" w:rsidRPr="00E31A3C" w:rsidRDefault="00EC4705" w:rsidP="000407E5">
      <w:pPr>
        <w:spacing w:line="240" w:lineRule="auto"/>
        <w:rPr>
          <w:color w:val="auto"/>
        </w:rPr>
      </w:pPr>
      <w:r w:rsidRPr="00E31A3C">
        <w:rPr>
          <w:color w:val="auto"/>
        </w:rPr>
        <w:t>Rice (</w:t>
      </w:r>
      <w:r w:rsidRPr="00E31A3C">
        <w:rPr>
          <w:i/>
          <w:iCs/>
          <w:color w:val="auto"/>
        </w:rPr>
        <w:t xml:space="preserve">Oryza sativa </w:t>
      </w:r>
      <w:r w:rsidRPr="00E31A3C">
        <w:rPr>
          <w:color w:val="auto"/>
        </w:rPr>
        <w:t xml:space="preserve">L.) </w:t>
      </w:r>
      <w:r w:rsidR="00A77769" w:rsidRPr="00E31A3C">
        <w:rPr>
          <w:color w:val="auto"/>
        </w:rPr>
        <w:t xml:space="preserve">is a key staple food consumed by more than half of the world’s population (Chauhan </w:t>
      </w:r>
      <w:r w:rsidR="00A77769" w:rsidRPr="00E31A3C">
        <w:rPr>
          <w:i/>
          <w:iCs/>
          <w:color w:val="auto"/>
        </w:rPr>
        <w:t>et al</w:t>
      </w:r>
      <w:r w:rsidR="00A77769" w:rsidRPr="00E31A3C">
        <w:rPr>
          <w:color w:val="auto"/>
        </w:rPr>
        <w:t xml:space="preserve">., 2015). Therefore, rice production systems </w:t>
      </w:r>
      <w:r w:rsidR="00A77769" w:rsidRPr="00E31A3C">
        <w:rPr>
          <w:color w:val="auto"/>
        </w:rPr>
        <w:lastRenderedPageBreak/>
        <w:t>must boost production to meet global food demand as food security has become a fundamental issue due to the rapid increase in world population with higher food demand (</w:t>
      </w:r>
      <w:proofErr w:type="spellStart"/>
      <w:r w:rsidR="00070EC0" w:rsidRPr="00E31A3C">
        <w:rPr>
          <w:color w:val="auto"/>
        </w:rPr>
        <w:t>Fikriyah</w:t>
      </w:r>
      <w:proofErr w:type="spellEnd"/>
      <w:r w:rsidR="00070EC0" w:rsidRPr="00E31A3C">
        <w:rPr>
          <w:color w:val="auto"/>
        </w:rPr>
        <w:t xml:space="preserve"> </w:t>
      </w:r>
      <w:r w:rsidR="00070EC0" w:rsidRPr="00E31A3C">
        <w:rPr>
          <w:i/>
          <w:iCs/>
          <w:color w:val="auto"/>
        </w:rPr>
        <w:t>et al</w:t>
      </w:r>
      <w:r w:rsidR="00070EC0" w:rsidRPr="00E31A3C">
        <w:rPr>
          <w:color w:val="auto"/>
        </w:rPr>
        <w:t xml:space="preserve">., 2019; </w:t>
      </w:r>
      <w:r w:rsidR="00A77769" w:rsidRPr="00E31A3C">
        <w:rPr>
          <w:color w:val="auto"/>
        </w:rPr>
        <w:t xml:space="preserve">Ray </w:t>
      </w:r>
      <w:r w:rsidR="00A77769" w:rsidRPr="00E31A3C">
        <w:rPr>
          <w:i/>
          <w:iCs/>
          <w:color w:val="auto"/>
        </w:rPr>
        <w:t>et al</w:t>
      </w:r>
      <w:r w:rsidR="00A77769" w:rsidRPr="00E31A3C">
        <w:rPr>
          <w:color w:val="auto"/>
        </w:rPr>
        <w:t>., 2012).</w:t>
      </w:r>
      <w:r w:rsidR="00741023" w:rsidRPr="00E31A3C">
        <w:rPr>
          <w:color w:val="auto"/>
        </w:rPr>
        <w:t xml:space="preserve"> </w:t>
      </w:r>
      <w:r w:rsidR="002B1417" w:rsidRPr="00E31A3C">
        <w:rPr>
          <w:color w:val="auto"/>
        </w:rPr>
        <w:t xml:space="preserve">Paddy is a primary food crop in South, Southeast and East Asia, which shares about 90% of global paddy production and consumption. India has exceeded earlier projections, recording a record high of 357.73 million metric tonnes </w:t>
      </w:r>
      <w:r w:rsidR="002D56FA" w:rsidRPr="00E31A3C">
        <w:rPr>
          <w:color w:val="auto"/>
        </w:rPr>
        <w:t xml:space="preserve">(MMT) </w:t>
      </w:r>
      <w:r w:rsidR="002B1417" w:rsidRPr="00E31A3C">
        <w:rPr>
          <w:color w:val="auto"/>
        </w:rPr>
        <w:t>in total food grain production during 2024-2025</w:t>
      </w:r>
      <w:r w:rsidR="00983DA5" w:rsidRPr="00E31A3C">
        <w:rPr>
          <w:color w:val="auto"/>
        </w:rPr>
        <w:t xml:space="preserve"> agricultural year, requiring only an additional 92.27 m</w:t>
      </w:r>
      <w:r w:rsidR="00412310" w:rsidRPr="00E31A3C">
        <w:rPr>
          <w:color w:val="auto"/>
        </w:rPr>
        <w:t>illion tonnes</w:t>
      </w:r>
      <w:r w:rsidR="00983DA5" w:rsidRPr="00E31A3C">
        <w:rPr>
          <w:color w:val="auto"/>
        </w:rPr>
        <w:t xml:space="preserve"> to meet the 2050 target of 450 m</w:t>
      </w:r>
      <w:r w:rsidR="00412310" w:rsidRPr="00E31A3C">
        <w:rPr>
          <w:color w:val="auto"/>
        </w:rPr>
        <w:t xml:space="preserve">illion </w:t>
      </w:r>
      <w:r w:rsidR="00983DA5" w:rsidRPr="00E31A3C">
        <w:rPr>
          <w:color w:val="auto"/>
        </w:rPr>
        <w:t>t</w:t>
      </w:r>
      <w:r w:rsidR="00412310" w:rsidRPr="00E31A3C">
        <w:rPr>
          <w:color w:val="auto"/>
        </w:rPr>
        <w:t>onnes</w:t>
      </w:r>
      <w:r w:rsidR="00983DA5" w:rsidRPr="00E31A3C">
        <w:rPr>
          <w:color w:val="auto"/>
        </w:rPr>
        <w:t xml:space="preserve"> to achieve food security. Rice remains a core component of this production, accounting for 150.18 million tonnes in 2024-2025, which constitutes 41.98% of the total food grain basket (</w:t>
      </w:r>
      <w:proofErr w:type="spellStart"/>
      <w:r w:rsidR="00983DA5" w:rsidRPr="00E31A3C">
        <w:rPr>
          <w:color w:val="auto"/>
        </w:rPr>
        <w:t>MoAFW</w:t>
      </w:r>
      <w:proofErr w:type="spellEnd"/>
      <w:r w:rsidR="00983DA5" w:rsidRPr="00E31A3C">
        <w:rPr>
          <w:color w:val="auto"/>
        </w:rPr>
        <w:t>, 202</w:t>
      </w:r>
      <w:r w:rsidR="004C0BDB" w:rsidRPr="00E31A3C">
        <w:rPr>
          <w:color w:val="auto"/>
        </w:rPr>
        <w:t>5</w:t>
      </w:r>
      <w:r w:rsidR="00983DA5" w:rsidRPr="00E31A3C">
        <w:rPr>
          <w:color w:val="auto"/>
        </w:rPr>
        <w:t>).</w:t>
      </w:r>
      <w:r w:rsidR="00EB32F1" w:rsidRPr="00E31A3C">
        <w:rPr>
          <w:color w:val="auto"/>
        </w:rPr>
        <w:t xml:space="preserve"> In India, rice occupied an area of 51.27 million hectares of land with a production of 150.18 million tonnes and a productivity of 2.93 t ha</w:t>
      </w:r>
      <w:r w:rsidR="00EB32F1" w:rsidRPr="00E31A3C">
        <w:rPr>
          <w:color w:val="auto"/>
          <w:vertAlign w:val="superscript"/>
        </w:rPr>
        <w:t>-1</w:t>
      </w:r>
      <w:r w:rsidR="00EB32F1" w:rsidRPr="00E31A3C">
        <w:rPr>
          <w:color w:val="auto"/>
        </w:rPr>
        <w:t xml:space="preserve"> (Agricultural Statistics at a Glance, 2025). In Jammu and Kashmir, rice is grown from time immemorial and stands as the most important staple food crop of the Union Territory. The area under rice is </w:t>
      </w:r>
      <w:r w:rsidR="00C35544" w:rsidRPr="00E31A3C">
        <w:rPr>
          <w:color w:val="auto"/>
        </w:rPr>
        <w:t>distributed b</w:t>
      </w:r>
      <w:r w:rsidR="00412310" w:rsidRPr="00E31A3C">
        <w:rPr>
          <w:color w:val="auto"/>
        </w:rPr>
        <w:t>etween</w:t>
      </w:r>
      <w:r w:rsidR="00C35544" w:rsidRPr="00E31A3C">
        <w:rPr>
          <w:color w:val="auto"/>
        </w:rPr>
        <w:t xml:space="preserve"> both the regions in which </w:t>
      </w:r>
      <w:r w:rsidR="00412310" w:rsidRPr="00E31A3C">
        <w:rPr>
          <w:color w:val="auto"/>
        </w:rPr>
        <w:t xml:space="preserve">Jammu accounts for 53% of area and 40% production while as Kashmir division accounts for 47% area </w:t>
      </w:r>
      <w:r w:rsidR="00C35544" w:rsidRPr="00E31A3C">
        <w:rPr>
          <w:color w:val="auto"/>
        </w:rPr>
        <w:t xml:space="preserve">and </w:t>
      </w:r>
      <w:r w:rsidR="00412310" w:rsidRPr="00E31A3C">
        <w:rPr>
          <w:color w:val="auto"/>
        </w:rPr>
        <w:t>60% production</w:t>
      </w:r>
      <w:r w:rsidR="00C35544" w:rsidRPr="00E31A3C">
        <w:rPr>
          <w:color w:val="auto"/>
        </w:rPr>
        <w:t xml:space="preserve"> (</w:t>
      </w:r>
      <w:r w:rsidR="00D82B71" w:rsidRPr="00E31A3C">
        <w:rPr>
          <w:color w:val="auto"/>
        </w:rPr>
        <w:t>Shaheen</w:t>
      </w:r>
      <w:r w:rsidR="00C35544" w:rsidRPr="00E31A3C">
        <w:rPr>
          <w:color w:val="auto"/>
        </w:rPr>
        <w:t xml:space="preserve"> </w:t>
      </w:r>
      <w:r w:rsidR="00C35544" w:rsidRPr="00E31A3C">
        <w:rPr>
          <w:i/>
          <w:iCs/>
          <w:color w:val="auto"/>
        </w:rPr>
        <w:t>et al</w:t>
      </w:r>
      <w:r w:rsidR="00C35544" w:rsidRPr="00E31A3C">
        <w:rPr>
          <w:color w:val="auto"/>
        </w:rPr>
        <w:t>., 2018). The total rice area of the UT is around 0.3 million hectares with a production and productivity of 0.</w:t>
      </w:r>
      <w:r w:rsidR="00FF0E70" w:rsidRPr="00E31A3C">
        <w:rPr>
          <w:color w:val="auto"/>
        </w:rPr>
        <w:t>64</w:t>
      </w:r>
      <w:r w:rsidR="00C35544" w:rsidRPr="00E31A3C">
        <w:rPr>
          <w:color w:val="auto"/>
        </w:rPr>
        <w:t xml:space="preserve"> million tonnes and 2.1 tonnes per hectare, respectively (DES, 2025). </w:t>
      </w:r>
      <w:r w:rsidR="00C33A0B" w:rsidRPr="00E31A3C">
        <w:rPr>
          <w:color w:val="auto"/>
        </w:rPr>
        <w:t>Rice is regarded as an energising and reviving food</w:t>
      </w:r>
      <w:r w:rsidR="0001401D" w:rsidRPr="00E31A3C">
        <w:rPr>
          <w:color w:val="auto"/>
        </w:rPr>
        <w:t>.</w:t>
      </w:r>
      <w:r w:rsidR="00C33A0B" w:rsidRPr="00E31A3C">
        <w:rPr>
          <w:color w:val="auto"/>
        </w:rPr>
        <w:t xml:space="preserve"> </w:t>
      </w:r>
      <w:r w:rsidR="0001401D" w:rsidRPr="00E31A3C">
        <w:rPr>
          <w:color w:val="auto"/>
        </w:rPr>
        <w:t>It</w:t>
      </w:r>
      <w:r w:rsidR="00C33A0B" w:rsidRPr="00E31A3C">
        <w:rPr>
          <w:color w:val="auto"/>
        </w:rPr>
        <w:t xml:space="preserve"> is a significant source of calories, contain</w:t>
      </w:r>
      <w:r w:rsidR="0001401D" w:rsidRPr="00E31A3C">
        <w:rPr>
          <w:color w:val="auto"/>
        </w:rPr>
        <w:t>ing</w:t>
      </w:r>
      <w:r w:rsidR="00C33A0B" w:rsidRPr="00E31A3C">
        <w:rPr>
          <w:color w:val="auto"/>
        </w:rPr>
        <w:t xml:space="preserve"> various essential minerals </w:t>
      </w:r>
      <w:r w:rsidR="0001401D" w:rsidRPr="00E31A3C">
        <w:rPr>
          <w:color w:val="auto"/>
        </w:rPr>
        <w:t xml:space="preserve">(Mallikarjuna </w:t>
      </w:r>
      <w:r w:rsidR="0001401D" w:rsidRPr="00E31A3C">
        <w:rPr>
          <w:i/>
          <w:iCs/>
          <w:color w:val="auto"/>
        </w:rPr>
        <w:t>et al</w:t>
      </w:r>
      <w:r w:rsidR="0001401D" w:rsidRPr="00E31A3C">
        <w:rPr>
          <w:color w:val="auto"/>
        </w:rPr>
        <w:t>., 2021)</w:t>
      </w:r>
      <w:r w:rsidR="00C33A0B" w:rsidRPr="00E31A3C">
        <w:rPr>
          <w:color w:val="auto"/>
        </w:rPr>
        <w:t>. Carbohydrates, mainly starch, account for approximately 80 % of the dry matter of the grain, while proteins account for approximately 7 %. The physicochemical properties of rice are influenced by its protein content (</w:t>
      </w:r>
      <w:proofErr w:type="spellStart"/>
      <w:r w:rsidR="00C33A0B" w:rsidRPr="00E31A3C">
        <w:rPr>
          <w:color w:val="auto"/>
        </w:rPr>
        <w:t>Mohidem</w:t>
      </w:r>
      <w:proofErr w:type="spellEnd"/>
      <w:r w:rsidR="00C33A0B" w:rsidRPr="00E31A3C">
        <w:rPr>
          <w:color w:val="auto"/>
        </w:rPr>
        <w:t xml:space="preserve"> </w:t>
      </w:r>
      <w:r w:rsidR="00C33A0B" w:rsidRPr="00E31A3C">
        <w:rPr>
          <w:i/>
          <w:iCs/>
          <w:color w:val="auto"/>
        </w:rPr>
        <w:t>et al</w:t>
      </w:r>
      <w:r w:rsidR="00C33A0B" w:rsidRPr="00E31A3C">
        <w:rPr>
          <w:color w:val="auto"/>
        </w:rPr>
        <w:t>., 2022). Rice typically has low protein content compared to most cereals. Additionally, it contains little fibre and lipids. However, rice has the highest net protein usage and digestible energy compared to all cereals such as wheat, corn, barley, millet, sorghum, rye, and oat (</w:t>
      </w:r>
      <w:proofErr w:type="spellStart"/>
      <w:r w:rsidR="00C33A0B" w:rsidRPr="00E31A3C">
        <w:rPr>
          <w:color w:val="auto"/>
        </w:rPr>
        <w:t>Hoogenkamp</w:t>
      </w:r>
      <w:proofErr w:type="spellEnd"/>
      <w:r w:rsidR="00C33A0B" w:rsidRPr="00E31A3C">
        <w:rPr>
          <w:color w:val="auto"/>
        </w:rPr>
        <w:t xml:space="preserve"> </w:t>
      </w:r>
      <w:r w:rsidR="00C33A0B" w:rsidRPr="00E31A3C">
        <w:rPr>
          <w:i/>
          <w:iCs/>
          <w:color w:val="auto"/>
        </w:rPr>
        <w:t>et al</w:t>
      </w:r>
      <w:r w:rsidR="00C33A0B" w:rsidRPr="00E31A3C">
        <w:rPr>
          <w:color w:val="auto"/>
        </w:rPr>
        <w:t>., 2017). The amino acid profile of rice reveals a high aspartic acid and glutamic content, with lysine being the limiting amino acid (</w:t>
      </w:r>
      <w:proofErr w:type="spellStart"/>
      <w:r w:rsidR="00C33A0B" w:rsidRPr="00E31A3C">
        <w:rPr>
          <w:color w:val="auto"/>
        </w:rPr>
        <w:t>Carcea</w:t>
      </w:r>
      <w:proofErr w:type="spellEnd"/>
      <w:r w:rsidR="00C33A0B" w:rsidRPr="00E31A3C">
        <w:rPr>
          <w:color w:val="auto"/>
        </w:rPr>
        <w:t xml:space="preserve"> </w:t>
      </w:r>
      <w:r w:rsidR="00C33A0B" w:rsidRPr="00E31A3C">
        <w:rPr>
          <w:i/>
          <w:iCs/>
          <w:color w:val="auto"/>
        </w:rPr>
        <w:t>et al</w:t>
      </w:r>
      <w:r w:rsidR="00C33A0B" w:rsidRPr="00E31A3C">
        <w:rPr>
          <w:color w:val="auto"/>
        </w:rPr>
        <w:t>., 2021).</w:t>
      </w:r>
    </w:p>
    <w:p w14:paraId="1DD3FBF2" w14:textId="67399D07" w:rsidR="00906AF1" w:rsidRPr="00E31A3C" w:rsidRDefault="00A93E89" w:rsidP="004F6533">
      <w:pPr>
        <w:spacing w:line="240" w:lineRule="auto"/>
        <w:rPr>
          <w:color w:val="auto"/>
        </w:rPr>
      </w:pPr>
      <w:r w:rsidRPr="00E31A3C">
        <w:rPr>
          <w:color w:val="auto"/>
        </w:rPr>
        <w:t xml:space="preserve">There is a huge gap between the potential and actual yield of rice at the field of farmers which is attributed to the poor crop management practices </w:t>
      </w:r>
      <w:r w:rsidR="00C33A0B" w:rsidRPr="00E31A3C">
        <w:rPr>
          <w:color w:val="auto"/>
        </w:rPr>
        <w:t>(</w:t>
      </w:r>
      <w:proofErr w:type="spellStart"/>
      <w:r w:rsidR="00C33A0B" w:rsidRPr="00E31A3C">
        <w:rPr>
          <w:color w:val="auto"/>
        </w:rPr>
        <w:t>Amgain</w:t>
      </w:r>
      <w:proofErr w:type="spellEnd"/>
      <w:r w:rsidR="00C33A0B" w:rsidRPr="00E31A3C">
        <w:rPr>
          <w:color w:val="auto"/>
        </w:rPr>
        <w:t xml:space="preserve"> and Timsina, 2005). Crop establishment methods, among various other management practices, determine the productivity and profitability of rice farming. In India, rice cultivation is predominantly practiced by manual transplantation in a random geometry. </w:t>
      </w:r>
      <w:r w:rsidR="00015666" w:rsidRPr="00E31A3C">
        <w:rPr>
          <w:color w:val="auto"/>
        </w:rPr>
        <w:t xml:space="preserve">Direct seeded Rice (DSR) is another method of crop establishment done either manually or mechanically under two different soil conditions; dry and wet DSR. Choice of crop establishment methods depend upon the biophysical and socioeconomic factors like climatic condition, soil condition, social structure, availability of </w:t>
      </w:r>
      <w:r w:rsidR="00A749D8" w:rsidRPr="00E31A3C">
        <w:rPr>
          <w:color w:val="auto"/>
        </w:rPr>
        <w:t>labour</w:t>
      </w:r>
      <w:r w:rsidR="00015666" w:rsidRPr="00E31A3C">
        <w:rPr>
          <w:color w:val="auto"/>
        </w:rPr>
        <w:t xml:space="preserve">, availability of </w:t>
      </w:r>
      <w:proofErr w:type="spellStart"/>
      <w:r w:rsidR="00015666" w:rsidRPr="00E31A3C">
        <w:rPr>
          <w:color w:val="auto"/>
        </w:rPr>
        <w:t>agri</w:t>
      </w:r>
      <w:proofErr w:type="spellEnd"/>
      <w:r w:rsidR="00015666" w:rsidRPr="00E31A3C">
        <w:rPr>
          <w:color w:val="auto"/>
        </w:rPr>
        <w:t>-inputs and machineries, economic status of farmer and others. There are both positive and negative aspects of different CEMs</w:t>
      </w:r>
      <w:r w:rsidR="00AC248A" w:rsidRPr="00E31A3C">
        <w:rPr>
          <w:color w:val="auto"/>
        </w:rPr>
        <w:t xml:space="preserve"> (</w:t>
      </w:r>
      <w:proofErr w:type="spellStart"/>
      <w:r w:rsidR="00AC248A" w:rsidRPr="00E31A3C">
        <w:rPr>
          <w:color w:val="auto"/>
        </w:rPr>
        <w:t>Poudal</w:t>
      </w:r>
      <w:proofErr w:type="spellEnd"/>
      <w:r w:rsidR="00AC248A" w:rsidRPr="00E31A3C">
        <w:rPr>
          <w:color w:val="auto"/>
        </w:rPr>
        <w:t xml:space="preserve"> </w:t>
      </w:r>
      <w:r w:rsidR="00AC248A" w:rsidRPr="00E31A3C">
        <w:rPr>
          <w:i/>
          <w:iCs/>
          <w:color w:val="auto"/>
        </w:rPr>
        <w:t>et al</w:t>
      </w:r>
      <w:r w:rsidR="00AC248A" w:rsidRPr="00E31A3C">
        <w:rPr>
          <w:color w:val="auto"/>
        </w:rPr>
        <w:t>., 2020)</w:t>
      </w:r>
      <w:r w:rsidR="00015666" w:rsidRPr="00E31A3C">
        <w:rPr>
          <w:color w:val="auto"/>
        </w:rPr>
        <w:t xml:space="preserve">. </w:t>
      </w:r>
    </w:p>
    <w:p w14:paraId="226DD21F" w14:textId="1228178F" w:rsidR="00906AF1" w:rsidRPr="00E31A3C" w:rsidRDefault="004F6533" w:rsidP="004F6533">
      <w:pPr>
        <w:spacing w:line="240" w:lineRule="auto"/>
        <w:rPr>
          <w:color w:val="auto"/>
        </w:rPr>
      </w:pPr>
      <w:r w:rsidRPr="00E31A3C">
        <w:rPr>
          <w:color w:val="auto"/>
        </w:rPr>
        <w:t xml:space="preserve">The traditional method of transplanting involves replanting of rice seedlings grown in nurseries to puddled soils (Chen </w:t>
      </w:r>
      <w:r w:rsidRPr="00E31A3C">
        <w:rPr>
          <w:i/>
          <w:iCs/>
          <w:color w:val="auto"/>
        </w:rPr>
        <w:t>et al</w:t>
      </w:r>
      <w:r w:rsidRPr="00E31A3C">
        <w:rPr>
          <w:color w:val="auto"/>
        </w:rPr>
        <w:t xml:space="preserve">., 2007). The advantages of the traditional transplanted puddled rice (TPR) include increased nutrient availability </w:t>
      </w:r>
      <w:r w:rsidRPr="00E31A3C">
        <w:rPr>
          <w:color w:val="auto"/>
        </w:rPr>
        <w:lastRenderedPageBreak/>
        <w:t xml:space="preserve">(e.g. iron, zinc, phosphorus), weed suppression and easy seedling establishment. However, repeated puddling adversely affects soil physical properties by dismantling soil aggregates, reducing permeability in subsurface layers and form hard-pans at shallow depths (Sharma </w:t>
      </w:r>
      <w:r w:rsidRPr="00E31A3C">
        <w:rPr>
          <w:i/>
          <w:iCs/>
          <w:color w:val="auto"/>
        </w:rPr>
        <w:t>et al</w:t>
      </w:r>
      <w:r w:rsidRPr="00E31A3C">
        <w:rPr>
          <w:color w:val="auto"/>
        </w:rPr>
        <w:t xml:space="preserve">., 2003). The transplanted puddled rice (TPR), leads to higher losses of water through puddling, surface evaporation and percolation (Farooq </w:t>
      </w:r>
      <w:r w:rsidRPr="00E31A3C">
        <w:rPr>
          <w:i/>
          <w:iCs/>
          <w:color w:val="auto"/>
        </w:rPr>
        <w:t>et al</w:t>
      </w:r>
      <w:r w:rsidRPr="00E31A3C">
        <w:rPr>
          <w:color w:val="auto"/>
        </w:rPr>
        <w:t>., 2011). It is time consuming, laborious (about 30 man days ha</w:t>
      </w:r>
      <w:r w:rsidRPr="00E31A3C">
        <w:rPr>
          <w:color w:val="auto"/>
          <w:vertAlign w:val="superscript"/>
        </w:rPr>
        <w:t>-1</w:t>
      </w:r>
      <w:r w:rsidRPr="00E31A3C">
        <w:rPr>
          <w:color w:val="auto"/>
        </w:rPr>
        <w:t xml:space="preserve">) and costly operation. Though transplanting has been found to be the best establishment method to attain the maximum rice productivity, but it leads to rising water crisis, labour costs, more energy consumption and the alternative establishment methods such as aerobic rice, direct sowing and system of rice intensification need to be practiced (Poornima </w:t>
      </w:r>
      <w:r w:rsidRPr="00E31A3C">
        <w:rPr>
          <w:i/>
          <w:iCs/>
          <w:color w:val="auto"/>
        </w:rPr>
        <w:t>et al</w:t>
      </w:r>
      <w:r w:rsidRPr="00E31A3C">
        <w:rPr>
          <w:color w:val="auto"/>
        </w:rPr>
        <w:t>., 2020</w:t>
      </w:r>
      <w:r w:rsidR="001012F1">
        <w:rPr>
          <w:color w:val="auto"/>
        </w:rPr>
        <w:t xml:space="preserve">, Bhat </w:t>
      </w:r>
      <w:r w:rsidR="001012F1" w:rsidRPr="001012F1">
        <w:rPr>
          <w:i/>
          <w:iCs/>
          <w:color w:val="auto"/>
        </w:rPr>
        <w:t>et al</w:t>
      </w:r>
      <w:r w:rsidR="001012F1">
        <w:rPr>
          <w:color w:val="auto"/>
        </w:rPr>
        <w:t>., 2015</w:t>
      </w:r>
      <w:r w:rsidRPr="00E31A3C">
        <w:rPr>
          <w:color w:val="auto"/>
        </w:rPr>
        <w:t xml:space="preserve">). </w:t>
      </w:r>
    </w:p>
    <w:p w14:paraId="16486FEB" w14:textId="4CED7D85" w:rsidR="004F6533" w:rsidRPr="00E31A3C" w:rsidRDefault="00906AF1" w:rsidP="004F6533">
      <w:pPr>
        <w:spacing w:line="240" w:lineRule="auto"/>
        <w:rPr>
          <w:color w:val="auto"/>
        </w:rPr>
      </w:pPr>
      <w:r w:rsidRPr="00E31A3C">
        <w:rPr>
          <w:color w:val="auto"/>
        </w:rPr>
        <w:t xml:space="preserve">Direct seeding, an alternative method of establishment of rice, refers to the process of establishing the crop from seeds sown in the field rather than by transplanting seedlings from the nursery (Farooq </w:t>
      </w:r>
      <w:r w:rsidRPr="00E31A3C">
        <w:rPr>
          <w:i/>
          <w:iCs/>
          <w:color w:val="auto"/>
        </w:rPr>
        <w:t>et al</w:t>
      </w:r>
      <w:r w:rsidRPr="00E31A3C">
        <w:rPr>
          <w:color w:val="auto"/>
        </w:rPr>
        <w:t xml:space="preserve">., 2011). Direct seeding avoids puddling (a process where soil is compacted to reduce water seepage), transplanting and maintaining standing water. There are three principal methods of establishing the direct seeded rice (DSR): dry seeding (sowing dry seeds into dry soil), wet seeding (sowing pre-germinated seeds on wet puddle soils) and water seeding (seeds sown into standing water). Wet DSR starts tillering earlier than transplanted rice because its growth proceeds without the setback caused by uprooting injury to the root of seedlings. Although, high weed infestation is a major constraint for broader adoption of DSR (Rao </w:t>
      </w:r>
      <w:r w:rsidRPr="00E31A3C">
        <w:rPr>
          <w:i/>
          <w:iCs/>
          <w:color w:val="auto"/>
        </w:rPr>
        <w:t>et al</w:t>
      </w:r>
      <w:r w:rsidRPr="00E31A3C">
        <w:rPr>
          <w:color w:val="auto"/>
        </w:rPr>
        <w:t xml:space="preserve">., 2007). Likewise, micronutrient deficiencies such as Zn and Fe, due to imbalanced N fertilization and high infiltration rates in DSR, are of major concern (Gao </w:t>
      </w:r>
      <w:r w:rsidRPr="00E31A3C">
        <w:rPr>
          <w:i/>
          <w:iCs/>
          <w:color w:val="auto"/>
        </w:rPr>
        <w:t>et al</w:t>
      </w:r>
      <w:r w:rsidRPr="00E31A3C">
        <w:rPr>
          <w:color w:val="auto"/>
        </w:rPr>
        <w:t xml:space="preserve">., 2006). Yield in DSR is often lower than TPR principally due to poor crop stand, high percentage of panicle sterility and high weed infestation (Singh </w:t>
      </w:r>
      <w:r w:rsidRPr="00E31A3C">
        <w:rPr>
          <w:i/>
          <w:iCs/>
          <w:color w:val="auto"/>
        </w:rPr>
        <w:t>et al</w:t>
      </w:r>
      <w:r w:rsidRPr="00E31A3C">
        <w:rPr>
          <w:color w:val="auto"/>
        </w:rPr>
        <w:t>., 2005). However, direct seeding helps reduce water consumption by about 30% (0.9 million litres acre</w:t>
      </w:r>
      <w:r w:rsidRPr="00E31A3C">
        <w:rPr>
          <w:color w:val="auto"/>
          <w:vertAlign w:val="superscript"/>
        </w:rPr>
        <w:t>-1</w:t>
      </w:r>
      <w:r w:rsidRPr="00E31A3C">
        <w:rPr>
          <w:color w:val="auto"/>
        </w:rPr>
        <w:t xml:space="preserve">) as it eliminates raising of seedlings in a nursery, puddling, transplanting under puddled soil and maintaining 4-5 inches of water at the base of the transplanted seedlings (Sangeetha </w:t>
      </w:r>
      <w:r w:rsidRPr="00E31A3C">
        <w:rPr>
          <w:i/>
          <w:iCs/>
          <w:color w:val="auto"/>
        </w:rPr>
        <w:t>et al</w:t>
      </w:r>
      <w:r w:rsidRPr="00E31A3C">
        <w:rPr>
          <w:color w:val="auto"/>
        </w:rPr>
        <w:t>., 2015).</w:t>
      </w:r>
    </w:p>
    <w:p w14:paraId="1C328D9E" w14:textId="40CE81B2" w:rsidR="00A05429" w:rsidRPr="00E31A3C" w:rsidRDefault="007F5B37" w:rsidP="00A05429">
      <w:pPr>
        <w:spacing w:line="240" w:lineRule="auto"/>
        <w:rPr>
          <w:color w:val="auto"/>
        </w:rPr>
      </w:pPr>
      <w:r w:rsidRPr="00E31A3C">
        <w:rPr>
          <w:color w:val="auto"/>
        </w:rPr>
        <w:t xml:space="preserve">Physiological growth parameters are indicators of increment of crop growth at various crop phenological stages. The growth components have great importance and its stability governs the dry matter production which is a criterion of yield components and in this regard leaf area index, crop growth rate, </w:t>
      </w:r>
      <w:r w:rsidR="00A749D8" w:rsidRPr="00E31A3C">
        <w:rPr>
          <w:color w:val="auto"/>
        </w:rPr>
        <w:t>relative</w:t>
      </w:r>
      <w:r w:rsidRPr="00E31A3C">
        <w:rPr>
          <w:color w:val="auto"/>
        </w:rPr>
        <w:t xml:space="preserve"> growth rate and net assimilation rate are often used for the evaluation of crop productivity capability and environmental efficiency (</w:t>
      </w:r>
      <w:r w:rsidR="00223666">
        <w:rPr>
          <w:color w:val="auto"/>
        </w:rPr>
        <w:t xml:space="preserve">Jamsheed </w:t>
      </w:r>
      <w:r w:rsidR="00223666" w:rsidRPr="00223666">
        <w:rPr>
          <w:i/>
          <w:iCs/>
          <w:color w:val="auto"/>
        </w:rPr>
        <w:t>et al</w:t>
      </w:r>
      <w:r w:rsidR="00223666">
        <w:rPr>
          <w:color w:val="auto"/>
        </w:rPr>
        <w:t xml:space="preserve">., 2023; </w:t>
      </w:r>
      <w:proofErr w:type="spellStart"/>
      <w:r w:rsidRPr="00E31A3C">
        <w:rPr>
          <w:color w:val="auto"/>
        </w:rPr>
        <w:t>Theerthana</w:t>
      </w:r>
      <w:proofErr w:type="spellEnd"/>
      <w:r w:rsidRPr="00E31A3C">
        <w:rPr>
          <w:color w:val="auto"/>
        </w:rPr>
        <w:t xml:space="preserve"> </w:t>
      </w:r>
      <w:r w:rsidRPr="00E31A3C">
        <w:rPr>
          <w:i/>
          <w:iCs/>
          <w:color w:val="auto"/>
        </w:rPr>
        <w:t>et al</w:t>
      </w:r>
      <w:r w:rsidRPr="00E31A3C">
        <w:rPr>
          <w:color w:val="auto"/>
        </w:rPr>
        <w:t xml:space="preserve">., 2021). </w:t>
      </w:r>
      <w:r w:rsidR="00A05429" w:rsidRPr="00E31A3C">
        <w:rPr>
          <w:color w:val="auto"/>
        </w:rPr>
        <w:t xml:space="preserve">Plant growth analysis is a quantitative method used to characterise and understand the performance of the entire plant system developed under natural, semi-natural, or managed settings (Hoffmann </w:t>
      </w:r>
      <w:r w:rsidR="00A05429" w:rsidRPr="00E31A3C">
        <w:rPr>
          <w:i/>
          <w:iCs/>
          <w:color w:val="auto"/>
        </w:rPr>
        <w:t>et al</w:t>
      </w:r>
      <w:r w:rsidR="00A05429" w:rsidRPr="00E31A3C">
        <w:rPr>
          <w:color w:val="auto"/>
        </w:rPr>
        <w:t>., 2002). The easiest and most accurate way to assess the role that various physiological processes play in plant development is growth analysis. LAI is used in plant physiological studies as a growth indicator for plants as well as for assessing assimilation, estimating photosynthesis, transpiration rates and dry matter build-up (</w:t>
      </w:r>
      <w:proofErr w:type="spellStart"/>
      <w:r w:rsidR="00A05429" w:rsidRPr="00E31A3C">
        <w:rPr>
          <w:color w:val="auto"/>
        </w:rPr>
        <w:t>Lukeba</w:t>
      </w:r>
      <w:proofErr w:type="spellEnd"/>
      <w:r w:rsidR="00A05429" w:rsidRPr="00E31A3C">
        <w:rPr>
          <w:color w:val="auto"/>
        </w:rPr>
        <w:t xml:space="preserve"> </w:t>
      </w:r>
      <w:r w:rsidR="00A05429" w:rsidRPr="00E31A3C">
        <w:rPr>
          <w:i/>
          <w:iCs/>
          <w:color w:val="auto"/>
        </w:rPr>
        <w:t>et al</w:t>
      </w:r>
      <w:r w:rsidR="00A05429" w:rsidRPr="00E31A3C">
        <w:rPr>
          <w:color w:val="auto"/>
        </w:rPr>
        <w:t xml:space="preserve">., 2013). The partitioning of dry matter in plants is indicated by the degree of plant growth, which is differentiated physiologically per unit area. The amount of radiation </w:t>
      </w:r>
      <w:r w:rsidR="00A05429" w:rsidRPr="00E31A3C">
        <w:rPr>
          <w:color w:val="auto"/>
        </w:rPr>
        <w:lastRenderedPageBreak/>
        <w:t xml:space="preserve">intercepted that a crop absorbs directly affects the rate of crop growth (Edwards </w:t>
      </w:r>
      <w:r w:rsidR="00A05429" w:rsidRPr="00E31A3C">
        <w:rPr>
          <w:i/>
          <w:iCs/>
          <w:color w:val="auto"/>
        </w:rPr>
        <w:t>et al</w:t>
      </w:r>
      <w:r w:rsidR="00A05429" w:rsidRPr="00E31A3C">
        <w:rPr>
          <w:color w:val="auto"/>
        </w:rPr>
        <w:t>., 2005). Leaf area and the dry weight of the plant is measured in order to quantify growth. From these two measurements, further quantities are derived.</w:t>
      </w:r>
    </w:p>
    <w:p w14:paraId="7BC3BBDA" w14:textId="446D5DBD" w:rsidR="00A05429" w:rsidRPr="00E31A3C" w:rsidRDefault="00E46D82" w:rsidP="00F8672F">
      <w:pPr>
        <w:spacing w:line="240" w:lineRule="auto"/>
        <w:rPr>
          <w:color w:val="auto"/>
        </w:rPr>
      </w:pPr>
      <w:r w:rsidRPr="00E31A3C">
        <w:rPr>
          <w:color w:val="auto"/>
        </w:rPr>
        <w:t>Precision nutrient management (PNM) is an advanced strategy aimed at aligning nutrient supply with crop demand in terms of amount, space</w:t>
      </w:r>
      <w:r w:rsidR="00E438D6" w:rsidRPr="00E31A3C">
        <w:rPr>
          <w:color w:val="auto"/>
        </w:rPr>
        <w:t>, time and source</w:t>
      </w:r>
      <w:r w:rsidR="000029DF">
        <w:rPr>
          <w:color w:val="auto"/>
        </w:rPr>
        <w:t xml:space="preserve"> (Bhat </w:t>
      </w:r>
      <w:r w:rsidR="000029DF" w:rsidRPr="000029DF">
        <w:rPr>
          <w:i/>
          <w:iCs/>
          <w:color w:val="auto"/>
        </w:rPr>
        <w:t>et al</w:t>
      </w:r>
      <w:r w:rsidR="000029DF">
        <w:rPr>
          <w:color w:val="auto"/>
        </w:rPr>
        <w:t>., 2022)</w:t>
      </w:r>
      <w:r w:rsidR="00E438D6" w:rsidRPr="00E31A3C">
        <w:rPr>
          <w:color w:val="auto"/>
        </w:rPr>
        <w:t>. Unlike blanket fertilizer recommendation, that leads to nutrient imbalances and utilization inefficiencies, PNM utilizes site-specific technologies to improve yield, nutrient-use efficiency, quality, profitability and environmental sustainability (</w:t>
      </w:r>
      <w:r w:rsidR="00D52031">
        <w:rPr>
          <w:color w:val="auto"/>
        </w:rPr>
        <w:t xml:space="preserve">Jamsheed </w:t>
      </w:r>
      <w:r w:rsidR="00D52031" w:rsidRPr="00D52031">
        <w:rPr>
          <w:i/>
          <w:iCs/>
          <w:color w:val="auto"/>
        </w:rPr>
        <w:t>et al</w:t>
      </w:r>
      <w:r w:rsidR="00D52031">
        <w:rPr>
          <w:color w:val="auto"/>
        </w:rPr>
        <w:t xml:space="preserve">., 2023; </w:t>
      </w:r>
      <w:r w:rsidR="00E438D6" w:rsidRPr="00E31A3C">
        <w:rPr>
          <w:color w:val="auto"/>
        </w:rPr>
        <w:t xml:space="preserve">Miao, 2023; </w:t>
      </w:r>
      <w:proofErr w:type="spellStart"/>
      <w:r w:rsidR="00E438D6" w:rsidRPr="00E31A3C">
        <w:rPr>
          <w:color w:val="auto"/>
        </w:rPr>
        <w:t>Nasiro</w:t>
      </w:r>
      <w:proofErr w:type="spellEnd"/>
      <w:r w:rsidR="00E438D6" w:rsidRPr="00E31A3C">
        <w:rPr>
          <w:color w:val="auto"/>
        </w:rPr>
        <w:t xml:space="preserve"> and </w:t>
      </w:r>
      <w:proofErr w:type="spellStart"/>
      <w:r w:rsidR="00E438D6" w:rsidRPr="00E31A3C">
        <w:rPr>
          <w:color w:val="auto"/>
        </w:rPr>
        <w:t>Mohammednur</w:t>
      </w:r>
      <w:proofErr w:type="spellEnd"/>
      <w:r w:rsidR="00E438D6" w:rsidRPr="00E31A3C">
        <w:rPr>
          <w:color w:val="auto"/>
        </w:rPr>
        <w:t xml:space="preserve">, 2024). PNM plays an important role in managing spatial and temporal variability of soil fertility, especially in rice cultivation. Various PNM tools such as Soil Test Crop Response (STCR) and Nutrient-Expert (NE) are comprehensive approaches, integrating soil test data, crop nutrient requirements and yield targets (Shubha </w:t>
      </w:r>
      <w:r w:rsidR="00E438D6" w:rsidRPr="00E31A3C">
        <w:rPr>
          <w:i/>
          <w:iCs/>
          <w:color w:val="auto"/>
        </w:rPr>
        <w:t>et al</w:t>
      </w:r>
      <w:r w:rsidR="00E438D6" w:rsidRPr="00E31A3C">
        <w:rPr>
          <w:color w:val="auto"/>
        </w:rPr>
        <w:t xml:space="preserve">., 2018) to recommend precise nutrient doses to the crop. NE is a computer-based software tool which </w:t>
      </w:r>
      <w:proofErr w:type="gramStart"/>
      <w:r w:rsidR="00E438D6" w:rsidRPr="00E31A3C">
        <w:rPr>
          <w:color w:val="auto"/>
        </w:rPr>
        <w:t>simplifies  SSNM</w:t>
      </w:r>
      <w:proofErr w:type="gramEnd"/>
      <w:r w:rsidR="00E438D6" w:rsidRPr="00E31A3C">
        <w:rPr>
          <w:color w:val="auto"/>
        </w:rPr>
        <w:t xml:space="preserve"> implementations by providing tailored fertilizer recommendations based on local field conditions (Satyanar</w:t>
      </w:r>
      <w:r w:rsidR="002D44DF" w:rsidRPr="00E31A3C">
        <w:rPr>
          <w:color w:val="auto"/>
        </w:rPr>
        <w:t>a</w:t>
      </w:r>
      <w:r w:rsidR="00E438D6" w:rsidRPr="00E31A3C">
        <w:rPr>
          <w:color w:val="auto"/>
        </w:rPr>
        <w:t>yan</w:t>
      </w:r>
      <w:r w:rsidR="002D44DF" w:rsidRPr="00E31A3C">
        <w:rPr>
          <w:color w:val="auto"/>
        </w:rPr>
        <w:t>a</w:t>
      </w:r>
      <w:r w:rsidR="00E438D6" w:rsidRPr="00E31A3C">
        <w:rPr>
          <w:color w:val="auto"/>
        </w:rPr>
        <w:t xml:space="preserve"> </w:t>
      </w:r>
      <w:r w:rsidR="00E438D6" w:rsidRPr="00E31A3C">
        <w:rPr>
          <w:i/>
          <w:iCs/>
          <w:color w:val="auto"/>
        </w:rPr>
        <w:t>et al</w:t>
      </w:r>
      <w:r w:rsidR="00E438D6" w:rsidRPr="00E31A3C">
        <w:rPr>
          <w:color w:val="auto"/>
        </w:rPr>
        <w:t>., 2014).</w:t>
      </w:r>
      <w:r w:rsidR="00C01496" w:rsidRPr="00E31A3C">
        <w:rPr>
          <w:color w:val="auto"/>
        </w:rPr>
        <w:t xml:space="preserve"> These tools </w:t>
      </w:r>
      <w:r w:rsidR="00F8672F" w:rsidRPr="00E31A3C">
        <w:rPr>
          <w:color w:val="auto"/>
        </w:rPr>
        <w:t xml:space="preserve">focus on timely and need-based fertilizer application to achieve higher yields. </w:t>
      </w:r>
    </w:p>
    <w:p w14:paraId="2B7CC2BD" w14:textId="413D7A40" w:rsidR="005408B5" w:rsidRPr="00E31A3C" w:rsidRDefault="00A05429" w:rsidP="00F8672F">
      <w:pPr>
        <w:spacing w:line="240" w:lineRule="auto"/>
        <w:rPr>
          <w:color w:val="auto"/>
        </w:rPr>
      </w:pPr>
      <w:r w:rsidRPr="00E31A3C">
        <w:rPr>
          <w:color w:val="auto"/>
        </w:rPr>
        <w:t>Leaf area index (LAI), dry matter accumulation, crop growth rate (CGR), leaf area ratio (LAR), leaf weight ratio (LWR), net assimilation rate (NAR), and relative growth rate (RGR) are physiological growth indices that are influenced by cultivar genetic parameters, plant population, climate and soil fertility (</w:t>
      </w:r>
      <w:proofErr w:type="spellStart"/>
      <w:r w:rsidRPr="00E31A3C">
        <w:rPr>
          <w:color w:val="auto"/>
        </w:rPr>
        <w:t>Hokmalipour</w:t>
      </w:r>
      <w:proofErr w:type="spellEnd"/>
      <w:r w:rsidRPr="00E31A3C">
        <w:rPr>
          <w:color w:val="auto"/>
        </w:rPr>
        <w:t xml:space="preserve"> </w:t>
      </w:r>
      <w:r w:rsidRPr="00E31A3C">
        <w:rPr>
          <w:i/>
          <w:iCs/>
          <w:color w:val="auto"/>
        </w:rPr>
        <w:t>et al</w:t>
      </w:r>
      <w:r w:rsidRPr="00E31A3C">
        <w:rPr>
          <w:color w:val="auto"/>
        </w:rPr>
        <w:t xml:space="preserve">., 2011). </w:t>
      </w:r>
      <w:r w:rsidR="00F8672F" w:rsidRPr="00E31A3C">
        <w:rPr>
          <w:color w:val="auto"/>
        </w:rPr>
        <w:t xml:space="preserve">Many studies compare TPR and DSR mainly on yield basis and their economics and fewer quantify their interaction with specific PNM approaches (STCR and NE) on physiological indices of crop. </w:t>
      </w:r>
      <w:r w:rsidRPr="00E31A3C">
        <w:rPr>
          <w:color w:val="auto"/>
        </w:rPr>
        <w:t>Therefore, the objective of this study is to evaluate the effect of establishment methods and precision nutrient management on crop growth indices of rice.</w:t>
      </w:r>
    </w:p>
    <w:p w14:paraId="267A4CF4" w14:textId="79AE36E4" w:rsidR="00EC4705" w:rsidRPr="00E31A3C" w:rsidRDefault="00EC4705" w:rsidP="005408B5">
      <w:pPr>
        <w:spacing w:line="240" w:lineRule="auto"/>
        <w:ind w:firstLine="0"/>
        <w:rPr>
          <w:b/>
          <w:bCs/>
          <w:color w:val="auto"/>
        </w:rPr>
      </w:pPr>
      <w:r w:rsidRPr="00E31A3C">
        <w:rPr>
          <w:b/>
          <w:bCs/>
          <w:color w:val="auto"/>
        </w:rPr>
        <w:t>Materials and Methods</w:t>
      </w:r>
    </w:p>
    <w:p w14:paraId="79AACFAE" w14:textId="78ACC326" w:rsidR="0017150C" w:rsidRPr="00E31A3C" w:rsidRDefault="00F24141" w:rsidP="005408B5">
      <w:pPr>
        <w:spacing w:line="240" w:lineRule="auto"/>
        <w:rPr>
          <w:color w:val="auto"/>
        </w:rPr>
      </w:pPr>
      <w:r w:rsidRPr="00E31A3C">
        <w:rPr>
          <w:color w:val="auto"/>
        </w:rPr>
        <w:t xml:space="preserve">The experiment was conducted at </w:t>
      </w:r>
      <w:r w:rsidR="00AE32DB" w:rsidRPr="00E31A3C">
        <w:rPr>
          <w:color w:val="auto"/>
          <w:lang w:val="en-US"/>
        </w:rPr>
        <w:t xml:space="preserve">Sher-e-Kashmir University of Agricultural sciences and Technology of Kashmir, Faculty of Agriculture, </w:t>
      </w:r>
      <w:proofErr w:type="spellStart"/>
      <w:r w:rsidR="00AE32DB" w:rsidRPr="00E31A3C">
        <w:rPr>
          <w:color w:val="auto"/>
          <w:lang w:val="en-US"/>
        </w:rPr>
        <w:t>Wadura</w:t>
      </w:r>
      <w:proofErr w:type="spellEnd"/>
      <w:r w:rsidR="00AE32DB" w:rsidRPr="00E31A3C">
        <w:rPr>
          <w:color w:val="auto"/>
          <w:lang w:val="en-US"/>
        </w:rPr>
        <w:t xml:space="preserve">, during </w:t>
      </w:r>
      <w:r w:rsidR="00AE32DB" w:rsidRPr="00E31A3C">
        <w:rPr>
          <w:i/>
          <w:iCs/>
          <w:color w:val="auto"/>
          <w:lang w:val="en-US"/>
        </w:rPr>
        <w:t xml:space="preserve">Kharif </w:t>
      </w:r>
      <w:r w:rsidR="00AE32DB" w:rsidRPr="00E31A3C">
        <w:rPr>
          <w:color w:val="auto"/>
          <w:lang w:val="en-US"/>
        </w:rPr>
        <w:t>2024 and 2025, respectively</w:t>
      </w:r>
      <w:r w:rsidRPr="00E31A3C">
        <w:rPr>
          <w:color w:val="auto"/>
        </w:rPr>
        <w:t xml:space="preserve">, </w:t>
      </w:r>
      <w:r w:rsidR="00107E58" w:rsidRPr="00E31A3C">
        <w:rPr>
          <w:color w:val="auto"/>
        </w:rPr>
        <w:t xml:space="preserve">to study the influence of precision nutrient management and establishment methods on physiological indices of rice. </w:t>
      </w:r>
      <w:r w:rsidR="00AE32DB" w:rsidRPr="00E31A3C">
        <w:rPr>
          <w:color w:val="auto"/>
          <w:lang w:val="en-US"/>
        </w:rPr>
        <w:t xml:space="preserve">The experimental site was situated in temperate zone of Jammu and Kashmir, </w:t>
      </w:r>
      <w:r w:rsidR="00AE32DB" w:rsidRPr="00E31A3C">
        <w:rPr>
          <w:color w:val="auto"/>
        </w:rPr>
        <w:t>geographically positioned</w:t>
      </w:r>
      <w:r w:rsidR="00AE32DB" w:rsidRPr="00E31A3C">
        <w:rPr>
          <w:color w:val="auto"/>
          <w:lang w:val="en-US"/>
        </w:rPr>
        <w:t xml:space="preserve"> </w:t>
      </w:r>
      <w:r w:rsidR="00AE32DB" w:rsidRPr="00E31A3C">
        <w:rPr>
          <w:color w:val="auto"/>
        </w:rPr>
        <w:t>34</w:t>
      </w:r>
      <w:r w:rsidR="00AE32DB" w:rsidRPr="00E31A3C">
        <w:rPr>
          <w:color w:val="auto"/>
          <w:vertAlign w:val="superscript"/>
        </w:rPr>
        <w:t>o</w:t>
      </w:r>
      <w:r w:rsidR="00AE32DB" w:rsidRPr="00E31A3C">
        <w:rPr>
          <w:color w:val="auto"/>
        </w:rPr>
        <w:t>34</w:t>
      </w:r>
      <w:r w:rsidR="00AE32DB" w:rsidRPr="00E31A3C">
        <w:rPr>
          <w:color w:val="auto"/>
          <w:vertAlign w:val="superscript"/>
        </w:rPr>
        <w:t>/</w:t>
      </w:r>
      <w:r w:rsidR="00AE32DB" w:rsidRPr="00E31A3C">
        <w:rPr>
          <w:color w:val="auto"/>
        </w:rPr>
        <w:t xml:space="preserve"> N latitude and 74</w:t>
      </w:r>
      <w:r w:rsidR="00AE32DB" w:rsidRPr="00E31A3C">
        <w:rPr>
          <w:color w:val="auto"/>
          <w:vertAlign w:val="superscript"/>
        </w:rPr>
        <w:t>o</w:t>
      </w:r>
      <w:r w:rsidR="00AE32DB" w:rsidRPr="00E31A3C">
        <w:rPr>
          <w:color w:val="auto"/>
        </w:rPr>
        <w:t>40</w:t>
      </w:r>
      <w:r w:rsidR="00AE32DB" w:rsidRPr="00E31A3C">
        <w:rPr>
          <w:color w:val="auto"/>
          <w:vertAlign w:val="superscript"/>
        </w:rPr>
        <w:t>/</w:t>
      </w:r>
      <w:r w:rsidR="00AE32DB" w:rsidRPr="00E31A3C">
        <w:rPr>
          <w:color w:val="auto"/>
        </w:rPr>
        <w:t xml:space="preserve"> E longitude at an altitude of 1584 m above mean sea level. </w:t>
      </w:r>
      <w:r w:rsidR="00D85E0F" w:rsidRPr="00E31A3C">
        <w:rPr>
          <w:color w:val="auto"/>
        </w:rPr>
        <w:t>The soil from the experimental site has silty clay loam texture with neut</w:t>
      </w:r>
      <w:r w:rsidR="00191D28" w:rsidRPr="00E31A3C">
        <w:rPr>
          <w:color w:val="auto"/>
        </w:rPr>
        <w:t>r</w:t>
      </w:r>
      <w:r w:rsidR="00D85E0F" w:rsidRPr="00E31A3C">
        <w:rPr>
          <w:color w:val="auto"/>
        </w:rPr>
        <w:t>al pH</w:t>
      </w:r>
      <w:r w:rsidR="004336F4">
        <w:rPr>
          <w:color w:val="auto"/>
        </w:rPr>
        <w:t xml:space="preserve"> (6.8)</w:t>
      </w:r>
      <w:r w:rsidR="00D85E0F" w:rsidRPr="00E31A3C">
        <w:rPr>
          <w:color w:val="auto"/>
        </w:rPr>
        <w:t>, normal EC</w:t>
      </w:r>
      <w:r w:rsidR="004336F4">
        <w:rPr>
          <w:color w:val="auto"/>
        </w:rPr>
        <w:t xml:space="preserve"> (</w:t>
      </w:r>
      <w:r w:rsidR="004336F4" w:rsidRPr="00E31A3C">
        <w:rPr>
          <w:szCs w:val="24"/>
        </w:rPr>
        <w:t>0.28 dSm</w:t>
      </w:r>
      <w:r w:rsidR="004336F4" w:rsidRPr="00E31A3C">
        <w:rPr>
          <w:szCs w:val="24"/>
          <w:vertAlign w:val="superscript"/>
        </w:rPr>
        <w:t>-1</w:t>
      </w:r>
      <w:r w:rsidR="004336F4">
        <w:rPr>
          <w:color w:val="auto"/>
        </w:rPr>
        <w:t>)</w:t>
      </w:r>
      <w:r w:rsidR="00D85E0F" w:rsidRPr="00E31A3C">
        <w:rPr>
          <w:color w:val="auto"/>
        </w:rPr>
        <w:t>, medium organic carbon</w:t>
      </w:r>
      <w:r w:rsidR="004336F4">
        <w:rPr>
          <w:color w:val="auto"/>
        </w:rPr>
        <w:t xml:space="preserve"> (</w:t>
      </w:r>
      <w:r w:rsidR="004336F4" w:rsidRPr="00E31A3C">
        <w:rPr>
          <w:szCs w:val="24"/>
        </w:rPr>
        <w:t>0.69 %</w:t>
      </w:r>
      <w:r w:rsidR="004336F4">
        <w:rPr>
          <w:color w:val="auto"/>
        </w:rPr>
        <w:t>)</w:t>
      </w:r>
      <w:r w:rsidR="00D85E0F" w:rsidRPr="00E31A3C">
        <w:rPr>
          <w:color w:val="auto"/>
        </w:rPr>
        <w:t>,</w:t>
      </w:r>
      <w:r w:rsidR="00F560F0" w:rsidRPr="00E31A3C">
        <w:rPr>
          <w:color w:val="auto"/>
        </w:rPr>
        <w:t xml:space="preserve"> normal</w:t>
      </w:r>
      <w:r w:rsidR="00D85E0F" w:rsidRPr="00E31A3C">
        <w:rPr>
          <w:color w:val="auto"/>
        </w:rPr>
        <w:t xml:space="preserve"> bulk density</w:t>
      </w:r>
      <w:r w:rsidR="004336F4">
        <w:rPr>
          <w:color w:val="auto"/>
        </w:rPr>
        <w:t xml:space="preserve"> (</w:t>
      </w:r>
      <w:r w:rsidR="004336F4" w:rsidRPr="00E31A3C">
        <w:rPr>
          <w:szCs w:val="24"/>
        </w:rPr>
        <w:t>1.32 Mg m</w:t>
      </w:r>
      <w:r w:rsidR="004336F4" w:rsidRPr="00E31A3C">
        <w:rPr>
          <w:szCs w:val="24"/>
          <w:vertAlign w:val="superscript"/>
        </w:rPr>
        <w:t>-3</w:t>
      </w:r>
      <w:r w:rsidR="004336F4">
        <w:rPr>
          <w:color w:val="auto"/>
        </w:rPr>
        <w:t>)</w:t>
      </w:r>
      <w:r w:rsidR="00D85E0F" w:rsidRPr="00E31A3C">
        <w:rPr>
          <w:color w:val="auto"/>
        </w:rPr>
        <w:t>, sufficient available nitrogen</w:t>
      </w:r>
      <w:r w:rsidR="004336F4">
        <w:rPr>
          <w:color w:val="auto"/>
        </w:rPr>
        <w:t xml:space="preserve"> (</w:t>
      </w:r>
      <w:r w:rsidR="004336F4" w:rsidRPr="00E31A3C">
        <w:rPr>
          <w:rFonts w:eastAsia="Times New Roman"/>
          <w:szCs w:val="24"/>
          <w:lang w:eastAsia="en-IN"/>
        </w:rPr>
        <w:t xml:space="preserve">304.20 </w:t>
      </w:r>
      <w:r w:rsidR="004336F4" w:rsidRPr="00E31A3C">
        <w:rPr>
          <w:szCs w:val="24"/>
        </w:rPr>
        <w:t>kg ha</w:t>
      </w:r>
      <w:r w:rsidR="004336F4" w:rsidRPr="00E31A3C">
        <w:rPr>
          <w:szCs w:val="24"/>
          <w:vertAlign w:val="superscript"/>
        </w:rPr>
        <w:t>-1</w:t>
      </w:r>
      <w:r w:rsidR="004336F4">
        <w:rPr>
          <w:color w:val="auto"/>
        </w:rPr>
        <w:t>)</w:t>
      </w:r>
      <w:r w:rsidR="00D85E0F" w:rsidRPr="00E31A3C">
        <w:rPr>
          <w:color w:val="auto"/>
        </w:rPr>
        <w:t>, phosphorus</w:t>
      </w:r>
      <w:r w:rsidR="00F560F0" w:rsidRPr="00E31A3C">
        <w:rPr>
          <w:color w:val="auto"/>
        </w:rPr>
        <w:t xml:space="preserve"> </w:t>
      </w:r>
      <w:r w:rsidR="004336F4">
        <w:rPr>
          <w:color w:val="auto"/>
        </w:rPr>
        <w:t>(</w:t>
      </w:r>
      <w:r w:rsidR="004336F4" w:rsidRPr="00E31A3C">
        <w:rPr>
          <w:rFonts w:eastAsia="Times New Roman"/>
          <w:szCs w:val="24"/>
          <w:lang w:eastAsia="en-IN"/>
        </w:rPr>
        <w:t xml:space="preserve">16.42 </w:t>
      </w:r>
      <w:r w:rsidR="004336F4" w:rsidRPr="00E31A3C">
        <w:rPr>
          <w:szCs w:val="24"/>
        </w:rPr>
        <w:t>kg ha</w:t>
      </w:r>
      <w:r w:rsidR="004336F4" w:rsidRPr="00E31A3C">
        <w:rPr>
          <w:szCs w:val="24"/>
          <w:vertAlign w:val="superscript"/>
        </w:rPr>
        <w:t>-1</w:t>
      </w:r>
      <w:r w:rsidR="004336F4">
        <w:rPr>
          <w:color w:val="auto"/>
        </w:rPr>
        <w:t xml:space="preserve">) </w:t>
      </w:r>
      <w:r w:rsidR="00D85E0F" w:rsidRPr="00E31A3C">
        <w:rPr>
          <w:color w:val="auto"/>
        </w:rPr>
        <w:t>and potassium</w:t>
      </w:r>
      <w:r w:rsidR="0017150C" w:rsidRPr="00E31A3C">
        <w:rPr>
          <w:color w:val="auto"/>
        </w:rPr>
        <w:t xml:space="preserve"> </w:t>
      </w:r>
      <w:r w:rsidR="004336F4">
        <w:rPr>
          <w:color w:val="auto"/>
        </w:rPr>
        <w:t>(</w:t>
      </w:r>
      <w:r w:rsidR="004336F4" w:rsidRPr="00E31A3C">
        <w:rPr>
          <w:rFonts w:eastAsia="Times New Roman"/>
          <w:szCs w:val="24"/>
          <w:lang w:eastAsia="en-IN"/>
        </w:rPr>
        <w:t xml:space="preserve">178.63 </w:t>
      </w:r>
      <w:r w:rsidR="004336F4" w:rsidRPr="00E31A3C">
        <w:rPr>
          <w:szCs w:val="24"/>
        </w:rPr>
        <w:t>kg ha</w:t>
      </w:r>
      <w:r w:rsidR="004336F4" w:rsidRPr="00E31A3C">
        <w:rPr>
          <w:szCs w:val="24"/>
          <w:vertAlign w:val="superscript"/>
        </w:rPr>
        <w:t>-1</w:t>
      </w:r>
      <w:r w:rsidR="004336F4">
        <w:rPr>
          <w:color w:val="auto"/>
        </w:rPr>
        <w:t>).</w:t>
      </w:r>
      <w:r w:rsidR="00D85E0F" w:rsidRPr="00E31A3C">
        <w:rPr>
          <w:color w:val="auto"/>
        </w:rPr>
        <w:t xml:space="preserve"> </w:t>
      </w:r>
    </w:p>
    <w:p w14:paraId="09CB554C" w14:textId="77777777" w:rsidR="00F3008C" w:rsidRPr="00E31A3C" w:rsidRDefault="00F3008C" w:rsidP="005408B5">
      <w:pPr>
        <w:spacing w:line="240" w:lineRule="auto"/>
        <w:ind w:firstLine="0"/>
        <w:rPr>
          <w:i/>
          <w:iCs/>
          <w:color w:val="auto"/>
        </w:rPr>
      </w:pPr>
    </w:p>
    <w:p w14:paraId="1D0BA1B7" w14:textId="1EE31C8F" w:rsidR="0017150C" w:rsidRPr="00E31A3C" w:rsidRDefault="0017150C" w:rsidP="005408B5">
      <w:pPr>
        <w:spacing w:line="240" w:lineRule="auto"/>
        <w:ind w:firstLine="0"/>
        <w:rPr>
          <w:i/>
          <w:iCs/>
          <w:color w:val="auto"/>
        </w:rPr>
      </w:pPr>
      <w:r w:rsidRPr="00E31A3C">
        <w:rPr>
          <w:i/>
          <w:iCs/>
          <w:color w:val="auto"/>
        </w:rPr>
        <w:t>Experimental details</w:t>
      </w:r>
    </w:p>
    <w:p w14:paraId="19D9E7AB" w14:textId="4643406E" w:rsidR="00EC4705" w:rsidRPr="00E31A3C" w:rsidRDefault="00914668" w:rsidP="005408B5">
      <w:pPr>
        <w:spacing w:line="240" w:lineRule="auto"/>
        <w:rPr>
          <w:color w:val="auto"/>
        </w:rPr>
      </w:pPr>
      <w:r w:rsidRPr="00E31A3C">
        <w:rPr>
          <w:color w:val="auto"/>
        </w:rPr>
        <w:t xml:space="preserve">The experiment was laid out in a split plot design with three replication, which comprised of two main plot establishment levels </w:t>
      </w:r>
      <w:r w:rsidRPr="00E31A3C">
        <w:rPr>
          <w:i/>
          <w:iCs/>
          <w:color w:val="auto"/>
        </w:rPr>
        <w:t>viz</w:t>
      </w:r>
      <w:r w:rsidRPr="00E31A3C">
        <w:rPr>
          <w:color w:val="auto"/>
        </w:rPr>
        <w:t>., transplanting and direct seeded rice and eight sub plot nutrient management levels</w:t>
      </w:r>
      <w:r w:rsidR="00D85E0F" w:rsidRPr="00E31A3C">
        <w:rPr>
          <w:color w:val="auto"/>
        </w:rPr>
        <w:t xml:space="preserve"> </w:t>
      </w:r>
      <w:r w:rsidRPr="00E31A3C">
        <w:rPr>
          <w:i/>
          <w:iCs/>
          <w:color w:val="auto"/>
        </w:rPr>
        <w:t>viz</w:t>
      </w:r>
      <w:r w:rsidRPr="00E31A3C">
        <w:rPr>
          <w:color w:val="auto"/>
        </w:rPr>
        <w:t>., absolute control, recommended dose of fertilizers, Soil Test Crop Response (STCR) approach</w:t>
      </w:r>
      <w:r w:rsidR="00D85E0F" w:rsidRPr="00E31A3C">
        <w:rPr>
          <w:color w:val="auto"/>
        </w:rPr>
        <w:t xml:space="preserve"> </w:t>
      </w:r>
      <w:r w:rsidRPr="00E31A3C">
        <w:rPr>
          <w:color w:val="auto"/>
        </w:rPr>
        <w:t xml:space="preserve">(target </w:t>
      </w:r>
      <w:r w:rsidRPr="00E31A3C">
        <w:rPr>
          <w:color w:val="auto"/>
        </w:rPr>
        <w:lastRenderedPageBreak/>
        <w:t>yield 75 q ha</w:t>
      </w:r>
      <w:r w:rsidRPr="00E31A3C">
        <w:rPr>
          <w:color w:val="auto"/>
          <w:vertAlign w:val="superscript"/>
        </w:rPr>
        <w:t>-1</w:t>
      </w:r>
      <w:r w:rsidRPr="00E31A3C">
        <w:rPr>
          <w:color w:val="auto"/>
        </w:rPr>
        <w:t>), STCR approach (target yield 85 q ha</w:t>
      </w:r>
      <w:r w:rsidRPr="00E31A3C">
        <w:rPr>
          <w:color w:val="auto"/>
          <w:vertAlign w:val="superscript"/>
        </w:rPr>
        <w:t>-1</w:t>
      </w:r>
      <w:r w:rsidRPr="00E31A3C">
        <w:rPr>
          <w:color w:val="auto"/>
        </w:rPr>
        <w:t>), STCR approach (target yield 95 q ha</w:t>
      </w:r>
      <w:r w:rsidRPr="00E31A3C">
        <w:rPr>
          <w:color w:val="auto"/>
          <w:vertAlign w:val="superscript"/>
        </w:rPr>
        <w:t>-1</w:t>
      </w:r>
      <w:r w:rsidRPr="00E31A3C">
        <w:rPr>
          <w:color w:val="auto"/>
        </w:rPr>
        <w:t>), Nutrient-Expert (NE) (target yield 75 q ha</w:t>
      </w:r>
      <w:r w:rsidRPr="00E31A3C">
        <w:rPr>
          <w:color w:val="auto"/>
          <w:vertAlign w:val="superscript"/>
        </w:rPr>
        <w:t>-1</w:t>
      </w:r>
      <w:r w:rsidRPr="00E31A3C">
        <w:rPr>
          <w:color w:val="auto"/>
        </w:rPr>
        <w:t>), NE (target yield 85 q ha</w:t>
      </w:r>
      <w:r w:rsidRPr="00E31A3C">
        <w:rPr>
          <w:color w:val="auto"/>
          <w:vertAlign w:val="superscript"/>
        </w:rPr>
        <w:t>-1</w:t>
      </w:r>
      <w:r w:rsidRPr="00E31A3C">
        <w:rPr>
          <w:color w:val="auto"/>
        </w:rPr>
        <w:t xml:space="preserve">) and </w:t>
      </w:r>
      <w:r w:rsidR="002D72AD" w:rsidRPr="00E31A3C">
        <w:rPr>
          <w:color w:val="auto"/>
        </w:rPr>
        <w:t>NE (target yield 95 q ha</w:t>
      </w:r>
      <w:r w:rsidR="002D72AD" w:rsidRPr="00E31A3C">
        <w:rPr>
          <w:color w:val="auto"/>
          <w:vertAlign w:val="superscript"/>
        </w:rPr>
        <w:t>-1</w:t>
      </w:r>
      <w:r w:rsidR="002D72AD" w:rsidRPr="00E31A3C">
        <w:rPr>
          <w:color w:val="auto"/>
        </w:rPr>
        <w:t>).</w:t>
      </w:r>
    </w:p>
    <w:p w14:paraId="74344872" w14:textId="7B5792F8" w:rsidR="0017150C" w:rsidRPr="00E31A3C" w:rsidRDefault="0017150C" w:rsidP="005408B5">
      <w:pPr>
        <w:spacing w:line="240" w:lineRule="auto"/>
        <w:ind w:firstLine="0"/>
        <w:rPr>
          <w:i/>
          <w:iCs/>
          <w:color w:val="auto"/>
        </w:rPr>
      </w:pPr>
      <w:r w:rsidRPr="00E31A3C">
        <w:rPr>
          <w:i/>
          <w:iCs/>
          <w:color w:val="auto"/>
        </w:rPr>
        <w:t>STCR based fertilizer adjustment equations for rice</w:t>
      </w:r>
    </w:p>
    <w:p w14:paraId="5A83A014" w14:textId="076E24A2" w:rsidR="0017150C" w:rsidRPr="00E31A3C" w:rsidRDefault="0017150C" w:rsidP="005408B5">
      <w:pPr>
        <w:spacing w:line="240" w:lineRule="auto"/>
        <w:ind w:firstLine="0"/>
        <w:rPr>
          <w:color w:val="auto"/>
        </w:rPr>
      </w:pPr>
      <w:r w:rsidRPr="00E31A3C">
        <w:rPr>
          <w:i/>
          <w:iCs/>
          <w:color w:val="auto"/>
        </w:rPr>
        <w:tab/>
      </w:r>
      <w:r w:rsidRPr="00E31A3C">
        <w:rPr>
          <w:color w:val="auto"/>
        </w:rPr>
        <w:t>F</w:t>
      </w:r>
      <w:r w:rsidRPr="00E31A3C">
        <w:rPr>
          <w:color w:val="auto"/>
          <w:vertAlign w:val="subscript"/>
        </w:rPr>
        <w:t xml:space="preserve">N </w:t>
      </w:r>
      <w:r w:rsidRPr="00E31A3C">
        <w:rPr>
          <w:color w:val="auto"/>
        </w:rPr>
        <w:t xml:space="preserve">     = </w:t>
      </w:r>
      <w:r w:rsidR="00A338A5" w:rsidRPr="00E31A3C">
        <w:rPr>
          <w:color w:val="auto"/>
        </w:rPr>
        <w:t>3.45 T – 0.29 S</w:t>
      </w:r>
      <w:r w:rsidR="00A338A5" w:rsidRPr="00E31A3C">
        <w:rPr>
          <w:color w:val="auto"/>
          <w:vertAlign w:val="subscript"/>
        </w:rPr>
        <w:t>N</w:t>
      </w:r>
    </w:p>
    <w:p w14:paraId="0B987CD5" w14:textId="6DB98BE5" w:rsidR="0017150C" w:rsidRPr="00E31A3C" w:rsidRDefault="0017150C" w:rsidP="005408B5">
      <w:pPr>
        <w:spacing w:line="240" w:lineRule="auto"/>
        <w:ind w:firstLine="0"/>
        <w:rPr>
          <w:color w:val="auto"/>
        </w:rPr>
      </w:pPr>
      <w:r w:rsidRPr="00E31A3C">
        <w:rPr>
          <w:color w:val="auto"/>
        </w:rPr>
        <w:tab/>
        <w:t>F</w:t>
      </w:r>
      <w:r w:rsidRPr="00E31A3C">
        <w:rPr>
          <w:color w:val="auto"/>
          <w:vertAlign w:val="subscript"/>
        </w:rPr>
        <w:t xml:space="preserve">P2O5   </w:t>
      </w:r>
      <w:r w:rsidRPr="00E31A3C">
        <w:rPr>
          <w:color w:val="auto"/>
        </w:rPr>
        <w:t>=</w:t>
      </w:r>
      <w:r w:rsidR="00A338A5" w:rsidRPr="00E31A3C">
        <w:rPr>
          <w:color w:val="auto"/>
        </w:rPr>
        <w:t xml:space="preserve"> 2.82 T – 1.70 S</w:t>
      </w:r>
      <w:r w:rsidR="00A338A5" w:rsidRPr="00E31A3C">
        <w:rPr>
          <w:color w:val="auto"/>
          <w:vertAlign w:val="subscript"/>
        </w:rPr>
        <w:t>P2O5</w:t>
      </w:r>
    </w:p>
    <w:p w14:paraId="7F8F5C97" w14:textId="2669F912" w:rsidR="0017150C" w:rsidRPr="00E31A3C" w:rsidRDefault="0017150C" w:rsidP="005408B5">
      <w:pPr>
        <w:spacing w:line="240" w:lineRule="auto"/>
        <w:ind w:firstLine="0"/>
        <w:rPr>
          <w:color w:val="auto"/>
        </w:rPr>
      </w:pPr>
      <w:r w:rsidRPr="00E31A3C">
        <w:rPr>
          <w:color w:val="auto"/>
        </w:rPr>
        <w:t xml:space="preserve">   </w:t>
      </w:r>
      <w:r w:rsidRPr="00E31A3C">
        <w:rPr>
          <w:color w:val="auto"/>
        </w:rPr>
        <w:tab/>
        <w:t>F</w:t>
      </w:r>
      <w:r w:rsidRPr="00E31A3C">
        <w:rPr>
          <w:color w:val="auto"/>
          <w:vertAlign w:val="subscript"/>
        </w:rPr>
        <w:t>K2O</w:t>
      </w:r>
      <w:r w:rsidRPr="00E31A3C">
        <w:rPr>
          <w:color w:val="auto"/>
        </w:rPr>
        <w:t xml:space="preserve">   =</w:t>
      </w:r>
      <w:r w:rsidR="00A338A5" w:rsidRPr="00E31A3C">
        <w:rPr>
          <w:color w:val="auto"/>
        </w:rPr>
        <w:t xml:space="preserve"> 2.00 T – 0.24 S</w:t>
      </w:r>
      <w:r w:rsidR="00A338A5" w:rsidRPr="00E31A3C">
        <w:rPr>
          <w:color w:val="auto"/>
          <w:vertAlign w:val="subscript"/>
        </w:rPr>
        <w:t>K2O</w:t>
      </w:r>
    </w:p>
    <w:p w14:paraId="2112701F" w14:textId="77777777" w:rsidR="0017150C" w:rsidRPr="00E31A3C" w:rsidRDefault="0017150C" w:rsidP="005408B5">
      <w:pPr>
        <w:spacing w:line="240" w:lineRule="auto"/>
        <w:ind w:firstLine="0"/>
        <w:rPr>
          <w:color w:val="auto"/>
        </w:rPr>
      </w:pPr>
      <w:r w:rsidRPr="00E31A3C">
        <w:rPr>
          <w:color w:val="auto"/>
        </w:rPr>
        <w:t>F</w:t>
      </w:r>
      <w:r w:rsidRPr="00E31A3C">
        <w:rPr>
          <w:color w:val="auto"/>
          <w:vertAlign w:val="subscript"/>
        </w:rPr>
        <w:t>N</w:t>
      </w:r>
      <w:r w:rsidRPr="00E31A3C">
        <w:rPr>
          <w:color w:val="auto"/>
        </w:rPr>
        <w:t xml:space="preserve"> = Fertilizer nitrogen (kg ha</w:t>
      </w:r>
      <w:r w:rsidRPr="00E31A3C">
        <w:rPr>
          <w:color w:val="auto"/>
          <w:vertAlign w:val="superscript"/>
        </w:rPr>
        <w:t>-1</w:t>
      </w:r>
      <w:r w:rsidRPr="00E31A3C">
        <w:rPr>
          <w:color w:val="auto"/>
        </w:rPr>
        <w:t>)</w:t>
      </w:r>
    </w:p>
    <w:p w14:paraId="060D93B2" w14:textId="60DD5DE9" w:rsidR="0017150C" w:rsidRPr="00E31A3C" w:rsidRDefault="0017150C" w:rsidP="005408B5">
      <w:pPr>
        <w:spacing w:line="240" w:lineRule="auto"/>
        <w:ind w:firstLine="0"/>
        <w:rPr>
          <w:color w:val="auto"/>
        </w:rPr>
      </w:pPr>
      <w:r w:rsidRPr="00E31A3C">
        <w:rPr>
          <w:color w:val="auto"/>
        </w:rPr>
        <w:t>F</w:t>
      </w:r>
      <w:r w:rsidRPr="00E31A3C">
        <w:rPr>
          <w:color w:val="auto"/>
          <w:vertAlign w:val="subscript"/>
        </w:rPr>
        <w:t>P2O5</w:t>
      </w:r>
      <w:r w:rsidRPr="00E31A3C">
        <w:rPr>
          <w:color w:val="auto"/>
        </w:rPr>
        <w:t xml:space="preserve"> = Fertilizer phosphorus (kg ha</w:t>
      </w:r>
      <w:r w:rsidRPr="00E31A3C">
        <w:rPr>
          <w:color w:val="auto"/>
          <w:vertAlign w:val="superscript"/>
        </w:rPr>
        <w:t>-1</w:t>
      </w:r>
      <w:r w:rsidRPr="00E31A3C">
        <w:rPr>
          <w:color w:val="auto"/>
        </w:rPr>
        <w:t xml:space="preserve">) </w:t>
      </w:r>
    </w:p>
    <w:p w14:paraId="146942D7" w14:textId="2B5ADA73" w:rsidR="0017150C" w:rsidRPr="00E31A3C" w:rsidRDefault="0017150C" w:rsidP="005408B5">
      <w:pPr>
        <w:spacing w:line="240" w:lineRule="auto"/>
        <w:ind w:firstLine="0"/>
        <w:rPr>
          <w:color w:val="auto"/>
        </w:rPr>
      </w:pPr>
      <w:r w:rsidRPr="00E31A3C">
        <w:rPr>
          <w:color w:val="auto"/>
        </w:rPr>
        <w:t>F</w:t>
      </w:r>
      <w:r w:rsidRPr="00E31A3C">
        <w:rPr>
          <w:color w:val="auto"/>
          <w:vertAlign w:val="subscript"/>
        </w:rPr>
        <w:t xml:space="preserve">K2O </w:t>
      </w:r>
      <w:r w:rsidRPr="00E31A3C">
        <w:rPr>
          <w:color w:val="auto"/>
        </w:rPr>
        <w:t>= Fertilizer potassium (kg ha</w:t>
      </w:r>
      <w:r w:rsidRPr="00E31A3C">
        <w:rPr>
          <w:color w:val="auto"/>
          <w:vertAlign w:val="superscript"/>
        </w:rPr>
        <w:t>-1</w:t>
      </w:r>
      <w:r w:rsidRPr="00E31A3C">
        <w:rPr>
          <w:color w:val="auto"/>
        </w:rPr>
        <w:t>)</w:t>
      </w:r>
    </w:p>
    <w:p w14:paraId="75DC7CE8" w14:textId="7B908D54" w:rsidR="0017150C" w:rsidRPr="00E31A3C" w:rsidRDefault="0017150C" w:rsidP="005408B5">
      <w:pPr>
        <w:spacing w:line="240" w:lineRule="auto"/>
        <w:ind w:firstLine="0"/>
        <w:rPr>
          <w:color w:val="auto"/>
        </w:rPr>
      </w:pPr>
      <w:r w:rsidRPr="00E31A3C">
        <w:rPr>
          <w:color w:val="auto"/>
        </w:rPr>
        <w:t>T = Target yield (q ha</w:t>
      </w:r>
      <w:r w:rsidRPr="00E31A3C">
        <w:rPr>
          <w:color w:val="auto"/>
          <w:vertAlign w:val="superscript"/>
        </w:rPr>
        <w:t>-</w:t>
      </w:r>
      <w:proofErr w:type="gramStart"/>
      <w:r w:rsidRPr="00E31A3C">
        <w:rPr>
          <w:color w:val="auto"/>
          <w:vertAlign w:val="superscript"/>
        </w:rPr>
        <w:t>1</w:t>
      </w:r>
      <w:r w:rsidRPr="00E31A3C">
        <w:rPr>
          <w:color w:val="auto"/>
        </w:rPr>
        <w:t xml:space="preserve"> )</w:t>
      </w:r>
      <w:proofErr w:type="gramEnd"/>
    </w:p>
    <w:p w14:paraId="2BD95B55" w14:textId="1BF6F73A" w:rsidR="0017150C" w:rsidRPr="00E31A3C" w:rsidRDefault="0017150C" w:rsidP="005408B5">
      <w:pPr>
        <w:spacing w:line="240" w:lineRule="auto"/>
        <w:ind w:firstLine="0"/>
        <w:rPr>
          <w:color w:val="auto"/>
        </w:rPr>
      </w:pPr>
      <w:r w:rsidRPr="00E31A3C">
        <w:rPr>
          <w:color w:val="auto"/>
        </w:rPr>
        <w:t>S</w:t>
      </w:r>
      <w:r w:rsidRPr="00E31A3C">
        <w:rPr>
          <w:color w:val="auto"/>
          <w:vertAlign w:val="subscript"/>
        </w:rPr>
        <w:t>N</w:t>
      </w:r>
      <w:r w:rsidRPr="00E31A3C">
        <w:rPr>
          <w:color w:val="auto"/>
        </w:rPr>
        <w:t xml:space="preserve"> = Available soil nitrogen (kg ha</w:t>
      </w:r>
      <w:r w:rsidRPr="00E31A3C">
        <w:rPr>
          <w:color w:val="auto"/>
          <w:vertAlign w:val="superscript"/>
        </w:rPr>
        <w:t>-1</w:t>
      </w:r>
      <w:r w:rsidRPr="00E31A3C">
        <w:rPr>
          <w:color w:val="auto"/>
        </w:rPr>
        <w:t>)</w:t>
      </w:r>
    </w:p>
    <w:p w14:paraId="5830044D" w14:textId="306D3A9C" w:rsidR="0017150C" w:rsidRPr="00E31A3C" w:rsidRDefault="0017150C" w:rsidP="005408B5">
      <w:pPr>
        <w:spacing w:line="240" w:lineRule="auto"/>
        <w:ind w:firstLine="0"/>
        <w:rPr>
          <w:color w:val="auto"/>
        </w:rPr>
      </w:pPr>
      <w:r w:rsidRPr="00E31A3C">
        <w:rPr>
          <w:color w:val="auto"/>
        </w:rPr>
        <w:t>S</w:t>
      </w:r>
      <w:r w:rsidRPr="00E31A3C">
        <w:rPr>
          <w:color w:val="auto"/>
          <w:vertAlign w:val="subscript"/>
        </w:rPr>
        <w:t>P</w:t>
      </w:r>
      <w:r w:rsidR="00A338A5" w:rsidRPr="00E31A3C">
        <w:rPr>
          <w:color w:val="auto"/>
          <w:vertAlign w:val="subscript"/>
        </w:rPr>
        <w:t>2O5</w:t>
      </w:r>
      <w:r w:rsidRPr="00E31A3C">
        <w:rPr>
          <w:color w:val="auto"/>
          <w:vertAlign w:val="subscript"/>
        </w:rPr>
        <w:t xml:space="preserve"> </w:t>
      </w:r>
      <w:r w:rsidRPr="00E31A3C">
        <w:rPr>
          <w:color w:val="auto"/>
        </w:rPr>
        <w:t>= Available soil phosphorus (kg ha</w:t>
      </w:r>
      <w:r w:rsidRPr="00E31A3C">
        <w:rPr>
          <w:color w:val="auto"/>
          <w:vertAlign w:val="superscript"/>
        </w:rPr>
        <w:t>-1</w:t>
      </w:r>
      <w:r w:rsidRPr="00E31A3C">
        <w:rPr>
          <w:color w:val="auto"/>
        </w:rPr>
        <w:t>)</w:t>
      </w:r>
    </w:p>
    <w:p w14:paraId="7C6AD3BE" w14:textId="27BE8183" w:rsidR="0017150C" w:rsidRPr="00E31A3C" w:rsidRDefault="0017150C" w:rsidP="005408B5">
      <w:pPr>
        <w:spacing w:line="240" w:lineRule="auto"/>
        <w:ind w:firstLine="0"/>
        <w:rPr>
          <w:color w:val="auto"/>
        </w:rPr>
      </w:pPr>
      <w:r w:rsidRPr="00E31A3C">
        <w:rPr>
          <w:color w:val="auto"/>
        </w:rPr>
        <w:t>S</w:t>
      </w:r>
      <w:r w:rsidRPr="00E31A3C">
        <w:rPr>
          <w:color w:val="auto"/>
          <w:vertAlign w:val="subscript"/>
        </w:rPr>
        <w:t>K</w:t>
      </w:r>
      <w:r w:rsidR="00A338A5" w:rsidRPr="00E31A3C">
        <w:rPr>
          <w:color w:val="auto"/>
          <w:vertAlign w:val="subscript"/>
        </w:rPr>
        <w:t>2O</w:t>
      </w:r>
      <w:r w:rsidRPr="00E31A3C">
        <w:rPr>
          <w:color w:val="auto"/>
          <w:vertAlign w:val="subscript"/>
        </w:rPr>
        <w:t xml:space="preserve"> </w:t>
      </w:r>
      <w:r w:rsidRPr="00E31A3C">
        <w:rPr>
          <w:color w:val="auto"/>
        </w:rPr>
        <w:t>= Available soil potassium (kg ha</w:t>
      </w:r>
      <w:r w:rsidRPr="00E31A3C">
        <w:rPr>
          <w:color w:val="auto"/>
          <w:vertAlign w:val="superscript"/>
        </w:rPr>
        <w:t>-1</w:t>
      </w:r>
      <w:r w:rsidRPr="00E31A3C">
        <w:rPr>
          <w:color w:val="auto"/>
        </w:rPr>
        <w:t>)</w:t>
      </w:r>
    </w:p>
    <w:p w14:paraId="3FD2FB4C" w14:textId="7235E063" w:rsidR="0062742B" w:rsidRPr="00E31A3C" w:rsidRDefault="00DC7524" w:rsidP="00C91E5B">
      <w:pPr>
        <w:spacing w:line="240" w:lineRule="auto"/>
        <w:ind w:firstLine="0"/>
        <w:rPr>
          <w:color w:val="auto"/>
        </w:rPr>
      </w:pPr>
      <w:r w:rsidRPr="00E31A3C">
        <w:rPr>
          <w:color w:val="auto"/>
        </w:rPr>
        <w:tab/>
        <w:t xml:space="preserve">Full doses of phosphorus, potassium and half dose of nitrogen as per the treatment were applied as basal. The remaining half of nitrogen was top-dressed in </w:t>
      </w:r>
    </w:p>
    <w:p w14:paraId="6E4F9AC9" w14:textId="21D6DC04" w:rsidR="004E1C21" w:rsidRPr="00E31A3C" w:rsidRDefault="00DC7524" w:rsidP="005408B5">
      <w:pPr>
        <w:spacing w:line="240" w:lineRule="auto"/>
        <w:ind w:firstLine="0"/>
        <w:rPr>
          <w:color w:val="auto"/>
        </w:rPr>
      </w:pPr>
      <w:r w:rsidRPr="00E31A3C">
        <w:rPr>
          <w:color w:val="auto"/>
        </w:rPr>
        <w:t xml:space="preserve">two split doses at active tillering and panicle initiation stages. </w:t>
      </w:r>
      <w:r w:rsidR="00D6601A" w:rsidRPr="00E31A3C">
        <w:rPr>
          <w:color w:val="auto"/>
        </w:rPr>
        <w:t xml:space="preserve">The plot size was 3.4 m x 2.4 m and variety Shalimar Rice-4 was used in the experiment. Transplanting and sowing was done at </w:t>
      </w:r>
      <w:r w:rsidR="002C1000" w:rsidRPr="00E31A3C">
        <w:rPr>
          <w:color w:val="auto"/>
        </w:rPr>
        <w:t xml:space="preserve">a row spacing of </w:t>
      </w:r>
      <w:r w:rsidR="00D6601A" w:rsidRPr="00E31A3C">
        <w:rPr>
          <w:color w:val="auto"/>
        </w:rPr>
        <w:t>20 cm</w:t>
      </w:r>
      <w:r w:rsidR="002C1000" w:rsidRPr="00E31A3C">
        <w:rPr>
          <w:color w:val="auto"/>
        </w:rPr>
        <w:t xml:space="preserve">. </w:t>
      </w:r>
      <w:r w:rsidR="00D6601A" w:rsidRPr="00E31A3C">
        <w:rPr>
          <w:color w:val="auto"/>
        </w:rPr>
        <w:t xml:space="preserve">The following observations were recorded to </w:t>
      </w:r>
      <w:r w:rsidR="00710DF4" w:rsidRPr="00E31A3C">
        <w:rPr>
          <w:color w:val="auto"/>
        </w:rPr>
        <w:t>analyse</w:t>
      </w:r>
      <w:r w:rsidR="00D6601A" w:rsidRPr="00E31A3C">
        <w:rPr>
          <w:color w:val="auto"/>
        </w:rPr>
        <w:t xml:space="preserve"> the morphological advancement of rice crop:</w:t>
      </w:r>
    </w:p>
    <w:p w14:paraId="6BA41454" w14:textId="3D653283" w:rsidR="004E1C21" w:rsidRPr="00E31A3C" w:rsidRDefault="00243711" w:rsidP="005408B5">
      <w:pPr>
        <w:spacing w:line="240" w:lineRule="auto"/>
        <w:ind w:hanging="90"/>
        <w:rPr>
          <w:b/>
          <w:bCs/>
          <w:color w:val="auto"/>
          <w:lang w:val="en-US"/>
        </w:rPr>
      </w:pPr>
      <w:r w:rsidRPr="00E31A3C">
        <w:rPr>
          <w:b/>
          <w:bCs/>
          <w:color w:val="auto"/>
          <w:lang w:val="en-US"/>
        </w:rPr>
        <w:t>Leaf area index</w:t>
      </w:r>
    </w:p>
    <w:p w14:paraId="0173E9BE" w14:textId="43C41693" w:rsidR="00243711" w:rsidRPr="00E31A3C" w:rsidRDefault="00243711" w:rsidP="005408B5">
      <w:pPr>
        <w:spacing w:line="240" w:lineRule="auto"/>
        <w:rPr>
          <w:b/>
          <w:bCs/>
          <w:color w:val="auto"/>
          <w:lang w:val="en-US"/>
        </w:rPr>
      </w:pPr>
      <w:r w:rsidRPr="00E31A3C">
        <w:rPr>
          <w:color w:val="auto"/>
          <w:lang w:val="en-US"/>
        </w:rPr>
        <w:t xml:space="preserve">The periodic leaf area (45, 65, 85, 105, 125 DAS and at harvest) was measured with canopy </w:t>
      </w:r>
      <w:r w:rsidR="00710DF4" w:rsidRPr="00E31A3C">
        <w:rPr>
          <w:color w:val="auto"/>
          <w:lang w:val="en-US"/>
        </w:rPr>
        <w:t>analyzer</w:t>
      </w:r>
      <w:r w:rsidRPr="00E31A3C">
        <w:rPr>
          <w:color w:val="auto"/>
          <w:lang w:val="en-US"/>
        </w:rPr>
        <w:t xml:space="preserve"> </w:t>
      </w:r>
      <w:proofErr w:type="spellStart"/>
      <w:r w:rsidRPr="00E31A3C">
        <w:rPr>
          <w:color w:val="auto"/>
          <w:lang w:val="en-US"/>
        </w:rPr>
        <w:t>Accupar</w:t>
      </w:r>
      <w:proofErr w:type="spellEnd"/>
      <w:r w:rsidRPr="00E31A3C">
        <w:rPr>
          <w:color w:val="auto"/>
          <w:lang w:val="en-US"/>
        </w:rPr>
        <w:t xml:space="preserve"> LP-80 (Decagon Devices, USA).</w:t>
      </w:r>
    </w:p>
    <w:p w14:paraId="56DAC4FC" w14:textId="41621359" w:rsidR="00243711" w:rsidRPr="00E31A3C" w:rsidRDefault="00243711" w:rsidP="005408B5">
      <w:pPr>
        <w:spacing w:line="240" w:lineRule="auto"/>
        <w:ind w:hanging="90"/>
        <w:rPr>
          <w:b/>
          <w:bCs/>
          <w:color w:val="auto"/>
          <w:lang w:val="en-US"/>
        </w:rPr>
      </w:pPr>
      <w:r w:rsidRPr="00E31A3C">
        <w:rPr>
          <w:b/>
          <w:bCs/>
          <w:color w:val="auto"/>
          <w:lang w:val="en-US"/>
        </w:rPr>
        <w:t>Crop growth rate (g m</w:t>
      </w:r>
      <w:r w:rsidRPr="00E31A3C">
        <w:rPr>
          <w:b/>
          <w:bCs/>
          <w:color w:val="auto"/>
          <w:vertAlign w:val="superscript"/>
          <w:lang w:val="en-US"/>
        </w:rPr>
        <w:t>-2</w:t>
      </w:r>
      <w:r w:rsidRPr="00E31A3C">
        <w:rPr>
          <w:b/>
          <w:bCs/>
          <w:color w:val="auto"/>
          <w:lang w:val="en-US"/>
        </w:rPr>
        <w:t xml:space="preserve"> day</w:t>
      </w:r>
      <w:r w:rsidRPr="00E31A3C">
        <w:rPr>
          <w:b/>
          <w:bCs/>
          <w:color w:val="auto"/>
          <w:vertAlign w:val="superscript"/>
          <w:lang w:val="en-US"/>
        </w:rPr>
        <w:t>-1</w:t>
      </w:r>
      <w:r w:rsidRPr="00E31A3C">
        <w:rPr>
          <w:b/>
          <w:bCs/>
          <w:color w:val="auto"/>
          <w:lang w:val="en-US"/>
        </w:rPr>
        <w:t>)</w:t>
      </w:r>
    </w:p>
    <w:p w14:paraId="21C3E2C6" w14:textId="35393374" w:rsidR="00243711" w:rsidRPr="00E31A3C" w:rsidRDefault="00243711" w:rsidP="005408B5">
      <w:pPr>
        <w:spacing w:line="240" w:lineRule="auto"/>
        <w:ind w:hanging="90"/>
        <w:rPr>
          <w:color w:val="auto"/>
          <w:lang w:val="en-US"/>
        </w:rPr>
      </w:pPr>
      <w:r w:rsidRPr="00E31A3C">
        <w:rPr>
          <w:b/>
          <w:bCs/>
          <w:color w:val="auto"/>
          <w:lang w:val="en-US"/>
        </w:rPr>
        <w:tab/>
      </w:r>
      <w:r w:rsidRPr="00E31A3C">
        <w:rPr>
          <w:color w:val="auto"/>
          <w:lang w:val="en-US"/>
        </w:rPr>
        <w:tab/>
      </w:r>
      <w:r w:rsidR="002770C8" w:rsidRPr="00E31A3C">
        <w:rPr>
          <w:color w:val="auto"/>
          <w:lang w:val="en-US"/>
        </w:rPr>
        <w:t xml:space="preserve">The daily increment in biomass is termed as CGR. </w:t>
      </w:r>
      <w:r w:rsidRPr="00E31A3C">
        <w:rPr>
          <w:color w:val="auto"/>
          <w:lang w:val="en-US"/>
        </w:rPr>
        <w:t>Mean crop growth rate was calculated between 0-45, 45-65, 65-85, 85-105, 105-125 DAS and 125-harvest by using the below given formula (Redford, 1967).</w:t>
      </w:r>
    </w:p>
    <w:p w14:paraId="72DF8218" w14:textId="72D4A29A" w:rsidR="00243711" w:rsidRPr="00E31A3C" w:rsidRDefault="00243711" w:rsidP="005408B5">
      <w:pPr>
        <w:spacing w:line="240" w:lineRule="auto"/>
        <w:ind w:hanging="90"/>
        <w:rPr>
          <w:color w:val="auto"/>
          <w:lang w:val="en-US"/>
        </w:rPr>
      </w:pPr>
      <w:r w:rsidRPr="00E31A3C">
        <w:rPr>
          <w:color w:val="auto"/>
          <w:lang w:val="en-US"/>
        </w:rPr>
        <w:t xml:space="preserve">                                           CGR (g m</w:t>
      </w:r>
      <w:r w:rsidRPr="00E31A3C">
        <w:rPr>
          <w:color w:val="auto"/>
          <w:vertAlign w:val="superscript"/>
          <w:lang w:val="en-US"/>
        </w:rPr>
        <w:t>-2</w:t>
      </w:r>
      <w:r w:rsidRPr="00E31A3C">
        <w:rPr>
          <w:color w:val="auto"/>
          <w:lang w:val="en-US"/>
        </w:rPr>
        <w:t xml:space="preserve"> day</w:t>
      </w:r>
      <w:r w:rsidRPr="00E31A3C">
        <w:rPr>
          <w:color w:val="auto"/>
          <w:vertAlign w:val="superscript"/>
          <w:lang w:val="en-US"/>
        </w:rPr>
        <w:t>-1</w:t>
      </w:r>
      <w:r w:rsidRPr="00E31A3C">
        <w:rPr>
          <w:color w:val="auto"/>
          <w:lang w:val="en-US"/>
        </w:rPr>
        <w:t xml:space="preserve">) = </w:t>
      </w:r>
      <m:oMath>
        <m:f>
          <m:fPr>
            <m:ctrlPr>
              <w:rPr>
                <w:rFonts w:ascii="Cambria Math" w:hAnsi="Cambria Math"/>
                <w:i/>
                <w:color w:val="auto"/>
                <w:lang w:val="en-US"/>
              </w:rPr>
            </m:ctrlPr>
          </m:fPr>
          <m:num>
            <m:r>
              <w:rPr>
                <w:rFonts w:ascii="Cambria Math" w:hAnsi="Cambria Math"/>
                <w:color w:val="auto"/>
                <w:lang w:val="en-US"/>
              </w:rPr>
              <m:t>W2-W1</m:t>
            </m:r>
          </m:num>
          <m:den>
            <m:r>
              <w:rPr>
                <w:rFonts w:ascii="Cambria Math" w:hAnsi="Cambria Math"/>
                <w:color w:val="auto"/>
                <w:lang w:val="en-US"/>
              </w:rPr>
              <m:t>T2-T1</m:t>
            </m:r>
          </m:den>
        </m:f>
      </m:oMath>
    </w:p>
    <w:p w14:paraId="038ECD75" w14:textId="77777777" w:rsidR="00243711" w:rsidRPr="00E31A3C" w:rsidRDefault="00243711" w:rsidP="005408B5">
      <w:pPr>
        <w:spacing w:line="240" w:lineRule="auto"/>
        <w:ind w:hanging="90"/>
        <w:rPr>
          <w:color w:val="auto"/>
          <w:lang w:val="en-US"/>
        </w:rPr>
      </w:pPr>
      <w:proofErr w:type="gramStart"/>
      <w:r w:rsidRPr="00E31A3C">
        <w:rPr>
          <w:color w:val="auto"/>
          <w:lang w:val="en-US"/>
        </w:rPr>
        <w:t>Where</w:t>
      </w:r>
      <w:proofErr w:type="gramEnd"/>
      <w:r w:rsidRPr="00E31A3C">
        <w:rPr>
          <w:color w:val="auto"/>
          <w:lang w:val="en-US"/>
        </w:rPr>
        <w:t>,</w:t>
      </w:r>
    </w:p>
    <w:p w14:paraId="186CA300" w14:textId="77777777" w:rsidR="00243711" w:rsidRPr="00E31A3C" w:rsidRDefault="00243711" w:rsidP="005408B5">
      <w:pPr>
        <w:spacing w:line="240" w:lineRule="auto"/>
        <w:ind w:hanging="90"/>
        <w:rPr>
          <w:color w:val="auto"/>
          <w:lang w:val="en-US"/>
        </w:rPr>
      </w:pPr>
      <w:r w:rsidRPr="00E31A3C">
        <w:rPr>
          <w:color w:val="auto"/>
          <w:lang w:val="en-US"/>
        </w:rPr>
        <w:tab/>
      </w:r>
      <w:r w:rsidRPr="00E31A3C">
        <w:rPr>
          <w:color w:val="auto"/>
          <w:lang w:val="en-US"/>
        </w:rPr>
        <w:tab/>
        <w:t>W</w:t>
      </w:r>
      <w:r w:rsidRPr="00E31A3C">
        <w:rPr>
          <w:color w:val="auto"/>
          <w:vertAlign w:val="subscript"/>
          <w:lang w:val="en-US"/>
        </w:rPr>
        <w:t>1</w:t>
      </w:r>
      <w:r w:rsidRPr="00E31A3C">
        <w:rPr>
          <w:color w:val="auto"/>
          <w:lang w:val="en-US"/>
        </w:rPr>
        <w:t>= Dry weight per unit area (m2) at time T</w:t>
      </w:r>
      <w:r w:rsidRPr="00E31A3C">
        <w:rPr>
          <w:color w:val="auto"/>
          <w:vertAlign w:val="subscript"/>
          <w:lang w:val="en-US"/>
        </w:rPr>
        <w:t>1</w:t>
      </w:r>
    </w:p>
    <w:p w14:paraId="1AB5F1E5" w14:textId="77777777" w:rsidR="00243711" w:rsidRPr="00E31A3C" w:rsidRDefault="00243711" w:rsidP="005408B5">
      <w:pPr>
        <w:spacing w:line="240" w:lineRule="auto"/>
        <w:ind w:hanging="90"/>
        <w:rPr>
          <w:color w:val="auto"/>
          <w:lang w:val="en-US"/>
        </w:rPr>
      </w:pPr>
      <w:r w:rsidRPr="00E31A3C">
        <w:rPr>
          <w:color w:val="auto"/>
          <w:lang w:val="en-US"/>
        </w:rPr>
        <w:tab/>
      </w:r>
      <w:r w:rsidRPr="00E31A3C">
        <w:rPr>
          <w:color w:val="auto"/>
          <w:lang w:val="en-US"/>
        </w:rPr>
        <w:tab/>
        <w:t>W</w:t>
      </w:r>
      <w:r w:rsidRPr="00E31A3C">
        <w:rPr>
          <w:color w:val="auto"/>
          <w:vertAlign w:val="subscript"/>
          <w:lang w:val="en-US"/>
        </w:rPr>
        <w:t>2</w:t>
      </w:r>
      <w:r w:rsidRPr="00E31A3C">
        <w:rPr>
          <w:color w:val="auto"/>
          <w:lang w:val="en-US"/>
        </w:rPr>
        <w:t xml:space="preserve"> = Dry weight per unit area (m2) at time T</w:t>
      </w:r>
      <w:r w:rsidRPr="00E31A3C">
        <w:rPr>
          <w:color w:val="auto"/>
          <w:vertAlign w:val="subscript"/>
          <w:lang w:val="en-US"/>
        </w:rPr>
        <w:t>2</w:t>
      </w:r>
    </w:p>
    <w:p w14:paraId="510DAF30" w14:textId="77777777" w:rsidR="00243711" w:rsidRPr="00E31A3C" w:rsidRDefault="00243711" w:rsidP="005408B5">
      <w:pPr>
        <w:spacing w:line="240" w:lineRule="auto"/>
        <w:ind w:hanging="90"/>
        <w:rPr>
          <w:color w:val="auto"/>
          <w:lang w:val="en-US"/>
        </w:rPr>
      </w:pPr>
      <w:r w:rsidRPr="00E31A3C">
        <w:rPr>
          <w:color w:val="auto"/>
          <w:lang w:val="en-US"/>
        </w:rPr>
        <w:tab/>
      </w:r>
      <w:r w:rsidRPr="00E31A3C">
        <w:rPr>
          <w:color w:val="auto"/>
          <w:lang w:val="en-US"/>
        </w:rPr>
        <w:tab/>
        <w:t>T</w:t>
      </w:r>
      <w:r w:rsidRPr="00E31A3C">
        <w:rPr>
          <w:color w:val="auto"/>
          <w:vertAlign w:val="subscript"/>
          <w:lang w:val="en-US"/>
        </w:rPr>
        <w:t>2</w:t>
      </w:r>
      <w:r w:rsidRPr="00E31A3C">
        <w:rPr>
          <w:color w:val="auto"/>
          <w:lang w:val="en-US"/>
        </w:rPr>
        <w:t>-T</w:t>
      </w:r>
      <w:r w:rsidRPr="00E31A3C">
        <w:rPr>
          <w:color w:val="auto"/>
          <w:vertAlign w:val="subscript"/>
          <w:lang w:val="en-US"/>
        </w:rPr>
        <w:t>1</w:t>
      </w:r>
      <w:r w:rsidRPr="00E31A3C">
        <w:rPr>
          <w:color w:val="auto"/>
          <w:lang w:val="en-US"/>
        </w:rPr>
        <w:t xml:space="preserve"> = Time interval of sampling in days</w:t>
      </w:r>
    </w:p>
    <w:p w14:paraId="1506ABD7" w14:textId="16A66678" w:rsidR="00243711" w:rsidRPr="00E31A3C" w:rsidRDefault="00243711" w:rsidP="005408B5">
      <w:pPr>
        <w:spacing w:line="240" w:lineRule="auto"/>
        <w:ind w:hanging="90"/>
        <w:rPr>
          <w:b/>
          <w:bCs/>
          <w:color w:val="auto"/>
          <w:lang w:val="en-US"/>
        </w:rPr>
      </w:pPr>
      <w:r w:rsidRPr="00E31A3C">
        <w:rPr>
          <w:b/>
          <w:bCs/>
          <w:color w:val="auto"/>
          <w:lang w:val="en-US"/>
        </w:rPr>
        <w:t>Relative growth rate (g g</w:t>
      </w:r>
      <w:r w:rsidRPr="00E31A3C">
        <w:rPr>
          <w:b/>
          <w:bCs/>
          <w:color w:val="auto"/>
          <w:vertAlign w:val="superscript"/>
          <w:lang w:val="en-US"/>
        </w:rPr>
        <w:t>-1</w:t>
      </w:r>
      <w:r w:rsidRPr="00E31A3C">
        <w:rPr>
          <w:b/>
          <w:bCs/>
          <w:color w:val="auto"/>
          <w:lang w:val="en-US"/>
        </w:rPr>
        <w:t xml:space="preserve"> day</w:t>
      </w:r>
      <w:r w:rsidRPr="00E31A3C">
        <w:rPr>
          <w:b/>
          <w:bCs/>
          <w:color w:val="auto"/>
          <w:vertAlign w:val="superscript"/>
          <w:lang w:val="en-US"/>
        </w:rPr>
        <w:t>-1</w:t>
      </w:r>
      <w:r w:rsidRPr="00E31A3C">
        <w:rPr>
          <w:b/>
          <w:bCs/>
          <w:color w:val="auto"/>
          <w:lang w:val="en-US"/>
        </w:rPr>
        <w:t>)</w:t>
      </w:r>
    </w:p>
    <w:p w14:paraId="3BFB240F" w14:textId="77777777" w:rsidR="00243711" w:rsidRPr="00E31A3C" w:rsidRDefault="00243711" w:rsidP="005408B5">
      <w:pPr>
        <w:spacing w:line="240" w:lineRule="auto"/>
        <w:ind w:hanging="90"/>
        <w:rPr>
          <w:color w:val="auto"/>
          <w:lang w:val="en-US"/>
        </w:rPr>
      </w:pPr>
      <w:r w:rsidRPr="00E31A3C">
        <w:rPr>
          <w:b/>
          <w:bCs/>
          <w:color w:val="auto"/>
          <w:lang w:val="en-US"/>
        </w:rPr>
        <w:tab/>
      </w:r>
      <w:r w:rsidRPr="00E31A3C">
        <w:rPr>
          <w:b/>
          <w:bCs/>
          <w:color w:val="auto"/>
          <w:lang w:val="en-US"/>
        </w:rPr>
        <w:tab/>
      </w:r>
      <w:r w:rsidRPr="00E31A3C">
        <w:rPr>
          <w:color w:val="auto"/>
          <w:lang w:val="en-US"/>
        </w:rPr>
        <w:t xml:space="preserve">Relative growth rate is the rate of increase in dry weight per unit dry weight and is expressed in gram per gram per day. This was calculated by using the formula suggested by Watson (1952): </w:t>
      </w:r>
    </w:p>
    <w:p w14:paraId="2CA31BD5" w14:textId="77777777" w:rsidR="00243711" w:rsidRPr="00E31A3C" w:rsidRDefault="00243711" w:rsidP="005408B5">
      <w:pPr>
        <w:spacing w:line="240" w:lineRule="auto"/>
        <w:ind w:hanging="90"/>
        <w:rPr>
          <w:color w:val="auto"/>
          <w:lang w:val="en-US"/>
        </w:rPr>
      </w:pPr>
      <w:r w:rsidRPr="00E31A3C">
        <w:rPr>
          <w:color w:val="auto"/>
          <w:lang w:val="en-US"/>
        </w:rPr>
        <w:tab/>
      </w:r>
      <w:r w:rsidRPr="00E31A3C">
        <w:rPr>
          <w:color w:val="auto"/>
          <w:lang w:val="en-US"/>
        </w:rPr>
        <w:tab/>
        <w:t xml:space="preserve">                                RGR (g g</w:t>
      </w:r>
      <w:r w:rsidRPr="00E31A3C">
        <w:rPr>
          <w:color w:val="auto"/>
          <w:vertAlign w:val="superscript"/>
          <w:lang w:val="en-US"/>
        </w:rPr>
        <w:t>-1</w:t>
      </w:r>
      <w:r w:rsidRPr="00E31A3C">
        <w:rPr>
          <w:color w:val="auto"/>
          <w:lang w:val="en-US"/>
        </w:rPr>
        <w:t xml:space="preserve"> day</w:t>
      </w:r>
      <w:r w:rsidRPr="00E31A3C">
        <w:rPr>
          <w:color w:val="auto"/>
          <w:vertAlign w:val="superscript"/>
          <w:lang w:val="en-US"/>
        </w:rPr>
        <w:t>-1</w:t>
      </w:r>
      <w:r w:rsidRPr="00E31A3C">
        <w:rPr>
          <w:color w:val="auto"/>
          <w:lang w:val="en-US"/>
        </w:rPr>
        <w:t xml:space="preserve">) = </w:t>
      </w:r>
      <m:oMath>
        <m:f>
          <m:fPr>
            <m:ctrlPr>
              <w:rPr>
                <w:rFonts w:ascii="Cambria Math" w:hAnsi="Cambria Math"/>
                <w:i/>
                <w:color w:val="auto"/>
                <w:lang w:val="en-US"/>
              </w:rPr>
            </m:ctrlPr>
          </m:fPr>
          <m:num>
            <m:r>
              <w:rPr>
                <w:rFonts w:ascii="Cambria Math" w:hAnsi="Cambria Math"/>
                <w:color w:val="auto"/>
                <w:lang w:val="en-US"/>
              </w:rPr>
              <m:t>log e W2-log e W1</m:t>
            </m:r>
          </m:num>
          <m:den>
            <m:r>
              <w:rPr>
                <w:rFonts w:ascii="Cambria Math" w:hAnsi="Cambria Math"/>
                <w:color w:val="auto"/>
                <w:lang w:val="en-US"/>
              </w:rPr>
              <m:t>T2-T1</m:t>
            </m:r>
          </m:den>
        </m:f>
      </m:oMath>
    </w:p>
    <w:p w14:paraId="086F7FB1" w14:textId="77777777" w:rsidR="00243711" w:rsidRPr="00E31A3C" w:rsidRDefault="00243711" w:rsidP="005408B5">
      <w:pPr>
        <w:spacing w:line="240" w:lineRule="auto"/>
        <w:ind w:hanging="90"/>
        <w:rPr>
          <w:color w:val="auto"/>
          <w:lang w:val="en-US"/>
        </w:rPr>
      </w:pPr>
      <w:proofErr w:type="gramStart"/>
      <w:r w:rsidRPr="00E31A3C">
        <w:rPr>
          <w:color w:val="auto"/>
          <w:lang w:val="en-US"/>
        </w:rPr>
        <w:t>Where</w:t>
      </w:r>
      <w:proofErr w:type="gramEnd"/>
      <w:r w:rsidRPr="00E31A3C">
        <w:rPr>
          <w:color w:val="auto"/>
          <w:lang w:val="en-US"/>
        </w:rPr>
        <w:t xml:space="preserve">, </w:t>
      </w:r>
    </w:p>
    <w:p w14:paraId="38825D74" w14:textId="77777777" w:rsidR="00243711" w:rsidRPr="00E31A3C" w:rsidRDefault="00243711" w:rsidP="005408B5">
      <w:pPr>
        <w:spacing w:line="240" w:lineRule="auto"/>
        <w:ind w:hanging="90"/>
        <w:rPr>
          <w:color w:val="auto"/>
          <w:lang w:val="en-US"/>
        </w:rPr>
      </w:pPr>
      <w:r w:rsidRPr="00E31A3C">
        <w:rPr>
          <w:color w:val="auto"/>
          <w:lang w:val="en-US"/>
        </w:rPr>
        <w:tab/>
      </w:r>
      <w:r w:rsidRPr="00E31A3C">
        <w:rPr>
          <w:color w:val="auto"/>
          <w:lang w:val="en-US"/>
        </w:rPr>
        <w:tab/>
        <w:t>W</w:t>
      </w:r>
      <w:r w:rsidRPr="00E31A3C">
        <w:rPr>
          <w:color w:val="auto"/>
          <w:vertAlign w:val="subscript"/>
          <w:lang w:val="en-US"/>
        </w:rPr>
        <w:t>1</w:t>
      </w:r>
      <w:r w:rsidRPr="00E31A3C">
        <w:rPr>
          <w:color w:val="auto"/>
          <w:lang w:val="en-US"/>
        </w:rPr>
        <w:t xml:space="preserve"> and W</w:t>
      </w:r>
      <w:r w:rsidRPr="00E31A3C">
        <w:rPr>
          <w:color w:val="auto"/>
          <w:vertAlign w:val="subscript"/>
          <w:lang w:val="en-US"/>
        </w:rPr>
        <w:t>2</w:t>
      </w:r>
      <w:r w:rsidRPr="00E31A3C">
        <w:rPr>
          <w:color w:val="auto"/>
          <w:lang w:val="en-US"/>
        </w:rPr>
        <w:t xml:space="preserve"> are dry weight (g) of plants at time T</w:t>
      </w:r>
      <w:r w:rsidRPr="00E31A3C">
        <w:rPr>
          <w:color w:val="auto"/>
          <w:vertAlign w:val="subscript"/>
          <w:lang w:val="en-US"/>
        </w:rPr>
        <w:t>1</w:t>
      </w:r>
      <w:r w:rsidRPr="00E31A3C">
        <w:rPr>
          <w:color w:val="auto"/>
          <w:lang w:val="en-US"/>
        </w:rPr>
        <w:t xml:space="preserve"> and T</w:t>
      </w:r>
      <w:r w:rsidRPr="00E31A3C">
        <w:rPr>
          <w:color w:val="auto"/>
          <w:vertAlign w:val="subscript"/>
          <w:lang w:val="en-US"/>
        </w:rPr>
        <w:t>2</w:t>
      </w:r>
      <w:r w:rsidRPr="00E31A3C">
        <w:rPr>
          <w:color w:val="auto"/>
          <w:lang w:val="en-US"/>
        </w:rPr>
        <w:t xml:space="preserve">, respectively </w:t>
      </w:r>
    </w:p>
    <w:p w14:paraId="7C47EECC" w14:textId="77777777" w:rsidR="00243711" w:rsidRPr="00E31A3C" w:rsidRDefault="00243711" w:rsidP="005408B5">
      <w:pPr>
        <w:spacing w:line="240" w:lineRule="auto"/>
        <w:ind w:hanging="90"/>
        <w:rPr>
          <w:color w:val="auto"/>
          <w:lang w:val="en-US"/>
        </w:rPr>
      </w:pPr>
      <w:r w:rsidRPr="00E31A3C">
        <w:rPr>
          <w:color w:val="auto"/>
          <w:lang w:val="en-US"/>
        </w:rPr>
        <w:tab/>
      </w:r>
      <w:r w:rsidRPr="00E31A3C">
        <w:rPr>
          <w:color w:val="auto"/>
          <w:lang w:val="en-US"/>
        </w:rPr>
        <w:tab/>
        <w:t>T</w:t>
      </w:r>
      <w:r w:rsidRPr="00E31A3C">
        <w:rPr>
          <w:color w:val="auto"/>
          <w:vertAlign w:val="subscript"/>
          <w:lang w:val="en-US"/>
        </w:rPr>
        <w:t>2</w:t>
      </w:r>
      <w:r w:rsidRPr="00E31A3C">
        <w:rPr>
          <w:color w:val="auto"/>
          <w:lang w:val="en-US"/>
        </w:rPr>
        <w:t>-T</w:t>
      </w:r>
      <w:r w:rsidRPr="00E31A3C">
        <w:rPr>
          <w:color w:val="auto"/>
          <w:vertAlign w:val="subscript"/>
          <w:lang w:val="en-US"/>
        </w:rPr>
        <w:t>1</w:t>
      </w:r>
      <w:r w:rsidRPr="00E31A3C">
        <w:rPr>
          <w:color w:val="auto"/>
          <w:lang w:val="en-US"/>
        </w:rPr>
        <w:t xml:space="preserve"> = Time interval of sampling in days</w:t>
      </w:r>
    </w:p>
    <w:p w14:paraId="6EA10922" w14:textId="0DE68221" w:rsidR="00243711" w:rsidRPr="00E31A3C" w:rsidRDefault="00243711" w:rsidP="005408B5">
      <w:pPr>
        <w:spacing w:line="240" w:lineRule="auto"/>
        <w:ind w:hanging="90"/>
        <w:rPr>
          <w:b/>
          <w:bCs/>
          <w:color w:val="auto"/>
          <w:lang w:val="en-US"/>
        </w:rPr>
      </w:pPr>
      <w:r w:rsidRPr="00E31A3C">
        <w:rPr>
          <w:b/>
          <w:bCs/>
          <w:color w:val="auto"/>
          <w:lang w:val="en-US"/>
        </w:rPr>
        <w:t>Net assimilation rate (g m</w:t>
      </w:r>
      <w:r w:rsidRPr="00E31A3C">
        <w:rPr>
          <w:b/>
          <w:bCs/>
          <w:color w:val="auto"/>
          <w:vertAlign w:val="superscript"/>
          <w:lang w:val="en-US"/>
        </w:rPr>
        <w:t>-2</w:t>
      </w:r>
      <w:r w:rsidRPr="00E31A3C">
        <w:rPr>
          <w:b/>
          <w:bCs/>
          <w:color w:val="auto"/>
          <w:lang w:val="en-US"/>
        </w:rPr>
        <w:t xml:space="preserve"> day</w:t>
      </w:r>
      <w:r w:rsidRPr="00E31A3C">
        <w:rPr>
          <w:b/>
          <w:bCs/>
          <w:color w:val="auto"/>
          <w:vertAlign w:val="superscript"/>
          <w:lang w:val="en-US"/>
        </w:rPr>
        <w:t>-1</w:t>
      </w:r>
      <w:r w:rsidRPr="00E31A3C">
        <w:rPr>
          <w:b/>
          <w:bCs/>
          <w:color w:val="auto"/>
          <w:lang w:val="en-US"/>
        </w:rPr>
        <w:t>)</w:t>
      </w:r>
    </w:p>
    <w:p w14:paraId="32E85576" w14:textId="5402325C" w:rsidR="00243711" w:rsidRPr="00E31A3C" w:rsidRDefault="00243711" w:rsidP="005408B5">
      <w:pPr>
        <w:spacing w:line="240" w:lineRule="auto"/>
        <w:ind w:hanging="90"/>
        <w:rPr>
          <w:color w:val="auto"/>
          <w:lang w:val="en-US"/>
        </w:rPr>
      </w:pPr>
      <w:r w:rsidRPr="00E31A3C">
        <w:rPr>
          <w:b/>
          <w:bCs/>
          <w:color w:val="auto"/>
          <w:lang w:val="en-US"/>
        </w:rPr>
        <w:tab/>
      </w:r>
      <w:r w:rsidRPr="00E31A3C">
        <w:rPr>
          <w:b/>
          <w:bCs/>
          <w:color w:val="auto"/>
          <w:lang w:val="en-US"/>
        </w:rPr>
        <w:tab/>
      </w:r>
      <w:r w:rsidRPr="00E31A3C">
        <w:rPr>
          <w:color w:val="auto"/>
          <w:lang w:val="en-US"/>
        </w:rPr>
        <w:t>Net assimilation rate is the rate of increase in the whole plant dry weight</w:t>
      </w:r>
      <w:r w:rsidR="002770C8" w:rsidRPr="00E31A3C">
        <w:rPr>
          <w:color w:val="auto"/>
          <w:lang w:val="en-US"/>
        </w:rPr>
        <w:t xml:space="preserve"> (net gain of assimilates)</w:t>
      </w:r>
      <w:r w:rsidRPr="00E31A3C">
        <w:rPr>
          <w:color w:val="auto"/>
          <w:lang w:val="en-US"/>
        </w:rPr>
        <w:t xml:space="preserve"> per unit leaf area per unit time and is expressed as gram </w:t>
      </w:r>
      <w:r w:rsidRPr="00E31A3C">
        <w:rPr>
          <w:color w:val="auto"/>
          <w:lang w:val="en-US"/>
        </w:rPr>
        <w:lastRenderedPageBreak/>
        <w:t>per centimeter square per day. This was calculated by using the formula suggested by Evans (1982).</w:t>
      </w:r>
    </w:p>
    <w:p w14:paraId="1623704E" w14:textId="77777777" w:rsidR="00243711" w:rsidRPr="00E31A3C" w:rsidRDefault="00243711" w:rsidP="005408B5">
      <w:pPr>
        <w:spacing w:line="240" w:lineRule="auto"/>
        <w:ind w:hanging="90"/>
        <w:rPr>
          <w:rFonts w:eastAsiaTheme="minorEastAsia"/>
          <w:color w:val="auto"/>
          <w:lang w:val="en-US"/>
        </w:rPr>
      </w:pPr>
      <w:r w:rsidRPr="00E31A3C">
        <w:rPr>
          <w:color w:val="auto"/>
          <w:lang w:val="en-US"/>
        </w:rPr>
        <w:tab/>
      </w:r>
      <w:r w:rsidRPr="00E31A3C">
        <w:rPr>
          <w:color w:val="auto"/>
          <w:lang w:val="en-US"/>
        </w:rPr>
        <w:tab/>
      </w:r>
      <w:r w:rsidRPr="00E31A3C">
        <w:rPr>
          <w:color w:val="auto"/>
          <w:lang w:val="en-US"/>
        </w:rPr>
        <w:tab/>
        <w:t>NAR (g m</w:t>
      </w:r>
      <w:r w:rsidRPr="00E31A3C">
        <w:rPr>
          <w:color w:val="auto"/>
          <w:vertAlign w:val="superscript"/>
          <w:lang w:val="en-US"/>
        </w:rPr>
        <w:t>-2</w:t>
      </w:r>
      <w:r w:rsidRPr="00E31A3C">
        <w:rPr>
          <w:color w:val="auto"/>
          <w:lang w:val="en-US"/>
        </w:rPr>
        <w:t xml:space="preserve"> day</w:t>
      </w:r>
      <w:r w:rsidRPr="00E31A3C">
        <w:rPr>
          <w:color w:val="auto"/>
          <w:vertAlign w:val="superscript"/>
          <w:lang w:val="en-US"/>
        </w:rPr>
        <w:t>-1</w:t>
      </w:r>
      <w:r w:rsidRPr="00E31A3C">
        <w:rPr>
          <w:color w:val="auto"/>
          <w:lang w:val="en-US"/>
        </w:rPr>
        <w:t xml:space="preserve">) = </w:t>
      </w:r>
      <m:oMath>
        <m:f>
          <m:fPr>
            <m:ctrlPr>
              <w:rPr>
                <w:rFonts w:ascii="Cambria Math" w:hAnsi="Cambria Math"/>
                <w:i/>
                <w:color w:val="auto"/>
                <w:lang w:val="en-US"/>
              </w:rPr>
            </m:ctrlPr>
          </m:fPr>
          <m:num>
            <m:r>
              <w:rPr>
                <w:rFonts w:ascii="Cambria Math" w:hAnsi="Cambria Math"/>
                <w:color w:val="auto"/>
                <w:lang w:val="en-US"/>
              </w:rPr>
              <m:t>w2-w1</m:t>
            </m:r>
          </m:num>
          <m:den>
            <m:r>
              <w:rPr>
                <w:rFonts w:ascii="Cambria Math" w:hAnsi="Cambria Math"/>
                <w:color w:val="auto"/>
                <w:lang w:val="en-US"/>
              </w:rPr>
              <m:t>t2-t1</m:t>
            </m:r>
          </m:den>
        </m:f>
      </m:oMath>
      <w:r w:rsidRPr="00E31A3C">
        <w:rPr>
          <w:rFonts w:eastAsiaTheme="minorEastAsia"/>
          <w:color w:val="auto"/>
          <w:lang w:val="en-US"/>
        </w:rPr>
        <w:t xml:space="preserve"> + </w:t>
      </w:r>
      <m:oMath>
        <m:f>
          <m:fPr>
            <m:ctrlPr>
              <w:rPr>
                <w:rFonts w:ascii="Cambria Math" w:eastAsiaTheme="minorEastAsia" w:hAnsi="Cambria Math"/>
                <w:i/>
                <w:color w:val="auto"/>
                <w:lang w:val="en-US"/>
              </w:rPr>
            </m:ctrlPr>
          </m:fPr>
          <m:num>
            <m:func>
              <m:funcPr>
                <m:ctrlPr>
                  <w:rPr>
                    <w:rFonts w:ascii="Cambria Math" w:eastAsiaTheme="minorEastAsia" w:hAnsi="Cambria Math"/>
                    <w:i/>
                    <w:color w:val="auto"/>
                    <w:lang w:val="en-US"/>
                  </w:rPr>
                </m:ctrlPr>
              </m:funcPr>
              <m:fName>
                <m:r>
                  <m:rPr>
                    <m:sty m:val="p"/>
                  </m:rPr>
                  <w:rPr>
                    <w:rFonts w:ascii="Cambria Math" w:eastAsiaTheme="minorEastAsia" w:hAnsi="Cambria Math"/>
                    <w:color w:val="auto"/>
                    <w:lang w:val="en-US"/>
                  </w:rPr>
                  <m:t>log</m:t>
                </m:r>
              </m:fName>
              <m:e>
                <m:r>
                  <w:rPr>
                    <w:rFonts w:ascii="Cambria Math" w:eastAsiaTheme="minorEastAsia" w:hAnsi="Cambria Math"/>
                    <w:color w:val="auto"/>
                    <w:lang w:val="en-US"/>
                  </w:rPr>
                  <m:t>e L2-</m:t>
                </m:r>
                <m:func>
                  <m:funcPr>
                    <m:ctrlPr>
                      <w:rPr>
                        <w:rFonts w:ascii="Cambria Math" w:eastAsiaTheme="minorEastAsia" w:hAnsi="Cambria Math"/>
                        <w:i/>
                        <w:color w:val="auto"/>
                        <w:lang w:val="en-US"/>
                      </w:rPr>
                    </m:ctrlPr>
                  </m:funcPr>
                  <m:fName>
                    <m:r>
                      <m:rPr>
                        <m:sty m:val="p"/>
                      </m:rPr>
                      <w:rPr>
                        <w:rFonts w:ascii="Cambria Math" w:eastAsiaTheme="minorEastAsia" w:hAnsi="Cambria Math"/>
                        <w:color w:val="auto"/>
                        <w:lang w:val="en-US"/>
                      </w:rPr>
                      <m:t>log</m:t>
                    </m:r>
                  </m:fName>
                  <m:e>
                    <m:r>
                      <w:rPr>
                        <w:rFonts w:ascii="Cambria Math" w:eastAsiaTheme="minorEastAsia" w:hAnsi="Cambria Math"/>
                        <w:color w:val="auto"/>
                        <w:lang w:val="en-US"/>
                      </w:rPr>
                      <m:t>e L1</m:t>
                    </m:r>
                  </m:e>
                </m:func>
              </m:e>
            </m:func>
          </m:num>
          <m:den>
            <m:r>
              <w:rPr>
                <w:rFonts w:ascii="Cambria Math" w:eastAsiaTheme="minorEastAsia" w:hAnsi="Cambria Math"/>
                <w:color w:val="auto"/>
                <w:lang w:val="en-US"/>
              </w:rPr>
              <m:t>L2-L1</m:t>
            </m:r>
          </m:den>
        </m:f>
      </m:oMath>
    </w:p>
    <w:p w14:paraId="68980B0B" w14:textId="77777777" w:rsidR="00243711" w:rsidRPr="00E31A3C" w:rsidRDefault="00243711" w:rsidP="005408B5">
      <w:pPr>
        <w:spacing w:line="240" w:lineRule="auto"/>
        <w:ind w:hanging="90"/>
        <w:rPr>
          <w:rFonts w:eastAsiaTheme="minorEastAsia"/>
          <w:color w:val="auto"/>
          <w:lang w:val="en-US"/>
        </w:rPr>
      </w:pPr>
      <w:proofErr w:type="gramStart"/>
      <w:r w:rsidRPr="00E31A3C">
        <w:rPr>
          <w:rFonts w:eastAsiaTheme="minorEastAsia"/>
          <w:color w:val="auto"/>
          <w:lang w:val="en-US"/>
        </w:rPr>
        <w:t>Where</w:t>
      </w:r>
      <w:proofErr w:type="gramEnd"/>
      <w:r w:rsidRPr="00E31A3C">
        <w:rPr>
          <w:rFonts w:eastAsiaTheme="minorEastAsia"/>
          <w:color w:val="auto"/>
          <w:lang w:val="en-US"/>
        </w:rPr>
        <w:t xml:space="preserve">, </w:t>
      </w:r>
    </w:p>
    <w:p w14:paraId="2BEC935E" w14:textId="77777777" w:rsidR="00243711" w:rsidRPr="00E31A3C" w:rsidRDefault="00243711" w:rsidP="005408B5">
      <w:pPr>
        <w:spacing w:line="240" w:lineRule="auto"/>
        <w:ind w:hanging="90"/>
        <w:rPr>
          <w:rFonts w:eastAsiaTheme="minorEastAsia"/>
          <w:color w:val="auto"/>
          <w:lang w:val="en-US"/>
        </w:rPr>
      </w:pPr>
      <w:r w:rsidRPr="00E31A3C">
        <w:rPr>
          <w:rFonts w:eastAsiaTheme="minorEastAsia"/>
          <w:color w:val="auto"/>
          <w:lang w:val="en-US"/>
        </w:rPr>
        <w:tab/>
      </w:r>
      <w:r w:rsidRPr="00E31A3C">
        <w:rPr>
          <w:rFonts w:eastAsiaTheme="minorEastAsia"/>
          <w:color w:val="auto"/>
          <w:lang w:val="en-US"/>
        </w:rPr>
        <w:tab/>
        <w:t>W</w:t>
      </w:r>
      <w:r w:rsidRPr="00E31A3C">
        <w:rPr>
          <w:rFonts w:eastAsiaTheme="minorEastAsia"/>
          <w:color w:val="auto"/>
          <w:vertAlign w:val="subscript"/>
          <w:lang w:val="en-US"/>
        </w:rPr>
        <w:t>1</w:t>
      </w:r>
      <w:r w:rsidRPr="00E31A3C">
        <w:rPr>
          <w:rFonts w:eastAsiaTheme="minorEastAsia"/>
          <w:color w:val="auto"/>
          <w:lang w:val="en-US"/>
        </w:rPr>
        <w:t xml:space="preserve"> and W</w:t>
      </w:r>
      <w:r w:rsidRPr="00E31A3C">
        <w:rPr>
          <w:rFonts w:eastAsiaTheme="minorEastAsia"/>
          <w:color w:val="auto"/>
          <w:vertAlign w:val="subscript"/>
          <w:lang w:val="en-US"/>
        </w:rPr>
        <w:t>2</w:t>
      </w:r>
      <w:r w:rsidRPr="00E31A3C">
        <w:rPr>
          <w:rFonts w:eastAsiaTheme="minorEastAsia"/>
          <w:color w:val="auto"/>
          <w:lang w:val="en-US"/>
        </w:rPr>
        <w:t xml:space="preserve"> = Total dry weight of plant at time t</w:t>
      </w:r>
      <w:r w:rsidRPr="00E31A3C">
        <w:rPr>
          <w:rFonts w:eastAsiaTheme="minorEastAsia"/>
          <w:color w:val="auto"/>
          <w:vertAlign w:val="subscript"/>
          <w:lang w:val="en-US"/>
        </w:rPr>
        <w:t>1</w:t>
      </w:r>
      <w:r w:rsidRPr="00E31A3C">
        <w:rPr>
          <w:rFonts w:eastAsiaTheme="minorEastAsia"/>
          <w:color w:val="auto"/>
          <w:lang w:val="en-US"/>
        </w:rPr>
        <w:t xml:space="preserve"> and t</w:t>
      </w:r>
      <w:r w:rsidRPr="00E31A3C">
        <w:rPr>
          <w:rFonts w:eastAsiaTheme="minorEastAsia"/>
          <w:color w:val="auto"/>
          <w:vertAlign w:val="subscript"/>
          <w:lang w:val="en-US"/>
        </w:rPr>
        <w:t>2</w:t>
      </w:r>
      <w:r w:rsidRPr="00E31A3C">
        <w:rPr>
          <w:rFonts w:eastAsiaTheme="minorEastAsia"/>
          <w:color w:val="auto"/>
          <w:lang w:val="en-US"/>
        </w:rPr>
        <w:t>, respectively.</w:t>
      </w:r>
    </w:p>
    <w:p w14:paraId="2DDE45FB" w14:textId="77777777" w:rsidR="00243711" w:rsidRPr="00E31A3C" w:rsidRDefault="00243711" w:rsidP="005408B5">
      <w:pPr>
        <w:spacing w:line="240" w:lineRule="auto"/>
        <w:ind w:hanging="90"/>
        <w:rPr>
          <w:rFonts w:eastAsiaTheme="minorEastAsia"/>
          <w:color w:val="auto"/>
          <w:lang w:val="en-US"/>
        </w:rPr>
      </w:pPr>
      <w:r w:rsidRPr="00E31A3C">
        <w:rPr>
          <w:rFonts w:eastAsiaTheme="minorEastAsia"/>
          <w:color w:val="auto"/>
          <w:lang w:val="en-US"/>
        </w:rPr>
        <w:tab/>
      </w:r>
      <w:r w:rsidRPr="00E31A3C">
        <w:rPr>
          <w:rFonts w:eastAsiaTheme="minorEastAsia"/>
          <w:color w:val="auto"/>
          <w:lang w:val="en-US"/>
        </w:rPr>
        <w:tab/>
        <w:t>L</w:t>
      </w:r>
      <w:r w:rsidRPr="00E31A3C">
        <w:rPr>
          <w:rFonts w:eastAsiaTheme="minorEastAsia"/>
          <w:color w:val="auto"/>
          <w:vertAlign w:val="subscript"/>
          <w:lang w:val="en-US"/>
        </w:rPr>
        <w:t>1</w:t>
      </w:r>
      <w:r w:rsidRPr="00E31A3C">
        <w:rPr>
          <w:rFonts w:eastAsiaTheme="minorEastAsia"/>
          <w:color w:val="auto"/>
          <w:lang w:val="en-US"/>
        </w:rPr>
        <w:t xml:space="preserve"> and L</w:t>
      </w:r>
      <w:r w:rsidRPr="00E31A3C">
        <w:rPr>
          <w:rFonts w:eastAsiaTheme="minorEastAsia"/>
          <w:color w:val="auto"/>
          <w:vertAlign w:val="subscript"/>
          <w:lang w:val="en-US"/>
        </w:rPr>
        <w:t>2</w:t>
      </w:r>
      <w:r w:rsidRPr="00E31A3C">
        <w:rPr>
          <w:rFonts w:eastAsiaTheme="minorEastAsia"/>
          <w:color w:val="auto"/>
          <w:lang w:val="en-US"/>
        </w:rPr>
        <w:t xml:space="preserve"> = Total leaf area of plant at time t</w:t>
      </w:r>
      <w:r w:rsidRPr="00E31A3C">
        <w:rPr>
          <w:rFonts w:eastAsiaTheme="minorEastAsia"/>
          <w:color w:val="auto"/>
          <w:vertAlign w:val="subscript"/>
          <w:lang w:val="en-US"/>
        </w:rPr>
        <w:t>1</w:t>
      </w:r>
      <w:r w:rsidRPr="00E31A3C">
        <w:rPr>
          <w:rFonts w:eastAsiaTheme="minorEastAsia"/>
          <w:color w:val="auto"/>
          <w:lang w:val="en-US"/>
        </w:rPr>
        <w:t xml:space="preserve"> and t</w:t>
      </w:r>
      <w:r w:rsidRPr="00E31A3C">
        <w:rPr>
          <w:rFonts w:eastAsiaTheme="minorEastAsia"/>
          <w:color w:val="auto"/>
          <w:vertAlign w:val="subscript"/>
          <w:lang w:val="en-US"/>
        </w:rPr>
        <w:t>2</w:t>
      </w:r>
      <w:r w:rsidRPr="00E31A3C">
        <w:rPr>
          <w:rFonts w:eastAsiaTheme="minorEastAsia"/>
          <w:color w:val="auto"/>
          <w:lang w:val="en-US"/>
        </w:rPr>
        <w:t xml:space="preserve">, respectively. </w:t>
      </w:r>
    </w:p>
    <w:p w14:paraId="29DBCEFB" w14:textId="1EC6BE35" w:rsidR="00A640F1" w:rsidRPr="00E31A3C" w:rsidRDefault="00A640F1" w:rsidP="005408B5">
      <w:pPr>
        <w:spacing w:line="240" w:lineRule="auto"/>
        <w:ind w:hanging="90"/>
        <w:rPr>
          <w:rFonts w:eastAsiaTheme="minorEastAsia"/>
          <w:i/>
          <w:iCs/>
          <w:color w:val="auto"/>
          <w:lang w:val="en-US"/>
        </w:rPr>
      </w:pPr>
      <w:r w:rsidRPr="00E31A3C">
        <w:rPr>
          <w:rFonts w:eastAsiaTheme="minorEastAsia"/>
          <w:i/>
          <w:iCs/>
          <w:color w:val="auto"/>
          <w:lang w:val="en-US"/>
        </w:rPr>
        <w:t>Statistical analysis</w:t>
      </w:r>
    </w:p>
    <w:p w14:paraId="1CB5FEEB" w14:textId="06F6AB55" w:rsidR="00243711" w:rsidRPr="00E31A3C" w:rsidRDefault="00A640F1" w:rsidP="005408B5">
      <w:pPr>
        <w:spacing w:line="240" w:lineRule="auto"/>
        <w:ind w:hanging="90"/>
        <w:rPr>
          <w:color w:val="auto"/>
          <w:lang w:val="en-US"/>
        </w:rPr>
      </w:pPr>
      <w:r w:rsidRPr="00E31A3C">
        <w:rPr>
          <w:rFonts w:eastAsiaTheme="minorEastAsia"/>
          <w:i/>
          <w:iCs/>
          <w:color w:val="auto"/>
          <w:lang w:val="en-US"/>
        </w:rPr>
        <w:tab/>
      </w:r>
      <w:r w:rsidR="00D6601A" w:rsidRPr="00E31A3C">
        <w:rPr>
          <w:rFonts w:eastAsiaTheme="minorEastAsia"/>
          <w:color w:val="auto"/>
          <w:lang w:val="en-US"/>
        </w:rPr>
        <w:tab/>
      </w:r>
      <w:r w:rsidR="00D6601A" w:rsidRPr="00E31A3C">
        <w:rPr>
          <w:color w:val="auto"/>
          <w:lang w:val="en-US"/>
        </w:rPr>
        <w:t>The experimental data was evaluated statistically using the standard approach of analysis of variance with SPD. At 0.05 level of significance, the F-test was employed to check the significance of treatments. Critical difference was determined to assess the effects of different treatments when statistically significant findings were obtained at (p&lt;0.05).</w:t>
      </w:r>
    </w:p>
    <w:p w14:paraId="23CB73B6" w14:textId="3CC30C5B" w:rsidR="00EC4705" w:rsidRPr="00E31A3C" w:rsidRDefault="00EC4705" w:rsidP="005408B5">
      <w:pPr>
        <w:spacing w:line="240" w:lineRule="auto"/>
        <w:ind w:firstLine="0"/>
        <w:rPr>
          <w:b/>
          <w:bCs/>
          <w:color w:val="auto"/>
        </w:rPr>
      </w:pPr>
      <w:r w:rsidRPr="00E31A3C">
        <w:rPr>
          <w:b/>
          <w:bCs/>
          <w:color w:val="auto"/>
        </w:rPr>
        <w:t>Res</w:t>
      </w:r>
      <w:r w:rsidR="0017150C" w:rsidRPr="00E31A3C">
        <w:rPr>
          <w:b/>
          <w:bCs/>
          <w:color w:val="auto"/>
        </w:rPr>
        <w:t>ult</w:t>
      </w:r>
    </w:p>
    <w:p w14:paraId="3A3DC0E7" w14:textId="53A4C573" w:rsidR="001E0C49" w:rsidRPr="00E31A3C" w:rsidRDefault="001E0C49" w:rsidP="005408B5">
      <w:pPr>
        <w:spacing w:line="240" w:lineRule="auto"/>
        <w:ind w:firstLine="0"/>
        <w:rPr>
          <w:b/>
          <w:bCs/>
          <w:i/>
          <w:iCs/>
          <w:color w:val="auto"/>
        </w:rPr>
      </w:pPr>
      <w:r w:rsidRPr="00E31A3C">
        <w:rPr>
          <w:b/>
          <w:bCs/>
          <w:i/>
          <w:iCs/>
          <w:color w:val="auto"/>
        </w:rPr>
        <w:t>Leaf area index</w:t>
      </w:r>
    </w:p>
    <w:p w14:paraId="00AF935E" w14:textId="6B43B28B" w:rsidR="001E0C49" w:rsidRPr="00E31A3C" w:rsidRDefault="001E0C49" w:rsidP="005408B5">
      <w:pPr>
        <w:spacing w:line="240" w:lineRule="auto"/>
        <w:ind w:hanging="630"/>
        <w:rPr>
          <w:color w:val="auto"/>
          <w:lang w:val="en-US"/>
        </w:rPr>
      </w:pPr>
      <w:r w:rsidRPr="00E31A3C">
        <w:rPr>
          <w:b/>
          <w:bCs/>
          <w:i/>
          <w:iCs/>
          <w:color w:val="auto"/>
        </w:rPr>
        <w:tab/>
      </w:r>
      <w:r w:rsidR="0008355D" w:rsidRPr="00E31A3C">
        <w:rPr>
          <w:b/>
          <w:bCs/>
          <w:i/>
          <w:iCs/>
          <w:color w:val="auto"/>
        </w:rPr>
        <w:tab/>
      </w:r>
      <w:r w:rsidR="004E1C21" w:rsidRPr="00E31A3C">
        <w:rPr>
          <w:color w:val="auto"/>
        </w:rPr>
        <w:t xml:space="preserve">A significant improvement of establishment methods and nutrient management was noticed on LAI of rice. </w:t>
      </w:r>
      <w:r w:rsidR="00B50E01" w:rsidRPr="00E31A3C">
        <w:rPr>
          <w:color w:val="auto"/>
          <w:lang w:val="en-US"/>
        </w:rPr>
        <w:t>L</w:t>
      </w:r>
      <w:r w:rsidRPr="00E31A3C">
        <w:rPr>
          <w:color w:val="auto"/>
          <w:lang w:val="en-US"/>
        </w:rPr>
        <w:t>eaf area index increased progressively from initial growing stages, recording a maximum value at 85 DAS and thereafter declined at 105 and 125 DAS during 2024 and 2025</w:t>
      </w:r>
      <w:r w:rsidR="0008355D" w:rsidRPr="00E31A3C">
        <w:rPr>
          <w:color w:val="auto"/>
          <w:lang w:val="en-US"/>
        </w:rPr>
        <w:t xml:space="preserve">, respectively (Table </w:t>
      </w:r>
      <w:r w:rsidR="00000881">
        <w:rPr>
          <w:color w:val="auto"/>
          <w:lang w:val="en-US"/>
        </w:rPr>
        <w:t>1</w:t>
      </w:r>
      <w:r w:rsidR="0008355D" w:rsidRPr="00E31A3C">
        <w:rPr>
          <w:color w:val="auto"/>
          <w:lang w:val="en-US"/>
        </w:rPr>
        <w:t xml:space="preserve"> and Fig. 1</w:t>
      </w:r>
      <w:r w:rsidR="00BE3DAD" w:rsidRPr="00E31A3C">
        <w:rPr>
          <w:color w:val="auto"/>
          <w:lang w:val="en-US"/>
        </w:rPr>
        <w:t>,</w:t>
      </w:r>
      <w:r w:rsidR="00D4513C" w:rsidRPr="00E31A3C">
        <w:rPr>
          <w:color w:val="auto"/>
          <w:lang w:val="en-US"/>
        </w:rPr>
        <w:t xml:space="preserve"> </w:t>
      </w:r>
      <w:r w:rsidR="00BE3DAD" w:rsidRPr="00E31A3C">
        <w:rPr>
          <w:color w:val="auto"/>
          <w:lang w:val="en-US"/>
        </w:rPr>
        <w:t>2,</w:t>
      </w:r>
      <w:r w:rsidR="00D4513C" w:rsidRPr="00E31A3C">
        <w:rPr>
          <w:color w:val="auto"/>
          <w:lang w:val="en-US"/>
        </w:rPr>
        <w:t xml:space="preserve"> </w:t>
      </w:r>
      <w:r w:rsidR="00BE3DAD" w:rsidRPr="00E31A3C">
        <w:rPr>
          <w:color w:val="auto"/>
          <w:lang w:val="en-US"/>
        </w:rPr>
        <w:t>3 and 4</w:t>
      </w:r>
      <w:r w:rsidR="0008355D" w:rsidRPr="00E31A3C">
        <w:rPr>
          <w:color w:val="auto"/>
          <w:lang w:val="en-US"/>
        </w:rPr>
        <w:t>).</w:t>
      </w:r>
      <w:r w:rsidRPr="00E31A3C">
        <w:rPr>
          <w:color w:val="auto"/>
          <w:lang w:val="en-US"/>
        </w:rPr>
        <w:t xml:space="preserve"> Among crop establishment methods, transplanting recorded significantly higher LAI at all growth stages </w:t>
      </w:r>
      <w:r w:rsidR="00443D9C" w:rsidRPr="00E31A3C">
        <w:rPr>
          <w:i/>
          <w:iCs/>
          <w:color w:val="auto"/>
          <w:lang w:val="en-US"/>
        </w:rPr>
        <w:t>viz</w:t>
      </w:r>
      <w:r w:rsidR="00443D9C" w:rsidRPr="00E31A3C">
        <w:rPr>
          <w:color w:val="auto"/>
          <w:lang w:val="en-US"/>
        </w:rPr>
        <w:t xml:space="preserve">., 45 DAS (2.27 and 2.33), 65 DAS (2.95 and 3.04), 85 DAS (4.05 and 4.15), 105 DAS (3.24 and 3.27) and 125 DAS (1.51 and 1.55) </w:t>
      </w:r>
      <w:r w:rsidRPr="00E31A3C">
        <w:rPr>
          <w:color w:val="auto"/>
          <w:lang w:val="en-US"/>
        </w:rPr>
        <w:t xml:space="preserve">as compared to wet direct seeded rice (DSR) during 2024 and 2025, respectively. </w:t>
      </w:r>
    </w:p>
    <w:p w14:paraId="438D4201" w14:textId="7C9C5990" w:rsidR="001E0C49" w:rsidRPr="00E31A3C" w:rsidRDefault="001E0C49" w:rsidP="005408B5">
      <w:pPr>
        <w:spacing w:line="240" w:lineRule="auto"/>
        <w:ind w:firstLine="630"/>
        <w:rPr>
          <w:color w:val="auto"/>
          <w:lang w:val="en-US"/>
        </w:rPr>
      </w:pPr>
      <w:r w:rsidRPr="00E31A3C">
        <w:rPr>
          <w:color w:val="auto"/>
          <w:lang w:val="en-US"/>
        </w:rPr>
        <w:t xml:space="preserve">Among </w:t>
      </w:r>
      <w:r w:rsidR="00443D9C" w:rsidRPr="00E31A3C">
        <w:rPr>
          <w:color w:val="auto"/>
          <w:lang w:val="en-US"/>
        </w:rPr>
        <w:t xml:space="preserve">PNM </w:t>
      </w:r>
      <w:r w:rsidRPr="00E31A3C">
        <w:rPr>
          <w:color w:val="auto"/>
          <w:lang w:val="en-US"/>
        </w:rPr>
        <w:t>treatments, STCR (TY-95 q ha</w:t>
      </w:r>
      <w:r w:rsidRPr="00E31A3C">
        <w:rPr>
          <w:color w:val="auto"/>
          <w:vertAlign w:val="superscript"/>
          <w:lang w:val="en-US"/>
        </w:rPr>
        <w:t>-1</w:t>
      </w:r>
      <w:r w:rsidRPr="00E31A3C">
        <w:rPr>
          <w:color w:val="auto"/>
          <w:lang w:val="en-US"/>
        </w:rPr>
        <w:t xml:space="preserve">) acquired significantly higher LAI </w:t>
      </w:r>
      <w:r w:rsidRPr="00E31A3C">
        <w:rPr>
          <w:i/>
          <w:iCs/>
          <w:color w:val="auto"/>
          <w:lang w:val="en-US"/>
        </w:rPr>
        <w:t>viz</w:t>
      </w:r>
      <w:r w:rsidRPr="00E31A3C">
        <w:rPr>
          <w:color w:val="auto"/>
          <w:lang w:val="en-US"/>
        </w:rPr>
        <w:t>., 45 DAS (2.60 and 2.71), 65 DAS (3.18 and 3.28), 85 DAS (4.29 and 4.42), 105 DAS (3.53 and 3.59) and 125 DAS (1.65 and 1.71) during 2024 and 2025, respectively. However, it was statistically at par with treatment STCR (TY-85 q ha</w:t>
      </w:r>
      <w:r w:rsidRPr="00E31A3C">
        <w:rPr>
          <w:color w:val="auto"/>
          <w:vertAlign w:val="superscript"/>
          <w:lang w:val="en-US"/>
        </w:rPr>
        <w:t>-1</w:t>
      </w:r>
      <w:r w:rsidRPr="00E31A3C">
        <w:rPr>
          <w:color w:val="auto"/>
          <w:lang w:val="en-US"/>
        </w:rPr>
        <w:t>) for all the stages. Absolute control consistently recorded the lowest LAI values</w:t>
      </w:r>
      <w:r w:rsidR="000116A5" w:rsidRPr="00E31A3C">
        <w:rPr>
          <w:color w:val="auto"/>
          <w:lang w:val="en-US"/>
        </w:rPr>
        <w:t xml:space="preserve">. </w:t>
      </w:r>
      <w:r w:rsidRPr="00E31A3C">
        <w:rPr>
          <w:color w:val="auto"/>
          <w:lang w:val="en-US"/>
        </w:rPr>
        <w:t>An increasing trend in LAI was observed with increasing target yield levels under both STCR and Nutrient Expert approaches (75&lt;85&lt;95 q ha</w:t>
      </w:r>
      <w:r w:rsidRPr="00E31A3C">
        <w:rPr>
          <w:color w:val="auto"/>
          <w:vertAlign w:val="superscript"/>
          <w:lang w:val="en-US"/>
        </w:rPr>
        <w:t>-1</w:t>
      </w:r>
      <w:r w:rsidRPr="00E31A3C">
        <w:rPr>
          <w:color w:val="auto"/>
          <w:lang w:val="en-US"/>
        </w:rPr>
        <w:t>) during both years.</w:t>
      </w:r>
      <w:r w:rsidR="00C83B78" w:rsidRPr="00E31A3C">
        <w:rPr>
          <w:color w:val="auto"/>
          <w:lang w:val="en-US"/>
        </w:rPr>
        <w:t xml:space="preserve"> </w:t>
      </w:r>
      <w:r w:rsidRPr="00E31A3C">
        <w:rPr>
          <w:color w:val="auto"/>
          <w:lang w:val="en-US"/>
        </w:rPr>
        <w:t>The interaction effect of establishment methods and precision nutrient management treatments on LAI was</w:t>
      </w:r>
      <w:r w:rsidR="009308CA" w:rsidRPr="00E31A3C">
        <w:rPr>
          <w:color w:val="auto"/>
          <w:lang w:val="en-US"/>
        </w:rPr>
        <w:t xml:space="preserve"> </w:t>
      </w:r>
      <w:r w:rsidRPr="00E31A3C">
        <w:rPr>
          <w:color w:val="auto"/>
          <w:lang w:val="en-US"/>
        </w:rPr>
        <w:t>non-significant</w:t>
      </w:r>
      <w:r w:rsidR="00C83B78" w:rsidRPr="00E31A3C">
        <w:rPr>
          <w:color w:val="auto"/>
          <w:lang w:val="en-US"/>
        </w:rPr>
        <w:t>.</w:t>
      </w:r>
    </w:p>
    <w:p w14:paraId="0EB7DFA4" w14:textId="11DEE345" w:rsidR="00753C8A" w:rsidRPr="00E31A3C" w:rsidRDefault="00BB0DA3" w:rsidP="005408B5">
      <w:pPr>
        <w:spacing w:line="240" w:lineRule="auto"/>
        <w:ind w:firstLine="0"/>
        <w:rPr>
          <w:b/>
          <w:bCs/>
          <w:i/>
          <w:iCs/>
          <w:color w:val="auto"/>
          <w:lang w:val="en-US"/>
        </w:rPr>
      </w:pPr>
      <w:r w:rsidRPr="00E31A3C">
        <w:rPr>
          <w:b/>
          <w:bCs/>
          <w:i/>
          <w:iCs/>
          <w:color w:val="auto"/>
          <w:lang w:val="en-US"/>
        </w:rPr>
        <w:t>Crop</w:t>
      </w:r>
      <w:r w:rsidR="00753C8A" w:rsidRPr="00E31A3C">
        <w:rPr>
          <w:b/>
          <w:bCs/>
          <w:i/>
          <w:iCs/>
          <w:color w:val="auto"/>
          <w:lang w:val="en-US"/>
        </w:rPr>
        <w:t xml:space="preserve"> growth rate</w:t>
      </w:r>
    </w:p>
    <w:p w14:paraId="092D7666" w14:textId="60A8A8F0" w:rsidR="00BB0DA3" w:rsidRPr="00E31A3C" w:rsidRDefault="00753C8A" w:rsidP="005408B5">
      <w:pPr>
        <w:spacing w:line="240" w:lineRule="auto"/>
        <w:rPr>
          <w:color w:val="auto"/>
          <w:lang w:val="en-US"/>
        </w:rPr>
      </w:pPr>
      <w:r w:rsidRPr="00E31A3C">
        <w:rPr>
          <w:color w:val="auto"/>
          <w:lang w:val="en-US"/>
        </w:rPr>
        <w:t xml:space="preserve">The establishment methods and precision nutrient management approaches had a significant impact on the crop growth rate which increased with the advancement in crop age </w:t>
      </w:r>
      <w:proofErr w:type="spellStart"/>
      <w:r w:rsidRPr="00E31A3C">
        <w:rPr>
          <w:color w:val="auto"/>
          <w:lang w:val="en-US"/>
        </w:rPr>
        <w:t>upto</w:t>
      </w:r>
      <w:proofErr w:type="spellEnd"/>
      <w:r w:rsidRPr="00E31A3C">
        <w:rPr>
          <w:color w:val="auto"/>
          <w:lang w:val="en-US"/>
        </w:rPr>
        <w:t xml:space="preserve"> 85 DAS and then showed a declining trend (Table </w:t>
      </w:r>
      <w:r w:rsidR="00C039A3">
        <w:rPr>
          <w:color w:val="auto"/>
          <w:lang w:val="en-US"/>
        </w:rPr>
        <w:t>2</w:t>
      </w:r>
      <w:r w:rsidRPr="00E31A3C">
        <w:rPr>
          <w:color w:val="auto"/>
          <w:lang w:val="en-US"/>
        </w:rPr>
        <w:t xml:space="preserve"> and Fig. 5,</w:t>
      </w:r>
      <w:r w:rsidR="00BB0DA3" w:rsidRPr="00E31A3C">
        <w:rPr>
          <w:color w:val="auto"/>
          <w:lang w:val="en-US"/>
        </w:rPr>
        <w:t xml:space="preserve"> </w:t>
      </w:r>
      <w:r w:rsidRPr="00E31A3C">
        <w:rPr>
          <w:color w:val="auto"/>
          <w:lang w:val="en-US"/>
        </w:rPr>
        <w:t>6,</w:t>
      </w:r>
      <w:r w:rsidR="00BB0DA3" w:rsidRPr="00E31A3C">
        <w:rPr>
          <w:color w:val="auto"/>
          <w:lang w:val="en-US"/>
        </w:rPr>
        <w:t xml:space="preserve"> </w:t>
      </w:r>
      <w:r w:rsidRPr="00E31A3C">
        <w:rPr>
          <w:color w:val="auto"/>
          <w:lang w:val="en-US"/>
        </w:rPr>
        <w:t>7 and</w:t>
      </w:r>
      <w:r w:rsidR="00BB0DA3" w:rsidRPr="00E31A3C">
        <w:rPr>
          <w:color w:val="auto"/>
          <w:lang w:val="en-US"/>
        </w:rPr>
        <w:t xml:space="preserve"> </w:t>
      </w:r>
      <w:r w:rsidRPr="00E31A3C">
        <w:rPr>
          <w:color w:val="auto"/>
          <w:lang w:val="en-US"/>
        </w:rPr>
        <w:t xml:space="preserve">8). </w:t>
      </w:r>
      <w:r w:rsidR="00BB0DA3" w:rsidRPr="00E31A3C">
        <w:rPr>
          <w:color w:val="auto"/>
          <w:lang w:val="en-US"/>
        </w:rPr>
        <w:t>T</w:t>
      </w:r>
      <w:r w:rsidRPr="00E31A3C">
        <w:rPr>
          <w:color w:val="auto"/>
          <w:lang w:val="en-US"/>
        </w:rPr>
        <w:t xml:space="preserve">ransplanted rice performed better than wet DSR, recording highest </w:t>
      </w:r>
      <w:r w:rsidR="003E196D" w:rsidRPr="00E31A3C">
        <w:rPr>
          <w:color w:val="auto"/>
          <w:lang w:val="en-US"/>
        </w:rPr>
        <w:t xml:space="preserve">CGR </w:t>
      </w:r>
      <w:r w:rsidRPr="00E31A3C">
        <w:rPr>
          <w:color w:val="auto"/>
          <w:lang w:val="en-US"/>
        </w:rPr>
        <w:t>values at 65-85 DAS interval (27.54 and 27.59 g m</w:t>
      </w:r>
      <w:r w:rsidRPr="00E31A3C">
        <w:rPr>
          <w:color w:val="auto"/>
          <w:vertAlign w:val="superscript"/>
          <w:lang w:val="en-US"/>
        </w:rPr>
        <w:t>-2</w:t>
      </w:r>
      <w:r w:rsidRPr="00E31A3C">
        <w:rPr>
          <w:color w:val="auto"/>
          <w:lang w:val="en-US"/>
        </w:rPr>
        <w:t xml:space="preserve"> day</w:t>
      </w:r>
      <w:r w:rsidRPr="00E31A3C">
        <w:rPr>
          <w:color w:val="auto"/>
          <w:vertAlign w:val="superscript"/>
          <w:lang w:val="en-US"/>
        </w:rPr>
        <w:t>-1</w:t>
      </w:r>
      <w:r w:rsidRPr="00E31A3C">
        <w:rPr>
          <w:color w:val="auto"/>
          <w:lang w:val="en-US"/>
        </w:rPr>
        <w:t xml:space="preserve">) during both years, respectively. However, among </w:t>
      </w:r>
      <w:r w:rsidR="00FE58C2" w:rsidRPr="00E31A3C">
        <w:rPr>
          <w:color w:val="auto"/>
          <w:lang w:val="en-US"/>
        </w:rPr>
        <w:t>PNM</w:t>
      </w:r>
      <w:r w:rsidRPr="00E31A3C">
        <w:rPr>
          <w:color w:val="auto"/>
          <w:lang w:val="en-US"/>
        </w:rPr>
        <w:t xml:space="preserve"> treatments, STCR (TY-95 q ha</w:t>
      </w:r>
      <w:r w:rsidRPr="00E31A3C">
        <w:rPr>
          <w:color w:val="auto"/>
          <w:vertAlign w:val="superscript"/>
          <w:lang w:val="en-US"/>
        </w:rPr>
        <w:t>-1</w:t>
      </w:r>
      <w:r w:rsidRPr="00E31A3C">
        <w:rPr>
          <w:color w:val="auto"/>
          <w:lang w:val="en-US"/>
        </w:rPr>
        <w:t>) outperformed all other treatments throughout the crop growth stages. At 65-85 DAS interval, STCR (TY-95 q ha</w:t>
      </w:r>
      <w:r w:rsidRPr="00E31A3C">
        <w:rPr>
          <w:color w:val="auto"/>
          <w:vertAlign w:val="superscript"/>
          <w:lang w:val="en-US"/>
        </w:rPr>
        <w:t>-1</w:t>
      </w:r>
      <w:r w:rsidRPr="00E31A3C">
        <w:rPr>
          <w:color w:val="auto"/>
          <w:lang w:val="en-US"/>
        </w:rPr>
        <w:t>) recorded highest CGR values (28.18</w:t>
      </w:r>
      <w:r w:rsidR="008C407B" w:rsidRPr="00E31A3C">
        <w:rPr>
          <w:color w:val="auto"/>
          <w:lang w:val="en-US"/>
        </w:rPr>
        <w:t xml:space="preserve"> and 28.24</w:t>
      </w:r>
      <w:r w:rsidRPr="00E31A3C">
        <w:rPr>
          <w:color w:val="auto"/>
          <w:lang w:val="en-US"/>
        </w:rPr>
        <w:t xml:space="preserve"> g m</w:t>
      </w:r>
      <w:r w:rsidRPr="00E31A3C">
        <w:rPr>
          <w:color w:val="auto"/>
          <w:vertAlign w:val="superscript"/>
          <w:lang w:val="en-US"/>
        </w:rPr>
        <w:t>-2</w:t>
      </w:r>
      <w:r w:rsidRPr="00E31A3C">
        <w:rPr>
          <w:color w:val="auto"/>
          <w:lang w:val="en-US"/>
        </w:rPr>
        <w:t xml:space="preserve"> day</w:t>
      </w:r>
      <w:r w:rsidRPr="00E31A3C">
        <w:rPr>
          <w:color w:val="auto"/>
          <w:vertAlign w:val="superscript"/>
          <w:lang w:val="en-US"/>
        </w:rPr>
        <w:t>-1</w:t>
      </w:r>
      <w:r w:rsidRPr="00E31A3C">
        <w:rPr>
          <w:color w:val="auto"/>
          <w:lang w:val="en-US"/>
        </w:rPr>
        <w:t>) during 2024 and 2025, respectively. However, it was statistically at par with STCR (TY-85 q ha</w:t>
      </w:r>
      <w:r w:rsidRPr="00E31A3C">
        <w:rPr>
          <w:color w:val="auto"/>
          <w:vertAlign w:val="superscript"/>
          <w:lang w:val="en-US"/>
        </w:rPr>
        <w:t>-1</w:t>
      </w:r>
      <w:r w:rsidRPr="00E31A3C">
        <w:rPr>
          <w:color w:val="auto"/>
          <w:lang w:val="en-US"/>
        </w:rPr>
        <w:t>), followed by NE (TY-95 q ha</w:t>
      </w:r>
      <w:r w:rsidRPr="00E31A3C">
        <w:rPr>
          <w:color w:val="auto"/>
          <w:vertAlign w:val="superscript"/>
          <w:lang w:val="en-US"/>
        </w:rPr>
        <w:t>-1</w:t>
      </w:r>
      <w:r w:rsidRPr="00E31A3C">
        <w:rPr>
          <w:color w:val="auto"/>
          <w:lang w:val="en-US"/>
        </w:rPr>
        <w:t>) which was at par with NE (TY-85 q ha</w:t>
      </w:r>
      <w:r w:rsidRPr="00E31A3C">
        <w:rPr>
          <w:color w:val="auto"/>
          <w:vertAlign w:val="superscript"/>
          <w:lang w:val="en-US"/>
        </w:rPr>
        <w:t>-1</w:t>
      </w:r>
      <w:r w:rsidRPr="00E31A3C">
        <w:rPr>
          <w:color w:val="auto"/>
          <w:lang w:val="en-US"/>
        </w:rPr>
        <w:t xml:space="preserve">). Absolute control recorded lowest CGR values throughout the crop </w:t>
      </w:r>
      <w:r w:rsidRPr="00E31A3C">
        <w:rPr>
          <w:color w:val="auto"/>
          <w:lang w:val="en-US"/>
        </w:rPr>
        <w:lastRenderedPageBreak/>
        <w:t>growth period</w:t>
      </w:r>
      <w:r w:rsidR="00BB0DA3" w:rsidRPr="00E31A3C">
        <w:rPr>
          <w:color w:val="auto"/>
          <w:lang w:val="en-US"/>
        </w:rPr>
        <w:t xml:space="preserve">. The interaction effect of establishment methods and precision nutrient management treatments on CGR was significant at 45-65 DAS interval during both the years (Table </w:t>
      </w:r>
      <w:r w:rsidR="00E15242">
        <w:rPr>
          <w:color w:val="auto"/>
          <w:lang w:val="en-US"/>
        </w:rPr>
        <w:t>2</w:t>
      </w:r>
      <w:r w:rsidR="00BB0DA3" w:rsidRPr="00E31A3C">
        <w:rPr>
          <w:color w:val="auto"/>
          <w:lang w:val="en-US"/>
        </w:rPr>
        <w:t>.</w:t>
      </w:r>
      <w:r w:rsidR="002B06D1">
        <w:rPr>
          <w:color w:val="auto"/>
          <w:lang w:val="en-US"/>
        </w:rPr>
        <w:t xml:space="preserve">a </w:t>
      </w:r>
      <w:r w:rsidR="00BB0DA3" w:rsidRPr="00E31A3C">
        <w:rPr>
          <w:color w:val="auto"/>
          <w:lang w:val="en-US"/>
        </w:rPr>
        <w:t xml:space="preserve">and </w:t>
      </w:r>
      <w:r w:rsidR="00E15242">
        <w:rPr>
          <w:color w:val="auto"/>
          <w:lang w:val="en-US"/>
        </w:rPr>
        <w:t>2</w:t>
      </w:r>
      <w:r w:rsidR="00BB0DA3" w:rsidRPr="00E31A3C">
        <w:rPr>
          <w:color w:val="auto"/>
          <w:lang w:val="en-US"/>
        </w:rPr>
        <w:t>.</w:t>
      </w:r>
      <w:r w:rsidR="002B06D1">
        <w:rPr>
          <w:color w:val="auto"/>
          <w:lang w:val="en-US"/>
        </w:rPr>
        <w:t>b</w:t>
      </w:r>
      <w:r w:rsidR="00BB0DA3" w:rsidRPr="00E31A3C">
        <w:rPr>
          <w:color w:val="auto"/>
          <w:lang w:val="en-US"/>
        </w:rPr>
        <w:t>). The highest CGR (17.98 and 18.14 g m</w:t>
      </w:r>
      <w:r w:rsidR="00BB0DA3" w:rsidRPr="00E31A3C">
        <w:rPr>
          <w:color w:val="auto"/>
          <w:vertAlign w:val="superscript"/>
          <w:lang w:val="en-US"/>
        </w:rPr>
        <w:t>-2</w:t>
      </w:r>
      <w:r w:rsidR="00BB0DA3" w:rsidRPr="00E31A3C">
        <w:rPr>
          <w:color w:val="auto"/>
          <w:lang w:val="en-US"/>
        </w:rPr>
        <w:t xml:space="preserve"> day</w:t>
      </w:r>
      <w:r w:rsidR="00BB0DA3" w:rsidRPr="00E31A3C">
        <w:rPr>
          <w:color w:val="auto"/>
          <w:vertAlign w:val="superscript"/>
          <w:lang w:val="en-US"/>
        </w:rPr>
        <w:t>-1</w:t>
      </w:r>
      <w:r w:rsidR="00BB0DA3" w:rsidRPr="00E31A3C">
        <w:rPr>
          <w:color w:val="auto"/>
          <w:lang w:val="en-US"/>
        </w:rPr>
        <w:t>) was recorded under transplanting + STCR (TY-95 q ha</w:t>
      </w:r>
      <w:r w:rsidR="00BB0DA3" w:rsidRPr="00E31A3C">
        <w:rPr>
          <w:color w:val="auto"/>
          <w:vertAlign w:val="superscript"/>
          <w:lang w:val="en-US"/>
        </w:rPr>
        <w:t>-1</w:t>
      </w:r>
      <w:r w:rsidR="00BB0DA3" w:rsidRPr="00E31A3C">
        <w:rPr>
          <w:color w:val="auto"/>
          <w:lang w:val="en-US"/>
        </w:rPr>
        <w:t>), followed by transplanting + STCR (TY-85 q ha</w:t>
      </w:r>
      <w:r w:rsidR="00BB0DA3" w:rsidRPr="00E31A3C">
        <w:rPr>
          <w:color w:val="auto"/>
          <w:vertAlign w:val="superscript"/>
          <w:lang w:val="en-US"/>
        </w:rPr>
        <w:t>-1</w:t>
      </w:r>
      <w:r w:rsidR="00BB0DA3" w:rsidRPr="00E31A3C">
        <w:rPr>
          <w:color w:val="auto"/>
          <w:lang w:val="en-US"/>
        </w:rPr>
        <w:t>) (17.74 and 17.89 g m</w:t>
      </w:r>
      <w:r w:rsidR="00BB0DA3" w:rsidRPr="00E31A3C">
        <w:rPr>
          <w:color w:val="auto"/>
          <w:vertAlign w:val="superscript"/>
          <w:lang w:val="en-US"/>
        </w:rPr>
        <w:t>-2</w:t>
      </w:r>
      <w:r w:rsidR="00BB0DA3" w:rsidRPr="00E31A3C">
        <w:rPr>
          <w:color w:val="auto"/>
          <w:lang w:val="en-US"/>
        </w:rPr>
        <w:t xml:space="preserve"> day</w:t>
      </w:r>
      <w:r w:rsidR="00BB0DA3" w:rsidRPr="00E31A3C">
        <w:rPr>
          <w:color w:val="auto"/>
          <w:vertAlign w:val="superscript"/>
          <w:lang w:val="en-US"/>
        </w:rPr>
        <w:t>-1</w:t>
      </w:r>
      <w:r w:rsidR="00BB0DA3" w:rsidRPr="00E31A3C">
        <w:rPr>
          <w:color w:val="auto"/>
          <w:lang w:val="en-US"/>
        </w:rPr>
        <w:t>) during 2024 and 2025, respectively. The lowest CGR was recorded under DSR + control (3.94 and 4.01 g m</w:t>
      </w:r>
      <w:r w:rsidR="00BB0DA3" w:rsidRPr="00E31A3C">
        <w:rPr>
          <w:color w:val="auto"/>
          <w:vertAlign w:val="superscript"/>
          <w:lang w:val="en-US"/>
        </w:rPr>
        <w:t>-2</w:t>
      </w:r>
      <w:r w:rsidR="00BB0DA3" w:rsidRPr="00E31A3C">
        <w:rPr>
          <w:color w:val="auto"/>
          <w:lang w:val="en-US"/>
        </w:rPr>
        <w:t xml:space="preserve"> day</w:t>
      </w:r>
      <w:r w:rsidR="00BB0DA3" w:rsidRPr="00E31A3C">
        <w:rPr>
          <w:color w:val="auto"/>
          <w:vertAlign w:val="superscript"/>
          <w:lang w:val="en-US"/>
        </w:rPr>
        <w:t>-1</w:t>
      </w:r>
      <w:r w:rsidR="00BB0DA3" w:rsidRPr="00E31A3C">
        <w:rPr>
          <w:color w:val="auto"/>
          <w:lang w:val="en-US"/>
        </w:rPr>
        <w:t>) during</w:t>
      </w:r>
      <w:r w:rsidR="00F328BD" w:rsidRPr="00E31A3C">
        <w:rPr>
          <w:color w:val="auto"/>
          <w:lang w:val="en-US"/>
        </w:rPr>
        <w:t xml:space="preserve"> both years</w:t>
      </w:r>
      <w:r w:rsidR="00BB0DA3" w:rsidRPr="00E31A3C">
        <w:rPr>
          <w:color w:val="auto"/>
          <w:lang w:val="en-US"/>
        </w:rPr>
        <w:t>.</w:t>
      </w:r>
    </w:p>
    <w:p w14:paraId="58644AC0" w14:textId="77777777" w:rsidR="007F2350" w:rsidRPr="00E31A3C" w:rsidRDefault="007F2350" w:rsidP="005408B5">
      <w:pPr>
        <w:spacing w:line="240" w:lineRule="auto"/>
        <w:ind w:firstLine="0"/>
        <w:rPr>
          <w:b/>
          <w:bCs/>
          <w:i/>
          <w:iCs/>
          <w:color w:val="auto"/>
          <w:lang w:val="en-US"/>
        </w:rPr>
      </w:pPr>
      <w:r w:rsidRPr="00E31A3C">
        <w:rPr>
          <w:b/>
          <w:bCs/>
          <w:i/>
          <w:iCs/>
          <w:color w:val="auto"/>
          <w:lang w:val="en-US"/>
        </w:rPr>
        <w:t>Relative growth rate</w:t>
      </w:r>
    </w:p>
    <w:p w14:paraId="273EFF91" w14:textId="14FFEB24" w:rsidR="00A10B80" w:rsidRPr="00E31A3C" w:rsidRDefault="007F2350" w:rsidP="005408B5">
      <w:pPr>
        <w:spacing w:line="240" w:lineRule="auto"/>
        <w:ind w:firstLine="0"/>
        <w:rPr>
          <w:color w:val="auto"/>
          <w:lang w:val="en-US"/>
        </w:rPr>
      </w:pPr>
      <w:r w:rsidRPr="00E31A3C">
        <w:rPr>
          <w:color w:val="auto"/>
          <w:lang w:val="en-US"/>
        </w:rPr>
        <w:tab/>
        <w:t xml:space="preserve">The highest RGR was attained at 45-65 DAS interval during both the years thereafter showing a declining trend throughout the growth stages. Table </w:t>
      </w:r>
      <w:r w:rsidR="008F5A32">
        <w:rPr>
          <w:color w:val="auto"/>
          <w:lang w:val="en-US"/>
        </w:rPr>
        <w:t>3</w:t>
      </w:r>
      <w:r w:rsidRPr="00E31A3C">
        <w:rPr>
          <w:color w:val="auto"/>
          <w:lang w:val="en-US"/>
        </w:rPr>
        <w:t xml:space="preserve"> and Fig. 9, 10, 11 and 12 depicts that at 45-65 DAS, transplanted rice significantly recorded higher RGR (78.65 and 75.05 mg g</w:t>
      </w:r>
      <w:r w:rsidRPr="00E31A3C">
        <w:rPr>
          <w:color w:val="auto"/>
          <w:vertAlign w:val="superscript"/>
          <w:lang w:val="en-US"/>
        </w:rPr>
        <w:t>-1</w:t>
      </w:r>
      <w:r w:rsidRPr="00E31A3C">
        <w:rPr>
          <w:color w:val="auto"/>
          <w:lang w:val="en-US"/>
        </w:rPr>
        <w:t xml:space="preserve"> day</w:t>
      </w:r>
      <w:r w:rsidRPr="00E31A3C">
        <w:rPr>
          <w:color w:val="auto"/>
          <w:vertAlign w:val="superscript"/>
          <w:lang w:val="en-US"/>
        </w:rPr>
        <w:t>-1</w:t>
      </w:r>
      <w:r w:rsidRPr="00E31A3C">
        <w:rPr>
          <w:color w:val="auto"/>
          <w:lang w:val="en-US"/>
        </w:rPr>
        <w:t xml:space="preserve"> during 2024 and 2025, respectively) compared to DSR (68.54 and 64.45 mg g</w:t>
      </w:r>
      <w:r w:rsidRPr="00E31A3C">
        <w:rPr>
          <w:color w:val="auto"/>
          <w:vertAlign w:val="superscript"/>
          <w:lang w:val="en-US"/>
        </w:rPr>
        <w:t>-1</w:t>
      </w:r>
      <w:r w:rsidRPr="00E31A3C">
        <w:rPr>
          <w:color w:val="auto"/>
          <w:lang w:val="en-US"/>
        </w:rPr>
        <w:t xml:space="preserve"> day</w:t>
      </w:r>
      <w:r w:rsidRPr="00E31A3C">
        <w:rPr>
          <w:color w:val="auto"/>
          <w:vertAlign w:val="superscript"/>
          <w:lang w:val="en-US"/>
        </w:rPr>
        <w:t>-1</w:t>
      </w:r>
      <w:r w:rsidRPr="00E31A3C">
        <w:rPr>
          <w:color w:val="auto"/>
          <w:lang w:val="en-US"/>
        </w:rPr>
        <w:t xml:space="preserve">). However, during subsequent intervals, DSR performed better recording higher RGR </w:t>
      </w:r>
      <w:r w:rsidRPr="00E31A3C">
        <w:rPr>
          <w:i/>
          <w:iCs/>
          <w:color w:val="auto"/>
          <w:lang w:val="en-US"/>
        </w:rPr>
        <w:t>viz</w:t>
      </w:r>
      <w:r w:rsidRPr="00E31A3C">
        <w:rPr>
          <w:color w:val="auto"/>
          <w:lang w:val="en-US"/>
        </w:rPr>
        <w:t>., 65-85 DAS (57.43 and 56.39 mg g</w:t>
      </w:r>
      <w:r w:rsidRPr="00E31A3C">
        <w:rPr>
          <w:color w:val="auto"/>
          <w:vertAlign w:val="superscript"/>
          <w:lang w:val="en-US"/>
        </w:rPr>
        <w:t>-1</w:t>
      </w:r>
      <w:r w:rsidRPr="00E31A3C">
        <w:rPr>
          <w:color w:val="auto"/>
          <w:lang w:val="en-US"/>
        </w:rPr>
        <w:t xml:space="preserve"> day</w:t>
      </w:r>
      <w:r w:rsidRPr="00E31A3C">
        <w:rPr>
          <w:color w:val="auto"/>
          <w:vertAlign w:val="superscript"/>
          <w:lang w:val="en-US"/>
        </w:rPr>
        <w:t>-1</w:t>
      </w:r>
      <w:r w:rsidRPr="00E31A3C">
        <w:rPr>
          <w:color w:val="auto"/>
          <w:lang w:val="en-US"/>
        </w:rPr>
        <w:t>), 105-85 DAS (23.19 and 23.01 mg g</w:t>
      </w:r>
      <w:r w:rsidRPr="00E31A3C">
        <w:rPr>
          <w:color w:val="auto"/>
          <w:vertAlign w:val="superscript"/>
          <w:lang w:val="en-US"/>
        </w:rPr>
        <w:t>-1</w:t>
      </w:r>
      <w:r w:rsidRPr="00E31A3C">
        <w:rPr>
          <w:color w:val="auto"/>
          <w:lang w:val="en-US"/>
        </w:rPr>
        <w:t xml:space="preserve"> day</w:t>
      </w:r>
      <w:r w:rsidRPr="00E31A3C">
        <w:rPr>
          <w:color w:val="auto"/>
          <w:vertAlign w:val="superscript"/>
          <w:lang w:val="en-US"/>
        </w:rPr>
        <w:t>-1</w:t>
      </w:r>
      <w:r w:rsidRPr="00E31A3C">
        <w:rPr>
          <w:color w:val="auto"/>
          <w:lang w:val="en-US"/>
        </w:rPr>
        <w:t>) and 125-105 DAS (6.87 and 6.93 mg g</w:t>
      </w:r>
      <w:r w:rsidRPr="00E31A3C">
        <w:rPr>
          <w:color w:val="auto"/>
          <w:vertAlign w:val="superscript"/>
          <w:lang w:val="en-US"/>
        </w:rPr>
        <w:t>-1</w:t>
      </w:r>
      <w:r w:rsidRPr="00E31A3C">
        <w:rPr>
          <w:color w:val="auto"/>
          <w:lang w:val="en-US"/>
        </w:rPr>
        <w:t xml:space="preserve"> day</w:t>
      </w:r>
      <w:r w:rsidRPr="00E31A3C">
        <w:rPr>
          <w:color w:val="auto"/>
          <w:vertAlign w:val="superscript"/>
          <w:lang w:val="en-US"/>
        </w:rPr>
        <w:t>-1</w:t>
      </w:r>
      <w:r w:rsidRPr="00E31A3C">
        <w:rPr>
          <w:color w:val="auto"/>
          <w:lang w:val="en-US"/>
        </w:rPr>
        <w:t>) during both the years. Among PNM treatments, RDF recorded numerically highest RGR at 45-65 DAS (76.83 and 73.20 mg g</w:t>
      </w:r>
      <w:r w:rsidRPr="00E31A3C">
        <w:rPr>
          <w:color w:val="auto"/>
          <w:vertAlign w:val="superscript"/>
          <w:lang w:val="en-US"/>
        </w:rPr>
        <w:t>-1</w:t>
      </w:r>
      <w:r w:rsidRPr="00E31A3C">
        <w:rPr>
          <w:color w:val="auto"/>
          <w:lang w:val="en-US"/>
        </w:rPr>
        <w:t xml:space="preserve"> day</w:t>
      </w:r>
      <w:r w:rsidRPr="00E31A3C">
        <w:rPr>
          <w:color w:val="auto"/>
          <w:vertAlign w:val="superscript"/>
          <w:lang w:val="en-US"/>
        </w:rPr>
        <w:t>-1</w:t>
      </w:r>
      <w:r w:rsidRPr="00E31A3C">
        <w:rPr>
          <w:color w:val="auto"/>
          <w:lang w:val="en-US"/>
        </w:rPr>
        <w:t>) during both years. However, it was at par with STCR and NE of targets 75, 85 and 95 q ha</w:t>
      </w:r>
      <w:r w:rsidRPr="00E31A3C">
        <w:rPr>
          <w:color w:val="auto"/>
          <w:vertAlign w:val="superscript"/>
          <w:lang w:val="en-US"/>
        </w:rPr>
        <w:t>-1</w:t>
      </w:r>
      <w:r w:rsidRPr="00E31A3C">
        <w:rPr>
          <w:color w:val="auto"/>
          <w:lang w:val="en-US"/>
        </w:rPr>
        <w:t xml:space="preserve">. </w:t>
      </w:r>
      <w:r w:rsidR="00647BE6" w:rsidRPr="00E31A3C">
        <w:rPr>
          <w:color w:val="auto"/>
          <w:lang w:val="en-US"/>
        </w:rPr>
        <w:t xml:space="preserve">During </w:t>
      </w:r>
      <w:r w:rsidR="005408B5" w:rsidRPr="00E31A3C">
        <w:rPr>
          <w:color w:val="auto"/>
          <w:lang w:val="en-US"/>
        </w:rPr>
        <w:t xml:space="preserve">subsequent intervals, </w:t>
      </w:r>
      <w:r w:rsidR="00647BE6" w:rsidRPr="00E31A3C">
        <w:rPr>
          <w:color w:val="auto"/>
          <w:lang w:val="en-US"/>
        </w:rPr>
        <w:t>NE (TY-75 q ha</w:t>
      </w:r>
      <w:r w:rsidR="00647BE6" w:rsidRPr="00E31A3C">
        <w:rPr>
          <w:color w:val="auto"/>
          <w:vertAlign w:val="superscript"/>
          <w:lang w:val="en-US"/>
        </w:rPr>
        <w:t>-1</w:t>
      </w:r>
      <w:r w:rsidR="00647BE6" w:rsidRPr="00E31A3C">
        <w:rPr>
          <w:color w:val="auto"/>
          <w:lang w:val="en-US"/>
        </w:rPr>
        <w:t xml:space="preserve">) </w:t>
      </w:r>
      <w:r w:rsidR="005408B5" w:rsidRPr="00E31A3C">
        <w:rPr>
          <w:color w:val="auto"/>
          <w:lang w:val="en-US"/>
        </w:rPr>
        <w:t xml:space="preserve">registered highest RGR among all other </w:t>
      </w:r>
      <w:proofErr w:type="gramStart"/>
      <w:r w:rsidR="005408B5" w:rsidRPr="00E31A3C">
        <w:rPr>
          <w:color w:val="auto"/>
          <w:lang w:val="en-US"/>
        </w:rPr>
        <w:t xml:space="preserve">treatments </w:t>
      </w:r>
      <w:r w:rsidR="005408B5" w:rsidRPr="00E31A3C">
        <w:rPr>
          <w:i/>
          <w:iCs/>
          <w:color w:val="auto"/>
          <w:lang w:val="en-US"/>
        </w:rPr>
        <w:t xml:space="preserve"> </w:t>
      </w:r>
      <w:proofErr w:type="spellStart"/>
      <w:r w:rsidR="005408B5" w:rsidRPr="00E31A3C">
        <w:rPr>
          <w:i/>
          <w:iCs/>
          <w:color w:val="auto"/>
          <w:lang w:val="en-US"/>
        </w:rPr>
        <w:t>i.e</w:t>
      </w:r>
      <w:proofErr w:type="spellEnd"/>
      <w:proofErr w:type="gramEnd"/>
      <w:r w:rsidR="005408B5" w:rsidRPr="00E31A3C">
        <w:rPr>
          <w:color w:val="auto"/>
          <w:lang w:val="en-US"/>
        </w:rPr>
        <w:t>, 65-85 (</w:t>
      </w:r>
      <w:r w:rsidR="00647BE6" w:rsidRPr="00E31A3C">
        <w:rPr>
          <w:color w:val="auto"/>
          <w:lang w:val="en-US"/>
        </w:rPr>
        <w:t>54.86</w:t>
      </w:r>
      <w:r w:rsidR="005408B5" w:rsidRPr="00E31A3C">
        <w:rPr>
          <w:color w:val="auto"/>
          <w:lang w:val="en-US"/>
        </w:rPr>
        <w:t xml:space="preserve"> and </w:t>
      </w:r>
      <w:r w:rsidR="00E6133C" w:rsidRPr="00E31A3C">
        <w:rPr>
          <w:color w:val="auto"/>
          <w:lang w:val="en-US"/>
        </w:rPr>
        <w:t>56</w:t>
      </w:r>
      <w:r w:rsidR="005408B5" w:rsidRPr="00E31A3C">
        <w:rPr>
          <w:color w:val="auto"/>
          <w:lang w:val="en-US"/>
        </w:rPr>
        <w:t>.2</w:t>
      </w:r>
      <w:r w:rsidR="00647BE6" w:rsidRPr="00E31A3C">
        <w:rPr>
          <w:color w:val="auto"/>
          <w:lang w:val="en-US"/>
        </w:rPr>
        <w:t>3</w:t>
      </w:r>
      <w:r w:rsidR="005408B5" w:rsidRPr="00E31A3C">
        <w:rPr>
          <w:color w:val="auto"/>
          <w:lang w:val="en-US"/>
        </w:rPr>
        <w:t xml:space="preserve"> mg g</w:t>
      </w:r>
      <w:r w:rsidR="005408B5" w:rsidRPr="00E31A3C">
        <w:rPr>
          <w:color w:val="auto"/>
          <w:vertAlign w:val="superscript"/>
          <w:lang w:val="en-US"/>
        </w:rPr>
        <w:t>-1</w:t>
      </w:r>
      <w:r w:rsidR="005408B5" w:rsidRPr="00E31A3C">
        <w:rPr>
          <w:color w:val="auto"/>
          <w:lang w:val="en-US"/>
        </w:rPr>
        <w:t xml:space="preserve"> day</w:t>
      </w:r>
      <w:r w:rsidR="005408B5" w:rsidRPr="00E31A3C">
        <w:rPr>
          <w:color w:val="auto"/>
          <w:vertAlign w:val="superscript"/>
          <w:lang w:val="en-US"/>
        </w:rPr>
        <w:t>-1</w:t>
      </w:r>
      <w:r w:rsidR="005408B5" w:rsidRPr="00E31A3C">
        <w:rPr>
          <w:color w:val="auto"/>
          <w:lang w:val="en-US"/>
        </w:rPr>
        <w:t>), 105-85 (23.</w:t>
      </w:r>
      <w:r w:rsidR="00647BE6" w:rsidRPr="00E31A3C">
        <w:rPr>
          <w:color w:val="auto"/>
          <w:lang w:val="en-US"/>
        </w:rPr>
        <w:t>72</w:t>
      </w:r>
      <w:r w:rsidR="005408B5" w:rsidRPr="00E31A3C">
        <w:rPr>
          <w:color w:val="auto"/>
          <w:lang w:val="en-US"/>
        </w:rPr>
        <w:t xml:space="preserve"> and 2</w:t>
      </w:r>
      <w:r w:rsidR="00647BE6" w:rsidRPr="00E31A3C">
        <w:rPr>
          <w:color w:val="auto"/>
          <w:lang w:val="en-US"/>
        </w:rPr>
        <w:t>4</w:t>
      </w:r>
      <w:r w:rsidR="005408B5" w:rsidRPr="00E31A3C">
        <w:rPr>
          <w:color w:val="auto"/>
          <w:lang w:val="en-US"/>
        </w:rPr>
        <w:t>.4</w:t>
      </w:r>
      <w:r w:rsidR="00647BE6" w:rsidRPr="00E31A3C">
        <w:rPr>
          <w:color w:val="auto"/>
          <w:lang w:val="en-US"/>
        </w:rPr>
        <w:t>7</w:t>
      </w:r>
      <w:r w:rsidR="005408B5" w:rsidRPr="00E31A3C">
        <w:rPr>
          <w:color w:val="auto"/>
          <w:lang w:val="en-US"/>
        </w:rPr>
        <w:t xml:space="preserve"> mg g</w:t>
      </w:r>
      <w:r w:rsidR="005408B5" w:rsidRPr="00E31A3C">
        <w:rPr>
          <w:color w:val="auto"/>
          <w:vertAlign w:val="superscript"/>
          <w:lang w:val="en-US"/>
        </w:rPr>
        <w:t>-1</w:t>
      </w:r>
      <w:r w:rsidR="005408B5" w:rsidRPr="00E31A3C">
        <w:rPr>
          <w:color w:val="auto"/>
          <w:lang w:val="en-US"/>
        </w:rPr>
        <w:t xml:space="preserve"> day</w:t>
      </w:r>
      <w:r w:rsidR="005408B5" w:rsidRPr="00E31A3C">
        <w:rPr>
          <w:color w:val="auto"/>
          <w:vertAlign w:val="superscript"/>
          <w:lang w:val="en-US"/>
        </w:rPr>
        <w:t>-1</w:t>
      </w:r>
      <w:r w:rsidR="005408B5" w:rsidRPr="00E31A3C">
        <w:rPr>
          <w:color w:val="auto"/>
          <w:lang w:val="en-US"/>
        </w:rPr>
        <w:t>, at par with NE 75 q ha</w:t>
      </w:r>
      <w:r w:rsidR="005408B5" w:rsidRPr="00E31A3C">
        <w:rPr>
          <w:color w:val="auto"/>
          <w:vertAlign w:val="superscript"/>
          <w:lang w:val="en-US"/>
        </w:rPr>
        <w:t>-1</w:t>
      </w:r>
      <w:r w:rsidR="005408B5" w:rsidRPr="00E31A3C">
        <w:rPr>
          <w:color w:val="auto"/>
          <w:lang w:val="en-US"/>
        </w:rPr>
        <w:t>) and 125-105 DAS (</w:t>
      </w:r>
      <w:r w:rsidR="00647BE6" w:rsidRPr="00E31A3C">
        <w:rPr>
          <w:color w:val="auto"/>
          <w:lang w:val="en-US"/>
        </w:rPr>
        <w:t>7</w:t>
      </w:r>
      <w:r w:rsidR="005408B5" w:rsidRPr="00E31A3C">
        <w:rPr>
          <w:color w:val="auto"/>
          <w:lang w:val="en-US"/>
        </w:rPr>
        <w:t>.</w:t>
      </w:r>
      <w:r w:rsidR="00647BE6" w:rsidRPr="00E31A3C">
        <w:rPr>
          <w:color w:val="auto"/>
          <w:lang w:val="en-US"/>
        </w:rPr>
        <w:t>8</w:t>
      </w:r>
      <w:r w:rsidR="005408B5" w:rsidRPr="00E31A3C">
        <w:rPr>
          <w:color w:val="auto"/>
          <w:lang w:val="en-US"/>
        </w:rPr>
        <w:t xml:space="preserve">2 and </w:t>
      </w:r>
      <w:r w:rsidR="00647BE6" w:rsidRPr="00E31A3C">
        <w:rPr>
          <w:color w:val="auto"/>
          <w:lang w:val="en-US"/>
        </w:rPr>
        <w:t>7</w:t>
      </w:r>
      <w:r w:rsidR="005408B5" w:rsidRPr="00E31A3C">
        <w:rPr>
          <w:color w:val="auto"/>
          <w:lang w:val="en-US"/>
        </w:rPr>
        <w:t>.</w:t>
      </w:r>
      <w:r w:rsidR="00647BE6" w:rsidRPr="00E31A3C">
        <w:rPr>
          <w:color w:val="auto"/>
          <w:lang w:val="en-US"/>
        </w:rPr>
        <w:t>88</w:t>
      </w:r>
      <w:r w:rsidR="005408B5" w:rsidRPr="00E31A3C">
        <w:rPr>
          <w:color w:val="auto"/>
          <w:lang w:val="en-US"/>
        </w:rPr>
        <w:t xml:space="preserve"> mg g</w:t>
      </w:r>
      <w:r w:rsidR="005408B5" w:rsidRPr="00E31A3C">
        <w:rPr>
          <w:color w:val="auto"/>
          <w:vertAlign w:val="superscript"/>
          <w:lang w:val="en-US"/>
        </w:rPr>
        <w:t>-1</w:t>
      </w:r>
      <w:r w:rsidR="005408B5" w:rsidRPr="00E31A3C">
        <w:rPr>
          <w:color w:val="auto"/>
          <w:lang w:val="en-US"/>
        </w:rPr>
        <w:t xml:space="preserve"> day</w:t>
      </w:r>
      <w:r w:rsidR="005408B5" w:rsidRPr="00E31A3C">
        <w:rPr>
          <w:color w:val="auto"/>
          <w:vertAlign w:val="superscript"/>
          <w:lang w:val="en-US"/>
        </w:rPr>
        <w:t>-1</w:t>
      </w:r>
      <w:r w:rsidR="005408B5" w:rsidRPr="00E31A3C">
        <w:rPr>
          <w:color w:val="auto"/>
          <w:lang w:val="en-US"/>
        </w:rPr>
        <w:t>) during 2024 and 2025, respectively.</w:t>
      </w:r>
      <w:r w:rsidR="00647BE6" w:rsidRPr="00E31A3C">
        <w:rPr>
          <w:color w:val="auto"/>
          <w:lang w:val="en-US"/>
        </w:rPr>
        <w:t xml:space="preserve"> </w:t>
      </w:r>
      <w:r w:rsidR="005408B5" w:rsidRPr="00E31A3C">
        <w:rPr>
          <w:color w:val="auto"/>
          <w:lang w:val="en-US"/>
        </w:rPr>
        <w:t>The interaction effect of establishment methods and precision nutrient management treatments on RGR was non-significant.</w:t>
      </w:r>
    </w:p>
    <w:p w14:paraId="36DF2BD4" w14:textId="77777777" w:rsidR="005408B5" w:rsidRPr="00E31A3C" w:rsidRDefault="005408B5" w:rsidP="005408B5">
      <w:pPr>
        <w:spacing w:line="240" w:lineRule="auto"/>
        <w:ind w:firstLine="0"/>
        <w:rPr>
          <w:b/>
          <w:bCs/>
          <w:i/>
          <w:iCs/>
          <w:color w:val="auto"/>
          <w:lang w:val="en-US"/>
        </w:rPr>
      </w:pPr>
      <w:r w:rsidRPr="00E31A3C">
        <w:rPr>
          <w:b/>
          <w:bCs/>
          <w:i/>
          <w:iCs/>
          <w:color w:val="auto"/>
          <w:lang w:val="en-US"/>
        </w:rPr>
        <w:t>Net assimilation rate</w:t>
      </w:r>
    </w:p>
    <w:p w14:paraId="51258367" w14:textId="66D804F8" w:rsidR="005408B5" w:rsidRPr="00E31A3C" w:rsidRDefault="005408B5" w:rsidP="005408B5">
      <w:pPr>
        <w:spacing w:line="240" w:lineRule="auto"/>
        <w:ind w:left="90" w:firstLine="0"/>
        <w:rPr>
          <w:color w:val="auto"/>
          <w:lang w:val="en-US"/>
        </w:rPr>
      </w:pPr>
      <w:r w:rsidRPr="00E31A3C">
        <w:rPr>
          <w:color w:val="auto"/>
          <w:lang w:val="en-US"/>
        </w:rPr>
        <w:tab/>
        <w:t>Among crop establishment methods, transplanted rice significantly performed better than DSR across all growth intervals, attaining highest NAR at 45-65 DAS (9.54 and 9.34 g m</w:t>
      </w:r>
      <w:r w:rsidRPr="00E31A3C">
        <w:rPr>
          <w:color w:val="auto"/>
          <w:vertAlign w:val="superscript"/>
          <w:lang w:val="en-US"/>
        </w:rPr>
        <w:t>-2</w:t>
      </w:r>
      <w:r w:rsidRPr="00E31A3C">
        <w:rPr>
          <w:color w:val="auto"/>
          <w:lang w:val="en-US"/>
        </w:rPr>
        <w:t xml:space="preserve"> day</w:t>
      </w:r>
      <w:r w:rsidRPr="00E31A3C">
        <w:rPr>
          <w:color w:val="auto"/>
          <w:vertAlign w:val="superscript"/>
          <w:lang w:val="en-US"/>
        </w:rPr>
        <w:t>-1</w:t>
      </w:r>
      <w:r w:rsidRPr="00E31A3C">
        <w:rPr>
          <w:color w:val="auto"/>
          <w:lang w:val="en-US"/>
        </w:rPr>
        <w:t xml:space="preserve">) during 2024 and 2025, respectively (Table </w:t>
      </w:r>
      <w:r w:rsidR="00973A39">
        <w:rPr>
          <w:color w:val="auto"/>
          <w:lang w:val="en-US"/>
        </w:rPr>
        <w:t>4</w:t>
      </w:r>
      <w:r w:rsidRPr="00E31A3C">
        <w:rPr>
          <w:color w:val="auto"/>
          <w:lang w:val="en-US"/>
        </w:rPr>
        <w:t xml:space="preserve"> and Fig. 13, 14, 15 and 16). Among PNM treatments, NE (TY-75 q ha</w:t>
      </w:r>
      <w:r w:rsidRPr="00E31A3C">
        <w:rPr>
          <w:color w:val="auto"/>
          <w:vertAlign w:val="superscript"/>
          <w:lang w:val="en-US"/>
        </w:rPr>
        <w:t>-1</w:t>
      </w:r>
      <w:r w:rsidRPr="00E31A3C">
        <w:rPr>
          <w:color w:val="auto"/>
          <w:lang w:val="en-US"/>
        </w:rPr>
        <w:t>) recorded significantly higher NAR (10.50 and 10.37 g m</w:t>
      </w:r>
      <w:r w:rsidRPr="00E31A3C">
        <w:rPr>
          <w:color w:val="auto"/>
          <w:vertAlign w:val="superscript"/>
          <w:lang w:val="en-US"/>
        </w:rPr>
        <w:t>-2</w:t>
      </w:r>
      <w:r w:rsidRPr="00E31A3C">
        <w:rPr>
          <w:color w:val="auto"/>
          <w:lang w:val="en-US"/>
        </w:rPr>
        <w:t xml:space="preserve"> day</w:t>
      </w:r>
      <w:r w:rsidRPr="00E31A3C">
        <w:rPr>
          <w:color w:val="auto"/>
          <w:vertAlign w:val="superscript"/>
          <w:lang w:val="en-US"/>
        </w:rPr>
        <w:t>-1</w:t>
      </w:r>
      <w:r w:rsidRPr="00E31A3C">
        <w:rPr>
          <w:color w:val="auto"/>
          <w:lang w:val="en-US"/>
        </w:rPr>
        <w:t>) at 45-65 DAS during 2024 and 2025, respectively. NE (TY-75 q ha</w:t>
      </w:r>
      <w:r w:rsidRPr="00E31A3C">
        <w:rPr>
          <w:color w:val="auto"/>
          <w:vertAlign w:val="superscript"/>
          <w:lang w:val="en-US"/>
        </w:rPr>
        <w:t>-1</w:t>
      </w:r>
      <w:r w:rsidRPr="00E31A3C">
        <w:rPr>
          <w:color w:val="auto"/>
          <w:lang w:val="en-US"/>
        </w:rPr>
        <w:t>) and STCR (TY-75 q ha</w:t>
      </w:r>
      <w:r w:rsidRPr="00E31A3C">
        <w:rPr>
          <w:color w:val="auto"/>
          <w:vertAlign w:val="superscript"/>
          <w:lang w:val="en-US"/>
        </w:rPr>
        <w:t>-1</w:t>
      </w:r>
      <w:r w:rsidRPr="00E31A3C">
        <w:rPr>
          <w:color w:val="auto"/>
          <w:lang w:val="en-US"/>
        </w:rPr>
        <w:t>) were sta</w:t>
      </w:r>
      <w:r w:rsidR="00B7029C">
        <w:rPr>
          <w:color w:val="auto"/>
          <w:lang w:val="en-US"/>
        </w:rPr>
        <w:t>tis</w:t>
      </w:r>
      <w:r w:rsidRPr="00E31A3C">
        <w:rPr>
          <w:color w:val="auto"/>
          <w:lang w:val="en-US"/>
        </w:rPr>
        <w:t xml:space="preserve">tically at par with each other between growth intervals of 45-65 DAS </w:t>
      </w:r>
      <w:proofErr w:type="spellStart"/>
      <w:r w:rsidRPr="00E31A3C">
        <w:rPr>
          <w:color w:val="auto"/>
          <w:lang w:val="en-US"/>
        </w:rPr>
        <w:t>upto</w:t>
      </w:r>
      <w:proofErr w:type="spellEnd"/>
      <w:r w:rsidRPr="00E31A3C">
        <w:rPr>
          <w:color w:val="auto"/>
          <w:lang w:val="en-US"/>
        </w:rPr>
        <w:t xml:space="preserve"> 105-125 DAS during both years. However, at </w:t>
      </w:r>
    </w:p>
    <w:p w14:paraId="33A86CA7" w14:textId="272EF04B" w:rsidR="005408B5" w:rsidRPr="00E31A3C" w:rsidRDefault="005408B5" w:rsidP="005408B5">
      <w:pPr>
        <w:spacing w:line="240" w:lineRule="auto"/>
        <w:ind w:firstLine="0"/>
        <w:rPr>
          <w:color w:val="auto"/>
        </w:rPr>
        <w:sectPr w:rsidR="005408B5" w:rsidRPr="00E31A3C" w:rsidSect="00F45F48">
          <w:headerReference w:type="even" r:id="rId7"/>
          <w:headerReference w:type="default" r:id="rId8"/>
          <w:footerReference w:type="even" r:id="rId9"/>
          <w:footerReference w:type="default" r:id="rId10"/>
          <w:headerReference w:type="first" r:id="rId11"/>
          <w:footerReference w:type="first" r:id="rId12"/>
          <w:pgSz w:w="11906" w:h="16838" w:code="9"/>
          <w:pgMar w:top="2275" w:right="1699" w:bottom="2275" w:left="2275" w:header="706" w:footer="706" w:gutter="0"/>
          <w:cols w:space="708"/>
          <w:docGrid w:linePitch="360"/>
        </w:sectPr>
      </w:pPr>
    </w:p>
    <w:tbl>
      <w:tblPr>
        <w:tblStyle w:val="TableGrid"/>
        <w:tblpPr w:leftFromText="180" w:rightFromText="180" w:horzAnchor="margin" w:tblpXSpec="center" w:tblpY="568"/>
        <w:tblW w:w="14183" w:type="dxa"/>
        <w:tblLayout w:type="fixed"/>
        <w:tblLook w:val="04A0" w:firstRow="1" w:lastRow="0" w:firstColumn="1" w:lastColumn="0" w:noHBand="0" w:noVBand="1"/>
      </w:tblPr>
      <w:tblGrid>
        <w:gridCol w:w="3748"/>
        <w:gridCol w:w="1013"/>
        <w:gridCol w:w="1013"/>
        <w:gridCol w:w="1013"/>
        <w:gridCol w:w="1114"/>
        <w:gridCol w:w="1013"/>
        <w:gridCol w:w="1013"/>
        <w:gridCol w:w="1114"/>
        <w:gridCol w:w="1013"/>
        <w:gridCol w:w="1114"/>
        <w:gridCol w:w="1015"/>
      </w:tblGrid>
      <w:tr w:rsidR="00A10B80" w:rsidRPr="00E31A3C" w14:paraId="1B6F1DEB" w14:textId="77777777" w:rsidTr="00A10B80">
        <w:trPr>
          <w:trHeight w:val="317"/>
        </w:trPr>
        <w:tc>
          <w:tcPr>
            <w:tcW w:w="3748" w:type="dxa"/>
            <w:vMerge w:val="restart"/>
          </w:tcPr>
          <w:p w14:paraId="5F5D1DEE"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lastRenderedPageBreak/>
              <w:t>Treatments</w:t>
            </w:r>
          </w:p>
        </w:tc>
        <w:tc>
          <w:tcPr>
            <w:tcW w:w="2026" w:type="dxa"/>
            <w:gridSpan w:val="2"/>
          </w:tcPr>
          <w:p w14:paraId="12521672" w14:textId="77777777" w:rsidR="00A10B80" w:rsidRPr="00E31A3C" w:rsidRDefault="00A10B80" w:rsidP="00A10B80">
            <w:pPr>
              <w:rPr>
                <w:rFonts w:ascii="Times New Roman" w:hAnsi="Times New Roman" w:cs="Times New Roman"/>
                <w:b/>
                <w:sz w:val="24"/>
                <w:szCs w:val="24"/>
              </w:rPr>
            </w:pPr>
            <w:r w:rsidRPr="00E31A3C">
              <w:rPr>
                <w:rFonts w:ascii="Times New Roman" w:hAnsi="Times New Roman" w:cs="Times New Roman"/>
                <w:b/>
                <w:sz w:val="24"/>
                <w:szCs w:val="24"/>
              </w:rPr>
              <w:t>45 DAS</w:t>
            </w:r>
          </w:p>
        </w:tc>
        <w:tc>
          <w:tcPr>
            <w:tcW w:w="2127" w:type="dxa"/>
            <w:gridSpan w:val="2"/>
          </w:tcPr>
          <w:p w14:paraId="7233C4DD" w14:textId="77777777" w:rsidR="00A10B80" w:rsidRPr="00E31A3C" w:rsidRDefault="00A10B80" w:rsidP="00A10B80">
            <w:pPr>
              <w:rPr>
                <w:rFonts w:ascii="Times New Roman" w:hAnsi="Times New Roman" w:cs="Times New Roman"/>
                <w:b/>
                <w:sz w:val="24"/>
                <w:szCs w:val="24"/>
              </w:rPr>
            </w:pPr>
            <w:r w:rsidRPr="00E31A3C">
              <w:rPr>
                <w:rFonts w:ascii="Times New Roman" w:hAnsi="Times New Roman" w:cs="Times New Roman"/>
                <w:b/>
                <w:sz w:val="24"/>
                <w:szCs w:val="24"/>
              </w:rPr>
              <w:t>65 DAS</w:t>
            </w:r>
          </w:p>
        </w:tc>
        <w:tc>
          <w:tcPr>
            <w:tcW w:w="2026" w:type="dxa"/>
            <w:gridSpan w:val="2"/>
          </w:tcPr>
          <w:p w14:paraId="47144DFE" w14:textId="77777777" w:rsidR="00A10B80" w:rsidRPr="00E31A3C" w:rsidRDefault="00A10B80" w:rsidP="00A10B80">
            <w:pPr>
              <w:rPr>
                <w:rFonts w:ascii="Times New Roman" w:hAnsi="Times New Roman" w:cs="Times New Roman"/>
                <w:b/>
                <w:sz w:val="24"/>
                <w:szCs w:val="24"/>
              </w:rPr>
            </w:pPr>
            <w:r w:rsidRPr="00E31A3C">
              <w:rPr>
                <w:rFonts w:ascii="Times New Roman" w:hAnsi="Times New Roman" w:cs="Times New Roman"/>
                <w:b/>
                <w:sz w:val="24"/>
                <w:szCs w:val="24"/>
              </w:rPr>
              <w:t>85 DAS</w:t>
            </w:r>
          </w:p>
        </w:tc>
        <w:tc>
          <w:tcPr>
            <w:tcW w:w="2127" w:type="dxa"/>
            <w:gridSpan w:val="2"/>
          </w:tcPr>
          <w:p w14:paraId="7100DEEA" w14:textId="77777777" w:rsidR="00A10B80" w:rsidRPr="00E31A3C" w:rsidRDefault="00A10B80" w:rsidP="00A10B80">
            <w:pPr>
              <w:rPr>
                <w:rFonts w:ascii="Times New Roman" w:hAnsi="Times New Roman" w:cs="Times New Roman"/>
                <w:b/>
                <w:sz w:val="24"/>
                <w:szCs w:val="24"/>
              </w:rPr>
            </w:pPr>
            <w:r w:rsidRPr="00E31A3C">
              <w:rPr>
                <w:rFonts w:ascii="Times New Roman" w:hAnsi="Times New Roman" w:cs="Times New Roman"/>
                <w:b/>
                <w:sz w:val="24"/>
                <w:szCs w:val="24"/>
              </w:rPr>
              <w:t>105 DAS</w:t>
            </w:r>
          </w:p>
        </w:tc>
        <w:tc>
          <w:tcPr>
            <w:tcW w:w="2129" w:type="dxa"/>
            <w:gridSpan w:val="2"/>
          </w:tcPr>
          <w:p w14:paraId="4974A873" w14:textId="77777777" w:rsidR="00A10B80" w:rsidRPr="00E31A3C" w:rsidRDefault="00A10B80" w:rsidP="00A10B80">
            <w:pPr>
              <w:rPr>
                <w:rFonts w:ascii="Times New Roman" w:hAnsi="Times New Roman" w:cs="Times New Roman"/>
                <w:b/>
                <w:sz w:val="24"/>
                <w:szCs w:val="24"/>
              </w:rPr>
            </w:pPr>
            <w:r w:rsidRPr="00E31A3C">
              <w:rPr>
                <w:rFonts w:ascii="Times New Roman" w:hAnsi="Times New Roman" w:cs="Times New Roman"/>
                <w:b/>
                <w:sz w:val="24"/>
                <w:szCs w:val="24"/>
              </w:rPr>
              <w:t xml:space="preserve">125 DAS </w:t>
            </w:r>
          </w:p>
        </w:tc>
      </w:tr>
      <w:tr w:rsidR="00A10B80" w:rsidRPr="00E31A3C" w14:paraId="6C106727" w14:textId="77777777" w:rsidTr="00A10B80">
        <w:trPr>
          <w:trHeight w:val="317"/>
        </w:trPr>
        <w:tc>
          <w:tcPr>
            <w:tcW w:w="3748" w:type="dxa"/>
            <w:vMerge/>
          </w:tcPr>
          <w:p w14:paraId="10DB878E" w14:textId="77777777" w:rsidR="00A10B80" w:rsidRPr="00E31A3C" w:rsidRDefault="00A10B80" w:rsidP="00A10B80">
            <w:pPr>
              <w:rPr>
                <w:rFonts w:ascii="Times New Roman" w:hAnsi="Times New Roman" w:cs="Times New Roman"/>
                <w:sz w:val="24"/>
                <w:szCs w:val="24"/>
              </w:rPr>
            </w:pPr>
          </w:p>
        </w:tc>
        <w:tc>
          <w:tcPr>
            <w:tcW w:w="1013" w:type="dxa"/>
          </w:tcPr>
          <w:p w14:paraId="50EC1B7E"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0CE78080"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2025</w:t>
            </w:r>
          </w:p>
        </w:tc>
        <w:tc>
          <w:tcPr>
            <w:tcW w:w="1013" w:type="dxa"/>
          </w:tcPr>
          <w:p w14:paraId="28396C2B"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2024</w:t>
            </w:r>
          </w:p>
        </w:tc>
        <w:tc>
          <w:tcPr>
            <w:tcW w:w="1114" w:type="dxa"/>
          </w:tcPr>
          <w:p w14:paraId="3DF773E7"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2025</w:t>
            </w:r>
          </w:p>
        </w:tc>
        <w:tc>
          <w:tcPr>
            <w:tcW w:w="1013" w:type="dxa"/>
          </w:tcPr>
          <w:p w14:paraId="59264D4B"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2D701110"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2025</w:t>
            </w:r>
          </w:p>
        </w:tc>
        <w:tc>
          <w:tcPr>
            <w:tcW w:w="1114" w:type="dxa"/>
          </w:tcPr>
          <w:p w14:paraId="3F4B4BFC"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46AECCBA"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2025</w:t>
            </w:r>
          </w:p>
        </w:tc>
        <w:tc>
          <w:tcPr>
            <w:tcW w:w="1114" w:type="dxa"/>
          </w:tcPr>
          <w:p w14:paraId="3AF0CEAB"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5" w:type="dxa"/>
          </w:tcPr>
          <w:p w14:paraId="43353A75"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2025</w:t>
            </w:r>
          </w:p>
        </w:tc>
      </w:tr>
      <w:tr w:rsidR="00A10B80" w:rsidRPr="00E31A3C" w14:paraId="09E4115D" w14:textId="77777777" w:rsidTr="00A10B80">
        <w:trPr>
          <w:trHeight w:val="332"/>
        </w:trPr>
        <w:tc>
          <w:tcPr>
            <w:tcW w:w="14183" w:type="dxa"/>
            <w:gridSpan w:val="11"/>
          </w:tcPr>
          <w:p w14:paraId="4C523C67"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b/>
                <w:sz w:val="24"/>
                <w:szCs w:val="24"/>
              </w:rPr>
              <w:t>Factor A: Crop Establishment Methods</w:t>
            </w:r>
          </w:p>
        </w:tc>
      </w:tr>
      <w:tr w:rsidR="00A10B80" w:rsidRPr="00E31A3C" w14:paraId="60583729" w14:textId="77777777" w:rsidTr="00A10B80">
        <w:trPr>
          <w:trHeight w:val="317"/>
        </w:trPr>
        <w:tc>
          <w:tcPr>
            <w:tcW w:w="3748" w:type="dxa"/>
          </w:tcPr>
          <w:p w14:paraId="0D7ADD60"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Transplanting</w:t>
            </w:r>
          </w:p>
        </w:tc>
        <w:tc>
          <w:tcPr>
            <w:tcW w:w="1013" w:type="dxa"/>
            <w:vAlign w:val="center"/>
          </w:tcPr>
          <w:p w14:paraId="3D8B7561"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2.27</w:t>
            </w:r>
          </w:p>
        </w:tc>
        <w:tc>
          <w:tcPr>
            <w:tcW w:w="1013" w:type="dxa"/>
            <w:vAlign w:val="center"/>
          </w:tcPr>
          <w:p w14:paraId="2A22EB59"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2.33</w:t>
            </w:r>
          </w:p>
        </w:tc>
        <w:tc>
          <w:tcPr>
            <w:tcW w:w="1013" w:type="dxa"/>
            <w:vAlign w:val="center"/>
          </w:tcPr>
          <w:p w14:paraId="18AB786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2.95</w:t>
            </w:r>
          </w:p>
        </w:tc>
        <w:tc>
          <w:tcPr>
            <w:tcW w:w="1114" w:type="dxa"/>
            <w:vAlign w:val="center"/>
          </w:tcPr>
          <w:p w14:paraId="053683FA"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3.04</w:t>
            </w:r>
          </w:p>
        </w:tc>
        <w:tc>
          <w:tcPr>
            <w:tcW w:w="1013" w:type="dxa"/>
            <w:vAlign w:val="center"/>
          </w:tcPr>
          <w:p w14:paraId="1771B3A9"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4.05</w:t>
            </w:r>
          </w:p>
        </w:tc>
        <w:tc>
          <w:tcPr>
            <w:tcW w:w="1013" w:type="dxa"/>
            <w:vAlign w:val="center"/>
          </w:tcPr>
          <w:p w14:paraId="000629D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4.15</w:t>
            </w:r>
          </w:p>
        </w:tc>
        <w:tc>
          <w:tcPr>
            <w:tcW w:w="1114" w:type="dxa"/>
            <w:vAlign w:val="center"/>
          </w:tcPr>
          <w:p w14:paraId="077F257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3.24</w:t>
            </w:r>
          </w:p>
        </w:tc>
        <w:tc>
          <w:tcPr>
            <w:tcW w:w="1013" w:type="dxa"/>
            <w:vAlign w:val="center"/>
          </w:tcPr>
          <w:p w14:paraId="33CC5D2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3.27</w:t>
            </w:r>
          </w:p>
        </w:tc>
        <w:tc>
          <w:tcPr>
            <w:tcW w:w="1114" w:type="dxa"/>
            <w:vAlign w:val="center"/>
          </w:tcPr>
          <w:p w14:paraId="421FA23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1.51</w:t>
            </w:r>
          </w:p>
        </w:tc>
        <w:tc>
          <w:tcPr>
            <w:tcW w:w="1015" w:type="dxa"/>
            <w:vAlign w:val="center"/>
          </w:tcPr>
          <w:p w14:paraId="52A007C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1.55</w:t>
            </w:r>
          </w:p>
        </w:tc>
      </w:tr>
      <w:tr w:rsidR="00A10B80" w:rsidRPr="00E31A3C" w14:paraId="77FF09A7" w14:textId="77777777" w:rsidTr="00A10B80">
        <w:trPr>
          <w:trHeight w:val="317"/>
        </w:trPr>
        <w:tc>
          <w:tcPr>
            <w:tcW w:w="3748" w:type="dxa"/>
          </w:tcPr>
          <w:p w14:paraId="33490B1E"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DSR</w:t>
            </w:r>
          </w:p>
        </w:tc>
        <w:tc>
          <w:tcPr>
            <w:tcW w:w="1013" w:type="dxa"/>
            <w:vAlign w:val="center"/>
          </w:tcPr>
          <w:p w14:paraId="143C54F8"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1.97</w:t>
            </w:r>
          </w:p>
        </w:tc>
        <w:tc>
          <w:tcPr>
            <w:tcW w:w="1013" w:type="dxa"/>
            <w:vAlign w:val="center"/>
          </w:tcPr>
          <w:p w14:paraId="6994641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2.04</w:t>
            </w:r>
          </w:p>
        </w:tc>
        <w:tc>
          <w:tcPr>
            <w:tcW w:w="1013" w:type="dxa"/>
            <w:vAlign w:val="center"/>
          </w:tcPr>
          <w:p w14:paraId="7CD1AB4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2.64</w:t>
            </w:r>
          </w:p>
        </w:tc>
        <w:tc>
          <w:tcPr>
            <w:tcW w:w="1114" w:type="dxa"/>
            <w:vAlign w:val="center"/>
          </w:tcPr>
          <w:p w14:paraId="12A602CB"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2.73</w:t>
            </w:r>
          </w:p>
        </w:tc>
        <w:tc>
          <w:tcPr>
            <w:tcW w:w="1013" w:type="dxa"/>
            <w:vAlign w:val="center"/>
          </w:tcPr>
          <w:p w14:paraId="05C5DA6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3.65</w:t>
            </w:r>
          </w:p>
        </w:tc>
        <w:tc>
          <w:tcPr>
            <w:tcW w:w="1013" w:type="dxa"/>
            <w:vAlign w:val="center"/>
          </w:tcPr>
          <w:p w14:paraId="12592F5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3.73</w:t>
            </w:r>
          </w:p>
        </w:tc>
        <w:tc>
          <w:tcPr>
            <w:tcW w:w="1114" w:type="dxa"/>
            <w:vAlign w:val="center"/>
          </w:tcPr>
          <w:p w14:paraId="0278CDE2"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2.93</w:t>
            </w:r>
          </w:p>
        </w:tc>
        <w:tc>
          <w:tcPr>
            <w:tcW w:w="1013" w:type="dxa"/>
            <w:vAlign w:val="center"/>
          </w:tcPr>
          <w:p w14:paraId="6F7F04F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2.96</w:t>
            </w:r>
          </w:p>
        </w:tc>
        <w:tc>
          <w:tcPr>
            <w:tcW w:w="1114" w:type="dxa"/>
            <w:vAlign w:val="center"/>
          </w:tcPr>
          <w:p w14:paraId="76EE0B2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1.35</w:t>
            </w:r>
          </w:p>
        </w:tc>
        <w:tc>
          <w:tcPr>
            <w:tcW w:w="1015" w:type="dxa"/>
            <w:vAlign w:val="center"/>
          </w:tcPr>
          <w:p w14:paraId="252E3048"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1.38</w:t>
            </w:r>
          </w:p>
        </w:tc>
      </w:tr>
      <w:tr w:rsidR="00A10B80" w:rsidRPr="00E31A3C" w14:paraId="2C9D3B37" w14:textId="77777777" w:rsidTr="00A10B80">
        <w:trPr>
          <w:trHeight w:val="317"/>
        </w:trPr>
        <w:tc>
          <w:tcPr>
            <w:tcW w:w="3748" w:type="dxa"/>
          </w:tcPr>
          <w:p w14:paraId="0E224129" w14:textId="77777777" w:rsidR="00A10B80" w:rsidRPr="00E31A3C" w:rsidRDefault="00A10B80" w:rsidP="00A10B80">
            <w:pPr>
              <w:rPr>
                <w:rFonts w:ascii="Times New Roman" w:hAnsi="Times New Roman" w:cs="Times New Roman"/>
                <w:sz w:val="24"/>
                <w:szCs w:val="24"/>
              </w:rPr>
            </w:pPr>
            <w:proofErr w:type="spellStart"/>
            <w:r w:rsidRPr="00E31A3C">
              <w:rPr>
                <w:rFonts w:ascii="Times New Roman" w:hAnsi="Times New Roman" w:cs="Times New Roman"/>
                <w:sz w:val="24"/>
                <w:szCs w:val="24"/>
              </w:rPr>
              <w:t>SeM</w:t>
            </w:r>
            <w:proofErr w:type="spellEnd"/>
            <w:r w:rsidRPr="00E31A3C">
              <w:rPr>
                <w:rFonts w:ascii="Times New Roman" w:hAnsi="Times New Roman" w:cs="Times New Roman"/>
                <w:sz w:val="24"/>
                <w:szCs w:val="24"/>
              </w:rPr>
              <w:t>±</w:t>
            </w:r>
          </w:p>
        </w:tc>
        <w:tc>
          <w:tcPr>
            <w:tcW w:w="1013" w:type="dxa"/>
            <w:vAlign w:val="center"/>
          </w:tcPr>
          <w:p w14:paraId="532A6E2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0.06</w:t>
            </w:r>
          </w:p>
        </w:tc>
        <w:tc>
          <w:tcPr>
            <w:tcW w:w="1013" w:type="dxa"/>
            <w:vAlign w:val="center"/>
          </w:tcPr>
          <w:p w14:paraId="1DD19B9A"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0.07</w:t>
            </w:r>
          </w:p>
        </w:tc>
        <w:tc>
          <w:tcPr>
            <w:tcW w:w="1013" w:type="dxa"/>
            <w:vAlign w:val="center"/>
          </w:tcPr>
          <w:p w14:paraId="0D4B21F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0.06</w:t>
            </w:r>
          </w:p>
        </w:tc>
        <w:tc>
          <w:tcPr>
            <w:tcW w:w="1114" w:type="dxa"/>
            <w:vAlign w:val="center"/>
          </w:tcPr>
          <w:p w14:paraId="1662AAF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0.05</w:t>
            </w:r>
          </w:p>
        </w:tc>
        <w:tc>
          <w:tcPr>
            <w:tcW w:w="1013" w:type="dxa"/>
            <w:vAlign w:val="center"/>
          </w:tcPr>
          <w:p w14:paraId="624696D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0.05</w:t>
            </w:r>
          </w:p>
        </w:tc>
        <w:tc>
          <w:tcPr>
            <w:tcW w:w="1013" w:type="dxa"/>
            <w:vAlign w:val="center"/>
          </w:tcPr>
          <w:p w14:paraId="49154AE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0.05</w:t>
            </w:r>
          </w:p>
        </w:tc>
        <w:tc>
          <w:tcPr>
            <w:tcW w:w="1114" w:type="dxa"/>
            <w:vAlign w:val="center"/>
          </w:tcPr>
          <w:p w14:paraId="50E89FB2"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0.04</w:t>
            </w:r>
          </w:p>
        </w:tc>
        <w:tc>
          <w:tcPr>
            <w:tcW w:w="1013" w:type="dxa"/>
            <w:vAlign w:val="center"/>
          </w:tcPr>
          <w:p w14:paraId="0743469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0.05</w:t>
            </w:r>
          </w:p>
        </w:tc>
        <w:tc>
          <w:tcPr>
            <w:tcW w:w="1114" w:type="dxa"/>
            <w:vAlign w:val="center"/>
          </w:tcPr>
          <w:p w14:paraId="3AF79094"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0.03</w:t>
            </w:r>
          </w:p>
        </w:tc>
        <w:tc>
          <w:tcPr>
            <w:tcW w:w="1015" w:type="dxa"/>
            <w:vAlign w:val="center"/>
          </w:tcPr>
          <w:p w14:paraId="46725E6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0.02</w:t>
            </w:r>
          </w:p>
        </w:tc>
      </w:tr>
      <w:tr w:rsidR="00A10B80" w:rsidRPr="00E31A3C" w14:paraId="3AC402D8" w14:textId="77777777" w:rsidTr="00A10B80">
        <w:trPr>
          <w:trHeight w:val="317"/>
        </w:trPr>
        <w:tc>
          <w:tcPr>
            <w:tcW w:w="3748" w:type="dxa"/>
          </w:tcPr>
          <w:p w14:paraId="26F568A0"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CD (p≤0.05)</w:t>
            </w:r>
          </w:p>
        </w:tc>
        <w:tc>
          <w:tcPr>
            <w:tcW w:w="1013" w:type="dxa"/>
            <w:vAlign w:val="center"/>
          </w:tcPr>
          <w:p w14:paraId="2FBB8C1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0.18</w:t>
            </w:r>
          </w:p>
        </w:tc>
        <w:tc>
          <w:tcPr>
            <w:tcW w:w="1013" w:type="dxa"/>
            <w:vAlign w:val="center"/>
          </w:tcPr>
          <w:p w14:paraId="48F9BFD2"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0.19</w:t>
            </w:r>
          </w:p>
        </w:tc>
        <w:tc>
          <w:tcPr>
            <w:tcW w:w="1013" w:type="dxa"/>
            <w:vAlign w:val="center"/>
          </w:tcPr>
          <w:p w14:paraId="3040ABF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0.17</w:t>
            </w:r>
          </w:p>
        </w:tc>
        <w:tc>
          <w:tcPr>
            <w:tcW w:w="1114" w:type="dxa"/>
            <w:vAlign w:val="center"/>
          </w:tcPr>
          <w:p w14:paraId="3C12D47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0.16</w:t>
            </w:r>
          </w:p>
        </w:tc>
        <w:tc>
          <w:tcPr>
            <w:tcW w:w="1013" w:type="dxa"/>
            <w:vAlign w:val="center"/>
          </w:tcPr>
          <w:p w14:paraId="396CAA2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0.15</w:t>
            </w:r>
          </w:p>
        </w:tc>
        <w:tc>
          <w:tcPr>
            <w:tcW w:w="1013" w:type="dxa"/>
            <w:vAlign w:val="center"/>
          </w:tcPr>
          <w:p w14:paraId="18C7548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0.14</w:t>
            </w:r>
          </w:p>
        </w:tc>
        <w:tc>
          <w:tcPr>
            <w:tcW w:w="1114" w:type="dxa"/>
            <w:vAlign w:val="center"/>
          </w:tcPr>
          <w:p w14:paraId="3201D29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0.13</w:t>
            </w:r>
          </w:p>
        </w:tc>
        <w:tc>
          <w:tcPr>
            <w:tcW w:w="1013" w:type="dxa"/>
            <w:vAlign w:val="center"/>
          </w:tcPr>
          <w:p w14:paraId="0AF9FDF9"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0.14</w:t>
            </w:r>
          </w:p>
        </w:tc>
        <w:tc>
          <w:tcPr>
            <w:tcW w:w="1114" w:type="dxa"/>
            <w:vAlign w:val="center"/>
          </w:tcPr>
          <w:p w14:paraId="3390F5A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0.08</w:t>
            </w:r>
          </w:p>
        </w:tc>
        <w:tc>
          <w:tcPr>
            <w:tcW w:w="1015" w:type="dxa"/>
            <w:vAlign w:val="center"/>
          </w:tcPr>
          <w:p w14:paraId="5B2BCF7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0.07</w:t>
            </w:r>
          </w:p>
        </w:tc>
      </w:tr>
      <w:tr w:rsidR="00A10B80" w:rsidRPr="00E31A3C" w14:paraId="073B7DA0" w14:textId="77777777" w:rsidTr="00A10B80">
        <w:trPr>
          <w:trHeight w:val="332"/>
        </w:trPr>
        <w:tc>
          <w:tcPr>
            <w:tcW w:w="14183" w:type="dxa"/>
            <w:gridSpan w:val="11"/>
          </w:tcPr>
          <w:p w14:paraId="0CADEBCB"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b/>
                <w:sz w:val="24"/>
                <w:szCs w:val="24"/>
              </w:rPr>
              <w:t>Factor B: Nutrient Management</w:t>
            </w:r>
          </w:p>
        </w:tc>
      </w:tr>
      <w:tr w:rsidR="00A10B80" w:rsidRPr="00E31A3C" w14:paraId="596A772B" w14:textId="77777777" w:rsidTr="00A10B80">
        <w:trPr>
          <w:trHeight w:val="317"/>
        </w:trPr>
        <w:tc>
          <w:tcPr>
            <w:tcW w:w="3748" w:type="dxa"/>
            <w:vAlign w:val="bottom"/>
          </w:tcPr>
          <w:p w14:paraId="104F236B" w14:textId="77777777" w:rsidR="00A10B80" w:rsidRPr="00E31A3C" w:rsidRDefault="00A10B80" w:rsidP="00A10B80">
            <w:pPr>
              <w:rPr>
                <w:rFonts w:ascii="Times New Roman" w:hAnsi="Times New Roman" w:cs="Times New Roman"/>
                <w:bCs/>
                <w:sz w:val="24"/>
                <w:szCs w:val="24"/>
              </w:rPr>
            </w:pPr>
            <w:r w:rsidRPr="00E31A3C">
              <w:rPr>
                <w:rFonts w:ascii="Times New Roman" w:hAnsi="Times New Roman" w:cs="Times New Roman"/>
                <w:bCs/>
                <w:sz w:val="24"/>
                <w:szCs w:val="24"/>
              </w:rPr>
              <w:t xml:space="preserve">Control </w:t>
            </w:r>
          </w:p>
        </w:tc>
        <w:tc>
          <w:tcPr>
            <w:tcW w:w="1013" w:type="dxa"/>
            <w:vAlign w:val="center"/>
          </w:tcPr>
          <w:p w14:paraId="470E6D81"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1.17</w:t>
            </w:r>
          </w:p>
        </w:tc>
        <w:tc>
          <w:tcPr>
            <w:tcW w:w="1013" w:type="dxa"/>
            <w:vAlign w:val="center"/>
          </w:tcPr>
          <w:p w14:paraId="0F8BB918"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1.25</w:t>
            </w:r>
          </w:p>
        </w:tc>
        <w:tc>
          <w:tcPr>
            <w:tcW w:w="1013" w:type="dxa"/>
            <w:vAlign w:val="center"/>
          </w:tcPr>
          <w:p w14:paraId="7E488F4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1.94</w:t>
            </w:r>
          </w:p>
        </w:tc>
        <w:tc>
          <w:tcPr>
            <w:tcW w:w="1114" w:type="dxa"/>
            <w:vAlign w:val="center"/>
          </w:tcPr>
          <w:p w14:paraId="40AD948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2.04</w:t>
            </w:r>
          </w:p>
        </w:tc>
        <w:tc>
          <w:tcPr>
            <w:tcW w:w="1013" w:type="dxa"/>
            <w:vAlign w:val="center"/>
          </w:tcPr>
          <w:p w14:paraId="5E27AABA"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2.79</w:t>
            </w:r>
          </w:p>
        </w:tc>
        <w:tc>
          <w:tcPr>
            <w:tcW w:w="1013" w:type="dxa"/>
            <w:vAlign w:val="center"/>
          </w:tcPr>
          <w:p w14:paraId="32CD777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2.90</w:t>
            </w:r>
          </w:p>
        </w:tc>
        <w:tc>
          <w:tcPr>
            <w:tcW w:w="1114" w:type="dxa"/>
            <w:vAlign w:val="center"/>
          </w:tcPr>
          <w:p w14:paraId="0F6BE3A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2.05</w:t>
            </w:r>
          </w:p>
        </w:tc>
        <w:tc>
          <w:tcPr>
            <w:tcW w:w="1013" w:type="dxa"/>
            <w:vAlign w:val="center"/>
          </w:tcPr>
          <w:p w14:paraId="390A0B1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2.11</w:t>
            </w:r>
          </w:p>
        </w:tc>
        <w:tc>
          <w:tcPr>
            <w:tcW w:w="1114" w:type="dxa"/>
            <w:vAlign w:val="center"/>
          </w:tcPr>
          <w:p w14:paraId="515911E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0.84</w:t>
            </w:r>
          </w:p>
        </w:tc>
        <w:tc>
          <w:tcPr>
            <w:tcW w:w="1015" w:type="dxa"/>
            <w:vAlign w:val="center"/>
          </w:tcPr>
          <w:p w14:paraId="6110B7D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0.87</w:t>
            </w:r>
          </w:p>
        </w:tc>
      </w:tr>
      <w:tr w:rsidR="00A10B80" w:rsidRPr="00E31A3C" w14:paraId="30E00914" w14:textId="77777777" w:rsidTr="00A10B80">
        <w:trPr>
          <w:trHeight w:val="317"/>
        </w:trPr>
        <w:tc>
          <w:tcPr>
            <w:tcW w:w="3748" w:type="dxa"/>
            <w:vAlign w:val="bottom"/>
          </w:tcPr>
          <w:p w14:paraId="646A9D50" w14:textId="77777777" w:rsidR="00A10B80" w:rsidRPr="00E31A3C" w:rsidRDefault="00A10B80" w:rsidP="00A10B80">
            <w:pPr>
              <w:rPr>
                <w:rFonts w:ascii="Times New Roman" w:hAnsi="Times New Roman" w:cs="Times New Roman"/>
                <w:bCs/>
                <w:sz w:val="24"/>
                <w:szCs w:val="24"/>
              </w:rPr>
            </w:pPr>
            <w:r w:rsidRPr="00E31A3C">
              <w:rPr>
                <w:rFonts w:ascii="Times New Roman" w:hAnsi="Times New Roman" w:cs="Times New Roman"/>
                <w:bCs/>
                <w:sz w:val="24"/>
                <w:szCs w:val="24"/>
              </w:rPr>
              <w:t>RDF (N</w:t>
            </w:r>
            <w:r w:rsidRPr="00E31A3C">
              <w:rPr>
                <w:rFonts w:ascii="Times New Roman" w:hAnsi="Times New Roman" w:cs="Times New Roman"/>
                <w:sz w:val="24"/>
                <w:szCs w:val="24"/>
                <w:vertAlign w:val="subscript"/>
              </w:rPr>
              <w:t>120</w:t>
            </w:r>
            <w:r w:rsidRPr="00E31A3C">
              <w:rPr>
                <w:rFonts w:ascii="Times New Roman" w:hAnsi="Times New Roman" w:cs="Times New Roman"/>
                <w:bCs/>
                <w:sz w:val="24"/>
                <w:szCs w:val="24"/>
              </w:rPr>
              <w:t>P</w:t>
            </w:r>
            <w:r w:rsidRPr="00E31A3C">
              <w:rPr>
                <w:rFonts w:ascii="Times New Roman" w:hAnsi="Times New Roman" w:cs="Times New Roman"/>
                <w:sz w:val="24"/>
                <w:szCs w:val="24"/>
                <w:vertAlign w:val="subscript"/>
              </w:rPr>
              <w:t>60</w:t>
            </w:r>
            <w:r w:rsidRPr="00E31A3C">
              <w:rPr>
                <w:rFonts w:ascii="Times New Roman" w:hAnsi="Times New Roman" w:cs="Times New Roman"/>
                <w:bCs/>
                <w:sz w:val="24"/>
                <w:szCs w:val="24"/>
              </w:rPr>
              <w:t>K</w:t>
            </w:r>
            <w:r w:rsidRPr="00E31A3C">
              <w:rPr>
                <w:rFonts w:ascii="Times New Roman" w:hAnsi="Times New Roman" w:cs="Times New Roman"/>
                <w:sz w:val="24"/>
                <w:szCs w:val="24"/>
                <w:vertAlign w:val="subscript"/>
              </w:rPr>
              <w:t>30</w:t>
            </w:r>
            <w:r w:rsidRPr="00E31A3C">
              <w:rPr>
                <w:rFonts w:ascii="Times New Roman" w:hAnsi="Times New Roman" w:cs="Times New Roman"/>
                <w:sz w:val="24"/>
                <w:szCs w:val="24"/>
              </w:rPr>
              <w:t>)</w:t>
            </w:r>
          </w:p>
        </w:tc>
        <w:tc>
          <w:tcPr>
            <w:tcW w:w="1013" w:type="dxa"/>
            <w:vAlign w:val="center"/>
          </w:tcPr>
          <w:p w14:paraId="6921E718"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2.10</w:t>
            </w:r>
          </w:p>
        </w:tc>
        <w:tc>
          <w:tcPr>
            <w:tcW w:w="1013" w:type="dxa"/>
            <w:vAlign w:val="center"/>
          </w:tcPr>
          <w:p w14:paraId="54AB662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2.16</w:t>
            </w:r>
          </w:p>
        </w:tc>
        <w:tc>
          <w:tcPr>
            <w:tcW w:w="1013" w:type="dxa"/>
            <w:vAlign w:val="center"/>
          </w:tcPr>
          <w:p w14:paraId="4E7B99B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2.79</w:t>
            </w:r>
          </w:p>
        </w:tc>
        <w:tc>
          <w:tcPr>
            <w:tcW w:w="1114" w:type="dxa"/>
            <w:vAlign w:val="center"/>
          </w:tcPr>
          <w:p w14:paraId="76C6269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2.88</w:t>
            </w:r>
          </w:p>
        </w:tc>
        <w:tc>
          <w:tcPr>
            <w:tcW w:w="1013" w:type="dxa"/>
            <w:vAlign w:val="center"/>
          </w:tcPr>
          <w:p w14:paraId="2AC2CEB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3.86</w:t>
            </w:r>
          </w:p>
        </w:tc>
        <w:tc>
          <w:tcPr>
            <w:tcW w:w="1013" w:type="dxa"/>
            <w:vAlign w:val="center"/>
          </w:tcPr>
          <w:p w14:paraId="0E80F8F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3.96</w:t>
            </w:r>
          </w:p>
        </w:tc>
        <w:tc>
          <w:tcPr>
            <w:tcW w:w="1114" w:type="dxa"/>
            <w:vAlign w:val="center"/>
          </w:tcPr>
          <w:p w14:paraId="04DB8482"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3.09</w:t>
            </w:r>
          </w:p>
        </w:tc>
        <w:tc>
          <w:tcPr>
            <w:tcW w:w="1013" w:type="dxa"/>
            <w:vAlign w:val="center"/>
          </w:tcPr>
          <w:p w14:paraId="747716D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3.11</w:t>
            </w:r>
          </w:p>
        </w:tc>
        <w:tc>
          <w:tcPr>
            <w:tcW w:w="1114" w:type="dxa"/>
            <w:vAlign w:val="center"/>
          </w:tcPr>
          <w:p w14:paraId="17B4F98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1.44</w:t>
            </w:r>
          </w:p>
        </w:tc>
        <w:tc>
          <w:tcPr>
            <w:tcW w:w="1015" w:type="dxa"/>
            <w:vAlign w:val="center"/>
          </w:tcPr>
          <w:p w14:paraId="14D4557B"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1.45</w:t>
            </w:r>
          </w:p>
        </w:tc>
      </w:tr>
      <w:tr w:rsidR="00A10B80" w:rsidRPr="00E31A3C" w14:paraId="3E423A76" w14:textId="77777777" w:rsidTr="00A10B80">
        <w:trPr>
          <w:trHeight w:val="317"/>
        </w:trPr>
        <w:tc>
          <w:tcPr>
            <w:tcW w:w="3748" w:type="dxa"/>
            <w:vAlign w:val="bottom"/>
          </w:tcPr>
          <w:p w14:paraId="1DC9235A" w14:textId="77777777" w:rsidR="00A10B80" w:rsidRPr="00E31A3C" w:rsidRDefault="00A10B80" w:rsidP="00A10B80">
            <w:pPr>
              <w:rPr>
                <w:rFonts w:ascii="Times New Roman" w:hAnsi="Times New Roman" w:cs="Times New Roman"/>
                <w:bCs/>
                <w:sz w:val="24"/>
                <w:szCs w:val="24"/>
              </w:rPr>
            </w:pPr>
            <w:r w:rsidRPr="00E31A3C">
              <w:rPr>
                <w:rFonts w:ascii="Times New Roman" w:hAnsi="Times New Roman" w:cs="Times New Roman"/>
                <w:bCs/>
                <w:sz w:val="24"/>
                <w:szCs w:val="24"/>
              </w:rPr>
              <w:t>STCR (TY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485DFA6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2.12</w:t>
            </w:r>
          </w:p>
        </w:tc>
        <w:tc>
          <w:tcPr>
            <w:tcW w:w="1013" w:type="dxa"/>
            <w:vAlign w:val="center"/>
          </w:tcPr>
          <w:p w14:paraId="585D136B"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2.17</w:t>
            </w:r>
          </w:p>
        </w:tc>
        <w:tc>
          <w:tcPr>
            <w:tcW w:w="1013" w:type="dxa"/>
            <w:vAlign w:val="center"/>
          </w:tcPr>
          <w:p w14:paraId="05BED85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2.85</w:t>
            </w:r>
          </w:p>
        </w:tc>
        <w:tc>
          <w:tcPr>
            <w:tcW w:w="1114" w:type="dxa"/>
            <w:vAlign w:val="center"/>
          </w:tcPr>
          <w:p w14:paraId="057DA39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2.92</w:t>
            </w:r>
          </w:p>
        </w:tc>
        <w:tc>
          <w:tcPr>
            <w:tcW w:w="1013" w:type="dxa"/>
            <w:vAlign w:val="center"/>
          </w:tcPr>
          <w:p w14:paraId="3FF8F374"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3.92</w:t>
            </w:r>
          </w:p>
        </w:tc>
        <w:tc>
          <w:tcPr>
            <w:tcW w:w="1013" w:type="dxa"/>
            <w:vAlign w:val="center"/>
          </w:tcPr>
          <w:p w14:paraId="4CA073B2"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3.99</w:t>
            </w:r>
          </w:p>
        </w:tc>
        <w:tc>
          <w:tcPr>
            <w:tcW w:w="1114" w:type="dxa"/>
            <w:vAlign w:val="center"/>
          </w:tcPr>
          <w:p w14:paraId="4283433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3.15</w:t>
            </w:r>
          </w:p>
        </w:tc>
        <w:tc>
          <w:tcPr>
            <w:tcW w:w="1013" w:type="dxa"/>
            <w:vAlign w:val="center"/>
          </w:tcPr>
          <w:p w14:paraId="40B75141"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3.13</w:t>
            </w:r>
          </w:p>
        </w:tc>
        <w:tc>
          <w:tcPr>
            <w:tcW w:w="1114" w:type="dxa"/>
            <w:vAlign w:val="center"/>
          </w:tcPr>
          <w:p w14:paraId="53B4F92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1.48</w:t>
            </w:r>
          </w:p>
        </w:tc>
        <w:tc>
          <w:tcPr>
            <w:tcW w:w="1015" w:type="dxa"/>
            <w:vAlign w:val="center"/>
          </w:tcPr>
          <w:p w14:paraId="60C69B5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1.49</w:t>
            </w:r>
          </w:p>
        </w:tc>
      </w:tr>
      <w:tr w:rsidR="00A10B80" w:rsidRPr="00E31A3C" w14:paraId="53396E92" w14:textId="77777777" w:rsidTr="00A10B80">
        <w:trPr>
          <w:trHeight w:val="332"/>
        </w:trPr>
        <w:tc>
          <w:tcPr>
            <w:tcW w:w="3748" w:type="dxa"/>
            <w:vAlign w:val="bottom"/>
          </w:tcPr>
          <w:p w14:paraId="0DC9A340" w14:textId="77777777" w:rsidR="00A10B80" w:rsidRPr="00E31A3C" w:rsidRDefault="00A10B80" w:rsidP="00A10B80">
            <w:pPr>
              <w:rPr>
                <w:rFonts w:ascii="Times New Roman" w:hAnsi="Times New Roman" w:cs="Times New Roman"/>
                <w:bCs/>
                <w:sz w:val="24"/>
                <w:szCs w:val="24"/>
              </w:rPr>
            </w:pPr>
            <w:r w:rsidRPr="00E31A3C">
              <w:rPr>
                <w:rFonts w:ascii="Times New Roman" w:hAnsi="Times New Roman" w:cs="Times New Roman"/>
                <w:bCs/>
                <w:sz w:val="24"/>
                <w:szCs w:val="24"/>
              </w:rPr>
              <w:t>STCR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0B8894B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2.53</w:t>
            </w:r>
          </w:p>
        </w:tc>
        <w:tc>
          <w:tcPr>
            <w:tcW w:w="1013" w:type="dxa"/>
            <w:vAlign w:val="center"/>
          </w:tcPr>
          <w:p w14:paraId="11BCCD8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2.62</w:t>
            </w:r>
          </w:p>
        </w:tc>
        <w:tc>
          <w:tcPr>
            <w:tcW w:w="1013" w:type="dxa"/>
            <w:vAlign w:val="center"/>
          </w:tcPr>
          <w:p w14:paraId="13256041"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3.13</w:t>
            </w:r>
          </w:p>
        </w:tc>
        <w:tc>
          <w:tcPr>
            <w:tcW w:w="1114" w:type="dxa"/>
            <w:vAlign w:val="center"/>
          </w:tcPr>
          <w:p w14:paraId="1BEA5789"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3.21</w:t>
            </w:r>
          </w:p>
        </w:tc>
        <w:tc>
          <w:tcPr>
            <w:tcW w:w="1013" w:type="dxa"/>
            <w:vAlign w:val="center"/>
          </w:tcPr>
          <w:p w14:paraId="082CE5E9"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4.23</w:t>
            </w:r>
          </w:p>
        </w:tc>
        <w:tc>
          <w:tcPr>
            <w:tcW w:w="1013" w:type="dxa"/>
            <w:vAlign w:val="center"/>
          </w:tcPr>
          <w:p w14:paraId="3D7CC588"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4.37</w:t>
            </w:r>
          </w:p>
        </w:tc>
        <w:tc>
          <w:tcPr>
            <w:tcW w:w="1114" w:type="dxa"/>
            <w:vAlign w:val="center"/>
          </w:tcPr>
          <w:p w14:paraId="76B2BA7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3.47</w:t>
            </w:r>
          </w:p>
        </w:tc>
        <w:tc>
          <w:tcPr>
            <w:tcW w:w="1013" w:type="dxa"/>
            <w:vAlign w:val="center"/>
          </w:tcPr>
          <w:p w14:paraId="41A91D3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3.53</w:t>
            </w:r>
          </w:p>
        </w:tc>
        <w:tc>
          <w:tcPr>
            <w:tcW w:w="1114" w:type="dxa"/>
            <w:vAlign w:val="center"/>
          </w:tcPr>
          <w:p w14:paraId="0FD26554"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1.63</w:t>
            </w:r>
          </w:p>
        </w:tc>
        <w:tc>
          <w:tcPr>
            <w:tcW w:w="1015" w:type="dxa"/>
            <w:vAlign w:val="center"/>
          </w:tcPr>
          <w:p w14:paraId="158610A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1.67</w:t>
            </w:r>
          </w:p>
        </w:tc>
      </w:tr>
      <w:tr w:rsidR="00A10B80" w:rsidRPr="00E31A3C" w14:paraId="5A1C8D5B" w14:textId="77777777" w:rsidTr="00A10B80">
        <w:trPr>
          <w:trHeight w:val="317"/>
        </w:trPr>
        <w:tc>
          <w:tcPr>
            <w:tcW w:w="3748" w:type="dxa"/>
            <w:vAlign w:val="bottom"/>
          </w:tcPr>
          <w:p w14:paraId="5D53AEB4" w14:textId="77777777" w:rsidR="00A10B80" w:rsidRPr="00E31A3C" w:rsidRDefault="00A10B80" w:rsidP="00A10B80">
            <w:pPr>
              <w:rPr>
                <w:rFonts w:ascii="Times New Roman" w:hAnsi="Times New Roman" w:cs="Times New Roman"/>
                <w:bCs/>
                <w:sz w:val="24"/>
                <w:szCs w:val="24"/>
              </w:rPr>
            </w:pPr>
            <w:r w:rsidRPr="00E31A3C">
              <w:rPr>
                <w:rFonts w:ascii="Times New Roman" w:hAnsi="Times New Roman" w:cs="Times New Roman"/>
                <w:bCs/>
                <w:sz w:val="24"/>
                <w:szCs w:val="24"/>
              </w:rPr>
              <w:t>STCR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6E621D28"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2.60</w:t>
            </w:r>
          </w:p>
        </w:tc>
        <w:tc>
          <w:tcPr>
            <w:tcW w:w="1013" w:type="dxa"/>
            <w:vAlign w:val="center"/>
          </w:tcPr>
          <w:p w14:paraId="45058BB4"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2.71</w:t>
            </w:r>
          </w:p>
        </w:tc>
        <w:tc>
          <w:tcPr>
            <w:tcW w:w="1013" w:type="dxa"/>
            <w:vAlign w:val="center"/>
          </w:tcPr>
          <w:p w14:paraId="00CD621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3.18</w:t>
            </w:r>
          </w:p>
        </w:tc>
        <w:tc>
          <w:tcPr>
            <w:tcW w:w="1114" w:type="dxa"/>
            <w:vAlign w:val="center"/>
          </w:tcPr>
          <w:p w14:paraId="6239D7B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3.28</w:t>
            </w:r>
          </w:p>
        </w:tc>
        <w:tc>
          <w:tcPr>
            <w:tcW w:w="1013" w:type="dxa"/>
            <w:vAlign w:val="center"/>
          </w:tcPr>
          <w:p w14:paraId="60145D0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4.29</w:t>
            </w:r>
          </w:p>
        </w:tc>
        <w:tc>
          <w:tcPr>
            <w:tcW w:w="1013" w:type="dxa"/>
            <w:vAlign w:val="center"/>
          </w:tcPr>
          <w:p w14:paraId="0841653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4.42</w:t>
            </w:r>
          </w:p>
        </w:tc>
        <w:tc>
          <w:tcPr>
            <w:tcW w:w="1114" w:type="dxa"/>
            <w:vAlign w:val="center"/>
          </w:tcPr>
          <w:p w14:paraId="4FD4544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3.53</w:t>
            </w:r>
          </w:p>
        </w:tc>
        <w:tc>
          <w:tcPr>
            <w:tcW w:w="1013" w:type="dxa"/>
            <w:vAlign w:val="center"/>
          </w:tcPr>
          <w:p w14:paraId="1FB31B11"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3.59</w:t>
            </w:r>
          </w:p>
        </w:tc>
        <w:tc>
          <w:tcPr>
            <w:tcW w:w="1114" w:type="dxa"/>
            <w:vAlign w:val="center"/>
          </w:tcPr>
          <w:p w14:paraId="35220FC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1.65</w:t>
            </w:r>
          </w:p>
        </w:tc>
        <w:tc>
          <w:tcPr>
            <w:tcW w:w="1015" w:type="dxa"/>
            <w:vAlign w:val="center"/>
          </w:tcPr>
          <w:p w14:paraId="76C40C6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1.71</w:t>
            </w:r>
          </w:p>
        </w:tc>
      </w:tr>
      <w:tr w:rsidR="00A10B80" w:rsidRPr="00E31A3C" w14:paraId="3D5D2684" w14:textId="77777777" w:rsidTr="00A10B80">
        <w:trPr>
          <w:trHeight w:val="317"/>
        </w:trPr>
        <w:tc>
          <w:tcPr>
            <w:tcW w:w="3748" w:type="dxa"/>
            <w:vAlign w:val="bottom"/>
          </w:tcPr>
          <w:p w14:paraId="1467AFE8" w14:textId="77777777" w:rsidR="00A10B80" w:rsidRPr="00E31A3C" w:rsidRDefault="00A10B80" w:rsidP="00A10B80">
            <w:pPr>
              <w:rPr>
                <w:rFonts w:ascii="Times New Roman" w:hAnsi="Times New Roman" w:cs="Times New Roman"/>
                <w:bCs/>
                <w:sz w:val="24"/>
                <w:szCs w:val="24"/>
              </w:rPr>
            </w:pPr>
            <w:r w:rsidRPr="00E31A3C">
              <w:rPr>
                <w:rFonts w:ascii="Times New Roman" w:hAnsi="Times New Roman" w:cs="Times New Roman"/>
                <w:bCs/>
                <w:sz w:val="24"/>
                <w:szCs w:val="24"/>
              </w:rPr>
              <w:t>NE (TY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68D41492"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1.74</w:t>
            </w:r>
          </w:p>
        </w:tc>
        <w:tc>
          <w:tcPr>
            <w:tcW w:w="1013" w:type="dxa"/>
            <w:vAlign w:val="center"/>
          </w:tcPr>
          <w:p w14:paraId="2B26153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1.78</w:t>
            </w:r>
          </w:p>
        </w:tc>
        <w:tc>
          <w:tcPr>
            <w:tcW w:w="1013" w:type="dxa"/>
            <w:vAlign w:val="center"/>
          </w:tcPr>
          <w:p w14:paraId="6F0868D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2.50</w:t>
            </w:r>
          </w:p>
        </w:tc>
        <w:tc>
          <w:tcPr>
            <w:tcW w:w="1114" w:type="dxa"/>
            <w:vAlign w:val="center"/>
          </w:tcPr>
          <w:p w14:paraId="30AC0BF4"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2.55</w:t>
            </w:r>
          </w:p>
        </w:tc>
        <w:tc>
          <w:tcPr>
            <w:tcW w:w="1013" w:type="dxa"/>
            <w:vAlign w:val="center"/>
          </w:tcPr>
          <w:p w14:paraId="53535A7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3.50</w:t>
            </w:r>
          </w:p>
        </w:tc>
        <w:tc>
          <w:tcPr>
            <w:tcW w:w="1013" w:type="dxa"/>
            <w:vAlign w:val="center"/>
          </w:tcPr>
          <w:p w14:paraId="3FC37F39"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3.56</w:t>
            </w:r>
          </w:p>
        </w:tc>
        <w:tc>
          <w:tcPr>
            <w:tcW w:w="1114" w:type="dxa"/>
            <w:vAlign w:val="center"/>
          </w:tcPr>
          <w:p w14:paraId="49F47351"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2.75</w:t>
            </w:r>
          </w:p>
        </w:tc>
        <w:tc>
          <w:tcPr>
            <w:tcW w:w="1013" w:type="dxa"/>
            <w:vAlign w:val="center"/>
          </w:tcPr>
          <w:p w14:paraId="41F8BA7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2.77</w:t>
            </w:r>
          </w:p>
        </w:tc>
        <w:tc>
          <w:tcPr>
            <w:tcW w:w="1114" w:type="dxa"/>
            <w:vAlign w:val="center"/>
          </w:tcPr>
          <w:p w14:paraId="7E15A75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1.22</w:t>
            </w:r>
          </w:p>
        </w:tc>
        <w:tc>
          <w:tcPr>
            <w:tcW w:w="1015" w:type="dxa"/>
            <w:vAlign w:val="center"/>
          </w:tcPr>
          <w:p w14:paraId="1FC0AA9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1.26</w:t>
            </w:r>
          </w:p>
        </w:tc>
      </w:tr>
      <w:tr w:rsidR="00A10B80" w:rsidRPr="00E31A3C" w14:paraId="119D1F7A" w14:textId="77777777" w:rsidTr="00A10B80">
        <w:trPr>
          <w:trHeight w:val="317"/>
        </w:trPr>
        <w:tc>
          <w:tcPr>
            <w:tcW w:w="3748" w:type="dxa"/>
            <w:vAlign w:val="bottom"/>
          </w:tcPr>
          <w:p w14:paraId="399B709E" w14:textId="77777777" w:rsidR="00A10B80" w:rsidRPr="00E31A3C" w:rsidRDefault="00A10B80" w:rsidP="00A10B80">
            <w:pPr>
              <w:rPr>
                <w:rFonts w:ascii="Times New Roman" w:hAnsi="Times New Roman" w:cs="Times New Roman"/>
                <w:bCs/>
                <w:sz w:val="24"/>
                <w:szCs w:val="24"/>
              </w:rPr>
            </w:pPr>
            <w:r w:rsidRPr="00E31A3C">
              <w:rPr>
                <w:rFonts w:ascii="Times New Roman" w:hAnsi="Times New Roman" w:cs="Times New Roman"/>
                <w:bCs/>
                <w:sz w:val="24"/>
                <w:szCs w:val="24"/>
              </w:rPr>
              <w:t>NE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1B3C2EF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2.33</w:t>
            </w:r>
          </w:p>
        </w:tc>
        <w:tc>
          <w:tcPr>
            <w:tcW w:w="1013" w:type="dxa"/>
            <w:vAlign w:val="center"/>
          </w:tcPr>
          <w:p w14:paraId="6EE3BF0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2.39</w:t>
            </w:r>
          </w:p>
        </w:tc>
        <w:tc>
          <w:tcPr>
            <w:tcW w:w="1013" w:type="dxa"/>
            <w:vAlign w:val="center"/>
          </w:tcPr>
          <w:p w14:paraId="322574C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2.97</w:t>
            </w:r>
          </w:p>
        </w:tc>
        <w:tc>
          <w:tcPr>
            <w:tcW w:w="1114" w:type="dxa"/>
            <w:vAlign w:val="center"/>
          </w:tcPr>
          <w:p w14:paraId="61FE818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3.08</w:t>
            </w:r>
          </w:p>
        </w:tc>
        <w:tc>
          <w:tcPr>
            <w:tcW w:w="1013" w:type="dxa"/>
            <w:vAlign w:val="center"/>
          </w:tcPr>
          <w:p w14:paraId="7BBD47C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4.07</w:t>
            </w:r>
          </w:p>
        </w:tc>
        <w:tc>
          <w:tcPr>
            <w:tcW w:w="1013" w:type="dxa"/>
            <w:vAlign w:val="center"/>
          </w:tcPr>
          <w:p w14:paraId="27778EA9"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4.15</w:t>
            </w:r>
          </w:p>
        </w:tc>
        <w:tc>
          <w:tcPr>
            <w:tcW w:w="1114" w:type="dxa"/>
            <w:vAlign w:val="center"/>
          </w:tcPr>
          <w:p w14:paraId="30A8BC7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3.31</w:t>
            </w:r>
          </w:p>
        </w:tc>
        <w:tc>
          <w:tcPr>
            <w:tcW w:w="1013" w:type="dxa"/>
            <w:vAlign w:val="center"/>
          </w:tcPr>
          <w:p w14:paraId="5453F21B"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3.33</w:t>
            </w:r>
          </w:p>
        </w:tc>
        <w:tc>
          <w:tcPr>
            <w:tcW w:w="1114" w:type="dxa"/>
            <w:vAlign w:val="center"/>
          </w:tcPr>
          <w:p w14:paraId="337BE8D3"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1.57</w:t>
            </w:r>
          </w:p>
        </w:tc>
        <w:tc>
          <w:tcPr>
            <w:tcW w:w="1015" w:type="dxa"/>
            <w:vAlign w:val="center"/>
          </w:tcPr>
          <w:p w14:paraId="339FB98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1.61</w:t>
            </w:r>
          </w:p>
        </w:tc>
      </w:tr>
      <w:tr w:rsidR="00A10B80" w:rsidRPr="00E31A3C" w14:paraId="44E645E2" w14:textId="77777777" w:rsidTr="00A10B80">
        <w:trPr>
          <w:trHeight w:val="317"/>
        </w:trPr>
        <w:tc>
          <w:tcPr>
            <w:tcW w:w="3748" w:type="dxa"/>
            <w:vAlign w:val="bottom"/>
          </w:tcPr>
          <w:p w14:paraId="53CD3DF9" w14:textId="77777777" w:rsidR="00A10B80" w:rsidRPr="00E31A3C" w:rsidRDefault="00A10B80" w:rsidP="00A10B80">
            <w:pPr>
              <w:rPr>
                <w:rFonts w:ascii="Times New Roman" w:hAnsi="Times New Roman" w:cs="Times New Roman"/>
                <w:bCs/>
                <w:sz w:val="24"/>
                <w:szCs w:val="24"/>
              </w:rPr>
            </w:pPr>
            <w:r w:rsidRPr="00E31A3C">
              <w:rPr>
                <w:rFonts w:ascii="Times New Roman" w:hAnsi="Times New Roman" w:cs="Times New Roman"/>
                <w:bCs/>
                <w:sz w:val="24"/>
                <w:szCs w:val="24"/>
              </w:rPr>
              <w:t>NE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03CF4B3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2.36</w:t>
            </w:r>
          </w:p>
        </w:tc>
        <w:tc>
          <w:tcPr>
            <w:tcW w:w="1013" w:type="dxa"/>
            <w:vAlign w:val="center"/>
          </w:tcPr>
          <w:p w14:paraId="4284EA4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2.44</w:t>
            </w:r>
          </w:p>
        </w:tc>
        <w:tc>
          <w:tcPr>
            <w:tcW w:w="1013" w:type="dxa"/>
            <w:vAlign w:val="center"/>
          </w:tcPr>
          <w:p w14:paraId="001B635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3.04</w:t>
            </w:r>
          </w:p>
        </w:tc>
        <w:tc>
          <w:tcPr>
            <w:tcW w:w="1114" w:type="dxa"/>
            <w:vAlign w:val="center"/>
          </w:tcPr>
          <w:p w14:paraId="35BF663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3.13</w:t>
            </w:r>
          </w:p>
        </w:tc>
        <w:tc>
          <w:tcPr>
            <w:tcW w:w="1013" w:type="dxa"/>
            <w:vAlign w:val="center"/>
          </w:tcPr>
          <w:p w14:paraId="0AC007E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4.12</w:t>
            </w:r>
          </w:p>
        </w:tc>
        <w:tc>
          <w:tcPr>
            <w:tcW w:w="1013" w:type="dxa"/>
            <w:vAlign w:val="center"/>
          </w:tcPr>
          <w:p w14:paraId="03FBB6D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4.21</w:t>
            </w:r>
          </w:p>
        </w:tc>
        <w:tc>
          <w:tcPr>
            <w:tcW w:w="1114" w:type="dxa"/>
            <w:vAlign w:val="center"/>
          </w:tcPr>
          <w:p w14:paraId="6AA2C12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3.36</w:t>
            </w:r>
          </w:p>
        </w:tc>
        <w:tc>
          <w:tcPr>
            <w:tcW w:w="1013" w:type="dxa"/>
            <w:vAlign w:val="center"/>
          </w:tcPr>
          <w:p w14:paraId="00D8EDF5"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3.39</w:t>
            </w:r>
          </w:p>
        </w:tc>
        <w:tc>
          <w:tcPr>
            <w:tcW w:w="1114" w:type="dxa"/>
            <w:vAlign w:val="center"/>
          </w:tcPr>
          <w:p w14:paraId="1D2D7BF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1.60</w:t>
            </w:r>
          </w:p>
        </w:tc>
        <w:tc>
          <w:tcPr>
            <w:tcW w:w="1015" w:type="dxa"/>
            <w:vAlign w:val="center"/>
          </w:tcPr>
          <w:p w14:paraId="74FA6449"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1.63</w:t>
            </w:r>
          </w:p>
        </w:tc>
      </w:tr>
      <w:tr w:rsidR="00A10B80" w:rsidRPr="00E31A3C" w14:paraId="5F7AC040" w14:textId="77777777" w:rsidTr="00A10B80">
        <w:trPr>
          <w:trHeight w:val="317"/>
        </w:trPr>
        <w:tc>
          <w:tcPr>
            <w:tcW w:w="3748" w:type="dxa"/>
          </w:tcPr>
          <w:p w14:paraId="5113CCFC" w14:textId="77777777" w:rsidR="00A10B80" w:rsidRPr="00E31A3C" w:rsidRDefault="00A10B80" w:rsidP="00A10B80">
            <w:pPr>
              <w:rPr>
                <w:rFonts w:ascii="Times New Roman" w:hAnsi="Times New Roman" w:cs="Times New Roman"/>
                <w:sz w:val="24"/>
                <w:szCs w:val="24"/>
              </w:rPr>
            </w:pPr>
            <w:proofErr w:type="spellStart"/>
            <w:r w:rsidRPr="00E31A3C">
              <w:rPr>
                <w:rFonts w:ascii="Times New Roman" w:hAnsi="Times New Roman" w:cs="Times New Roman"/>
                <w:sz w:val="24"/>
                <w:szCs w:val="24"/>
              </w:rPr>
              <w:t>SeM</w:t>
            </w:r>
            <w:proofErr w:type="spellEnd"/>
            <w:r w:rsidRPr="00E31A3C">
              <w:rPr>
                <w:rFonts w:ascii="Times New Roman" w:hAnsi="Times New Roman" w:cs="Times New Roman"/>
                <w:sz w:val="24"/>
                <w:szCs w:val="24"/>
              </w:rPr>
              <w:t>±</w:t>
            </w:r>
          </w:p>
        </w:tc>
        <w:tc>
          <w:tcPr>
            <w:tcW w:w="1013" w:type="dxa"/>
            <w:vAlign w:val="center"/>
          </w:tcPr>
          <w:p w14:paraId="7FABD03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0.09</w:t>
            </w:r>
          </w:p>
        </w:tc>
        <w:tc>
          <w:tcPr>
            <w:tcW w:w="1013" w:type="dxa"/>
            <w:vAlign w:val="center"/>
          </w:tcPr>
          <w:p w14:paraId="7D60953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0.09</w:t>
            </w:r>
          </w:p>
        </w:tc>
        <w:tc>
          <w:tcPr>
            <w:tcW w:w="1013" w:type="dxa"/>
            <w:vAlign w:val="center"/>
          </w:tcPr>
          <w:p w14:paraId="7D485B54"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0.09</w:t>
            </w:r>
          </w:p>
        </w:tc>
        <w:tc>
          <w:tcPr>
            <w:tcW w:w="1114" w:type="dxa"/>
            <w:vAlign w:val="center"/>
          </w:tcPr>
          <w:p w14:paraId="5BE4A052"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0.08</w:t>
            </w:r>
          </w:p>
        </w:tc>
        <w:tc>
          <w:tcPr>
            <w:tcW w:w="1013" w:type="dxa"/>
            <w:vAlign w:val="center"/>
          </w:tcPr>
          <w:p w14:paraId="6CE75EE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0.09</w:t>
            </w:r>
          </w:p>
        </w:tc>
        <w:tc>
          <w:tcPr>
            <w:tcW w:w="1013" w:type="dxa"/>
            <w:vAlign w:val="center"/>
          </w:tcPr>
          <w:p w14:paraId="03309A1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0.09</w:t>
            </w:r>
          </w:p>
        </w:tc>
        <w:tc>
          <w:tcPr>
            <w:tcW w:w="1114" w:type="dxa"/>
            <w:vAlign w:val="center"/>
          </w:tcPr>
          <w:p w14:paraId="7A9413A2"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0.08</w:t>
            </w:r>
          </w:p>
        </w:tc>
        <w:tc>
          <w:tcPr>
            <w:tcW w:w="1013" w:type="dxa"/>
            <w:vAlign w:val="center"/>
          </w:tcPr>
          <w:p w14:paraId="1DC21F4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0.10</w:t>
            </w:r>
          </w:p>
        </w:tc>
        <w:tc>
          <w:tcPr>
            <w:tcW w:w="1114" w:type="dxa"/>
            <w:vAlign w:val="center"/>
          </w:tcPr>
          <w:p w14:paraId="3B37715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0.06</w:t>
            </w:r>
          </w:p>
        </w:tc>
        <w:tc>
          <w:tcPr>
            <w:tcW w:w="1015" w:type="dxa"/>
            <w:vAlign w:val="center"/>
          </w:tcPr>
          <w:p w14:paraId="5902E792"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0.07</w:t>
            </w:r>
          </w:p>
        </w:tc>
      </w:tr>
      <w:tr w:rsidR="00A10B80" w:rsidRPr="00E31A3C" w14:paraId="183A5D51" w14:textId="77777777" w:rsidTr="00A10B80">
        <w:trPr>
          <w:trHeight w:val="317"/>
        </w:trPr>
        <w:tc>
          <w:tcPr>
            <w:tcW w:w="3748" w:type="dxa"/>
          </w:tcPr>
          <w:p w14:paraId="032E4CE4"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CD (p≤0.05)</w:t>
            </w:r>
          </w:p>
        </w:tc>
        <w:tc>
          <w:tcPr>
            <w:tcW w:w="1013" w:type="dxa"/>
            <w:vAlign w:val="center"/>
          </w:tcPr>
          <w:p w14:paraId="2248810D"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0.27</w:t>
            </w:r>
          </w:p>
        </w:tc>
        <w:tc>
          <w:tcPr>
            <w:tcW w:w="1013" w:type="dxa"/>
            <w:vAlign w:val="center"/>
          </w:tcPr>
          <w:p w14:paraId="528B885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0.28</w:t>
            </w:r>
          </w:p>
        </w:tc>
        <w:tc>
          <w:tcPr>
            <w:tcW w:w="1013" w:type="dxa"/>
            <w:vAlign w:val="center"/>
          </w:tcPr>
          <w:p w14:paraId="4DFB7B47"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0.26</w:t>
            </w:r>
          </w:p>
        </w:tc>
        <w:tc>
          <w:tcPr>
            <w:tcW w:w="1114" w:type="dxa"/>
            <w:vAlign w:val="center"/>
          </w:tcPr>
          <w:p w14:paraId="43B539AB"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0.25</w:t>
            </w:r>
          </w:p>
        </w:tc>
        <w:tc>
          <w:tcPr>
            <w:tcW w:w="1013" w:type="dxa"/>
            <w:vAlign w:val="center"/>
          </w:tcPr>
          <w:p w14:paraId="1A723E06"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0.27</w:t>
            </w:r>
          </w:p>
        </w:tc>
        <w:tc>
          <w:tcPr>
            <w:tcW w:w="1013" w:type="dxa"/>
            <w:vAlign w:val="center"/>
          </w:tcPr>
          <w:p w14:paraId="2BC22B0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0.26</w:t>
            </w:r>
          </w:p>
        </w:tc>
        <w:tc>
          <w:tcPr>
            <w:tcW w:w="1114" w:type="dxa"/>
            <w:vAlign w:val="center"/>
          </w:tcPr>
          <w:p w14:paraId="52FA2E0B"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0.25</w:t>
            </w:r>
          </w:p>
        </w:tc>
        <w:tc>
          <w:tcPr>
            <w:tcW w:w="1013" w:type="dxa"/>
            <w:vAlign w:val="center"/>
          </w:tcPr>
          <w:p w14:paraId="62C54F29"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0.29</w:t>
            </w:r>
          </w:p>
        </w:tc>
        <w:tc>
          <w:tcPr>
            <w:tcW w:w="1114" w:type="dxa"/>
            <w:vAlign w:val="center"/>
          </w:tcPr>
          <w:p w14:paraId="467AB8B4"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0.17</w:t>
            </w:r>
          </w:p>
        </w:tc>
        <w:tc>
          <w:tcPr>
            <w:tcW w:w="1015" w:type="dxa"/>
            <w:vAlign w:val="center"/>
          </w:tcPr>
          <w:p w14:paraId="6D0C9EF0"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0.20</w:t>
            </w:r>
          </w:p>
        </w:tc>
      </w:tr>
      <w:tr w:rsidR="00A10B80" w:rsidRPr="00E31A3C" w14:paraId="4221299E" w14:textId="77777777" w:rsidTr="00A10B80">
        <w:trPr>
          <w:trHeight w:val="317"/>
        </w:trPr>
        <w:tc>
          <w:tcPr>
            <w:tcW w:w="3748" w:type="dxa"/>
          </w:tcPr>
          <w:p w14:paraId="121AB748" w14:textId="77777777" w:rsidR="00A10B80" w:rsidRPr="00E31A3C" w:rsidRDefault="00A10B80" w:rsidP="00A10B80">
            <w:pPr>
              <w:rPr>
                <w:rFonts w:ascii="Times New Roman" w:hAnsi="Times New Roman" w:cs="Times New Roman"/>
                <w:sz w:val="24"/>
                <w:szCs w:val="24"/>
              </w:rPr>
            </w:pPr>
            <w:r w:rsidRPr="00E31A3C">
              <w:rPr>
                <w:rFonts w:ascii="Times New Roman" w:hAnsi="Times New Roman" w:cs="Times New Roman"/>
                <w:sz w:val="24"/>
                <w:szCs w:val="24"/>
              </w:rPr>
              <w:t>Interaction</w:t>
            </w:r>
          </w:p>
        </w:tc>
        <w:tc>
          <w:tcPr>
            <w:tcW w:w="1013" w:type="dxa"/>
            <w:vAlign w:val="center"/>
          </w:tcPr>
          <w:p w14:paraId="25F60A3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6AF3B221"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22059261"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4ACD466A"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40132CA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3AA585F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7B12545C"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093B4DA1"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431DC4DF"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5" w:type="dxa"/>
            <w:vAlign w:val="center"/>
          </w:tcPr>
          <w:p w14:paraId="68167F5E" w14:textId="77777777" w:rsidR="00A10B80" w:rsidRPr="00E31A3C" w:rsidRDefault="00A10B80" w:rsidP="00A10B80">
            <w:pPr>
              <w:jc w:val="center"/>
              <w:rPr>
                <w:rFonts w:ascii="Times New Roman" w:hAnsi="Times New Roman" w:cs="Times New Roman"/>
                <w:sz w:val="24"/>
                <w:szCs w:val="24"/>
              </w:rPr>
            </w:pPr>
            <w:r w:rsidRPr="00E31A3C">
              <w:rPr>
                <w:rFonts w:ascii="Times New Roman" w:hAnsi="Times New Roman" w:cs="Times New Roman"/>
                <w:sz w:val="24"/>
                <w:szCs w:val="24"/>
              </w:rPr>
              <w:t>NS</w:t>
            </w:r>
          </w:p>
        </w:tc>
      </w:tr>
    </w:tbl>
    <w:p w14:paraId="07F07EC1" w14:textId="0606A11A" w:rsidR="00A10B80" w:rsidRPr="00E31A3C" w:rsidRDefault="00A10B80" w:rsidP="00A10B80">
      <w:pPr>
        <w:rPr>
          <w:color w:val="auto"/>
          <w:szCs w:val="24"/>
        </w:rPr>
      </w:pPr>
      <w:r w:rsidRPr="00E31A3C">
        <w:rPr>
          <w:color w:val="auto"/>
          <w:szCs w:val="24"/>
        </w:rPr>
        <w:t xml:space="preserve">Table </w:t>
      </w:r>
      <w:r w:rsidR="00E15242">
        <w:rPr>
          <w:color w:val="auto"/>
          <w:szCs w:val="24"/>
        </w:rPr>
        <w:t>1</w:t>
      </w:r>
      <w:r w:rsidRPr="00E31A3C">
        <w:rPr>
          <w:color w:val="auto"/>
          <w:szCs w:val="24"/>
        </w:rPr>
        <w:t>: Effect of crop establishment methods and nutrient management on Leaf area index of rice.</w:t>
      </w:r>
    </w:p>
    <w:p w14:paraId="3D55BDE1" w14:textId="77777777" w:rsidR="00A10B80" w:rsidRPr="00E31A3C" w:rsidRDefault="00A10B80" w:rsidP="00EC4705">
      <w:pPr>
        <w:ind w:firstLine="0"/>
        <w:rPr>
          <w:b/>
          <w:bCs/>
          <w:color w:val="auto"/>
        </w:rPr>
      </w:pPr>
    </w:p>
    <w:p w14:paraId="58950B96" w14:textId="3CEE318A" w:rsidR="00492B89" w:rsidRPr="00E31A3C" w:rsidRDefault="00492B89" w:rsidP="00EC4705">
      <w:pPr>
        <w:ind w:firstLine="0"/>
        <w:rPr>
          <w:b/>
          <w:bCs/>
          <w:color w:val="auto"/>
        </w:rPr>
      </w:pPr>
    </w:p>
    <w:p w14:paraId="533BEC89" w14:textId="6D1244AF" w:rsidR="00A10B80" w:rsidRPr="00E31A3C" w:rsidRDefault="00A10B80" w:rsidP="004700DB">
      <w:pPr>
        <w:ind w:hanging="630"/>
        <w:rPr>
          <w:b/>
          <w:bCs/>
          <w:color w:val="auto"/>
        </w:rPr>
        <w:sectPr w:rsidR="00A10B80" w:rsidRPr="00E31A3C" w:rsidSect="00A10B80">
          <w:pgSz w:w="16838" w:h="11906" w:orient="landscape" w:code="9"/>
          <w:pgMar w:top="1699" w:right="2275" w:bottom="2275" w:left="2275" w:header="706" w:footer="706" w:gutter="0"/>
          <w:cols w:space="708"/>
          <w:docGrid w:linePitch="360"/>
        </w:sectPr>
      </w:pPr>
    </w:p>
    <w:p w14:paraId="5A182C56" w14:textId="7088A34A" w:rsidR="00A10B80" w:rsidRPr="00E31A3C" w:rsidRDefault="00A10B80" w:rsidP="00EC4705">
      <w:pPr>
        <w:ind w:firstLine="0"/>
        <w:rPr>
          <w:b/>
          <w:bCs/>
          <w:color w:val="auto"/>
        </w:rPr>
      </w:pPr>
      <w:r w:rsidRPr="00E31A3C">
        <w:rPr>
          <w:noProof/>
          <w:color w:val="auto"/>
        </w:rPr>
        <w:lastRenderedPageBreak/>
        <w:drawing>
          <wp:inline distT="0" distB="0" distL="0" distR="0" wp14:anchorId="44ED2FF7" wp14:editId="5307F332">
            <wp:extent cx="3887755" cy="1766596"/>
            <wp:effectExtent l="0" t="0" r="17780" b="5080"/>
            <wp:docPr id="768839506" name="Chart 1">
              <a:extLst xmlns:a="http://schemas.openxmlformats.org/drawingml/2006/main">
                <a:ext uri="{FF2B5EF4-FFF2-40B4-BE49-F238E27FC236}">
                  <a16:creationId xmlns:a16="http://schemas.microsoft.com/office/drawing/2014/main" id="{7F95C48F-7D99-14E1-C5E8-B4DF1BA4DB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B93481E" w14:textId="5E5C3E3B" w:rsidR="00A10B80" w:rsidRPr="00E31A3C" w:rsidRDefault="00A10B80" w:rsidP="00EC4705">
      <w:pPr>
        <w:ind w:firstLine="0"/>
        <w:rPr>
          <w:b/>
          <w:bCs/>
          <w:color w:val="auto"/>
        </w:rPr>
      </w:pPr>
      <w:r w:rsidRPr="00E31A3C">
        <w:rPr>
          <w:b/>
          <w:bCs/>
          <w:color w:val="auto"/>
        </w:rPr>
        <w:t xml:space="preserve">Fig. 1: Effect of </w:t>
      </w:r>
      <w:r w:rsidRPr="00E31A3C">
        <w:rPr>
          <w:b/>
          <w:bCs/>
          <w:color w:val="auto"/>
          <w:szCs w:val="24"/>
        </w:rPr>
        <w:t>crop establishment methods on Leaf area index of rice in 2024.</w:t>
      </w:r>
    </w:p>
    <w:p w14:paraId="519ECC9F" w14:textId="3E32065D" w:rsidR="00A10B80" w:rsidRPr="00E31A3C" w:rsidRDefault="00A10B80" w:rsidP="00EC4705">
      <w:pPr>
        <w:ind w:firstLine="0"/>
        <w:rPr>
          <w:b/>
          <w:bCs/>
          <w:color w:val="auto"/>
        </w:rPr>
      </w:pPr>
      <w:r w:rsidRPr="00E31A3C">
        <w:rPr>
          <w:noProof/>
          <w:color w:val="auto"/>
        </w:rPr>
        <w:drawing>
          <wp:inline distT="0" distB="0" distL="0" distR="0" wp14:anchorId="202AE33F" wp14:editId="6B8FEB6B">
            <wp:extent cx="3893975" cy="1859280"/>
            <wp:effectExtent l="0" t="0" r="11430" b="7620"/>
            <wp:docPr id="1939262576" name="Chart 1">
              <a:extLst xmlns:a="http://schemas.openxmlformats.org/drawingml/2006/main">
                <a:ext uri="{FF2B5EF4-FFF2-40B4-BE49-F238E27FC236}">
                  <a16:creationId xmlns:a16="http://schemas.microsoft.com/office/drawing/2014/main" id="{C4F017B9-3FFB-B4B3-8055-FA4181DD8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10DB4C" w14:textId="2A61E020" w:rsidR="00A10B80" w:rsidRPr="00E31A3C" w:rsidRDefault="00A10B80" w:rsidP="00A10B80">
      <w:pPr>
        <w:ind w:firstLine="0"/>
        <w:rPr>
          <w:b/>
          <w:bCs/>
          <w:color w:val="auto"/>
          <w:szCs w:val="24"/>
        </w:rPr>
      </w:pPr>
      <w:r w:rsidRPr="00E31A3C">
        <w:rPr>
          <w:b/>
          <w:bCs/>
          <w:color w:val="auto"/>
        </w:rPr>
        <w:t xml:space="preserve">Fig. 2: Effect of </w:t>
      </w:r>
      <w:r w:rsidRPr="00E31A3C">
        <w:rPr>
          <w:b/>
          <w:bCs/>
          <w:color w:val="auto"/>
          <w:szCs w:val="24"/>
        </w:rPr>
        <w:t>crop establishment methods on Leaf area index of rice in 2025.</w:t>
      </w:r>
    </w:p>
    <w:p w14:paraId="34112803" w14:textId="77777777" w:rsidR="000426FC" w:rsidRPr="00E31A3C" w:rsidRDefault="000426FC" w:rsidP="00A10B80">
      <w:pPr>
        <w:ind w:firstLine="0"/>
        <w:rPr>
          <w:b/>
          <w:bCs/>
          <w:color w:val="auto"/>
          <w:szCs w:val="24"/>
        </w:rPr>
      </w:pPr>
    </w:p>
    <w:p w14:paraId="4C02C37F" w14:textId="1844A9B2" w:rsidR="000426FC" w:rsidRPr="00E31A3C" w:rsidRDefault="000426FC" w:rsidP="00A10B80">
      <w:pPr>
        <w:ind w:firstLine="0"/>
        <w:rPr>
          <w:b/>
          <w:bCs/>
          <w:color w:val="auto"/>
          <w:szCs w:val="24"/>
        </w:rPr>
      </w:pPr>
      <w:r w:rsidRPr="00E31A3C">
        <w:rPr>
          <w:noProof/>
          <w:color w:val="auto"/>
        </w:rPr>
        <w:drawing>
          <wp:inline distT="0" distB="0" distL="0" distR="0" wp14:anchorId="1D2EBF00" wp14:editId="6436873B">
            <wp:extent cx="5218922" cy="2220685"/>
            <wp:effectExtent l="0" t="0" r="1270" b="8255"/>
            <wp:docPr id="2116255868" name="Chart 1">
              <a:extLst xmlns:a="http://schemas.openxmlformats.org/drawingml/2006/main">
                <a:ext uri="{FF2B5EF4-FFF2-40B4-BE49-F238E27FC236}">
                  <a16:creationId xmlns:a16="http://schemas.microsoft.com/office/drawing/2014/main" id="{6412F5ED-F550-08FA-E74D-541E4EBE82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BC6602" w14:textId="2D0A10D9" w:rsidR="000426FC" w:rsidRPr="00E31A3C" w:rsidRDefault="000426FC" w:rsidP="000426FC">
      <w:pPr>
        <w:ind w:firstLine="0"/>
        <w:rPr>
          <w:b/>
          <w:bCs/>
          <w:color w:val="auto"/>
        </w:rPr>
      </w:pPr>
      <w:r w:rsidRPr="00E31A3C">
        <w:rPr>
          <w:b/>
          <w:bCs/>
          <w:color w:val="auto"/>
        </w:rPr>
        <w:t xml:space="preserve">Fig. 3: Effect of </w:t>
      </w:r>
      <w:r w:rsidRPr="00E31A3C">
        <w:rPr>
          <w:b/>
          <w:bCs/>
          <w:color w:val="auto"/>
          <w:szCs w:val="24"/>
        </w:rPr>
        <w:t>nutrient management on Leaf area index of rice in 2024.</w:t>
      </w:r>
    </w:p>
    <w:p w14:paraId="30D6D651" w14:textId="1D74465F" w:rsidR="00A10B80" w:rsidRPr="00E31A3C" w:rsidRDefault="00A10B80" w:rsidP="00EC4705">
      <w:pPr>
        <w:ind w:firstLine="0"/>
        <w:rPr>
          <w:b/>
          <w:bCs/>
          <w:color w:val="auto"/>
        </w:rPr>
      </w:pPr>
      <w:r w:rsidRPr="00E31A3C">
        <w:rPr>
          <w:noProof/>
          <w:color w:val="auto"/>
        </w:rPr>
        <w:t xml:space="preserve">    </w:t>
      </w:r>
    </w:p>
    <w:p w14:paraId="45D2837B" w14:textId="77777777" w:rsidR="00A10B80" w:rsidRPr="00E31A3C" w:rsidRDefault="00A10B80" w:rsidP="00EC4705">
      <w:pPr>
        <w:ind w:firstLine="0"/>
        <w:rPr>
          <w:b/>
          <w:bCs/>
          <w:color w:val="auto"/>
        </w:rPr>
      </w:pPr>
    </w:p>
    <w:p w14:paraId="1456278B" w14:textId="609AEB64" w:rsidR="00A10B80" w:rsidRPr="00E31A3C" w:rsidRDefault="000426FC" w:rsidP="00EC4705">
      <w:pPr>
        <w:ind w:firstLine="0"/>
        <w:rPr>
          <w:b/>
          <w:bCs/>
          <w:color w:val="auto"/>
        </w:rPr>
      </w:pPr>
      <w:r w:rsidRPr="00E31A3C">
        <w:rPr>
          <w:noProof/>
          <w:color w:val="auto"/>
        </w:rPr>
        <w:lastRenderedPageBreak/>
        <w:drawing>
          <wp:inline distT="0" distB="0" distL="0" distR="0" wp14:anchorId="324536F7" wp14:editId="3AAA5EC9">
            <wp:extent cx="4858138" cy="2214245"/>
            <wp:effectExtent l="0" t="0" r="0" b="14605"/>
            <wp:docPr id="778805297" name="Chart 1">
              <a:extLst xmlns:a="http://schemas.openxmlformats.org/drawingml/2006/main">
                <a:ext uri="{FF2B5EF4-FFF2-40B4-BE49-F238E27FC236}">
                  <a16:creationId xmlns:a16="http://schemas.microsoft.com/office/drawing/2014/main" id="{7625A789-991A-C21C-8A78-3E414CEA2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C1353F" w14:textId="1071EEA0" w:rsidR="0073229B" w:rsidRPr="00E31A3C" w:rsidRDefault="000426FC" w:rsidP="0073229B">
      <w:pPr>
        <w:ind w:firstLine="0"/>
        <w:rPr>
          <w:b/>
          <w:bCs/>
          <w:color w:val="auto"/>
        </w:rPr>
      </w:pPr>
      <w:r w:rsidRPr="00E31A3C">
        <w:rPr>
          <w:b/>
          <w:bCs/>
          <w:color w:val="auto"/>
        </w:rPr>
        <w:t>Fig. 4: Effect of</w:t>
      </w:r>
      <w:r w:rsidRPr="00E31A3C">
        <w:rPr>
          <w:b/>
          <w:bCs/>
          <w:color w:val="auto"/>
          <w:szCs w:val="24"/>
        </w:rPr>
        <w:t xml:space="preserve"> nutrient management on Leaf area index of rice in 2025.</w:t>
      </w:r>
    </w:p>
    <w:p w14:paraId="03968E55" w14:textId="77777777" w:rsidR="005408B5" w:rsidRPr="00E31A3C" w:rsidRDefault="005408B5" w:rsidP="005408B5">
      <w:pPr>
        <w:spacing w:line="240" w:lineRule="auto"/>
        <w:ind w:firstLine="0"/>
        <w:rPr>
          <w:color w:val="auto"/>
          <w:lang w:val="en-US"/>
        </w:rPr>
      </w:pPr>
      <w:r w:rsidRPr="00E31A3C">
        <w:rPr>
          <w:color w:val="auto"/>
          <w:lang w:val="en-US"/>
        </w:rPr>
        <w:t>Harvest-125 DAS, STCR (TY-75 q ha</w:t>
      </w:r>
      <w:r w:rsidRPr="00E31A3C">
        <w:rPr>
          <w:color w:val="auto"/>
          <w:vertAlign w:val="superscript"/>
          <w:lang w:val="en-US"/>
        </w:rPr>
        <w:t>-1</w:t>
      </w:r>
      <w:r w:rsidRPr="00E31A3C">
        <w:rPr>
          <w:color w:val="auto"/>
          <w:lang w:val="en-US"/>
        </w:rPr>
        <w:t>) recorded highest NAR (0.90 and 0.84 g m</w:t>
      </w:r>
      <w:r w:rsidRPr="00E31A3C">
        <w:rPr>
          <w:color w:val="auto"/>
          <w:vertAlign w:val="superscript"/>
          <w:lang w:val="en-US"/>
        </w:rPr>
        <w:t>-2</w:t>
      </w:r>
      <w:r w:rsidRPr="00E31A3C">
        <w:rPr>
          <w:color w:val="auto"/>
          <w:lang w:val="en-US"/>
        </w:rPr>
        <w:t xml:space="preserve"> day</w:t>
      </w:r>
      <w:r w:rsidRPr="00E31A3C">
        <w:rPr>
          <w:color w:val="auto"/>
          <w:vertAlign w:val="superscript"/>
          <w:lang w:val="en-US"/>
        </w:rPr>
        <w:t>-1</w:t>
      </w:r>
      <w:r w:rsidRPr="00E31A3C">
        <w:rPr>
          <w:color w:val="auto"/>
          <w:lang w:val="en-US"/>
        </w:rPr>
        <w:t>) during 2024 and 2025, respectively, being at par with RDF and NE (TY-85 q ha</w:t>
      </w:r>
      <w:r w:rsidRPr="00E31A3C">
        <w:rPr>
          <w:color w:val="auto"/>
          <w:vertAlign w:val="superscript"/>
          <w:lang w:val="en-US"/>
        </w:rPr>
        <w:t>-1</w:t>
      </w:r>
      <w:r w:rsidRPr="00E31A3C">
        <w:rPr>
          <w:color w:val="auto"/>
          <w:lang w:val="en-US"/>
        </w:rPr>
        <w:t>). The interaction effect of establishment methods and precision nutrient management treatments on NAR was non-significant.</w:t>
      </w:r>
    </w:p>
    <w:p w14:paraId="4F06E197" w14:textId="1C895C98" w:rsidR="0073229B" w:rsidRPr="00E31A3C" w:rsidRDefault="005408B5" w:rsidP="005408B5">
      <w:pPr>
        <w:spacing w:line="240" w:lineRule="auto"/>
        <w:ind w:firstLine="0"/>
        <w:rPr>
          <w:b/>
          <w:bCs/>
          <w:color w:val="auto"/>
        </w:rPr>
      </w:pPr>
      <w:r w:rsidRPr="00E31A3C">
        <w:rPr>
          <w:b/>
          <w:bCs/>
          <w:color w:val="auto"/>
        </w:rPr>
        <w:t>Discussion</w:t>
      </w:r>
    </w:p>
    <w:p w14:paraId="6A90AABE" w14:textId="068668C5" w:rsidR="005408B5" w:rsidRPr="00E31A3C" w:rsidRDefault="005408B5" w:rsidP="005408B5">
      <w:pPr>
        <w:spacing w:line="240" w:lineRule="auto"/>
        <w:rPr>
          <w:color w:val="auto"/>
          <w:lang w:val="en-US"/>
        </w:rPr>
      </w:pPr>
      <w:r w:rsidRPr="00E31A3C">
        <w:rPr>
          <w:color w:val="auto"/>
        </w:rPr>
        <w:t xml:space="preserve">The leaf area index is an important metric in agriculture that quantifies canopy coverage per unit of ground area, therefore acting as a direct measure of plant health and development. It provides information about the capacity of canopy to absorb solar radiation for biomass production, quantifies the transpiration rates and describes the </w:t>
      </w:r>
      <w:r w:rsidR="00710DF4" w:rsidRPr="00E31A3C">
        <w:rPr>
          <w:color w:val="auto"/>
        </w:rPr>
        <w:t>effect</w:t>
      </w:r>
      <w:r w:rsidRPr="00E31A3C">
        <w:rPr>
          <w:color w:val="auto"/>
        </w:rPr>
        <w:t xml:space="preserve"> of crop management strategies on crop growth. </w:t>
      </w:r>
      <w:r w:rsidRPr="00E31A3C">
        <w:rPr>
          <w:color w:val="auto"/>
          <w:lang w:val="en-US"/>
        </w:rPr>
        <w:t xml:space="preserve">LAI is a measure of proportionate canopy coverage over ground. The incident radiations and net photosynthesis by the crop is largely depended on the LAI and canopy structure. The highest LAI recorded under transplanted rice over DSR is due to the better canopy development, leaf expansion, reduced weed competition and higher tiller production (Singh </w:t>
      </w:r>
      <w:r w:rsidRPr="00E31A3C">
        <w:rPr>
          <w:i/>
          <w:iCs/>
          <w:color w:val="auto"/>
          <w:lang w:val="en-US"/>
        </w:rPr>
        <w:t>et al</w:t>
      </w:r>
      <w:r w:rsidRPr="00E31A3C">
        <w:rPr>
          <w:color w:val="auto"/>
          <w:lang w:val="en-US"/>
        </w:rPr>
        <w:t xml:space="preserve">., 2022). The improved soil moisture, better root growth facilitated in better nutrient availability, utilization and lower nutrient losses under puddled conditions positively enhanced photosynthetic rate and </w:t>
      </w:r>
      <w:proofErr w:type="gramStart"/>
      <w:r w:rsidRPr="00E31A3C">
        <w:rPr>
          <w:color w:val="auto"/>
          <w:lang w:val="en-US"/>
        </w:rPr>
        <w:t>overall</w:t>
      </w:r>
      <w:proofErr w:type="gramEnd"/>
      <w:r w:rsidRPr="00E31A3C">
        <w:rPr>
          <w:color w:val="auto"/>
          <w:lang w:val="en-US"/>
        </w:rPr>
        <w:t xml:space="preserve"> LAI and subsequently CGR, RGR and NAR of the crop due to better assimilate production and higher DMA. Results are in line with Samant </w:t>
      </w:r>
      <w:r w:rsidRPr="00E31A3C">
        <w:rPr>
          <w:i/>
          <w:iCs/>
          <w:color w:val="auto"/>
          <w:lang w:val="en-US"/>
        </w:rPr>
        <w:t>et al</w:t>
      </w:r>
      <w:r w:rsidRPr="00E31A3C">
        <w:rPr>
          <w:color w:val="auto"/>
          <w:lang w:val="en-US"/>
        </w:rPr>
        <w:t xml:space="preserve">., 2022; Vishnu </w:t>
      </w:r>
      <w:r w:rsidRPr="00E31A3C">
        <w:rPr>
          <w:i/>
          <w:iCs/>
          <w:color w:val="auto"/>
          <w:lang w:val="en-US"/>
        </w:rPr>
        <w:t>et al</w:t>
      </w:r>
      <w:r w:rsidRPr="00E31A3C">
        <w:rPr>
          <w:color w:val="auto"/>
          <w:lang w:val="en-US"/>
        </w:rPr>
        <w:t>., 2020.</w:t>
      </w:r>
      <w:r w:rsidR="005F0844" w:rsidRPr="00E31A3C">
        <w:rPr>
          <w:color w:val="auto"/>
          <w:lang w:val="en-US"/>
        </w:rPr>
        <w:t xml:space="preserve"> Among nutrient management treatments, STCR (TY-95 q ha</w:t>
      </w:r>
      <w:r w:rsidR="005F0844" w:rsidRPr="00E31A3C">
        <w:rPr>
          <w:color w:val="auto"/>
          <w:vertAlign w:val="superscript"/>
          <w:lang w:val="en-US"/>
        </w:rPr>
        <w:t>-1</w:t>
      </w:r>
      <w:r w:rsidR="005F0844" w:rsidRPr="00E31A3C">
        <w:rPr>
          <w:color w:val="auto"/>
          <w:lang w:val="en-US"/>
        </w:rPr>
        <w:t>) acquired significantly higher LAI values at all growth stages and was at par with STCR (TY-95 q ha</w:t>
      </w:r>
      <w:r w:rsidR="005F0844" w:rsidRPr="00E31A3C">
        <w:rPr>
          <w:color w:val="auto"/>
          <w:vertAlign w:val="superscript"/>
          <w:lang w:val="en-US"/>
        </w:rPr>
        <w:t>-1</w:t>
      </w:r>
      <w:r w:rsidR="005F0844" w:rsidRPr="00E31A3C">
        <w:rPr>
          <w:color w:val="auto"/>
          <w:lang w:val="en-US"/>
        </w:rPr>
        <w:t>) owing to the highest nutrient inputs and better synchronization of nutrient availability with crop demand, which enhanced vegetative growth and canopy expansion.</w:t>
      </w:r>
    </w:p>
    <w:p w14:paraId="49E22581" w14:textId="2E961187" w:rsidR="005F0844" w:rsidRPr="00E31A3C" w:rsidRDefault="005F0844" w:rsidP="005408B5">
      <w:pPr>
        <w:spacing w:line="240" w:lineRule="auto"/>
        <w:rPr>
          <w:color w:val="auto"/>
          <w:lang w:val="en-US"/>
        </w:rPr>
        <w:sectPr w:rsidR="005F0844" w:rsidRPr="00E31A3C" w:rsidSect="00A10B80">
          <w:pgSz w:w="11906" w:h="16838" w:code="9"/>
          <w:pgMar w:top="2275" w:right="1699" w:bottom="2275" w:left="2275" w:header="706" w:footer="706" w:gutter="0"/>
          <w:cols w:space="708"/>
          <w:docGrid w:linePitch="360"/>
        </w:sectPr>
      </w:pPr>
      <w:r w:rsidRPr="00E31A3C">
        <w:rPr>
          <w:color w:val="auto"/>
          <w:lang w:val="en-US"/>
        </w:rPr>
        <w:t xml:space="preserve"> Adequate nitrogen supply promotes cell division, elongation and chlorophyll synthesis which results in larger leaf size, increased tiller and leaf number, delayed senescence which contributed to enhanced LAI. It was found that LAI, CGR, RGR and NAR was higher at early growth stages and subsequently declined at the later stages which can be attributed to leaf senescence, shading effect</w:t>
      </w:r>
    </w:p>
    <w:p w14:paraId="120816D1" w14:textId="289630DA" w:rsidR="00447541" w:rsidRPr="00E31A3C" w:rsidRDefault="009801CE" w:rsidP="009801CE">
      <w:pPr>
        <w:rPr>
          <w:color w:val="auto"/>
          <w:szCs w:val="24"/>
        </w:rPr>
      </w:pPr>
      <w:r w:rsidRPr="00E31A3C">
        <w:rPr>
          <w:color w:val="auto"/>
          <w:szCs w:val="24"/>
        </w:rPr>
        <w:lastRenderedPageBreak/>
        <w:t xml:space="preserve">Table </w:t>
      </w:r>
      <w:r w:rsidR="00E15242">
        <w:rPr>
          <w:color w:val="auto"/>
          <w:szCs w:val="24"/>
        </w:rPr>
        <w:t>2</w:t>
      </w:r>
      <w:r w:rsidRPr="00E31A3C">
        <w:rPr>
          <w:color w:val="auto"/>
          <w:szCs w:val="24"/>
        </w:rPr>
        <w:t>: Effect of crop establishment methods and nutrient management on crop growth rate (g m</w:t>
      </w:r>
      <w:r w:rsidRPr="00E31A3C">
        <w:rPr>
          <w:color w:val="auto"/>
          <w:szCs w:val="24"/>
          <w:vertAlign w:val="superscript"/>
        </w:rPr>
        <w:t xml:space="preserve">-2 </w:t>
      </w:r>
      <w:r w:rsidRPr="00E31A3C">
        <w:rPr>
          <w:color w:val="auto"/>
          <w:szCs w:val="24"/>
        </w:rPr>
        <w:t>day</w:t>
      </w:r>
      <w:r w:rsidRPr="00E31A3C">
        <w:rPr>
          <w:color w:val="auto"/>
          <w:szCs w:val="24"/>
          <w:vertAlign w:val="superscript"/>
        </w:rPr>
        <w:t>-1</w:t>
      </w:r>
      <w:r w:rsidRPr="00E31A3C">
        <w:rPr>
          <w:color w:val="auto"/>
          <w:szCs w:val="24"/>
        </w:rPr>
        <w:t>) of rice.</w:t>
      </w:r>
    </w:p>
    <w:tbl>
      <w:tblPr>
        <w:tblStyle w:val="TableGrid"/>
        <w:tblW w:w="14183" w:type="dxa"/>
        <w:tblInd w:w="-1085" w:type="dxa"/>
        <w:tblLayout w:type="fixed"/>
        <w:tblLook w:val="04A0" w:firstRow="1" w:lastRow="0" w:firstColumn="1" w:lastColumn="0" w:noHBand="0" w:noVBand="1"/>
      </w:tblPr>
      <w:tblGrid>
        <w:gridCol w:w="3748"/>
        <w:gridCol w:w="1013"/>
        <w:gridCol w:w="1013"/>
        <w:gridCol w:w="1013"/>
        <w:gridCol w:w="1114"/>
        <w:gridCol w:w="1013"/>
        <w:gridCol w:w="1013"/>
        <w:gridCol w:w="1114"/>
        <w:gridCol w:w="1013"/>
        <w:gridCol w:w="1114"/>
        <w:gridCol w:w="1015"/>
      </w:tblGrid>
      <w:tr w:rsidR="009801CE" w:rsidRPr="00E31A3C" w14:paraId="354C30EB" w14:textId="77777777" w:rsidTr="00A666EE">
        <w:trPr>
          <w:trHeight w:val="317"/>
        </w:trPr>
        <w:tc>
          <w:tcPr>
            <w:tcW w:w="3748" w:type="dxa"/>
            <w:vMerge w:val="restart"/>
          </w:tcPr>
          <w:p w14:paraId="228574CE"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Treatments</w:t>
            </w:r>
          </w:p>
        </w:tc>
        <w:tc>
          <w:tcPr>
            <w:tcW w:w="2026" w:type="dxa"/>
            <w:gridSpan w:val="2"/>
          </w:tcPr>
          <w:p w14:paraId="74DEC4D8"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 xml:space="preserve">45-65 DAS </w:t>
            </w:r>
          </w:p>
        </w:tc>
        <w:tc>
          <w:tcPr>
            <w:tcW w:w="2127" w:type="dxa"/>
            <w:gridSpan w:val="2"/>
          </w:tcPr>
          <w:p w14:paraId="213293A6"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65-85 DAS</w:t>
            </w:r>
          </w:p>
        </w:tc>
        <w:tc>
          <w:tcPr>
            <w:tcW w:w="2026" w:type="dxa"/>
            <w:gridSpan w:val="2"/>
          </w:tcPr>
          <w:p w14:paraId="2C57007A"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 xml:space="preserve"> 105-85 DAS</w:t>
            </w:r>
          </w:p>
        </w:tc>
        <w:tc>
          <w:tcPr>
            <w:tcW w:w="2127" w:type="dxa"/>
            <w:gridSpan w:val="2"/>
          </w:tcPr>
          <w:p w14:paraId="20BA1280"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 xml:space="preserve">125-105 DAS </w:t>
            </w:r>
          </w:p>
        </w:tc>
        <w:tc>
          <w:tcPr>
            <w:tcW w:w="2129" w:type="dxa"/>
            <w:gridSpan w:val="2"/>
          </w:tcPr>
          <w:p w14:paraId="1D648B99"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 xml:space="preserve">Harvest-125 DAS </w:t>
            </w:r>
          </w:p>
        </w:tc>
      </w:tr>
      <w:tr w:rsidR="009801CE" w:rsidRPr="00E31A3C" w14:paraId="3DDA3A51" w14:textId="77777777" w:rsidTr="00A666EE">
        <w:trPr>
          <w:trHeight w:val="317"/>
        </w:trPr>
        <w:tc>
          <w:tcPr>
            <w:tcW w:w="3748" w:type="dxa"/>
            <w:vMerge/>
          </w:tcPr>
          <w:p w14:paraId="46FD7406" w14:textId="77777777" w:rsidR="009801CE" w:rsidRPr="00E31A3C" w:rsidRDefault="009801CE" w:rsidP="00A666EE">
            <w:pPr>
              <w:rPr>
                <w:rFonts w:ascii="Times New Roman" w:hAnsi="Times New Roman" w:cs="Times New Roman"/>
                <w:sz w:val="24"/>
                <w:szCs w:val="24"/>
              </w:rPr>
            </w:pPr>
          </w:p>
        </w:tc>
        <w:tc>
          <w:tcPr>
            <w:tcW w:w="1013" w:type="dxa"/>
          </w:tcPr>
          <w:p w14:paraId="0458DD0E"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60251184"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013" w:type="dxa"/>
          </w:tcPr>
          <w:p w14:paraId="091DCDF9"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114" w:type="dxa"/>
          </w:tcPr>
          <w:p w14:paraId="577374D7"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013" w:type="dxa"/>
          </w:tcPr>
          <w:p w14:paraId="03563C78"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1E5A6B56"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114" w:type="dxa"/>
          </w:tcPr>
          <w:p w14:paraId="0DD48E5F"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2E669AF8"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114" w:type="dxa"/>
          </w:tcPr>
          <w:p w14:paraId="3153E85F"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5" w:type="dxa"/>
          </w:tcPr>
          <w:p w14:paraId="7B065AE7"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2025</w:t>
            </w:r>
          </w:p>
        </w:tc>
      </w:tr>
      <w:tr w:rsidR="009801CE" w:rsidRPr="00E31A3C" w14:paraId="1B7AFA09" w14:textId="77777777" w:rsidTr="00A666EE">
        <w:trPr>
          <w:trHeight w:val="332"/>
        </w:trPr>
        <w:tc>
          <w:tcPr>
            <w:tcW w:w="14183" w:type="dxa"/>
            <w:gridSpan w:val="11"/>
          </w:tcPr>
          <w:p w14:paraId="77FC0C90"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b/>
                <w:sz w:val="24"/>
                <w:szCs w:val="24"/>
              </w:rPr>
              <w:t>Factor A: Crop Establishment Methods</w:t>
            </w:r>
          </w:p>
        </w:tc>
      </w:tr>
      <w:tr w:rsidR="009801CE" w:rsidRPr="00E31A3C" w14:paraId="0726915E" w14:textId="77777777" w:rsidTr="00A666EE">
        <w:trPr>
          <w:trHeight w:val="317"/>
        </w:trPr>
        <w:tc>
          <w:tcPr>
            <w:tcW w:w="3748" w:type="dxa"/>
          </w:tcPr>
          <w:p w14:paraId="57D6D959"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Transplanting</w:t>
            </w:r>
          </w:p>
        </w:tc>
        <w:tc>
          <w:tcPr>
            <w:tcW w:w="1013" w:type="dxa"/>
            <w:vAlign w:val="center"/>
          </w:tcPr>
          <w:p w14:paraId="685D205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15.36</w:t>
            </w:r>
          </w:p>
        </w:tc>
        <w:tc>
          <w:tcPr>
            <w:tcW w:w="1013" w:type="dxa"/>
            <w:vAlign w:val="center"/>
          </w:tcPr>
          <w:p w14:paraId="57AFABB6"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15.48</w:t>
            </w:r>
          </w:p>
        </w:tc>
        <w:tc>
          <w:tcPr>
            <w:tcW w:w="1013" w:type="dxa"/>
            <w:vAlign w:val="center"/>
          </w:tcPr>
          <w:p w14:paraId="095B3EBC"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27.54</w:t>
            </w:r>
          </w:p>
        </w:tc>
        <w:tc>
          <w:tcPr>
            <w:tcW w:w="1114" w:type="dxa"/>
            <w:vAlign w:val="center"/>
          </w:tcPr>
          <w:p w14:paraId="0C826F1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27.59</w:t>
            </w:r>
          </w:p>
        </w:tc>
        <w:tc>
          <w:tcPr>
            <w:tcW w:w="1013" w:type="dxa"/>
            <w:vAlign w:val="center"/>
          </w:tcPr>
          <w:p w14:paraId="02EB9E9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23.53</w:t>
            </w:r>
          </w:p>
        </w:tc>
        <w:tc>
          <w:tcPr>
            <w:tcW w:w="1013" w:type="dxa"/>
            <w:vAlign w:val="center"/>
          </w:tcPr>
          <w:p w14:paraId="242EEDC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23.7</w:t>
            </w:r>
          </w:p>
        </w:tc>
        <w:tc>
          <w:tcPr>
            <w:tcW w:w="1114" w:type="dxa"/>
            <w:vAlign w:val="center"/>
          </w:tcPr>
          <w:p w14:paraId="3764C19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8.62</w:t>
            </w:r>
          </w:p>
        </w:tc>
        <w:tc>
          <w:tcPr>
            <w:tcW w:w="1013" w:type="dxa"/>
            <w:vAlign w:val="center"/>
          </w:tcPr>
          <w:p w14:paraId="2F64781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8.75</w:t>
            </w:r>
          </w:p>
        </w:tc>
        <w:tc>
          <w:tcPr>
            <w:tcW w:w="1114" w:type="dxa"/>
            <w:vAlign w:val="center"/>
          </w:tcPr>
          <w:p w14:paraId="3C60760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1.35</w:t>
            </w:r>
          </w:p>
        </w:tc>
        <w:tc>
          <w:tcPr>
            <w:tcW w:w="1015" w:type="dxa"/>
            <w:vAlign w:val="center"/>
          </w:tcPr>
          <w:p w14:paraId="5B9BE82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1.33</w:t>
            </w:r>
          </w:p>
        </w:tc>
      </w:tr>
      <w:tr w:rsidR="009801CE" w:rsidRPr="00E31A3C" w14:paraId="1C438B91" w14:textId="77777777" w:rsidTr="00A666EE">
        <w:trPr>
          <w:trHeight w:val="317"/>
        </w:trPr>
        <w:tc>
          <w:tcPr>
            <w:tcW w:w="3748" w:type="dxa"/>
          </w:tcPr>
          <w:p w14:paraId="6DA36B28"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DSR</w:t>
            </w:r>
          </w:p>
        </w:tc>
        <w:tc>
          <w:tcPr>
            <w:tcW w:w="1013" w:type="dxa"/>
            <w:vAlign w:val="center"/>
          </w:tcPr>
          <w:p w14:paraId="3152DD96"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9.04</w:t>
            </w:r>
          </w:p>
        </w:tc>
        <w:tc>
          <w:tcPr>
            <w:tcW w:w="1013" w:type="dxa"/>
            <w:vAlign w:val="center"/>
          </w:tcPr>
          <w:p w14:paraId="530B874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9.08</w:t>
            </w:r>
          </w:p>
        </w:tc>
        <w:tc>
          <w:tcPr>
            <w:tcW w:w="1013" w:type="dxa"/>
            <w:vAlign w:val="center"/>
          </w:tcPr>
          <w:p w14:paraId="7C527D9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24.74</w:t>
            </w:r>
          </w:p>
        </w:tc>
        <w:tc>
          <w:tcPr>
            <w:tcW w:w="1114" w:type="dxa"/>
            <w:vAlign w:val="center"/>
          </w:tcPr>
          <w:p w14:paraId="03A839C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24.85</w:t>
            </w:r>
          </w:p>
        </w:tc>
        <w:tc>
          <w:tcPr>
            <w:tcW w:w="1013" w:type="dxa"/>
            <w:vAlign w:val="center"/>
          </w:tcPr>
          <w:p w14:paraId="67BC9AB8"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21.5</w:t>
            </w:r>
          </w:p>
        </w:tc>
        <w:tc>
          <w:tcPr>
            <w:tcW w:w="1013" w:type="dxa"/>
            <w:vAlign w:val="center"/>
          </w:tcPr>
          <w:p w14:paraId="49887D7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21.6</w:t>
            </w:r>
          </w:p>
        </w:tc>
        <w:tc>
          <w:tcPr>
            <w:tcW w:w="1114" w:type="dxa"/>
            <w:vAlign w:val="center"/>
          </w:tcPr>
          <w:p w14:paraId="14429C1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8.27</w:t>
            </w:r>
          </w:p>
        </w:tc>
        <w:tc>
          <w:tcPr>
            <w:tcW w:w="1013" w:type="dxa"/>
            <w:vAlign w:val="center"/>
          </w:tcPr>
          <w:p w14:paraId="5A6B1856"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8.44</w:t>
            </w:r>
          </w:p>
        </w:tc>
        <w:tc>
          <w:tcPr>
            <w:tcW w:w="1114" w:type="dxa"/>
            <w:vAlign w:val="center"/>
          </w:tcPr>
          <w:p w14:paraId="5991905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0.75</w:t>
            </w:r>
          </w:p>
        </w:tc>
        <w:tc>
          <w:tcPr>
            <w:tcW w:w="1015" w:type="dxa"/>
            <w:vAlign w:val="center"/>
          </w:tcPr>
          <w:p w14:paraId="405BC93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0.68</w:t>
            </w:r>
          </w:p>
        </w:tc>
      </w:tr>
      <w:tr w:rsidR="009801CE" w:rsidRPr="00E31A3C" w14:paraId="26A2BFAD" w14:textId="77777777" w:rsidTr="00A666EE">
        <w:trPr>
          <w:trHeight w:val="317"/>
        </w:trPr>
        <w:tc>
          <w:tcPr>
            <w:tcW w:w="3748" w:type="dxa"/>
          </w:tcPr>
          <w:p w14:paraId="664DF6D1" w14:textId="77777777" w:rsidR="009801CE" w:rsidRPr="00E31A3C" w:rsidRDefault="009801CE" w:rsidP="00A666EE">
            <w:pPr>
              <w:rPr>
                <w:rFonts w:ascii="Times New Roman" w:hAnsi="Times New Roman" w:cs="Times New Roman"/>
                <w:sz w:val="24"/>
                <w:szCs w:val="24"/>
              </w:rPr>
            </w:pPr>
            <w:proofErr w:type="spellStart"/>
            <w:r w:rsidRPr="00E31A3C">
              <w:rPr>
                <w:rFonts w:ascii="Times New Roman" w:hAnsi="Times New Roman" w:cs="Times New Roman"/>
                <w:sz w:val="24"/>
                <w:szCs w:val="24"/>
              </w:rPr>
              <w:t>SeM</w:t>
            </w:r>
            <w:proofErr w:type="spellEnd"/>
            <w:r w:rsidRPr="00E31A3C">
              <w:rPr>
                <w:rFonts w:ascii="Times New Roman" w:hAnsi="Times New Roman" w:cs="Times New Roman"/>
                <w:sz w:val="24"/>
                <w:szCs w:val="24"/>
              </w:rPr>
              <w:t>±</w:t>
            </w:r>
          </w:p>
        </w:tc>
        <w:tc>
          <w:tcPr>
            <w:tcW w:w="1013" w:type="dxa"/>
            <w:vAlign w:val="center"/>
          </w:tcPr>
          <w:p w14:paraId="58029228"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1.14</w:t>
            </w:r>
          </w:p>
        </w:tc>
        <w:tc>
          <w:tcPr>
            <w:tcW w:w="1013" w:type="dxa"/>
            <w:vAlign w:val="center"/>
          </w:tcPr>
          <w:p w14:paraId="75ADE76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1.34</w:t>
            </w:r>
          </w:p>
        </w:tc>
        <w:tc>
          <w:tcPr>
            <w:tcW w:w="1013" w:type="dxa"/>
            <w:vAlign w:val="center"/>
          </w:tcPr>
          <w:p w14:paraId="2B92BF85"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0.98</w:t>
            </w:r>
          </w:p>
        </w:tc>
        <w:tc>
          <w:tcPr>
            <w:tcW w:w="1114" w:type="dxa"/>
            <w:vAlign w:val="center"/>
          </w:tcPr>
          <w:p w14:paraId="37CA233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0.72</w:t>
            </w:r>
          </w:p>
        </w:tc>
        <w:tc>
          <w:tcPr>
            <w:tcW w:w="1013" w:type="dxa"/>
            <w:vAlign w:val="center"/>
          </w:tcPr>
          <w:p w14:paraId="60B5BCE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0.65</w:t>
            </w:r>
          </w:p>
        </w:tc>
        <w:tc>
          <w:tcPr>
            <w:tcW w:w="1013" w:type="dxa"/>
            <w:vAlign w:val="center"/>
          </w:tcPr>
          <w:p w14:paraId="371D1EDF"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0.62</w:t>
            </w:r>
          </w:p>
        </w:tc>
        <w:tc>
          <w:tcPr>
            <w:tcW w:w="1114" w:type="dxa"/>
            <w:vAlign w:val="center"/>
          </w:tcPr>
          <w:p w14:paraId="73361DE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0.04</w:t>
            </w:r>
          </w:p>
        </w:tc>
        <w:tc>
          <w:tcPr>
            <w:tcW w:w="1013" w:type="dxa"/>
            <w:vAlign w:val="center"/>
          </w:tcPr>
          <w:p w14:paraId="7E25753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0.06</w:t>
            </w:r>
          </w:p>
        </w:tc>
        <w:tc>
          <w:tcPr>
            <w:tcW w:w="1114" w:type="dxa"/>
            <w:vAlign w:val="center"/>
          </w:tcPr>
          <w:p w14:paraId="7E0F9506"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0.05</w:t>
            </w:r>
          </w:p>
        </w:tc>
        <w:tc>
          <w:tcPr>
            <w:tcW w:w="1015" w:type="dxa"/>
            <w:vAlign w:val="center"/>
          </w:tcPr>
          <w:p w14:paraId="36D50EB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0.18</w:t>
            </w:r>
          </w:p>
        </w:tc>
      </w:tr>
      <w:tr w:rsidR="009801CE" w:rsidRPr="00E31A3C" w14:paraId="66711F8A" w14:textId="77777777" w:rsidTr="00A666EE">
        <w:trPr>
          <w:trHeight w:val="317"/>
        </w:trPr>
        <w:tc>
          <w:tcPr>
            <w:tcW w:w="3748" w:type="dxa"/>
          </w:tcPr>
          <w:p w14:paraId="4CA01BF9"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CD (p≤0.05)</w:t>
            </w:r>
          </w:p>
        </w:tc>
        <w:tc>
          <w:tcPr>
            <w:tcW w:w="1013" w:type="dxa"/>
            <w:vAlign w:val="center"/>
          </w:tcPr>
          <w:p w14:paraId="355E0E4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3.41</w:t>
            </w:r>
          </w:p>
        </w:tc>
        <w:tc>
          <w:tcPr>
            <w:tcW w:w="1013" w:type="dxa"/>
            <w:vAlign w:val="center"/>
          </w:tcPr>
          <w:p w14:paraId="7456861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4.02</w:t>
            </w:r>
          </w:p>
        </w:tc>
        <w:tc>
          <w:tcPr>
            <w:tcW w:w="1013" w:type="dxa"/>
            <w:vAlign w:val="center"/>
          </w:tcPr>
          <w:p w14:paraId="366236EF"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2.92</w:t>
            </w:r>
          </w:p>
        </w:tc>
        <w:tc>
          <w:tcPr>
            <w:tcW w:w="1114" w:type="dxa"/>
            <w:vAlign w:val="center"/>
          </w:tcPr>
          <w:p w14:paraId="70E232E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2.16</w:t>
            </w:r>
          </w:p>
        </w:tc>
        <w:tc>
          <w:tcPr>
            <w:tcW w:w="1013" w:type="dxa"/>
            <w:vAlign w:val="center"/>
          </w:tcPr>
          <w:p w14:paraId="30C8D8EF"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1.92</w:t>
            </w:r>
          </w:p>
        </w:tc>
        <w:tc>
          <w:tcPr>
            <w:tcW w:w="1013" w:type="dxa"/>
            <w:vAlign w:val="center"/>
          </w:tcPr>
          <w:p w14:paraId="2437280F"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1.85</w:t>
            </w:r>
          </w:p>
        </w:tc>
        <w:tc>
          <w:tcPr>
            <w:tcW w:w="1114" w:type="dxa"/>
            <w:vAlign w:val="center"/>
          </w:tcPr>
          <w:p w14:paraId="73089C1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0.12</w:t>
            </w:r>
          </w:p>
        </w:tc>
        <w:tc>
          <w:tcPr>
            <w:tcW w:w="1013" w:type="dxa"/>
            <w:vAlign w:val="center"/>
          </w:tcPr>
          <w:p w14:paraId="2C5A0E7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0.17</w:t>
            </w:r>
          </w:p>
        </w:tc>
        <w:tc>
          <w:tcPr>
            <w:tcW w:w="1114" w:type="dxa"/>
            <w:vAlign w:val="center"/>
          </w:tcPr>
          <w:p w14:paraId="15EA479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0.15</w:t>
            </w:r>
          </w:p>
        </w:tc>
        <w:tc>
          <w:tcPr>
            <w:tcW w:w="1015" w:type="dxa"/>
            <w:vAlign w:val="center"/>
          </w:tcPr>
          <w:p w14:paraId="57C973E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0.55</w:t>
            </w:r>
          </w:p>
        </w:tc>
      </w:tr>
      <w:tr w:rsidR="009801CE" w:rsidRPr="00E31A3C" w14:paraId="0831F530" w14:textId="77777777" w:rsidTr="00A666EE">
        <w:trPr>
          <w:trHeight w:val="332"/>
        </w:trPr>
        <w:tc>
          <w:tcPr>
            <w:tcW w:w="14183" w:type="dxa"/>
            <w:gridSpan w:val="11"/>
          </w:tcPr>
          <w:p w14:paraId="1CD3E62C"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b/>
                <w:sz w:val="24"/>
                <w:szCs w:val="24"/>
              </w:rPr>
              <w:t>Factor B: Nutrient Management</w:t>
            </w:r>
          </w:p>
        </w:tc>
      </w:tr>
      <w:tr w:rsidR="009801CE" w:rsidRPr="00E31A3C" w14:paraId="009AAB03" w14:textId="77777777" w:rsidTr="00A666EE">
        <w:trPr>
          <w:trHeight w:val="317"/>
        </w:trPr>
        <w:tc>
          <w:tcPr>
            <w:tcW w:w="3748" w:type="dxa"/>
            <w:vAlign w:val="bottom"/>
          </w:tcPr>
          <w:p w14:paraId="7F97E5AF" w14:textId="77777777" w:rsidR="009801CE" w:rsidRPr="00E31A3C" w:rsidRDefault="009801CE" w:rsidP="00A666EE">
            <w:pPr>
              <w:rPr>
                <w:rFonts w:ascii="Times New Roman" w:hAnsi="Times New Roman" w:cs="Times New Roman"/>
                <w:bCs/>
                <w:sz w:val="24"/>
                <w:szCs w:val="24"/>
              </w:rPr>
            </w:pPr>
            <w:r w:rsidRPr="00E31A3C">
              <w:rPr>
                <w:rFonts w:ascii="Times New Roman" w:hAnsi="Times New Roman" w:cs="Times New Roman"/>
                <w:bCs/>
                <w:sz w:val="24"/>
                <w:szCs w:val="24"/>
              </w:rPr>
              <w:t xml:space="preserve">Control </w:t>
            </w:r>
          </w:p>
        </w:tc>
        <w:tc>
          <w:tcPr>
            <w:tcW w:w="1013" w:type="dxa"/>
            <w:vAlign w:val="center"/>
          </w:tcPr>
          <w:p w14:paraId="0153741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5.10</w:t>
            </w:r>
          </w:p>
        </w:tc>
        <w:tc>
          <w:tcPr>
            <w:tcW w:w="1013" w:type="dxa"/>
            <w:vAlign w:val="center"/>
          </w:tcPr>
          <w:p w14:paraId="79989600"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5.17</w:t>
            </w:r>
          </w:p>
        </w:tc>
        <w:tc>
          <w:tcPr>
            <w:tcW w:w="1013" w:type="dxa"/>
            <w:vAlign w:val="center"/>
          </w:tcPr>
          <w:p w14:paraId="6DBF786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15.36</w:t>
            </w:r>
          </w:p>
        </w:tc>
        <w:tc>
          <w:tcPr>
            <w:tcW w:w="1114" w:type="dxa"/>
            <w:vAlign w:val="center"/>
          </w:tcPr>
          <w:p w14:paraId="657C180F"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15.44</w:t>
            </w:r>
          </w:p>
        </w:tc>
        <w:tc>
          <w:tcPr>
            <w:tcW w:w="1013" w:type="dxa"/>
            <w:vAlign w:val="center"/>
          </w:tcPr>
          <w:p w14:paraId="64B3DA4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13.17</w:t>
            </w:r>
          </w:p>
        </w:tc>
        <w:tc>
          <w:tcPr>
            <w:tcW w:w="1013" w:type="dxa"/>
            <w:vAlign w:val="center"/>
          </w:tcPr>
          <w:p w14:paraId="62C9C60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13.26</w:t>
            </w:r>
          </w:p>
        </w:tc>
        <w:tc>
          <w:tcPr>
            <w:tcW w:w="1114" w:type="dxa"/>
            <w:vAlign w:val="center"/>
          </w:tcPr>
          <w:p w14:paraId="71BF24D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7.25</w:t>
            </w:r>
          </w:p>
        </w:tc>
        <w:tc>
          <w:tcPr>
            <w:tcW w:w="1013" w:type="dxa"/>
            <w:vAlign w:val="center"/>
          </w:tcPr>
          <w:p w14:paraId="4CF5BA6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7.36</w:t>
            </w:r>
          </w:p>
        </w:tc>
        <w:tc>
          <w:tcPr>
            <w:tcW w:w="1114" w:type="dxa"/>
            <w:vAlign w:val="center"/>
          </w:tcPr>
          <w:p w14:paraId="09FBE665"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0.68</w:t>
            </w:r>
          </w:p>
        </w:tc>
        <w:tc>
          <w:tcPr>
            <w:tcW w:w="1015" w:type="dxa"/>
            <w:vAlign w:val="center"/>
          </w:tcPr>
          <w:p w14:paraId="1FC26B4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0.61</w:t>
            </w:r>
          </w:p>
        </w:tc>
      </w:tr>
      <w:tr w:rsidR="009801CE" w:rsidRPr="00E31A3C" w14:paraId="3206674F" w14:textId="77777777" w:rsidTr="00A666EE">
        <w:trPr>
          <w:trHeight w:val="317"/>
        </w:trPr>
        <w:tc>
          <w:tcPr>
            <w:tcW w:w="3748" w:type="dxa"/>
            <w:vAlign w:val="bottom"/>
          </w:tcPr>
          <w:p w14:paraId="489F3D40" w14:textId="77777777" w:rsidR="009801CE" w:rsidRPr="00E31A3C" w:rsidRDefault="009801CE" w:rsidP="00A666EE">
            <w:pPr>
              <w:rPr>
                <w:rFonts w:ascii="Times New Roman" w:hAnsi="Times New Roman" w:cs="Times New Roman"/>
                <w:bCs/>
                <w:sz w:val="24"/>
                <w:szCs w:val="24"/>
              </w:rPr>
            </w:pPr>
            <w:r w:rsidRPr="00E31A3C">
              <w:rPr>
                <w:rFonts w:ascii="Times New Roman" w:hAnsi="Times New Roman" w:cs="Times New Roman"/>
                <w:bCs/>
                <w:sz w:val="24"/>
                <w:szCs w:val="24"/>
              </w:rPr>
              <w:t>RDF (N</w:t>
            </w:r>
            <w:r w:rsidRPr="00E31A3C">
              <w:rPr>
                <w:rFonts w:ascii="Times New Roman" w:hAnsi="Times New Roman" w:cs="Times New Roman"/>
                <w:sz w:val="24"/>
                <w:szCs w:val="24"/>
                <w:vertAlign w:val="subscript"/>
              </w:rPr>
              <w:t>120</w:t>
            </w:r>
            <w:r w:rsidRPr="00E31A3C">
              <w:rPr>
                <w:rFonts w:ascii="Times New Roman" w:hAnsi="Times New Roman" w:cs="Times New Roman"/>
                <w:bCs/>
                <w:sz w:val="24"/>
                <w:szCs w:val="24"/>
              </w:rPr>
              <w:t>P</w:t>
            </w:r>
            <w:r w:rsidRPr="00E31A3C">
              <w:rPr>
                <w:rFonts w:ascii="Times New Roman" w:hAnsi="Times New Roman" w:cs="Times New Roman"/>
                <w:sz w:val="24"/>
                <w:szCs w:val="24"/>
                <w:vertAlign w:val="subscript"/>
              </w:rPr>
              <w:t>60</w:t>
            </w:r>
            <w:r w:rsidRPr="00E31A3C">
              <w:rPr>
                <w:rFonts w:ascii="Times New Roman" w:hAnsi="Times New Roman" w:cs="Times New Roman"/>
                <w:bCs/>
                <w:sz w:val="24"/>
                <w:szCs w:val="24"/>
              </w:rPr>
              <w:t>K</w:t>
            </w:r>
            <w:r w:rsidRPr="00E31A3C">
              <w:rPr>
                <w:rFonts w:ascii="Times New Roman" w:hAnsi="Times New Roman" w:cs="Times New Roman"/>
                <w:sz w:val="24"/>
                <w:szCs w:val="24"/>
                <w:vertAlign w:val="subscript"/>
              </w:rPr>
              <w:t>30</w:t>
            </w:r>
            <w:r w:rsidRPr="00E31A3C">
              <w:rPr>
                <w:rFonts w:ascii="Times New Roman" w:hAnsi="Times New Roman" w:cs="Times New Roman"/>
                <w:sz w:val="24"/>
                <w:szCs w:val="24"/>
              </w:rPr>
              <w:t>)</w:t>
            </w:r>
          </w:p>
        </w:tc>
        <w:tc>
          <w:tcPr>
            <w:tcW w:w="1013" w:type="dxa"/>
            <w:vAlign w:val="center"/>
          </w:tcPr>
          <w:p w14:paraId="1FFD8BB5"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12.90</w:t>
            </w:r>
          </w:p>
        </w:tc>
        <w:tc>
          <w:tcPr>
            <w:tcW w:w="1013" w:type="dxa"/>
            <w:vAlign w:val="center"/>
          </w:tcPr>
          <w:p w14:paraId="5CE55A5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12.99</w:t>
            </w:r>
          </w:p>
        </w:tc>
        <w:tc>
          <w:tcPr>
            <w:tcW w:w="1013" w:type="dxa"/>
            <w:vAlign w:val="center"/>
          </w:tcPr>
          <w:p w14:paraId="65C6E52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27.42</w:t>
            </w:r>
          </w:p>
        </w:tc>
        <w:tc>
          <w:tcPr>
            <w:tcW w:w="1114" w:type="dxa"/>
            <w:vAlign w:val="center"/>
          </w:tcPr>
          <w:p w14:paraId="1A51586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27.45</w:t>
            </w:r>
          </w:p>
        </w:tc>
        <w:tc>
          <w:tcPr>
            <w:tcW w:w="1013" w:type="dxa"/>
            <w:vAlign w:val="center"/>
          </w:tcPr>
          <w:p w14:paraId="3DB8C4A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23.87</w:t>
            </w:r>
          </w:p>
        </w:tc>
        <w:tc>
          <w:tcPr>
            <w:tcW w:w="1013" w:type="dxa"/>
            <w:vAlign w:val="center"/>
          </w:tcPr>
          <w:p w14:paraId="745D09B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24.02</w:t>
            </w:r>
          </w:p>
        </w:tc>
        <w:tc>
          <w:tcPr>
            <w:tcW w:w="1114" w:type="dxa"/>
            <w:vAlign w:val="center"/>
          </w:tcPr>
          <w:p w14:paraId="304AA386"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8.61</w:t>
            </w:r>
          </w:p>
        </w:tc>
        <w:tc>
          <w:tcPr>
            <w:tcW w:w="1013" w:type="dxa"/>
            <w:vAlign w:val="center"/>
          </w:tcPr>
          <w:p w14:paraId="3A7010D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8.76</w:t>
            </w:r>
          </w:p>
        </w:tc>
        <w:tc>
          <w:tcPr>
            <w:tcW w:w="1114" w:type="dxa"/>
            <w:vAlign w:val="center"/>
          </w:tcPr>
          <w:p w14:paraId="7842D4A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1.20</w:t>
            </w:r>
          </w:p>
        </w:tc>
        <w:tc>
          <w:tcPr>
            <w:tcW w:w="1015" w:type="dxa"/>
            <w:vAlign w:val="center"/>
          </w:tcPr>
          <w:p w14:paraId="36E6097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1.06</w:t>
            </w:r>
          </w:p>
        </w:tc>
      </w:tr>
      <w:tr w:rsidR="009801CE" w:rsidRPr="00E31A3C" w14:paraId="27D8303B" w14:textId="77777777" w:rsidTr="00A666EE">
        <w:trPr>
          <w:trHeight w:val="317"/>
        </w:trPr>
        <w:tc>
          <w:tcPr>
            <w:tcW w:w="3748" w:type="dxa"/>
            <w:vAlign w:val="bottom"/>
          </w:tcPr>
          <w:p w14:paraId="3AB6214F" w14:textId="77777777" w:rsidR="009801CE" w:rsidRPr="00E31A3C" w:rsidRDefault="009801CE" w:rsidP="00A666EE">
            <w:pPr>
              <w:rPr>
                <w:rFonts w:ascii="Times New Roman" w:hAnsi="Times New Roman" w:cs="Times New Roman"/>
                <w:bCs/>
                <w:sz w:val="24"/>
                <w:szCs w:val="24"/>
              </w:rPr>
            </w:pPr>
            <w:r w:rsidRPr="00E31A3C">
              <w:rPr>
                <w:rFonts w:ascii="Times New Roman" w:hAnsi="Times New Roman" w:cs="Times New Roman"/>
                <w:bCs/>
                <w:sz w:val="24"/>
                <w:szCs w:val="24"/>
              </w:rPr>
              <w:t>STCR (TY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7828A4D8"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12.95</w:t>
            </w:r>
          </w:p>
        </w:tc>
        <w:tc>
          <w:tcPr>
            <w:tcW w:w="1013" w:type="dxa"/>
            <w:vAlign w:val="center"/>
          </w:tcPr>
          <w:p w14:paraId="4A48E7C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13.08</w:t>
            </w:r>
          </w:p>
        </w:tc>
        <w:tc>
          <w:tcPr>
            <w:tcW w:w="1013" w:type="dxa"/>
            <w:vAlign w:val="center"/>
          </w:tcPr>
          <w:p w14:paraId="69F1B50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27.57</w:t>
            </w:r>
          </w:p>
        </w:tc>
        <w:tc>
          <w:tcPr>
            <w:tcW w:w="1114" w:type="dxa"/>
            <w:vAlign w:val="center"/>
          </w:tcPr>
          <w:p w14:paraId="78BBD78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27.59</w:t>
            </w:r>
          </w:p>
        </w:tc>
        <w:tc>
          <w:tcPr>
            <w:tcW w:w="1013" w:type="dxa"/>
            <w:vAlign w:val="center"/>
          </w:tcPr>
          <w:p w14:paraId="5947BF5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23.90</w:t>
            </w:r>
          </w:p>
        </w:tc>
        <w:tc>
          <w:tcPr>
            <w:tcW w:w="1013" w:type="dxa"/>
            <w:vAlign w:val="center"/>
          </w:tcPr>
          <w:p w14:paraId="3084451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24.06</w:t>
            </w:r>
          </w:p>
        </w:tc>
        <w:tc>
          <w:tcPr>
            <w:tcW w:w="1114" w:type="dxa"/>
            <w:vAlign w:val="center"/>
          </w:tcPr>
          <w:p w14:paraId="5D5B976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8.57</w:t>
            </w:r>
          </w:p>
        </w:tc>
        <w:tc>
          <w:tcPr>
            <w:tcW w:w="1013" w:type="dxa"/>
            <w:vAlign w:val="center"/>
          </w:tcPr>
          <w:p w14:paraId="1DCC945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8.71</w:t>
            </w:r>
          </w:p>
        </w:tc>
        <w:tc>
          <w:tcPr>
            <w:tcW w:w="1114" w:type="dxa"/>
            <w:vAlign w:val="center"/>
          </w:tcPr>
          <w:p w14:paraId="4C64082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1.25</w:t>
            </w:r>
          </w:p>
        </w:tc>
        <w:tc>
          <w:tcPr>
            <w:tcW w:w="1015" w:type="dxa"/>
            <w:vAlign w:val="center"/>
          </w:tcPr>
          <w:p w14:paraId="349A8B2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1.19</w:t>
            </w:r>
          </w:p>
        </w:tc>
      </w:tr>
      <w:tr w:rsidR="009801CE" w:rsidRPr="00E31A3C" w14:paraId="78AD36E3" w14:textId="77777777" w:rsidTr="00A666EE">
        <w:trPr>
          <w:trHeight w:val="332"/>
        </w:trPr>
        <w:tc>
          <w:tcPr>
            <w:tcW w:w="3748" w:type="dxa"/>
            <w:vAlign w:val="bottom"/>
          </w:tcPr>
          <w:p w14:paraId="2BBF069A" w14:textId="77777777" w:rsidR="009801CE" w:rsidRPr="00E31A3C" w:rsidRDefault="009801CE" w:rsidP="00A666EE">
            <w:pPr>
              <w:rPr>
                <w:rFonts w:ascii="Times New Roman" w:hAnsi="Times New Roman" w:cs="Times New Roman"/>
                <w:bCs/>
                <w:sz w:val="24"/>
                <w:szCs w:val="24"/>
              </w:rPr>
            </w:pPr>
            <w:r w:rsidRPr="00E31A3C">
              <w:rPr>
                <w:rFonts w:ascii="Times New Roman" w:hAnsi="Times New Roman" w:cs="Times New Roman"/>
                <w:bCs/>
                <w:sz w:val="24"/>
                <w:szCs w:val="24"/>
              </w:rPr>
              <w:t>STCR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5A6CFA2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14.34</w:t>
            </w:r>
          </w:p>
        </w:tc>
        <w:tc>
          <w:tcPr>
            <w:tcW w:w="1013" w:type="dxa"/>
            <w:vAlign w:val="center"/>
          </w:tcPr>
          <w:p w14:paraId="21C519C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14.48</w:t>
            </w:r>
          </w:p>
        </w:tc>
        <w:tc>
          <w:tcPr>
            <w:tcW w:w="1013" w:type="dxa"/>
            <w:vAlign w:val="center"/>
          </w:tcPr>
          <w:p w14:paraId="217A09C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28.06</w:t>
            </w:r>
          </w:p>
        </w:tc>
        <w:tc>
          <w:tcPr>
            <w:tcW w:w="1114" w:type="dxa"/>
            <w:vAlign w:val="center"/>
          </w:tcPr>
          <w:p w14:paraId="61D6237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28.09</w:t>
            </w:r>
          </w:p>
        </w:tc>
        <w:tc>
          <w:tcPr>
            <w:tcW w:w="1013" w:type="dxa"/>
            <w:vAlign w:val="center"/>
          </w:tcPr>
          <w:p w14:paraId="6F1C201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23.97</w:t>
            </w:r>
          </w:p>
        </w:tc>
        <w:tc>
          <w:tcPr>
            <w:tcW w:w="1013" w:type="dxa"/>
            <w:vAlign w:val="center"/>
          </w:tcPr>
          <w:p w14:paraId="2508F11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24.10</w:t>
            </w:r>
          </w:p>
        </w:tc>
        <w:tc>
          <w:tcPr>
            <w:tcW w:w="1114" w:type="dxa"/>
            <w:vAlign w:val="center"/>
          </w:tcPr>
          <w:p w14:paraId="6316099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8.71</w:t>
            </w:r>
          </w:p>
        </w:tc>
        <w:tc>
          <w:tcPr>
            <w:tcW w:w="1013" w:type="dxa"/>
            <w:vAlign w:val="center"/>
          </w:tcPr>
          <w:p w14:paraId="5F7B114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8.86</w:t>
            </w:r>
          </w:p>
        </w:tc>
        <w:tc>
          <w:tcPr>
            <w:tcW w:w="1114" w:type="dxa"/>
            <w:vAlign w:val="center"/>
          </w:tcPr>
          <w:p w14:paraId="0F53348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0.86</w:t>
            </w:r>
          </w:p>
        </w:tc>
        <w:tc>
          <w:tcPr>
            <w:tcW w:w="1015" w:type="dxa"/>
            <w:vAlign w:val="center"/>
          </w:tcPr>
          <w:p w14:paraId="0611EC9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0.79</w:t>
            </w:r>
          </w:p>
        </w:tc>
      </w:tr>
      <w:tr w:rsidR="009801CE" w:rsidRPr="00E31A3C" w14:paraId="5FDB45D0" w14:textId="77777777" w:rsidTr="00A666EE">
        <w:trPr>
          <w:trHeight w:val="317"/>
        </w:trPr>
        <w:tc>
          <w:tcPr>
            <w:tcW w:w="3748" w:type="dxa"/>
            <w:vAlign w:val="bottom"/>
          </w:tcPr>
          <w:p w14:paraId="281F95DB" w14:textId="77777777" w:rsidR="009801CE" w:rsidRPr="00E31A3C" w:rsidRDefault="009801CE" w:rsidP="00A666EE">
            <w:pPr>
              <w:rPr>
                <w:rFonts w:ascii="Times New Roman" w:hAnsi="Times New Roman" w:cs="Times New Roman"/>
                <w:bCs/>
                <w:sz w:val="24"/>
                <w:szCs w:val="24"/>
              </w:rPr>
            </w:pPr>
            <w:r w:rsidRPr="00E31A3C">
              <w:rPr>
                <w:rFonts w:ascii="Times New Roman" w:hAnsi="Times New Roman" w:cs="Times New Roman"/>
                <w:bCs/>
                <w:sz w:val="24"/>
                <w:szCs w:val="24"/>
              </w:rPr>
              <w:t>STCR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5EC4C1E8"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14.48</w:t>
            </w:r>
          </w:p>
        </w:tc>
        <w:tc>
          <w:tcPr>
            <w:tcW w:w="1013" w:type="dxa"/>
            <w:vAlign w:val="center"/>
          </w:tcPr>
          <w:p w14:paraId="3D4FC8D5"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14.62</w:t>
            </w:r>
          </w:p>
        </w:tc>
        <w:tc>
          <w:tcPr>
            <w:tcW w:w="1013" w:type="dxa"/>
            <w:vAlign w:val="center"/>
          </w:tcPr>
          <w:p w14:paraId="38D86E45"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28.18</w:t>
            </w:r>
          </w:p>
        </w:tc>
        <w:tc>
          <w:tcPr>
            <w:tcW w:w="1114" w:type="dxa"/>
            <w:vAlign w:val="center"/>
          </w:tcPr>
          <w:p w14:paraId="620B0D3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28.24</w:t>
            </w:r>
          </w:p>
        </w:tc>
        <w:tc>
          <w:tcPr>
            <w:tcW w:w="1013" w:type="dxa"/>
            <w:vAlign w:val="center"/>
          </w:tcPr>
          <w:p w14:paraId="5D06704F"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23.98</w:t>
            </w:r>
          </w:p>
        </w:tc>
        <w:tc>
          <w:tcPr>
            <w:tcW w:w="1013" w:type="dxa"/>
            <w:vAlign w:val="center"/>
          </w:tcPr>
          <w:p w14:paraId="5B0F8088"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24.10</w:t>
            </w:r>
          </w:p>
        </w:tc>
        <w:tc>
          <w:tcPr>
            <w:tcW w:w="1114" w:type="dxa"/>
            <w:vAlign w:val="center"/>
          </w:tcPr>
          <w:p w14:paraId="7CC2C89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8.76</w:t>
            </w:r>
          </w:p>
        </w:tc>
        <w:tc>
          <w:tcPr>
            <w:tcW w:w="1013" w:type="dxa"/>
            <w:vAlign w:val="center"/>
          </w:tcPr>
          <w:p w14:paraId="5795DA8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8.92</w:t>
            </w:r>
          </w:p>
        </w:tc>
        <w:tc>
          <w:tcPr>
            <w:tcW w:w="1114" w:type="dxa"/>
            <w:vAlign w:val="center"/>
          </w:tcPr>
          <w:p w14:paraId="2AEDB4E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1.09</w:t>
            </w:r>
          </w:p>
        </w:tc>
        <w:tc>
          <w:tcPr>
            <w:tcW w:w="1015" w:type="dxa"/>
            <w:vAlign w:val="center"/>
          </w:tcPr>
          <w:p w14:paraId="7C40DFE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1.05</w:t>
            </w:r>
          </w:p>
        </w:tc>
      </w:tr>
      <w:tr w:rsidR="009801CE" w:rsidRPr="00E31A3C" w14:paraId="6DD6C6B5" w14:textId="77777777" w:rsidTr="00A666EE">
        <w:trPr>
          <w:trHeight w:val="317"/>
        </w:trPr>
        <w:tc>
          <w:tcPr>
            <w:tcW w:w="3748" w:type="dxa"/>
            <w:vAlign w:val="bottom"/>
          </w:tcPr>
          <w:p w14:paraId="7A1217BF" w14:textId="77777777" w:rsidR="009801CE" w:rsidRPr="00E31A3C" w:rsidRDefault="009801CE" w:rsidP="00A666EE">
            <w:pPr>
              <w:rPr>
                <w:rFonts w:ascii="Times New Roman" w:hAnsi="Times New Roman" w:cs="Times New Roman"/>
                <w:bCs/>
                <w:sz w:val="24"/>
                <w:szCs w:val="24"/>
              </w:rPr>
            </w:pPr>
            <w:r w:rsidRPr="00E31A3C">
              <w:rPr>
                <w:rFonts w:ascii="Times New Roman" w:hAnsi="Times New Roman" w:cs="Times New Roman"/>
                <w:bCs/>
                <w:sz w:val="24"/>
                <w:szCs w:val="24"/>
              </w:rPr>
              <w:t>NE (TY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2325FCC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11.62</w:t>
            </w:r>
          </w:p>
        </w:tc>
        <w:tc>
          <w:tcPr>
            <w:tcW w:w="1013" w:type="dxa"/>
            <w:vAlign w:val="center"/>
          </w:tcPr>
          <w:p w14:paraId="035EA0C8"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11.53</w:t>
            </w:r>
          </w:p>
        </w:tc>
        <w:tc>
          <w:tcPr>
            <w:tcW w:w="1013" w:type="dxa"/>
            <w:vAlign w:val="center"/>
          </w:tcPr>
          <w:p w14:paraId="604AC74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26.95</w:t>
            </w:r>
          </w:p>
        </w:tc>
        <w:tc>
          <w:tcPr>
            <w:tcW w:w="1114" w:type="dxa"/>
            <w:vAlign w:val="center"/>
          </w:tcPr>
          <w:p w14:paraId="2FCB2E6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27.19</w:t>
            </w:r>
          </w:p>
        </w:tc>
        <w:tc>
          <w:tcPr>
            <w:tcW w:w="1013" w:type="dxa"/>
            <w:vAlign w:val="center"/>
          </w:tcPr>
          <w:p w14:paraId="20C10AA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23.71</w:t>
            </w:r>
          </w:p>
        </w:tc>
        <w:tc>
          <w:tcPr>
            <w:tcW w:w="1013" w:type="dxa"/>
            <w:vAlign w:val="center"/>
          </w:tcPr>
          <w:p w14:paraId="28C36B16"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23.81</w:t>
            </w:r>
          </w:p>
        </w:tc>
        <w:tc>
          <w:tcPr>
            <w:tcW w:w="1114" w:type="dxa"/>
            <w:vAlign w:val="center"/>
          </w:tcPr>
          <w:p w14:paraId="6BEFF578"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8.02</w:t>
            </w:r>
          </w:p>
        </w:tc>
        <w:tc>
          <w:tcPr>
            <w:tcW w:w="1013" w:type="dxa"/>
            <w:vAlign w:val="center"/>
          </w:tcPr>
          <w:p w14:paraId="6FA8EB8F"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8.17</w:t>
            </w:r>
          </w:p>
        </w:tc>
        <w:tc>
          <w:tcPr>
            <w:tcW w:w="1114" w:type="dxa"/>
            <w:vAlign w:val="center"/>
          </w:tcPr>
          <w:p w14:paraId="3E61CD9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0.75</w:t>
            </w:r>
          </w:p>
        </w:tc>
        <w:tc>
          <w:tcPr>
            <w:tcW w:w="1015" w:type="dxa"/>
            <w:vAlign w:val="center"/>
          </w:tcPr>
          <w:p w14:paraId="4919622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0.90</w:t>
            </w:r>
          </w:p>
        </w:tc>
      </w:tr>
      <w:tr w:rsidR="009801CE" w:rsidRPr="00E31A3C" w14:paraId="0FFAF4C8" w14:textId="77777777" w:rsidTr="00A666EE">
        <w:trPr>
          <w:trHeight w:val="317"/>
        </w:trPr>
        <w:tc>
          <w:tcPr>
            <w:tcW w:w="3748" w:type="dxa"/>
            <w:vAlign w:val="bottom"/>
          </w:tcPr>
          <w:p w14:paraId="63920078" w14:textId="77777777" w:rsidR="009801CE" w:rsidRPr="00E31A3C" w:rsidRDefault="009801CE" w:rsidP="00A666EE">
            <w:pPr>
              <w:rPr>
                <w:rFonts w:ascii="Times New Roman" w:hAnsi="Times New Roman" w:cs="Times New Roman"/>
                <w:bCs/>
                <w:sz w:val="24"/>
                <w:szCs w:val="24"/>
              </w:rPr>
            </w:pPr>
            <w:r w:rsidRPr="00E31A3C">
              <w:rPr>
                <w:rFonts w:ascii="Times New Roman" w:hAnsi="Times New Roman" w:cs="Times New Roman"/>
                <w:bCs/>
                <w:sz w:val="24"/>
                <w:szCs w:val="24"/>
              </w:rPr>
              <w:t>NE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7328D90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13.06</w:t>
            </w:r>
          </w:p>
        </w:tc>
        <w:tc>
          <w:tcPr>
            <w:tcW w:w="1013" w:type="dxa"/>
            <w:vAlign w:val="center"/>
          </w:tcPr>
          <w:p w14:paraId="011ACEC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13.03</w:t>
            </w:r>
          </w:p>
        </w:tc>
        <w:tc>
          <w:tcPr>
            <w:tcW w:w="1013" w:type="dxa"/>
            <w:vAlign w:val="center"/>
          </w:tcPr>
          <w:p w14:paraId="7C7BEEE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27.70</w:t>
            </w:r>
          </w:p>
        </w:tc>
        <w:tc>
          <w:tcPr>
            <w:tcW w:w="1114" w:type="dxa"/>
            <w:vAlign w:val="center"/>
          </w:tcPr>
          <w:p w14:paraId="3989E83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27.86</w:t>
            </w:r>
          </w:p>
        </w:tc>
        <w:tc>
          <w:tcPr>
            <w:tcW w:w="1013" w:type="dxa"/>
            <w:vAlign w:val="center"/>
          </w:tcPr>
          <w:p w14:paraId="7A9F785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23.68</w:t>
            </w:r>
          </w:p>
        </w:tc>
        <w:tc>
          <w:tcPr>
            <w:tcW w:w="1013" w:type="dxa"/>
            <w:vAlign w:val="center"/>
          </w:tcPr>
          <w:p w14:paraId="52D8E8C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23.84</w:t>
            </w:r>
          </w:p>
        </w:tc>
        <w:tc>
          <w:tcPr>
            <w:tcW w:w="1114" w:type="dxa"/>
            <w:vAlign w:val="center"/>
          </w:tcPr>
          <w:p w14:paraId="6666798C"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8.91</w:t>
            </w:r>
          </w:p>
        </w:tc>
        <w:tc>
          <w:tcPr>
            <w:tcW w:w="1013" w:type="dxa"/>
            <w:vAlign w:val="center"/>
          </w:tcPr>
          <w:p w14:paraId="0451E19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9.06</w:t>
            </w:r>
          </w:p>
        </w:tc>
        <w:tc>
          <w:tcPr>
            <w:tcW w:w="1114" w:type="dxa"/>
            <w:vAlign w:val="center"/>
          </w:tcPr>
          <w:p w14:paraId="5448A07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1.28</w:t>
            </w:r>
          </w:p>
        </w:tc>
        <w:tc>
          <w:tcPr>
            <w:tcW w:w="1015" w:type="dxa"/>
            <w:vAlign w:val="center"/>
          </w:tcPr>
          <w:p w14:paraId="0140048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1.16</w:t>
            </w:r>
          </w:p>
        </w:tc>
      </w:tr>
      <w:tr w:rsidR="009801CE" w:rsidRPr="00E31A3C" w14:paraId="33CCD90E" w14:textId="77777777" w:rsidTr="00A666EE">
        <w:trPr>
          <w:trHeight w:val="317"/>
        </w:trPr>
        <w:tc>
          <w:tcPr>
            <w:tcW w:w="3748" w:type="dxa"/>
            <w:vAlign w:val="bottom"/>
          </w:tcPr>
          <w:p w14:paraId="298D5D8C" w14:textId="77777777" w:rsidR="009801CE" w:rsidRPr="00E31A3C" w:rsidRDefault="009801CE" w:rsidP="00A666EE">
            <w:pPr>
              <w:rPr>
                <w:rFonts w:ascii="Times New Roman" w:hAnsi="Times New Roman" w:cs="Times New Roman"/>
                <w:bCs/>
                <w:sz w:val="24"/>
                <w:szCs w:val="24"/>
              </w:rPr>
            </w:pPr>
            <w:r w:rsidRPr="00E31A3C">
              <w:rPr>
                <w:rFonts w:ascii="Times New Roman" w:hAnsi="Times New Roman" w:cs="Times New Roman"/>
                <w:bCs/>
                <w:sz w:val="24"/>
                <w:szCs w:val="24"/>
              </w:rPr>
              <w:t>NE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2F4A8E60"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13.15</w:t>
            </w:r>
          </w:p>
        </w:tc>
        <w:tc>
          <w:tcPr>
            <w:tcW w:w="1013" w:type="dxa"/>
            <w:vAlign w:val="center"/>
          </w:tcPr>
          <w:p w14:paraId="5A44D825"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13.31</w:t>
            </w:r>
          </w:p>
        </w:tc>
        <w:tc>
          <w:tcPr>
            <w:tcW w:w="1013" w:type="dxa"/>
            <w:vAlign w:val="center"/>
          </w:tcPr>
          <w:p w14:paraId="1E24EEC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27.87</w:t>
            </w:r>
          </w:p>
        </w:tc>
        <w:tc>
          <w:tcPr>
            <w:tcW w:w="1114" w:type="dxa"/>
            <w:vAlign w:val="center"/>
          </w:tcPr>
          <w:p w14:paraId="09E916AC"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27.89</w:t>
            </w:r>
          </w:p>
        </w:tc>
        <w:tc>
          <w:tcPr>
            <w:tcW w:w="1013" w:type="dxa"/>
            <w:vAlign w:val="center"/>
          </w:tcPr>
          <w:p w14:paraId="4E1777CF"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23.85</w:t>
            </w:r>
          </w:p>
        </w:tc>
        <w:tc>
          <w:tcPr>
            <w:tcW w:w="1013" w:type="dxa"/>
            <w:vAlign w:val="center"/>
          </w:tcPr>
          <w:p w14:paraId="755C2A4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23.99</w:t>
            </w:r>
          </w:p>
        </w:tc>
        <w:tc>
          <w:tcPr>
            <w:tcW w:w="1114" w:type="dxa"/>
            <w:vAlign w:val="center"/>
          </w:tcPr>
          <w:p w14:paraId="6BCF873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8.76</w:t>
            </w:r>
          </w:p>
        </w:tc>
        <w:tc>
          <w:tcPr>
            <w:tcW w:w="1013" w:type="dxa"/>
            <w:vAlign w:val="center"/>
          </w:tcPr>
          <w:p w14:paraId="1384231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8.91</w:t>
            </w:r>
          </w:p>
        </w:tc>
        <w:tc>
          <w:tcPr>
            <w:tcW w:w="1114" w:type="dxa"/>
            <w:vAlign w:val="center"/>
          </w:tcPr>
          <w:p w14:paraId="4F4269B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1.29</w:t>
            </w:r>
          </w:p>
        </w:tc>
        <w:tc>
          <w:tcPr>
            <w:tcW w:w="1015" w:type="dxa"/>
            <w:vAlign w:val="center"/>
          </w:tcPr>
          <w:p w14:paraId="41DF6FB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1.28</w:t>
            </w:r>
          </w:p>
        </w:tc>
      </w:tr>
      <w:tr w:rsidR="009801CE" w:rsidRPr="00E31A3C" w14:paraId="36E39F4D" w14:textId="77777777" w:rsidTr="00A666EE">
        <w:trPr>
          <w:trHeight w:val="317"/>
        </w:trPr>
        <w:tc>
          <w:tcPr>
            <w:tcW w:w="3748" w:type="dxa"/>
          </w:tcPr>
          <w:p w14:paraId="54AFBC4F" w14:textId="77777777" w:rsidR="009801CE" w:rsidRPr="00E31A3C" w:rsidRDefault="009801CE" w:rsidP="00A666EE">
            <w:pPr>
              <w:rPr>
                <w:rFonts w:ascii="Times New Roman" w:hAnsi="Times New Roman" w:cs="Times New Roman"/>
                <w:sz w:val="24"/>
                <w:szCs w:val="24"/>
              </w:rPr>
            </w:pPr>
            <w:proofErr w:type="spellStart"/>
            <w:r w:rsidRPr="00E31A3C">
              <w:rPr>
                <w:rFonts w:ascii="Times New Roman" w:hAnsi="Times New Roman" w:cs="Times New Roman"/>
                <w:sz w:val="24"/>
                <w:szCs w:val="24"/>
              </w:rPr>
              <w:t>SeM</w:t>
            </w:r>
            <w:proofErr w:type="spellEnd"/>
            <w:r w:rsidRPr="00E31A3C">
              <w:rPr>
                <w:rFonts w:ascii="Times New Roman" w:hAnsi="Times New Roman" w:cs="Times New Roman"/>
                <w:sz w:val="24"/>
                <w:szCs w:val="24"/>
              </w:rPr>
              <w:t>±</w:t>
            </w:r>
          </w:p>
        </w:tc>
        <w:tc>
          <w:tcPr>
            <w:tcW w:w="1013" w:type="dxa"/>
            <w:vAlign w:val="center"/>
          </w:tcPr>
          <w:p w14:paraId="74D814D0"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0.49</w:t>
            </w:r>
          </w:p>
        </w:tc>
        <w:tc>
          <w:tcPr>
            <w:tcW w:w="1013" w:type="dxa"/>
            <w:vAlign w:val="center"/>
          </w:tcPr>
          <w:p w14:paraId="20A361E8"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0.50</w:t>
            </w:r>
          </w:p>
        </w:tc>
        <w:tc>
          <w:tcPr>
            <w:tcW w:w="1013" w:type="dxa"/>
            <w:vAlign w:val="center"/>
          </w:tcPr>
          <w:p w14:paraId="36EFBBF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0.47</w:t>
            </w:r>
          </w:p>
        </w:tc>
        <w:tc>
          <w:tcPr>
            <w:tcW w:w="1114" w:type="dxa"/>
            <w:vAlign w:val="center"/>
          </w:tcPr>
          <w:p w14:paraId="260A3BBC"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0.41</w:t>
            </w:r>
          </w:p>
        </w:tc>
        <w:tc>
          <w:tcPr>
            <w:tcW w:w="1013" w:type="dxa"/>
            <w:vAlign w:val="center"/>
          </w:tcPr>
          <w:p w14:paraId="71A268B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0.24</w:t>
            </w:r>
          </w:p>
        </w:tc>
        <w:tc>
          <w:tcPr>
            <w:tcW w:w="1013" w:type="dxa"/>
            <w:vAlign w:val="center"/>
          </w:tcPr>
          <w:p w14:paraId="7E9766D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0.23</w:t>
            </w:r>
          </w:p>
        </w:tc>
        <w:tc>
          <w:tcPr>
            <w:tcW w:w="1114" w:type="dxa"/>
            <w:vAlign w:val="center"/>
          </w:tcPr>
          <w:p w14:paraId="1151B28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0.25</w:t>
            </w:r>
          </w:p>
        </w:tc>
        <w:tc>
          <w:tcPr>
            <w:tcW w:w="1013" w:type="dxa"/>
            <w:vAlign w:val="center"/>
          </w:tcPr>
          <w:p w14:paraId="0639DBB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0.31</w:t>
            </w:r>
          </w:p>
        </w:tc>
        <w:tc>
          <w:tcPr>
            <w:tcW w:w="1114" w:type="dxa"/>
            <w:vAlign w:val="center"/>
          </w:tcPr>
          <w:p w14:paraId="74AE3DE3"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0.03</w:t>
            </w:r>
          </w:p>
        </w:tc>
        <w:tc>
          <w:tcPr>
            <w:tcW w:w="1015" w:type="dxa"/>
            <w:vAlign w:val="center"/>
          </w:tcPr>
          <w:p w14:paraId="5B8921D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0.07</w:t>
            </w:r>
          </w:p>
        </w:tc>
      </w:tr>
      <w:tr w:rsidR="009801CE" w:rsidRPr="00E31A3C" w14:paraId="58152F71" w14:textId="77777777" w:rsidTr="00A666EE">
        <w:trPr>
          <w:trHeight w:val="317"/>
        </w:trPr>
        <w:tc>
          <w:tcPr>
            <w:tcW w:w="3748" w:type="dxa"/>
          </w:tcPr>
          <w:p w14:paraId="55632C48"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CD (p≤0.05)</w:t>
            </w:r>
          </w:p>
        </w:tc>
        <w:tc>
          <w:tcPr>
            <w:tcW w:w="1013" w:type="dxa"/>
            <w:vAlign w:val="center"/>
          </w:tcPr>
          <w:p w14:paraId="58A6A1CB"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1.42</w:t>
            </w:r>
          </w:p>
        </w:tc>
        <w:tc>
          <w:tcPr>
            <w:tcW w:w="1013" w:type="dxa"/>
            <w:vAlign w:val="center"/>
          </w:tcPr>
          <w:p w14:paraId="0B99C835"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1.44</w:t>
            </w:r>
          </w:p>
        </w:tc>
        <w:tc>
          <w:tcPr>
            <w:tcW w:w="1013" w:type="dxa"/>
            <w:vAlign w:val="center"/>
          </w:tcPr>
          <w:p w14:paraId="25A25C7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1.40</w:t>
            </w:r>
          </w:p>
        </w:tc>
        <w:tc>
          <w:tcPr>
            <w:tcW w:w="1114" w:type="dxa"/>
            <w:vAlign w:val="center"/>
          </w:tcPr>
          <w:p w14:paraId="60C2187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1.24</w:t>
            </w:r>
          </w:p>
        </w:tc>
        <w:tc>
          <w:tcPr>
            <w:tcW w:w="1013" w:type="dxa"/>
            <w:vAlign w:val="center"/>
          </w:tcPr>
          <w:p w14:paraId="1130B7BE"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0.71</w:t>
            </w:r>
          </w:p>
        </w:tc>
        <w:tc>
          <w:tcPr>
            <w:tcW w:w="1013" w:type="dxa"/>
            <w:vAlign w:val="center"/>
          </w:tcPr>
          <w:p w14:paraId="15059DD6"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0.69</w:t>
            </w:r>
          </w:p>
        </w:tc>
        <w:tc>
          <w:tcPr>
            <w:tcW w:w="1114" w:type="dxa"/>
            <w:vAlign w:val="center"/>
          </w:tcPr>
          <w:p w14:paraId="1384DBDC"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0.73</w:t>
            </w:r>
          </w:p>
        </w:tc>
        <w:tc>
          <w:tcPr>
            <w:tcW w:w="1013" w:type="dxa"/>
            <w:vAlign w:val="center"/>
          </w:tcPr>
          <w:p w14:paraId="6AF3347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0.94</w:t>
            </w:r>
          </w:p>
        </w:tc>
        <w:tc>
          <w:tcPr>
            <w:tcW w:w="1114" w:type="dxa"/>
            <w:vAlign w:val="center"/>
          </w:tcPr>
          <w:p w14:paraId="0F3116F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0.11</w:t>
            </w:r>
          </w:p>
        </w:tc>
        <w:tc>
          <w:tcPr>
            <w:tcW w:w="1015" w:type="dxa"/>
            <w:vAlign w:val="center"/>
          </w:tcPr>
          <w:p w14:paraId="694A07AC"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0.22</w:t>
            </w:r>
          </w:p>
        </w:tc>
      </w:tr>
      <w:tr w:rsidR="009801CE" w:rsidRPr="00E31A3C" w14:paraId="323B3394" w14:textId="77777777" w:rsidTr="00A666EE">
        <w:trPr>
          <w:trHeight w:val="317"/>
        </w:trPr>
        <w:tc>
          <w:tcPr>
            <w:tcW w:w="3748" w:type="dxa"/>
          </w:tcPr>
          <w:p w14:paraId="3FC9F9B6" w14:textId="77777777" w:rsidR="009801CE" w:rsidRPr="00E31A3C" w:rsidRDefault="009801CE" w:rsidP="00A666EE">
            <w:pPr>
              <w:rPr>
                <w:rFonts w:ascii="Times New Roman" w:hAnsi="Times New Roman" w:cs="Times New Roman"/>
                <w:sz w:val="24"/>
                <w:szCs w:val="24"/>
              </w:rPr>
            </w:pPr>
            <w:r w:rsidRPr="00E31A3C">
              <w:rPr>
                <w:rFonts w:ascii="Times New Roman" w:hAnsi="Times New Roman" w:cs="Times New Roman"/>
                <w:sz w:val="24"/>
                <w:szCs w:val="24"/>
              </w:rPr>
              <w:t>Interaction</w:t>
            </w:r>
          </w:p>
        </w:tc>
        <w:tc>
          <w:tcPr>
            <w:tcW w:w="1013" w:type="dxa"/>
            <w:vAlign w:val="center"/>
          </w:tcPr>
          <w:p w14:paraId="427D9807"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S</w:t>
            </w:r>
          </w:p>
        </w:tc>
        <w:tc>
          <w:tcPr>
            <w:tcW w:w="1013" w:type="dxa"/>
            <w:vAlign w:val="center"/>
          </w:tcPr>
          <w:p w14:paraId="673E275F"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S</w:t>
            </w:r>
          </w:p>
        </w:tc>
        <w:tc>
          <w:tcPr>
            <w:tcW w:w="1013" w:type="dxa"/>
            <w:vAlign w:val="center"/>
          </w:tcPr>
          <w:p w14:paraId="567957C1"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082864B4"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10ABFBD9"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30E97EF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08B96A82"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4C37B25A"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0FC1F838"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5" w:type="dxa"/>
            <w:vAlign w:val="center"/>
          </w:tcPr>
          <w:p w14:paraId="1F5C47CD" w14:textId="77777777" w:rsidR="009801CE" w:rsidRPr="00E31A3C" w:rsidRDefault="009801CE"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r>
    </w:tbl>
    <w:p w14:paraId="570CD648" w14:textId="77777777" w:rsidR="009801CE" w:rsidRPr="00E31A3C" w:rsidRDefault="009801CE" w:rsidP="00946AFF">
      <w:pPr>
        <w:ind w:firstLine="630"/>
        <w:rPr>
          <w:color w:val="auto"/>
          <w:lang w:val="en-US"/>
        </w:rPr>
      </w:pPr>
    </w:p>
    <w:p w14:paraId="0CE27DC2" w14:textId="67FF335F" w:rsidR="00447541" w:rsidRPr="00E31A3C" w:rsidRDefault="00447541" w:rsidP="00447541">
      <w:pPr>
        <w:ind w:firstLine="0"/>
        <w:rPr>
          <w:color w:val="auto"/>
          <w:lang w:val="en-US"/>
        </w:rPr>
      </w:pPr>
      <w:r w:rsidRPr="00E31A3C">
        <w:rPr>
          <w:b/>
          <w:bCs/>
          <w:i/>
          <w:iCs/>
          <w:color w:val="auto"/>
          <w:lang w:val="en-US"/>
        </w:rPr>
        <w:tab/>
      </w:r>
    </w:p>
    <w:p w14:paraId="00FAA60A" w14:textId="78C285CB" w:rsidR="004700DB" w:rsidRPr="00E31A3C" w:rsidRDefault="004700DB" w:rsidP="00EC4705">
      <w:pPr>
        <w:ind w:firstLine="0"/>
        <w:rPr>
          <w:b/>
          <w:bCs/>
          <w:color w:val="auto"/>
        </w:rPr>
      </w:pPr>
    </w:p>
    <w:p w14:paraId="1209DBF2" w14:textId="7D8B38F5" w:rsidR="004700DB" w:rsidRPr="00E31A3C" w:rsidRDefault="004700DB" w:rsidP="004700DB">
      <w:pPr>
        <w:ind w:hanging="540"/>
        <w:rPr>
          <w:b/>
          <w:bCs/>
          <w:color w:val="auto"/>
        </w:rPr>
      </w:pPr>
      <w:r w:rsidRPr="00E31A3C">
        <w:rPr>
          <w:color w:val="auto"/>
          <w:szCs w:val="24"/>
        </w:rPr>
        <w:lastRenderedPageBreak/>
        <w:t xml:space="preserve">Table </w:t>
      </w:r>
      <w:r w:rsidR="00E15242">
        <w:rPr>
          <w:color w:val="auto"/>
          <w:szCs w:val="24"/>
        </w:rPr>
        <w:t>2</w:t>
      </w:r>
      <w:r w:rsidRPr="00E31A3C">
        <w:rPr>
          <w:color w:val="auto"/>
          <w:szCs w:val="24"/>
        </w:rPr>
        <w:t>.</w:t>
      </w:r>
      <w:r w:rsidR="002B06D1">
        <w:rPr>
          <w:color w:val="auto"/>
          <w:szCs w:val="24"/>
        </w:rPr>
        <w:t>a</w:t>
      </w:r>
      <w:r w:rsidRPr="00E31A3C">
        <w:rPr>
          <w:color w:val="auto"/>
          <w:szCs w:val="24"/>
        </w:rPr>
        <w:t>: Interaction effect of crop establishment methods and nutrient management on crop growth rate at 45-65 DAS of rice (2024).</w:t>
      </w:r>
    </w:p>
    <w:tbl>
      <w:tblPr>
        <w:tblStyle w:val="TableGrid"/>
        <w:tblW w:w="0" w:type="auto"/>
        <w:tblInd w:w="-1085" w:type="dxa"/>
        <w:tblLook w:val="04A0" w:firstRow="1" w:lastRow="0" w:firstColumn="1" w:lastColumn="0" w:noHBand="0" w:noVBand="1"/>
      </w:tblPr>
      <w:tblGrid>
        <w:gridCol w:w="1836"/>
        <w:gridCol w:w="1022"/>
        <w:gridCol w:w="1416"/>
        <w:gridCol w:w="1569"/>
        <w:gridCol w:w="1289"/>
        <w:gridCol w:w="1485"/>
        <w:gridCol w:w="1374"/>
        <w:gridCol w:w="1142"/>
        <w:gridCol w:w="1142"/>
        <w:gridCol w:w="1088"/>
      </w:tblGrid>
      <w:tr w:rsidR="004700DB" w:rsidRPr="00E31A3C" w14:paraId="411EB259" w14:textId="77777777" w:rsidTr="00A666EE">
        <w:tc>
          <w:tcPr>
            <w:tcW w:w="1883" w:type="dxa"/>
            <w:vAlign w:val="center"/>
          </w:tcPr>
          <w:p w14:paraId="1F477B61" w14:textId="77777777" w:rsidR="004700DB" w:rsidRPr="00E31A3C" w:rsidRDefault="004700DB" w:rsidP="00A666EE">
            <w:pPr>
              <w:jc w:val="center"/>
              <w:rPr>
                <w:rFonts w:ascii="Times New Roman" w:hAnsi="Times New Roman" w:cs="Times New Roman"/>
                <w:sz w:val="24"/>
                <w:szCs w:val="24"/>
              </w:rPr>
            </w:pPr>
          </w:p>
        </w:tc>
        <w:tc>
          <w:tcPr>
            <w:tcW w:w="1034" w:type="dxa"/>
            <w:vAlign w:val="center"/>
          </w:tcPr>
          <w:p w14:paraId="1454EF04"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sz w:val="24"/>
                <w:szCs w:val="24"/>
              </w:rPr>
              <w:t>Control</w:t>
            </w:r>
          </w:p>
        </w:tc>
        <w:tc>
          <w:tcPr>
            <w:tcW w:w="1416" w:type="dxa"/>
            <w:vAlign w:val="center"/>
          </w:tcPr>
          <w:p w14:paraId="19621777"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sz w:val="24"/>
                <w:szCs w:val="24"/>
              </w:rPr>
              <w:t>RDF</w:t>
            </w:r>
          </w:p>
          <w:p w14:paraId="632AEDBF"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(N</w:t>
            </w:r>
            <w:r w:rsidRPr="00E31A3C">
              <w:rPr>
                <w:rFonts w:ascii="Times New Roman" w:hAnsi="Times New Roman" w:cs="Times New Roman"/>
                <w:sz w:val="24"/>
                <w:szCs w:val="24"/>
                <w:vertAlign w:val="subscript"/>
              </w:rPr>
              <w:t>120</w:t>
            </w:r>
            <w:r w:rsidRPr="00E31A3C">
              <w:rPr>
                <w:rFonts w:ascii="Times New Roman" w:hAnsi="Times New Roman" w:cs="Times New Roman"/>
                <w:bCs/>
                <w:sz w:val="24"/>
                <w:szCs w:val="24"/>
              </w:rPr>
              <w:t>P</w:t>
            </w:r>
            <w:r w:rsidRPr="00E31A3C">
              <w:rPr>
                <w:rFonts w:ascii="Times New Roman" w:hAnsi="Times New Roman" w:cs="Times New Roman"/>
                <w:sz w:val="24"/>
                <w:szCs w:val="24"/>
                <w:vertAlign w:val="subscript"/>
              </w:rPr>
              <w:t>60</w:t>
            </w:r>
            <w:r w:rsidRPr="00E31A3C">
              <w:rPr>
                <w:rFonts w:ascii="Times New Roman" w:hAnsi="Times New Roman" w:cs="Times New Roman"/>
                <w:bCs/>
                <w:sz w:val="24"/>
                <w:szCs w:val="24"/>
              </w:rPr>
              <w:t>K</w:t>
            </w:r>
            <w:r w:rsidRPr="00E31A3C">
              <w:rPr>
                <w:rFonts w:ascii="Times New Roman" w:hAnsi="Times New Roman" w:cs="Times New Roman"/>
                <w:sz w:val="24"/>
                <w:szCs w:val="24"/>
                <w:vertAlign w:val="subscript"/>
              </w:rPr>
              <w:t>30</w:t>
            </w:r>
            <w:r w:rsidRPr="00E31A3C">
              <w:rPr>
                <w:rFonts w:ascii="Times New Roman" w:hAnsi="Times New Roman" w:cs="Times New Roman"/>
                <w:sz w:val="24"/>
                <w:szCs w:val="24"/>
              </w:rPr>
              <w:t>)</w:t>
            </w:r>
          </w:p>
        </w:tc>
        <w:tc>
          <w:tcPr>
            <w:tcW w:w="1697" w:type="dxa"/>
            <w:vAlign w:val="center"/>
          </w:tcPr>
          <w:p w14:paraId="00EF971A" w14:textId="77777777" w:rsidR="004700DB" w:rsidRPr="00E31A3C" w:rsidRDefault="004700DB" w:rsidP="00A666EE">
            <w:pPr>
              <w:rPr>
                <w:rFonts w:ascii="Times New Roman" w:hAnsi="Times New Roman" w:cs="Times New Roman"/>
                <w:bCs/>
                <w:sz w:val="24"/>
                <w:szCs w:val="24"/>
              </w:rPr>
            </w:pPr>
            <w:r w:rsidRPr="00E31A3C">
              <w:rPr>
                <w:rFonts w:ascii="Times New Roman" w:hAnsi="Times New Roman" w:cs="Times New Roman"/>
                <w:bCs/>
                <w:sz w:val="24"/>
                <w:szCs w:val="24"/>
              </w:rPr>
              <w:t>STCR</w:t>
            </w:r>
          </w:p>
          <w:p w14:paraId="02846457"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369" w:type="dxa"/>
            <w:vAlign w:val="center"/>
          </w:tcPr>
          <w:p w14:paraId="2C0A114F" w14:textId="77777777" w:rsidR="004700DB" w:rsidRPr="00E31A3C" w:rsidRDefault="004700DB" w:rsidP="00A666EE">
            <w:pPr>
              <w:rPr>
                <w:rFonts w:ascii="Times New Roman" w:hAnsi="Times New Roman" w:cs="Times New Roman"/>
                <w:bCs/>
                <w:sz w:val="24"/>
                <w:szCs w:val="24"/>
              </w:rPr>
            </w:pPr>
            <w:r w:rsidRPr="00E31A3C">
              <w:rPr>
                <w:rFonts w:ascii="Times New Roman" w:hAnsi="Times New Roman" w:cs="Times New Roman"/>
                <w:bCs/>
                <w:sz w:val="24"/>
                <w:szCs w:val="24"/>
              </w:rPr>
              <w:t>STCR</w:t>
            </w:r>
          </w:p>
          <w:p w14:paraId="1946CF6A"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598" w:type="dxa"/>
            <w:vAlign w:val="center"/>
          </w:tcPr>
          <w:p w14:paraId="4C8FDA2E" w14:textId="77777777" w:rsidR="004700DB" w:rsidRPr="00E31A3C" w:rsidRDefault="004700DB" w:rsidP="00A666EE">
            <w:pPr>
              <w:rPr>
                <w:rFonts w:ascii="Times New Roman" w:hAnsi="Times New Roman" w:cs="Times New Roman"/>
                <w:bCs/>
                <w:sz w:val="24"/>
                <w:szCs w:val="24"/>
              </w:rPr>
            </w:pPr>
            <w:r w:rsidRPr="00E31A3C">
              <w:rPr>
                <w:rFonts w:ascii="Times New Roman" w:hAnsi="Times New Roman" w:cs="Times New Roman"/>
                <w:bCs/>
                <w:sz w:val="24"/>
                <w:szCs w:val="24"/>
              </w:rPr>
              <w:t>STCR</w:t>
            </w:r>
          </w:p>
          <w:p w14:paraId="45B1EF8A"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479" w:type="dxa"/>
            <w:vAlign w:val="center"/>
          </w:tcPr>
          <w:p w14:paraId="563F549A" w14:textId="77777777" w:rsidR="004700DB" w:rsidRPr="00E31A3C" w:rsidRDefault="004700DB" w:rsidP="00A666EE">
            <w:pPr>
              <w:rPr>
                <w:rFonts w:ascii="Times New Roman" w:hAnsi="Times New Roman" w:cs="Times New Roman"/>
                <w:bCs/>
                <w:sz w:val="24"/>
                <w:szCs w:val="24"/>
              </w:rPr>
            </w:pPr>
            <w:r w:rsidRPr="00E31A3C">
              <w:rPr>
                <w:rFonts w:ascii="Times New Roman" w:hAnsi="Times New Roman" w:cs="Times New Roman"/>
                <w:bCs/>
                <w:sz w:val="24"/>
                <w:szCs w:val="24"/>
              </w:rPr>
              <w:t>NE</w:t>
            </w:r>
          </w:p>
          <w:p w14:paraId="569D7F1F"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208" w:type="dxa"/>
            <w:vAlign w:val="center"/>
          </w:tcPr>
          <w:p w14:paraId="7322A6AB"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NE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208" w:type="dxa"/>
            <w:vAlign w:val="center"/>
          </w:tcPr>
          <w:p w14:paraId="1360E93B"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NE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143" w:type="dxa"/>
            <w:vAlign w:val="center"/>
          </w:tcPr>
          <w:p w14:paraId="07E040B2" w14:textId="77777777" w:rsidR="004700DB" w:rsidRPr="00E31A3C" w:rsidRDefault="004700DB" w:rsidP="00A666EE">
            <w:pPr>
              <w:jc w:val="center"/>
              <w:rPr>
                <w:rFonts w:ascii="Times New Roman" w:hAnsi="Times New Roman" w:cs="Times New Roman"/>
                <w:bCs/>
                <w:sz w:val="24"/>
                <w:szCs w:val="24"/>
              </w:rPr>
            </w:pPr>
            <w:r w:rsidRPr="00E31A3C">
              <w:rPr>
                <w:rFonts w:ascii="Times New Roman" w:hAnsi="Times New Roman" w:cs="Times New Roman"/>
                <w:bCs/>
                <w:sz w:val="24"/>
                <w:szCs w:val="24"/>
              </w:rPr>
              <w:t>Mean</w:t>
            </w:r>
          </w:p>
        </w:tc>
      </w:tr>
      <w:tr w:rsidR="004700DB" w:rsidRPr="00E31A3C" w14:paraId="673101A5" w14:textId="77777777" w:rsidTr="00A666EE">
        <w:tc>
          <w:tcPr>
            <w:tcW w:w="1883" w:type="dxa"/>
            <w:vAlign w:val="center"/>
          </w:tcPr>
          <w:p w14:paraId="51ACD753"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Transplanting</w:t>
            </w:r>
          </w:p>
        </w:tc>
        <w:tc>
          <w:tcPr>
            <w:tcW w:w="1034" w:type="dxa"/>
            <w:vAlign w:val="center"/>
          </w:tcPr>
          <w:p w14:paraId="6ECD6091"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6.27</w:t>
            </w:r>
          </w:p>
        </w:tc>
        <w:tc>
          <w:tcPr>
            <w:tcW w:w="1416" w:type="dxa"/>
            <w:vAlign w:val="center"/>
          </w:tcPr>
          <w:p w14:paraId="57FE9D93"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16.35</w:t>
            </w:r>
          </w:p>
        </w:tc>
        <w:tc>
          <w:tcPr>
            <w:tcW w:w="1697" w:type="dxa"/>
            <w:vAlign w:val="center"/>
          </w:tcPr>
          <w:p w14:paraId="5DEFF6D4"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16.38</w:t>
            </w:r>
          </w:p>
        </w:tc>
        <w:tc>
          <w:tcPr>
            <w:tcW w:w="1369" w:type="dxa"/>
            <w:vAlign w:val="center"/>
          </w:tcPr>
          <w:p w14:paraId="59DD0878"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17.74</w:t>
            </w:r>
          </w:p>
        </w:tc>
        <w:tc>
          <w:tcPr>
            <w:tcW w:w="1598" w:type="dxa"/>
            <w:vAlign w:val="center"/>
          </w:tcPr>
          <w:p w14:paraId="0F9ABB30"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17.98</w:t>
            </w:r>
          </w:p>
        </w:tc>
        <w:tc>
          <w:tcPr>
            <w:tcW w:w="1479" w:type="dxa"/>
            <w:vAlign w:val="center"/>
          </w:tcPr>
          <w:p w14:paraId="3E0BE0E0"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15.12</w:t>
            </w:r>
          </w:p>
        </w:tc>
        <w:tc>
          <w:tcPr>
            <w:tcW w:w="1208" w:type="dxa"/>
            <w:vAlign w:val="center"/>
          </w:tcPr>
          <w:p w14:paraId="68BED34E"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16.49</w:t>
            </w:r>
          </w:p>
        </w:tc>
        <w:tc>
          <w:tcPr>
            <w:tcW w:w="1208" w:type="dxa"/>
            <w:vAlign w:val="center"/>
          </w:tcPr>
          <w:p w14:paraId="7BBD40AF"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16.58</w:t>
            </w:r>
          </w:p>
        </w:tc>
        <w:tc>
          <w:tcPr>
            <w:tcW w:w="1143" w:type="dxa"/>
            <w:vAlign w:val="center"/>
          </w:tcPr>
          <w:p w14:paraId="26676240"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15.36</w:t>
            </w:r>
          </w:p>
        </w:tc>
      </w:tr>
      <w:tr w:rsidR="004700DB" w:rsidRPr="00E31A3C" w14:paraId="783248E9" w14:textId="77777777" w:rsidTr="00A666EE">
        <w:tc>
          <w:tcPr>
            <w:tcW w:w="1883" w:type="dxa"/>
            <w:vAlign w:val="center"/>
          </w:tcPr>
          <w:p w14:paraId="5E191352"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DSR</w:t>
            </w:r>
          </w:p>
        </w:tc>
        <w:tc>
          <w:tcPr>
            <w:tcW w:w="1034" w:type="dxa"/>
            <w:vAlign w:val="center"/>
          </w:tcPr>
          <w:p w14:paraId="03071EB7"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3.94</w:t>
            </w:r>
          </w:p>
        </w:tc>
        <w:tc>
          <w:tcPr>
            <w:tcW w:w="1416" w:type="dxa"/>
            <w:vAlign w:val="center"/>
          </w:tcPr>
          <w:p w14:paraId="4331F180"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9.46</w:t>
            </w:r>
          </w:p>
        </w:tc>
        <w:tc>
          <w:tcPr>
            <w:tcW w:w="1697" w:type="dxa"/>
            <w:vAlign w:val="center"/>
          </w:tcPr>
          <w:p w14:paraId="6E0A9CFB"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9.54</w:t>
            </w:r>
          </w:p>
        </w:tc>
        <w:tc>
          <w:tcPr>
            <w:tcW w:w="1369" w:type="dxa"/>
            <w:vAlign w:val="center"/>
          </w:tcPr>
          <w:p w14:paraId="28354617"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10.96</w:t>
            </w:r>
          </w:p>
        </w:tc>
        <w:tc>
          <w:tcPr>
            <w:tcW w:w="1598" w:type="dxa"/>
            <w:vAlign w:val="center"/>
          </w:tcPr>
          <w:p w14:paraId="1ECEB268"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10.98</w:t>
            </w:r>
          </w:p>
        </w:tc>
        <w:tc>
          <w:tcPr>
            <w:tcW w:w="1479" w:type="dxa"/>
            <w:vAlign w:val="center"/>
          </w:tcPr>
          <w:p w14:paraId="7A9EEF48"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8.13</w:t>
            </w:r>
          </w:p>
        </w:tc>
        <w:tc>
          <w:tcPr>
            <w:tcW w:w="1208" w:type="dxa"/>
            <w:vAlign w:val="center"/>
          </w:tcPr>
          <w:p w14:paraId="3E4EA381"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9.64</w:t>
            </w:r>
          </w:p>
        </w:tc>
        <w:tc>
          <w:tcPr>
            <w:tcW w:w="1208" w:type="dxa"/>
            <w:vAlign w:val="center"/>
          </w:tcPr>
          <w:p w14:paraId="69E35990"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9.73</w:t>
            </w:r>
          </w:p>
        </w:tc>
        <w:tc>
          <w:tcPr>
            <w:tcW w:w="1143" w:type="dxa"/>
            <w:vAlign w:val="center"/>
          </w:tcPr>
          <w:p w14:paraId="51EFD103"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9.04</w:t>
            </w:r>
          </w:p>
        </w:tc>
      </w:tr>
      <w:tr w:rsidR="004700DB" w:rsidRPr="00E31A3C" w14:paraId="53FE870B" w14:textId="77777777" w:rsidTr="00A666EE">
        <w:tc>
          <w:tcPr>
            <w:tcW w:w="1883" w:type="dxa"/>
            <w:vAlign w:val="center"/>
          </w:tcPr>
          <w:p w14:paraId="3C241745"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Mean</w:t>
            </w:r>
          </w:p>
        </w:tc>
        <w:tc>
          <w:tcPr>
            <w:tcW w:w="1034" w:type="dxa"/>
            <w:vAlign w:val="center"/>
          </w:tcPr>
          <w:p w14:paraId="4F9D7906"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5.10</w:t>
            </w:r>
          </w:p>
        </w:tc>
        <w:tc>
          <w:tcPr>
            <w:tcW w:w="1416" w:type="dxa"/>
            <w:vAlign w:val="center"/>
          </w:tcPr>
          <w:p w14:paraId="6738B58B"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12.90</w:t>
            </w:r>
          </w:p>
        </w:tc>
        <w:tc>
          <w:tcPr>
            <w:tcW w:w="1697" w:type="dxa"/>
            <w:vAlign w:val="center"/>
          </w:tcPr>
          <w:p w14:paraId="05997196"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12.96</w:t>
            </w:r>
          </w:p>
        </w:tc>
        <w:tc>
          <w:tcPr>
            <w:tcW w:w="1369" w:type="dxa"/>
            <w:vAlign w:val="center"/>
          </w:tcPr>
          <w:p w14:paraId="6AA74408"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14.35</w:t>
            </w:r>
          </w:p>
        </w:tc>
        <w:tc>
          <w:tcPr>
            <w:tcW w:w="1598" w:type="dxa"/>
            <w:vAlign w:val="center"/>
          </w:tcPr>
          <w:p w14:paraId="2DE9DE1E"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14.48</w:t>
            </w:r>
          </w:p>
        </w:tc>
        <w:tc>
          <w:tcPr>
            <w:tcW w:w="1479" w:type="dxa"/>
            <w:vAlign w:val="center"/>
          </w:tcPr>
          <w:p w14:paraId="7FFAFE5C"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11.63</w:t>
            </w:r>
          </w:p>
        </w:tc>
        <w:tc>
          <w:tcPr>
            <w:tcW w:w="1208" w:type="dxa"/>
            <w:vAlign w:val="center"/>
          </w:tcPr>
          <w:p w14:paraId="5AFD0AFA"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13.07</w:t>
            </w:r>
          </w:p>
        </w:tc>
        <w:tc>
          <w:tcPr>
            <w:tcW w:w="1208" w:type="dxa"/>
            <w:vAlign w:val="center"/>
          </w:tcPr>
          <w:p w14:paraId="389B06E4"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13.15</w:t>
            </w:r>
          </w:p>
        </w:tc>
        <w:tc>
          <w:tcPr>
            <w:tcW w:w="1143" w:type="dxa"/>
            <w:vAlign w:val="center"/>
          </w:tcPr>
          <w:p w14:paraId="2E642C26" w14:textId="77777777" w:rsidR="004700DB" w:rsidRPr="00E31A3C" w:rsidRDefault="004700DB" w:rsidP="00A666EE">
            <w:pPr>
              <w:jc w:val="center"/>
              <w:rPr>
                <w:rFonts w:ascii="Times New Roman" w:hAnsi="Times New Roman" w:cs="Times New Roman"/>
                <w:sz w:val="24"/>
                <w:szCs w:val="24"/>
              </w:rPr>
            </w:pPr>
          </w:p>
        </w:tc>
      </w:tr>
    </w:tbl>
    <w:p w14:paraId="668F97A5" w14:textId="77777777" w:rsidR="004700DB" w:rsidRPr="00E31A3C" w:rsidRDefault="004700DB" w:rsidP="004700DB">
      <w:pPr>
        <w:rPr>
          <w:color w:val="auto"/>
          <w:szCs w:val="24"/>
        </w:rPr>
      </w:pPr>
    </w:p>
    <w:p w14:paraId="2DB98F4D" w14:textId="77777777" w:rsidR="004700DB" w:rsidRPr="00E31A3C" w:rsidRDefault="004700DB" w:rsidP="004700DB">
      <w:pPr>
        <w:rPr>
          <w:color w:val="auto"/>
          <w:szCs w:val="24"/>
        </w:rPr>
      </w:pPr>
      <w:r w:rsidRPr="00E31A3C">
        <w:rPr>
          <w:color w:val="auto"/>
          <w:szCs w:val="24"/>
        </w:rPr>
        <w:tab/>
      </w:r>
      <w:r w:rsidRPr="00E31A3C">
        <w:rPr>
          <w:color w:val="auto"/>
          <w:szCs w:val="24"/>
        </w:rPr>
        <w:tab/>
      </w:r>
      <w:r w:rsidRPr="00E31A3C">
        <w:rPr>
          <w:color w:val="auto"/>
          <w:szCs w:val="24"/>
        </w:rPr>
        <w:tab/>
        <w:t>Factor B at the same level of factor A</w:t>
      </w:r>
      <w:r w:rsidRPr="00E31A3C">
        <w:rPr>
          <w:color w:val="auto"/>
          <w:szCs w:val="24"/>
        </w:rPr>
        <w:tab/>
      </w:r>
      <w:r w:rsidRPr="00E31A3C">
        <w:rPr>
          <w:color w:val="auto"/>
          <w:szCs w:val="24"/>
        </w:rPr>
        <w:tab/>
      </w:r>
      <w:r w:rsidRPr="00E31A3C">
        <w:rPr>
          <w:color w:val="auto"/>
          <w:szCs w:val="24"/>
        </w:rPr>
        <w:tab/>
      </w:r>
      <w:r w:rsidRPr="00E31A3C">
        <w:rPr>
          <w:color w:val="auto"/>
          <w:szCs w:val="24"/>
        </w:rPr>
        <w:tab/>
        <w:t>Factor A at the same level of factor B</w:t>
      </w:r>
      <w:r w:rsidRPr="00E31A3C">
        <w:rPr>
          <w:color w:val="auto"/>
          <w:szCs w:val="24"/>
        </w:rPr>
        <w:tab/>
      </w:r>
    </w:p>
    <w:p w14:paraId="42BB4833" w14:textId="77777777" w:rsidR="004700DB" w:rsidRPr="00E31A3C" w:rsidRDefault="004700DB" w:rsidP="004700DB">
      <w:pPr>
        <w:rPr>
          <w:color w:val="auto"/>
          <w:szCs w:val="24"/>
        </w:rPr>
      </w:pPr>
      <w:r w:rsidRPr="00E31A3C">
        <w:rPr>
          <w:color w:val="auto"/>
          <w:szCs w:val="24"/>
        </w:rPr>
        <w:t>CD (p≤0.05)</w:t>
      </w:r>
      <w:r w:rsidRPr="00E31A3C">
        <w:rPr>
          <w:color w:val="auto"/>
          <w:szCs w:val="24"/>
        </w:rPr>
        <w:tab/>
      </w:r>
      <w:r w:rsidRPr="00E31A3C">
        <w:rPr>
          <w:color w:val="auto"/>
          <w:szCs w:val="24"/>
        </w:rPr>
        <w:tab/>
        <w:t xml:space="preserve">   3.01</w:t>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t xml:space="preserve">   3.69</w:t>
      </w:r>
    </w:p>
    <w:p w14:paraId="25CDB474" w14:textId="77777777" w:rsidR="004700DB" w:rsidRPr="00E31A3C" w:rsidRDefault="004700DB" w:rsidP="004700DB">
      <w:pPr>
        <w:rPr>
          <w:color w:val="auto"/>
          <w:szCs w:val="24"/>
        </w:rPr>
      </w:pPr>
      <w:proofErr w:type="spellStart"/>
      <w:r w:rsidRPr="00E31A3C">
        <w:rPr>
          <w:color w:val="auto"/>
          <w:szCs w:val="24"/>
        </w:rPr>
        <w:t>SeM</w:t>
      </w:r>
      <w:proofErr w:type="spellEnd"/>
      <w:r w:rsidRPr="00E31A3C">
        <w:rPr>
          <w:color w:val="auto"/>
          <w:szCs w:val="24"/>
        </w:rPr>
        <w:t>±</w:t>
      </w:r>
      <w:r w:rsidRPr="00E31A3C">
        <w:rPr>
          <w:color w:val="auto"/>
          <w:szCs w:val="24"/>
        </w:rPr>
        <w:tab/>
      </w:r>
      <w:r w:rsidRPr="00E31A3C">
        <w:rPr>
          <w:color w:val="auto"/>
          <w:szCs w:val="24"/>
        </w:rPr>
        <w:tab/>
      </w:r>
      <w:r w:rsidRPr="00E31A3C">
        <w:rPr>
          <w:color w:val="auto"/>
          <w:szCs w:val="24"/>
        </w:rPr>
        <w:tab/>
        <w:t xml:space="preserve">   0.99</w:t>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t xml:space="preserve">    1.26</w:t>
      </w:r>
    </w:p>
    <w:p w14:paraId="5F909D81" w14:textId="77777777" w:rsidR="004700DB" w:rsidRPr="00E31A3C" w:rsidRDefault="004700DB" w:rsidP="004700DB">
      <w:pPr>
        <w:rPr>
          <w:color w:val="auto"/>
          <w:szCs w:val="24"/>
        </w:rPr>
      </w:pPr>
    </w:p>
    <w:p w14:paraId="49F7561F" w14:textId="010089E7" w:rsidR="004700DB" w:rsidRPr="00E31A3C" w:rsidRDefault="004700DB" w:rsidP="004700DB">
      <w:pPr>
        <w:ind w:hanging="450"/>
        <w:rPr>
          <w:color w:val="auto"/>
          <w:szCs w:val="24"/>
        </w:rPr>
      </w:pPr>
      <w:r w:rsidRPr="00E31A3C">
        <w:rPr>
          <w:color w:val="auto"/>
          <w:szCs w:val="24"/>
        </w:rPr>
        <w:t xml:space="preserve">Table </w:t>
      </w:r>
      <w:r w:rsidR="00E15242">
        <w:rPr>
          <w:color w:val="auto"/>
          <w:szCs w:val="24"/>
        </w:rPr>
        <w:t>2</w:t>
      </w:r>
      <w:r w:rsidRPr="00E31A3C">
        <w:rPr>
          <w:color w:val="auto"/>
          <w:szCs w:val="24"/>
        </w:rPr>
        <w:t>.</w:t>
      </w:r>
      <w:r w:rsidR="002B06D1">
        <w:rPr>
          <w:color w:val="auto"/>
          <w:szCs w:val="24"/>
        </w:rPr>
        <w:t>b</w:t>
      </w:r>
      <w:r w:rsidRPr="00E31A3C">
        <w:rPr>
          <w:color w:val="auto"/>
          <w:szCs w:val="24"/>
        </w:rPr>
        <w:t>: Interaction effect of crop establishment methods and nutrient management on crop growth rate at 45-65 DAS of rice (2025).</w:t>
      </w:r>
    </w:p>
    <w:tbl>
      <w:tblPr>
        <w:tblStyle w:val="TableGrid"/>
        <w:tblW w:w="0" w:type="auto"/>
        <w:tblInd w:w="-1085" w:type="dxa"/>
        <w:tblLook w:val="04A0" w:firstRow="1" w:lastRow="0" w:firstColumn="1" w:lastColumn="0" w:noHBand="0" w:noVBand="1"/>
      </w:tblPr>
      <w:tblGrid>
        <w:gridCol w:w="1895"/>
        <w:gridCol w:w="1032"/>
        <w:gridCol w:w="830"/>
        <w:gridCol w:w="1518"/>
        <w:gridCol w:w="1518"/>
        <w:gridCol w:w="1582"/>
        <w:gridCol w:w="1461"/>
        <w:gridCol w:w="1196"/>
        <w:gridCol w:w="1196"/>
        <w:gridCol w:w="1135"/>
      </w:tblGrid>
      <w:tr w:rsidR="004700DB" w:rsidRPr="00E31A3C" w14:paraId="7668B7E1" w14:textId="77777777" w:rsidTr="00A666EE">
        <w:tc>
          <w:tcPr>
            <w:tcW w:w="1926" w:type="dxa"/>
          </w:tcPr>
          <w:p w14:paraId="30AFD18F" w14:textId="77777777" w:rsidR="004700DB" w:rsidRPr="00E31A3C" w:rsidRDefault="004700DB" w:rsidP="00A666EE">
            <w:pPr>
              <w:rPr>
                <w:rFonts w:ascii="Times New Roman" w:hAnsi="Times New Roman" w:cs="Times New Roman"/>
                <w:sz w:val="24"/>
                <w:szCs w:val="24"/>
              </w:rPr>
            </w:pPr>
          </w:p>
        </w:tc>
        <w:tc>
          <w:tcPr>
            <w:tcW w:w="1044" w:type="dxa"/>
          </w:tcPr>
          <w:p w14:paraId="64071CCF"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sz w:val="24"/>
                <w:szCs w:val="24"/>
              </w:rPr>
              <w:t>Control</w:t>
            </w:r>
          </w:p>
        </w:tc>
        <w:tc>
          <w:tcPr>
            <w:tcW w:w="841" w:type="dxa"/>
          </w:tcPr>
          <w:p w14:paraId="7FE9246F"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sz w:val="24"/>
                <w:szCs w:val="24"/>
              </w:rPr>
              <w:t>RDF</w:t>
            </w:r>
          </w:p>
        </w:tc>
        <w:tc>
          <w:tcPr>
            <w:tcW w:w="1623" w:type="dxa"/>
          </w:tcPr>
          <w:p w14:paraId="2E27C477" w14:textId="77777777" w:rsidR="004700DB" w:rsidRPr="00E31A3C" w:rsidRDefault="004700DB" w:rsidP="00A666EE">
            <w:pPr>
              <w:rPr>
                <w:rFonts w:ascii="Times New Roman" w:hAnsi="Times New Roman" w:cs="Times New Roman"/>
                <w:bCs/>
                <w:sz w:val="24"/>
                <w:szCs w:val="24"/>
              </w:rPr>
            </w:pPr>
            <w:r w:rsidRPr="00E31A3C">
              <w:rPr>
                <w:rFonts w:ascii="Times New Roman" w:hAnsi="Times New Roman" w:cs="Times New Roman"/>
                <w:bCs/>
                <w:sz w:val="24"/>
                <w:szCs w:val="24"/>
              </w:rPr>
              <w:t xml:space="preserve">STCR </w:t>
            </w:r>
          </w:p>
          <w:p w14:paraId="46A8D2BC"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623" w:type="dxa"/>
          </w:tcPr>
          <w:p w14:paraId="55A95767" w14:textId="77777777" w:rsidR="004700DB" w:rsidRPr="00E31A3C" w:rsidRDefault="004700DB" w:rsidP="00A666EE">
            <w:pPr>
              <w:rPr>
                <w:rFonts w:ascii="Times New Roman" w:hAnsi="Times New Roman" w:cs="Times New Roman"/>
                <w:bCs/>
                <w:sz w:val="24"/>
                <w:szCs w:val="24"/>
              </w:rPr>
            </w:pPr>
            <w:r w:rsidRPr="00E31A3C">
              <w:rPr>
                <w:rFonts w:ascii="Times New Roman" w:hAnsi="Times New Roman" w:cs="Times New Roman"/>
                <w:bCs/>
                <w:sz w:val="24"/>
                <w:szCs w:val="24"/>
              </w:rPr>
              <w:t xml:space="preserve">STCR </w:t>
            </w:r>
          </w:p>
          <w:p w14:paraId="5C8AF3D7"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696" w:type="dxa"/>
          </w:tcPr>
          <w:p w14:paraId="59B96EBF" w14:textId="77777777" w:rsidR="004700DB" w:rsidRPr="00E31A3C" w:rsidRDefault="004700DB" w:rsidP="00A666EE">
            <w:pPr>
              <w:rPr>
                <w:rFonts w:ascii="Times New Roman" w:hAnsi="Times New Roman" w:cs="Times New Roman"/>
                <w:bCs/>
                <w:sz w:val="24"/>
                <w:szCs w:val="24"/>
              </w:rPr>
            </w:pPr>
            <w:r w:rsidRPr="00E31A3C">
              <w:rPr>
                <w:rFonts w:ascii="Times New Roman" w:hAnsi="Times New Roman" w:cs="Times New Roman"/>
                <w:bCs/>
                <w:sz w:val="24"/>
                <w:szCs w:val="24"/>
              </w:rPr>
              <w:t>STCR</w:t>
            </w:r>
          </w:p>
          <w:p w14:paraId="39DA87F4"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 xml:space="preserve">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567" w:type="dxa"/>
          </w:tcPr>
          <w:p w14:paraId="0F9E6B11" w14:textId="77777777" w:rsidR="004700DB" w:rsidRPr="00E31A3C" w:rsidRDefault="004700DB" w:rsidP="00A666EE">
            <w:pPr>
              <w:rPr>
                <w:rFonts w:ascii="Times New Roman" w:hAnsi="Times New Roman" w:cs="Times New Roman"/>
                <w:bCs/>
                <w:sz w:val="24"/>
                <w:szCs w:val="24"/>
              </w:rPr>
            </w:pPr>
            <w:r w:rsidRPr="00E31A3C">
              <w:rPr>
                <w:rFonts w:ascii="Times New Roman" w:hAnsi="Times New Roman" w:cs="Times New Roman"/>
                <w:bCs/>
                <w:sz w:val="24"/>
                <w:szCs w:val="24"/>
              </w:rPr>
              <w:t xml:space="preserve">NE </w:t>
            </w:r>
          </w:p>
          <w:p w14:paraId="4B7E3355"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262" w:type="dxa"/>
          </w:tcPr>
          <w:p w14:paraId="43841AA5"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NE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262" w:type="dxa"/>
          </w:tcPr>
          <w:p w14:paraId="3DFF12D2"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Cs/>
                <w:sz w:val="24"/>
                <w:szCs w:val="24"/>
              </w:rPr>
              <w:t>NE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191" w:type="dxa"/>
          </w:tcPr>
          <w:p w14:paraId="7D81C4D2" w14:textId="77777777" w:rsidR="004700DB" w:rsidRPr="00E31A3C" w:rsidRDefault="004700DB" w:rsidP="00A666EE">
            <w:pPr>
              <w:rPr>
                <w:rFonts w:ascii="Times New Roman" w:hAnsi="Times New Roman" w:cs="Times New Roman"/>
                <w:bCs/>
                <w:sz w:val="24"/>
                <w:szCs w:val="24"/>
              </w:rPr>
            </w:pPr>
            <w:r w:rsidRPr="00E31A3C">
              <w:rPr>
                <w:rFonts w:ascii="Times New Roman" w:hAnsi="Times New Roman" w:cs="Times New Roman"/>
                <w:bCs/>
                <w:sz w:val="24"/>
                <w:szCs w:val="24"/>
              </w:rPr>
              <w:t>Mean</w:t>
            </w:r>
          </w:p>
        </w:tc>
      </w:tr>
      <w:tr w:rsidR="004700DB" w:rsidRPr="00E31A3C" w14:paraId="68DAA944" w14:textId="77777777" w:rsidTr="00A666EE">
        <w:tc>
          <w:tcPr>
            <w:tcW w:w="1926" w:type="dxa"/>
          </w:tcPr>
          <w:p w14:paraId="2A631BDD"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b/>
                <w:sz w:val="24"/>
                <w:szCs w:val="24"/>
              </w:rPr>
              <w:t>Transplanting</w:t>
            </w:r>
          </w:p>
        </w:tc>
        <w:tc>
          <w:tcPr>
            <w:tcW w:w="1044" w:type="dxa"/>
            <w:vAlign w:val="center"/>
          </w:tcPr>
          <w:p w14:paraId="3730C121"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6.34</w:t>
            </w:r>
          </w:p>
        </w:tc>
        <w:tc>
          <w:tcPr>
            <w:tcW w:w="841" w:type="dxa"/>
            <w:vAlign w:val="center"/>
          </w:tcPr>
          <w:p w14:paraId="646DF2A4"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16.44</w:t>
            </w:r>
          </w:p>
        </w:tc>
        <w:tc>
          <w:tcPr>
            <w:tcW w:w="1623" w:type="dxa"/>
            <w:vAlign w:val="center"/>
          </w:tcPr>
          <w:p w14:paraId="69026DBE"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16.49</w:t>
            </w:r>
          </w:p>
        </w:tc>
        <w:tc>
          <w:tcPr>
            <w:tcW w:w="1623" w:type="dxa"/>
            <w:vAlign w:val="center"/>
          </w:tcPr>
          <w:p w14:paraId="1D390F02"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17.89</w:t>
            </w:r>
          </w:p>
        </w:tc>
        <w:tc>
          <w:tcPr>
            <w:tcW w:w="1696" w:type="dxa"/>
            <w:vAlign w:val="center"/>
          </w:tcPr>
          <w:p w14:paraId="3101724E"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18.14</w:t>
            </w:r>
          </w:p>
        </w:tc>
        <w:tc>
          <w:tcPr>
            <w:tcW w:w="1567" w:type="dxa"/>
            <w:vAlign w:val="center"/>
          </w:tcPr>
          <w:p w14:paraId="1F8AE51E"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15.20</w:t>
            </w:r>
          </w:p>
        </w:tc>
        <w:tc>
          <w:tcPr>
            <w:tcW w:w="1262" w:type="dxa"/>
            <w:vAlign w:val="center"/>
          </w:tcPr>
          <w:p w14:paraId="2E846E04"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16.62</w:t>
            </w:r>
          </w:p>
        </w:tc>
        <w:tc>
          <w:tcPr>
            <w:tcW w:w="1262" w:type="dxa"/>
            <w:vAlign w:val="center"/>
          </w:tcPr>
          <w:p w14:paraId="297D592F"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16.74</w:t>
            </w:r>
          </w:p>
        </w:tc>
        <w:tc>
          <w:tcPr>
            <w:tcW w:w="1191" w:type="dxa"/>
            <w:vAlign w:val="center"/>
          </w:tcPr>
          <w:p w14:paraId="48D32FB9"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15.48</w:t>
            </w:r>
          </w:p>
        </w:tc>
      </w:tr>
      <w:tr w:rsidR="004700DB" w:rsidRPr="00E31A3C" w14:paraId="69233382" w14:textId="77777777" w:rsidTr="00A666EE">
        <w:tc>
          <w:tcPr>
            <w:tcW w:w="1926" w:type="dxa"/>
          </w:tcPr>
          <w:p w14:paraId="279C8679"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sz w:val="24"/>
                <w:szCs w:val="24"/>
              </w:rPr>
              <w:t>DSR</w:t>
            </w:r>
          </w:p>
        </w:tc>
        <w:tc>
          <w:tcPr>
            <w:tcW w:w="1044" w:type="dxa"/>
            <w:vAlign w:val="center"/>
          </w:tcPr>
          <w:p w14:paraId="3ADF9198"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4.01</w:t>
            </w:r>
          </w:p>
        </w:tc>
        <w:tc>
          <w:tcPr>
            <w:tcW w:w="841" w:type="dxa"/>
            <w:vAlign w:val="center"/>
          </w:tcPr>
          <w:p w14:paraId="2DE1528E"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9.55</w:t>
            </w:r>
          </w:p>
        </w:tc>
        <w:tc>
          <w:tcPr>
            <w:tcW w:w="1623" w:type="dxa"/>
            <w:vAlign w:val="center"/>
          </w:tcPr>
          <w:p w14:paraId="3828DF5D"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9.67</w:t>
            </w:r>
          </w:p>
        </w:tc>
        <w:tc>
          <w:tcPr>
            <w:tcW w:w="1623" w:type="dxa"/>
            <w:vAlign w:val="center"/>
          </w:tcPr>
          <w:p w14:paraId="130DBB18"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11.08</w:t>
            </w:r>
          </w:p>
        </w:tc>
        <w:tc>
          <w:tcPr>
            <w:tcW w:w="1696" w:type="dxa"/>
            <w:vAlign w:val="center"/>
          </w:tcPr>
          <w:p w14:paraId="10CF4610"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11.11</w:t>
            </w:r>
          </w:p>
        </w:tc>
        <w:tc>
          <w:tcPr>
            <w:tcW w:w="1567" w:type="dxa"/>
            <w:vAlign w:val="center"/>
          </w:tcPr>
          <w:p w14:paraId="7ABF8C15"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7.88</w:t>
            </w:r>
          </w:p>
        </w:tc>
        <w:tc>
          <w:tcPr>
            <w:tcW w:w="1262" w:type="dxa"/>
            <w:vAlign w:val="center"/>
          </w:tcPr>
          <w:p w14:paraId="216DEB48"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9.45</w:t>
            </w:r>
          </w:p>
        </w:tc>
        <w:tc>
          <w:tcPr>
            <w:tcW w:w="1262" w:type="dxa"/>
            <w:vAlign w:val="center"/>
          </w:tcPr>
          <w:p w14:paraId="10E7E122" w14:textId="77777777" w:rsidR="004700DB" w:rsidRPr="00E31A3C" w:rsidRDefault="004700DB" w:rsidP="00A666EE">
            <w:pPr>
              <w:jc w:val="center"/>
              <w:rPr>
                <w:rFonts w:ascii="Times New Roman" w:hAnsi="Times New Roman" w:cs="Times New Roman"/>
                <w:sz w:val="24"/>
                <w:szCs w:val="24"/>
              </w:rPr>
            </w:pPr>
            <w:r w:rsidRPr="00E31A3C">
              <w:rPr>
                <w:rFonts w:ascii="Times New Roman" w:hAnsi="Times New Roman" w:cs="Times New Roman"/>
                <w:sz w:val="24"/>
                <w:szCs w:val="24"/>
              </w:rPr>
              <w:t>9.89</w:t>
            </w:r>
          </w:p>
        </w:tc>
        <w:tc>
          <w:tcPr>
            <w:tcW w:w="1191" w:type="dxa"/>
            <w:vAlign w:val="center"/>
          </w:tcPr>
          <w:p w14:paraId="2AB47CC4"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9.08</w:t>
            </w:r>
          </w:p>
        </w:tc>
      </w:tr>
      <w:tr w:rsidR="004700DB" w:rsidRPr="00E31A3C" w14:paraId="1C821AB4" w14:textId="77777777" w:rsidTr="00A666EE">
        <w:tc>
          <w:tcPr>
            <w:tcW w:w="1926" w:type="dxa"/>
          </w:tcPr>
          <w:p w14:paraId="067BE6EF" w14:textId="77777777" w:rsidR="004700DB" w:rsidRPr="00E31A3C" w:rsidRDefault="004700DB" w:rsidP="00A666EE">
            <w:pPr>
              <w:rPr>
                <w:rFonts w:ascii="Times New Roman" w:hAnsi="Times New Roman" w:cs="Times New Roman"/>
                <w:sz w:val="24"/>
                <w:szCs w:val="24"/>
              </w:rPr>
            </w:pPr>
            <w:r w:rsidRPr="00E31A3C">
              <w:rPr>
                <w:rFonts w:ascii="Times New Roman" w:hAnsi="Times New Roman" w:cs="Times New Roman"/>
                <w:sz w:val="24"/>
                <w:szCs w:val="24"/>
              </w:rPr>
              <w:t>Mean</w:t>
            </w:r>
          </w:p>
        </w:tc>
        <w:tc>
          <w:tcPr>
            <w:tcW w:w="1044" w:type="dxa"/>
            <w:vAlign w:val="center"/>
          </w:tcPr>
          <w:p w14:paraId="5A571718"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5.17</w:t>
            </w:r>
          </w:p>
        </w:tc>
        <w:tc>
          <w:tcPr>
            <w:tcW w:w="841" w:type="dxa"/>
            <w:vAlign w:val="center"/>
          </w:tcPr>
          <w:p w14:paraId="5A1DDD5E"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12.99</w:t>
            </w:r>
          </w:p>
        </w:tc>
        <w:tc>
          <w:tcPr>
            <w:tcW w:w="1623" w:type="dxa"/>
            <w:vAlign w:val="center"/>
          </w:tcPr>
          <w:p w14:paraId="46C23D55"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13.08</w:t>
            </w:r>
          </w:p>
        </w:tc>
        <w:tc>
          <w:tcPr>
            <w:tcW w:w="1623" w:type="dxa"/>
            <w:vAlign w:val="center"/>
          </w:tcPr>
          <w:p w14:paraId="24B7CC15"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14.48</w:t>
            </w:r>
          </w:p>
        </w:tc>
        <w:tc>
          <w:tcPr>
            <w:tcW w:w="1696" w:type="dxa"/>
            <w:vAlign w:val="center"/>
          </w:tcPr>
          <w:p w14:paraId="3A1D122D"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14.63</w:t>
            </w:r>
          </w:p>
        </w:tc>
        <w:tc>
          <w:tcPr>
            <w:tcW w:w="1567" w:type="dxa"/>
            <w:vAlign w:val="center"/>
          </w:tcPr>
          <w:p w14:paraId="084F2C4E"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11.54</w:t>
            </w:r>
          </w:p>
        </w:tc>
        <w:tc>
          <w:tcPr>
            <w:tcW w:w="1262" w:type="dxa"/>
            <w:vAlign w:val="center"/>
          </w:tcPr>
          <w:p w14:paraId="60636BA6"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13.04</w:t>
            </w:r>
          </w:p>
        </w:tc>
        <w:tc>
          <w:tcPr>
            <w:tcW w:w="1262" w:type="dxa"/>
            <w:vAlign w:val="center"/>
          </w:tcPr>
          <w:p w14:paraId="6125ABCD" w14:textId="77777777" w:rsidR="004700DB" w:rsidRPr="00E31A3C" w:rsidRDefault="004700DB" w:rsidP="00A666EE">
            <w:pPr>
              <w:jc w:val="center"/>
              <w:rPr>
                <w:rFonts w:ascii="Times New Roman" w:hAnsi="Times New Roman" w:cs="Times New Roman"/>
                <w:sz w:val="24"/>
                <w:szCs w:val="24"/>
              </w:rPr>
            </w:pPr>
            <w:r w:rsidRPr="00E31A3C">
              <w:rPr>
                <w:rStyle w:val="Strong"/>
                <w:rFonts w:ascii="Times New Roman" w:hAnsi="Times New Roman" w:cs="Times New Roman"/>
                <w:sz w:val="24"/>
                <w:szCs w:val="24"/>
              </w:rPr>
              <w:t>13.31</w:t>
            </w:r>
          </w:p>
        </w:tc>
        <w:tc>
          <w:tcPr>
            <w:tcW w:w="1191" w:type="dxa"/>
          </w:tcPr>
          <w:p w14:paraId="7D3CB1E8" w14:textId="77777777" w:rsidR="004700DB" w:rsidRPr="00E31A3C" w:rsidRDefault="004700DB" w:rsidP="00A666EE">
            <w:pPr>
              <w:rPr>
                <w:rFonts w:ascii="Times New Roman" w:hAnsi="Times New Roman" w:cs="Times New Roman"/>
                <w:sz w:val="24"/>
                <w:szCs w:val="24"/>
              </w:rPr>
            </w:pPr>
          </w:p>
        </w:tc>
      </w:tr>
    </w:tbl>
    <w:p w14:paraId="464723F6" w14:textId="77777777" w:rsidR="004700DB" w:rsidRPr="00E31A3C" w:rsidRDefault="004700DB" w:rsidP="004700DB">
      <w:pPr>
        <w:rPr>
          <w:color w:val="auto"/>
          <w:szCs w:val="24"/>
        </w:rPr>
      </w:pPr>
    </w:p>
    <w:p w14:paraId="323B7387" w14:textId="77777777" w:rsidR="004700DB" w:rsidRPr="00E31A3C" w:rsidRDefault="004700DB" w:rsidP="004700DB">
      <w:pPr>
        <w:rPr>
          <w:color w:val="auto"/>
          <w:szCs w:val="24"/>
        </w:rPr>
      </w:pPr>
      <w:r w:rsidRPr="00E31A3C">
        <w:rPr>
          <w:color w:val="auto"/>
          <w:szCs w:val="24"/>
        </w:rPr>
        <w:tab/>
      </w:r>
      <w:r w:rsidRPr="00E31A3C">
        <w:rPr>
          <w:color w:val="auto"/>
          <w:szCs w:val="24"/>
        </w:rPr>
        <w:tab/>
      </w:r>
      <w:r w:rsidRPr="00E31A3C">
        <w:rPr>
          <w:color w:val="auto"/>
          <w:szCs w:val="24"/>
        </w:rPr>
        <w:tab/>
        <w:t>Factor B at the same level of factor A</w:t>
      </w:r>
      <w:r w:rsidRPr="00E31A3C">
        <w:rPr>
          <w:color w:val="auto"/>
          <w:szCs w:val="24"/>
        </w:rPr>
        <w:tab/>
      </w:r>
      <w:r w:rsidRPr="00E31A3C">
        <w:rPr>
          <w:color w:val="auto"/>
          <w:szCs w:val="24"/>
        </w:rPr>
        <w:tab/>
      </w:r>
      <w:r w:rsidRPr="00E31A3C">
        <w:rPr>
          <w:color w:val="auto"/>
          <w:szCs w:val="24"/>
        </w:rPr>
        <w:tab/>
      </w:r>
      <w:r w:rsidRPr="00E31A3C">
        <w:rPr>
          <w:color w:val="auto"/>
          <w:szCs w:val="24"/>
        </w:rPr>
        <w:tab/>
        <w:t>Factor A at the same level of factor B</w:t>
      </w:r>
      <w:r w:rsidRPr="00E31A3C">
        <w:rPr>
          <w:color w:val="auto"/>
          <w:szCs w:val="24"/>
        </w:rPr>
        <w:tab/>
      </w:r>
    </w:p>
    <w:p w14:paraId="2DCBCFBF" w14:textId="77777777" w:rsidR="004700DB" w:rsidRPr="00E31A3C" w:rsidRDefault="004700DB" w:rsidP="004700DB">
      <w:pPr>
        <w:rPr>
          <w:color w:val="auto"/>
          <w:szCs w:val="24"/>
        </w:rPr>
      </w:pPr>
      <w:r w:rsidRPr="00E31A3C">
        <w:rPr>
          <w:color w:val="auto"/>
          <w:szCs w:val="24"/>
        </w:rPr>
        <w:t>CD (p≤0.05)</w:t>
      </w:r>
      <w:r w:rsidRPr="00E31A3C">
        <w:rPr>
          <w:color w:val="auto"/>
          <w:szCs w:val="24"/>
        </w:rPr>
        <w:tab/>
      </w:r>
      <w:r w:rsidRPr="00E31A3C">
        <w:rPr>
          <w:color w:val="auto"/>
          <w:szCs w:val="24"/>
        </w:rPr>
        <w:tab/>
        <w:t xml:space="preserve">   3.19</w:t>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t xml:space="preserve">               4.23</w:t>
      </w:r>
    </w:p>
    <w:p w14:paraId="2BFA535F" w14:textId="77777777" w:rsidR="004700DB" w:rsidRPr="00E31A3C" w:rsidRDefault="004700DB" w:rsidP="004700DB">
      <w:pPr>
        <w:rPr>
          <w:color w:val="auto"/>
          <w:szCs w:val="24"/>
        </w:rPr>
        <w:sectPr w:rsidR="004700DB" w:rsidRPr="00E31A3C" w:rsidSect="004700DB">
          <w:pgSz w:w="16838" w:h="11906" w:orient="landscape" w:code="9"/>
          <w:pgMar w:top="1699" w:right="2275" w:bottom="2275" w:left="2275" w:header="706" w:footer="706" w:gutter="0"/>
          <w:cols w:space="708"/>
          <w:docGrid w:linePitch="360"/>
        </w:sectPr>
      </w:pPr>
      <w:proofErr w:type="spellStart"/>
      <w:r w:rsidRPr="00E31A3C">
        <w:rPr>
          <w:color w:val="auto"/>
          <w:szCs w:val="24"/>
        </w:rPr>
        <w:t>SeM</w:t>
      </w:r>
      <w:proofErr w:type="spellEnd"/>
      <w:r w:rsidRPr="00E31A3C">
        <w:rPr>
          <w:color w:val="auto"/>
          <w:szCs w:val="24"/>
        </w:rPr>
        <w:t>±</w:t>
      </w:r>
      <w:r w:rsidRPr="00E31A3C">
        <w:rPr>
          <w:color w:val="auto"/>
          <w:szCs w:val="24"/>
        </w:rPr>
        <w:tab/>
      </w:r>
      <w:r w:rsidRPr="00E31A3C">
        <w:rPr>
          <w:color w:val="auto"/>
          <w:szCs w:val="24"/>
        </w:rPr>
        <w:tab/>
      </w:r>
      <w:r w:rsidRPr="00E31A3C">
        <w:rPr>
          <w:color w:val="auto"/>
          <w:szCs w:val="24"/>
        </w:rPr>
        <w:tab/>
        <w:t xml:space="preserve">   1.06</w:t>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r>
      <w:r w:rsidRPr="00E31A3C">
        <w:rPr>
          <w:color w:val="auto"/>
          <w:szCs w:val="24"/>
        </w:rPr>
        <w:tab/>
        <w:t xml:space="preserve">    1.75</w:t>
      </w:r>
    </w:p>
    <w:p w14:paraId="66B2A869" w14:textId="77777777" w:rsidR="004700DB" w:rsidRPr="00E31A3C" w:rsidRDefault="004700DB" w:rsidP="004700DB">
      <w:pPr>
        <w:ind w:firstLine="0"/>
        <w:rPr>
          <w:b/>
          <w:bCs/>
          <w:color w:val="auto"/>
        </w:rPr>
      </w:pPr>
      <w:r w:rsidRPr="00E31A3C">
        <w:rPr>
          <w:noProof/>
          <w:color w:val="auto"/>
        </w:rPr>
        <w:lastRenderedPageBreak/>
        <w:drawing>
          <wp:inline distT="0" distB="0" distL="0" distR="0" wp14:anchorId="3BBD37EC" wp14:editId="65172CE0">
            <wp:extent cx="3993502" cy="1940767"/>
            <wp:effectExtent l="0" t="0" r="7620" b="2540"/>
            <wp:docPr id="2114012849" name="Chart 1">
              <a:extLst xmlns:a="http://schemas.openxmlformats.org/drawingml/2006/main">
                <a:ext uri="{FF2B5EF4-FFF2-40B4-BE49-F238E27FC236}">
                  <a16:creationId xmlns:a16="http://schemas.microsoft.com/office/drawing/2014/main" id="{17F9A51B-AACE-730E-6676-64B7CB07D6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F3C10C" w14:textId="77777777" w:rsidR="004700DB" w:rsidRPr="00E31A3C" w:rsidRDefault="004700DB" w:rsidP="004700DB">
      <w:pPr>
        <w:ind w:firstLine="0"/>
        <w:rPr>
          <w:b/>
          <w:bCs/>
          <w:color w:val="auto"/>
        </w:rPr>
      </w:pPr>
      <w:r w:rsidRPr="00E31A3C">
        <w:rPr>
          <w:b/>
          <w:bCs/>
          <w:color w:val="auto"/>
        </w:rPr>
        <w:t xml:space="preserve">Fig. 5: Effect of </w:t>
      </w:r>
      <w:r w:rsidRPr="00E31A3C">
        <w:rPr>
          <w:b/>
          <w:bCs/>
          <w:color w:val="auto"/>
          <w:szCs w:val="24"/>
        </w:rPr>
        <w:t>crop establishment methods on Crop growth rate of rice in 2024.</w:t>
      </w:r>
    </w:p>
    <w:p w14:paraId="1841E1B2" w14:textId="77777777" w:rsidR="004700DB" w:rsidRPr="00E31A3C" w:rsidRDefault="004700DB" w:rsidP="004700DB">
      <w:pPr>
        <w:ind w:firstLine="0"/>
        <w:rPr>
          <w:b/>
          <w:bCs/>
          <w:color w:val="auto"/>
        </w:rPr>
      </w:pPr>
      <w:r w:rsidRPr="00E31A3C">
        <w:rPr>
          <w:noProof/>
          <w:color w:val="auto"/>
        </w:rPr>
        <w:drawing>
          <wp:inline distT="0" distB="0" distL="0" distR="0" wp14:anchorId="45218CE7" wp14:editId="3327599A">
            <wp:extent cx="4024604" cy="1648408"/>
            <wp:effectExtent l="0" t="0" r="14605" b="9525"/>
            <wp:docPr id="145807479" name="Chart 1">
              <a:extLst xmlns:a="http://schemas.openxmlformats.org/drawingml/2006/main">
                <a:ext uri="{FF2B5EF4-FFF2-40B4-BE49-F238E27FC236}">
                  <a16:creationId xmlns:a16="http://schemas.microsoft.com/office/drawing/2014/main" id="{FFB594BD-8E21-EEAB-88FA-1DBFD7601D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7C38B7" w14:textId="77777777" w:rsidR="004700DB" w:rsidRPr="00E31A3C" w:rsidRDefault="004700DB" w:rsidP="004700DB">
      <w:pPr>
        <w:ind w:firstLine="0"/>
        <w:rPr>
          <w:b/>
          <w:bCs/>
          <w:color w:val="auto"/>
        </w:rPr>
      </w:pPr>
      <w:r w:rsidRPr="00E31A3C">
        <w:rPr>
          <w:b/>
          <w:bCs/>
          <w:color w:val="auto"/>
        </w:rPr>
        <w:t xml:space="preserve">Fig. 6: Effect of </w:t>
      </w:r>
      <w:r w:rsidRPr="00E31A3C">
        <w:rPr>
          <w:b/>
          <w:bCs/>
          <w:color w:val="auto"/>
          <w:szCs w:val="24"/>
        </w:rPr>
        <w:t>crop establishment methods on Crop growth rate of rice in 2025.</w:t>
      </w:r>
    </w:p>
    <w:p w14:paraId="62989028" w14:textId="77777777" w:rsidR="004700DB" w:rsidRPr="00E31A3C" w:rsidRDefault="004700DB" w:rsidP="004700DB">
      <w:pPr>
        <w:ind w:firstLine="0"/>
        <w:rPr>
          <w:b/>
          <w:bCs/>
          <w:color w:val="auto"/>
        </w:rPr>
      </w:pPr>
      <w:r w:rsidRPr="00E31A3C">
        <w:rPr>
          <w:noProof/>
          <w:color w:val="auto"/>
        </w:rPr>
        <w:drawing>
          <wp:inline distT="0" distB="0" distL="0" distR="0" wp14:anchorId="07A54111" wp14:editId="69BDCDAA">
            <wp:extent cx="4627983" cy="2239347"/>
            <wp:effectExtent l="0" t="0" r="1270" b="8890"/>
            <wp:docPr id="913405857" name="Chart 1">
              <a:extLst xmlns:a="http://schemas.openxmlformats.org/drawingml/2006/main">
                <a:ext uri="{FF2B5EF4-FFF2-40B4-BE49-F238E27FC236}">
                  <a16:creationId xmlns:a16="http://schemas.microsoft.com/office/drawing/2014/main" id="{A31CE7D6-F145-9CF9-4A42-01020E9147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B490907" w14:textId="38B41034" w:rsidR="004700DB" w:rsidRPr="00E31A3C" w:rsidRDefault="004700DB" w:rsidP="004700DB">
      <w:pPr>
        <w:ind w:firstLine="0"/>
        <w:rPr>
          <w:b/>
          <w:bCs/>
          <w:color w:val="auto"/>
        </w:rPr>
        <w:sectPr w:rsidR="004700DB" w:rsidRPr="00E31A3C" w:rsidSect="004700DB">
          <w:pgSz w:w="11906" w:h="16838" w:code="9"/>
          <w:pgMar w:top="2275" w:right="1699" w:bottom="2275" w:left="2275" w:header="706" w:footer="706" w:gutter="0"/>
          <w:cols w:space="708"/>
          <w:docGrid w:linePitch="360"/>
        </w:sectPr>
      </w:pPr>
      <w:r w:rsidRPr="00E31A3C">
        <w:rPr>
          <w:b/>
          <w:bCs/>
          <w:color w:val="auto"/>
        </w:rPr>
        <w:t xml:space="preserve">Fig. 7: Effect of </w:t>
      </w:r>
      <w:r w:rsidRPr="00E31A3C">
        <w:rPr>
          <w:b/>
          <w:bCs/>
          <w:color w:val="auto"/>
          <w:szCs w:val="24"/>
        </w:rPr>
        <w:t>nutrient management on Crop growth rate of rice in 2024.</w:t>
      </w:r>
    </w:p>
    <w:p w14:paraId="0D64946B" w14:textId="010B1C9A" w:rsidR="004700DB" w:rsidRPr="00E31A3C" w:rsidRDefault="00AF4473" w:rsidP="004700DB">
      <w:pPr>
        <w:ind w:firstLine="0"/>
        <w:rPr>
          <w:b/>
          <w:bCs/>
          <w:color w:val="auto"/>
        </w:rPr>
      </w:pPr>
      <w:r w:rsidRPr="00E31A3C">
        <w:rPr>
          <w:noProof/>
          <w:color w:val="auto"/>
        </w:rPr>
        <w:lastRenderedPageBreak/>
        <w:drawing>
          <wp:inline distT="0" distB="0" distL="0" distR="0" wp14:anchorId="008B5E44" wp14:editId="7DAC0A54">
            <wp:extent cx="4596881" cy="2401077"/>
            <wp:effectExtent l="0" t="0" r="13335" b="18415"/>
            <wp:docPr id="797377796" name="Chart 1">
              <a:extLst xmlns:a="http://schemas.openxmlformats.org/drawingml/2006/main">
                <a:ext uri="{FF2B5EF4-FFF2-40B4-BE49-F238E27FC236}">
                  <a16:creationId xmlns:a16="http://schemas.microsoft.com/office/drawing/2014/main" id="{4D5AFA70-600E-03C3-297A-36A60264B1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69E812B" w14:textId="77777777" w:rsidR="004700DB" w:rsidRPr="00E31A3C" w:rsidRDefault="004700DB" w:rsidP="004700DB">
      <w:pPr>
        <w:ind w:firstLine="0"/>
        <w:rPr>
          <w:b/>
          <w:bCs/>
          <w:color w:val="auto"/>
        </w:rPr>
      </w:pPr>
      <w:r w:rsidRPr="00E31A3C">
        <w:rPr>
          <w:b/>
          <w:bCs/>
          <w:color w:val="auto"/>
        </w:rPr>
        <w:t xml:space="preserve">Fig. 8: Effect of </w:t>
      </w:r>
      <w:r w:rsidRPr="00E31A3C">
        <w:rPr>
          <w:b/>
          <w:bCs/>
          <w:color w:val="auto"/>
          <w:szCs w:val="24"/>
        </w:rPr>
        <w:t>nutrient management on Crop growth rate of rice in 2025.</w:t>
      </w:r>
    </w:p>
    <w:p w14:paraId="0F0A28A7" w14:textId="43C7AC92" w:rsidR="005F0844" w:rsidRPr="00E31A3C" w:rsidRDefault="005F0844" w:rsidP="005F0844">
      <w:pPr>
        <w:spacing w:line="240" w:lineRule="auto"/>
        <w:ind w:firstLine="0"/>
        <w:rPr>
          <w:color w:val="auto"/>
          <w:lang w:val="en-US"/>
        </w:rPr>
      </w:pPr>
      <w:r w:rsidRPr="00E31A3C">
        <w:rPr>
          <w:color w:val="auto"/>
          <w:lang w:val="en-US"/>
        </w:rPr>
        <w:t xml:space="preserve">within the canopy, decrease in LAI and remobilization of assimilates from vegetative parts to reproductive parts (Choudhary </w:t>
      </w:r>
      <w:r w:rsidRPr="00E31A3C">
        <w:rPr>
          <w:i/>
          <w:iCs/>
          <w:color w:val="auto"/>
          <w:lang w:val="en-US"/>
        </w:rPr>
        <w:t>et al</w:t>
      </w:r>
      <w:r w:rsidRPr="00E31A3C">
        <w:rPr>
          <w:color w:val="auto"/>
          <w:lang w:val="en-US"/>
        </w:rPr>
        <w:t xml:space="preserve">., 2021). </w:t>
      </w:r>
      <w:proofErr w:type="spellStart"/>
      <w:r w:rsidRPr="00E31A3C">
        <w:rPr>
          <w:color w:val="auto"/>
          <w:lang w:val="en-US"/>
        </w:rPr>
        <w:t>P</w:t>
      </w:r>
      <w:r w:rsidR="002C5E69" w:rsidRPr="00E31A3C">
        <w:rPr>
          <w:color w:val="auto"/>
          <w:lang w:val="en-US"/>
        </w:rPr>
        <w:t>a</w:t>
      </w:r>
      <w:r w:rsidRPr="00E31A3C">
        <w:rPr>
          <w:color w:val="auto"/>
          <w:lang w:val="en-US"/>
        </w:rPr>
        <w:t>ikara</w:t>
      </w:r>
      <w:proofErr w:type="spellEnd"/>
      <w:r w:rsidRPr="00E31A3C">
        <w:rPr>
          <w:color w:val="auto"/>
          <w:lang w:val="en-US"/>
        </w:rPr>
        <w:t xml:space="preserve"> and Pandey (2018) also reported the similar results. Pronounced improvement in CGR was observed between 65-85 DAS and thereafter declined till harvest. It can be attributed to the better nutrient availability, soil aeration, less competition which </w:t>
      </w:r>
      <w:r w:rsidR="00710DF4" w:rsidRPr="00E31A3C">
        <w:rPr>
          <w:color w:val="auto"/>
          <w:lang w:val="en-US"/>
        </w:rPr>
        <w:t>favored</w:t>
      </w:r>
      <w:r w:rsidRPr="00E31A3C">
        <w:rPr>
          <w:color w:val="auto"/>
          <w:lang w:val="en-US"/>
        </w:rPr>
        <w:t xml:space="preserve"> more root growth and photosynthetic activity (</w:t>
      </w:r>
      <w:proofErr w:type="spellStart"/>
      <w:r w:rsidRPr="00E31A3C">
        <w:rPr>
          <w:color w:val="auto"/>
          <w:lang w:val="en-US"/>
        </w:rPr>
        <w:t>Theerthana</w:t>
      </w:r>
      <w:proofErr w:type="spellEnd"/>
      <w:r w:rsidRPr="00E31A3C">
        <w:rPr>
          <w:color w:val="auto"/>
          <w:lang w:val="en-US"/>
        </w:rPr>
        <w:t xml:space="preserve"> </w:t>
      </w:r>
      <w:r w:rsidRPr="00E31A3C">
        <w:rPr>
          <w:i/>
          <w:iCs/>
          <w:color w:val="auto"/>
          <w:lang w:val="en-US"/>
        </w:rPr>
        <w:t>et al</w:t>
      </w:r>
      <w:r w:rsidRPr="00E31A3C">
        <w:rPr>
          <w:color w:val="auto"/>
          <w:lang w:val="en-US"/>
        </w:rPr>
        <w:t>., 2021). Whereas, RGR and NAR showed declining trend from the beginning till maturity of the crop. STCR (TY-95 q ha</w:t>
      </w:r>
      <w:r w:rsidRPr="00E31A3C">
        <w:rPr>
          <w:color w:val="auto"/>
          <w:vertAlign w:val="superscript"/>
          <w:lang w:val="en-US"/>
        </w:rPr>
        <w:t>-1</w:t>
      </w:r>
      <w:r w:rsidRPr="00E31A3C">
        <w:rPr>
          <w:color w:val="auto"/>
          <w:lang w:val="en-US"/>
        </w:rPr>
        <w:t>) recorded maximum CGR which was superior to all other treatment at all growth stages except at harvest, where it failed to show significant superiority over RDF. However, RDF recorded numerically highest RGR at 45-65 DAS and remained statistically at par with STCR and NE of targets 75, 85 and 95 q ha</w:t>
      </w:r>
      <w:r w:rsidRPr="00E31A3C">
        <w:rPr>
          <w:color w:val="auto"/>
          <w:vertAlign w:val="superscript"/>
          <w:lang w:val="en-US"/>
        </w:rPr>
        <w:t>-1</w:t>
      </w:r>
      <w:r w:rsidRPr="00E31A3C">
        <w:rPr>
          <w:color w:val="auto"/>
          <w:lang w:val="en-US"/>
        </w:rPr>
        <w:t xml:space="preserve">. During subsequent intervals, </w:t>
      </w:r>
      <w:r w:rsidR="00CF17A6" w:rsidRPr="00E31A3C">
        <w:rPr>
          <w:color w:val="auto"/>
          <w:lang w:val="en-US"/>
        </w:rPr>
        <w:t>NE 75 q ha</w:t>
      </w:r>
      <w:r w:rsidR="00CF17A6" w:rsidRPr="00E31A3C">
        <w:rPr>
          <w:color w:val="auto"/>
          <w:vertAlign w:val="superscript"/>
          <w:lang w:val="en-US"/>
        </w:rPr>
        <w:t>-1</w:t>
      </w:r>
      <w:r w:rsidRPr="00E31A3C">
        <w:rPr>
          <w:color w:val="auto"/>
          <w:lang w:val="en-US"/>
        </w:rPr>
        <w:t xml:space="preserve"> registered highest RGR among all other</w:t>
      </w:r>
      <w:r w:rsidR="00CF17A6" w:rsidRPr="00E31A3C">
        <w:rPr>
          <w:color w:val="auto"/>
          <w:lang w:val="en-US"/>
        </w:rPr>
        <w:t xml:space="preserve"> treatments</w:t>
      </w:r>
      <w:r w:rsidRPr="00E31A3C">
        <w:rPr>
          <w:color w:val="auto"/>
          <w:lang w:val="en-US"/>
        </w:rPr>
        <w:t>. NE (TY-75 q ha</w:t>
      </w:r>
      <w:r w:rsidRPr="00E31A3C">
        <w:rPr>
          <w:color w:val="auto"/>
          <w:vertAlign w:val="superscript"/>
          <w:lang w:val="en-US"/>
        </w:rPr>
        <w:t>-1</w:t>
      </w:r>
      <w:r w:rsidRPr="00E31A3C">
        <w:rPr>
          <w:color w:val="auto"/>
          <w:lang w:val="en-US"/>
        </w:rPr>
        <w:t>) recorded significantly higher NAR at 45-65 DAS. NE (TY-75 q ha</w:t>
      </w:r>
      <w:r w:rsidRPr="00E31A3C">
        <w:rPr>
          <w:color w:val="auto"/>
          <w:vertAlign w:val="superscript"/>
          <w:lang w:val="en-US"/>
        </w:rPr>
        <w:t>-1</w:t>
      </w:r>
      <w:r w:rsidRPr="00E31A3C">
        <w:rPr>
          <w:color w:val="auto"/>
          <w:lang w:val="en-US"/>
        </w:rPr>
        <w:t xml:space="preserve">) performed better </w:t>
      </w:r>
      <w:proofErr w:type="spellStart"/>
      <w:r w:rsidRPr="00E31A3C">
        <w:rPr>
          <w:color w:val="auto"/>
          <w:lang w:val="en-US"/>
        </w:rPr>
        <w:t>upto</w:t>
      </w:r>
      <w:proofErr w:type="spellEnd"/>
      <w:r w:rsidRPr="00E31A3C">
        <w:rPr>
          <w:color w:val="auto"/>
          <w:lang w:val="en-US"/>
        </w:rPr>
        <w:t xml:space="preserve"> mid growth stages thereafter at Harvest-125 DAS showing a sharp declining trend. Leaves are the predominant photosynthetic organ and therefore, are important targets for maximizing carbon assimilation by improving morphological traits (Zhu </w:t>
      </w:r>
      <w:r w:rsidRPr="00E31A3C">
        <w:rPr>
          <w:i/>
          <w:iCs/>
          <w:color w:val="auto"/>
          <w:lang w:val="en-US"/>
        </w:rPr>
        <w:t>et al</w:t>
      </w:r>
      <w:r w:rsidRPr="00E31A3C">
        <w:rPr>
          <w:color w:val="auto"/>
          <w:lang w:val="en-US"/>
        </w:rPr>
        <w:t xml:space="preserve">., 2010). The enhanced crop growth indices with SSNM of higher yield targets might be due to better vegetative growth of the crop. Similar results were reported by Raj </w:t>
      </w:r>
      <w:r w:rsidRPr="00E31A3C">
        <w:rPr>
          <w:i/>
          <w:iCs/>
          <w:color w:val="auto"/>
          <w:lang w:val="en-US"/>
        </w:rPr>
        <w:t xml:space="preserve">et </w:t>
      </w:r>
      <w:proofErr w:type="gramStart"/>
      <w:r w:rsidRPr="00E31A3C">
        <w:rPr>
          <w:i/>
          <w:iCs/>
          <w:color w:val="auto"/>
          <w:lang w:val="en-US"/>
        </w:rPr>
        <w:t xml:space="preserve">al </w:t>
      </w:r>
      <w:r w:rsidRPr="00E31A3C">
        <w:rPr>
          <w:color w:val="auto"/>
          <w:lang w:val="en-US"/>
        </w:rPr>
        <w:t>.</w:t>
      </w:r>
      <w:proofErr w:type="gramEnd"/>
      <w:r w:rsidRPr="00E31A3C">
        <w:rPr>
          <w:color w:val="auto"/>
          <w:lang w:val="en-US"/>
        </w:rPr>
        <w:t xml:space="preserve"> (2018).</w:t>
      </w:r>
    </w:p>
    <w:p w14:paraId="39171803" w14:textId="13C63974" w:rsidR="005F0844" w:rsidRPr="00E31A3C" w:rsidRDefault="005F0844" w:rsidP="005F0844">
      <w:pPr>
        <w:spacing w:line="240" w:lineRule="auto"/>
        <w:ind w:firstLine="0"/>
        <w:rPr>
          <w:b/>
          <w:bCs/>
          <w:color w:val="auto"/>
        </w:rPr>
      </w:pPr>
    </w:p>
    <w:p w14:paraId="53CE6E41" w14:textId="55A83E61" w:rsidR="009401D4" w:rsidRPr="00E31A3C" w:rsidRDefault="009401D4" w:rsidP="005408B5">
      <w:pPr>
        <w:spacing w:line="240" w:lineRule="auto"/>
        <w:ind w:firstLine="0"/>
        <w:rPr>
          <w:b/>
          <w:bCs/>
          <w:color w:val="auto"/>
        </w:rPr>
        <w:sectPr w:rsidR="009401D4" w:rsidRPr="00E31A3C" w:rsidSect="004700DB">
          <w:pgSz w:w="11906" w:h="16838" w:code="9"/>
          <w:pgMar w:top="2275" w:right="1699" w:bottom="2275" w:left="2275" w:header="706" w:footer="706" w:gutter="0"/>
          <w:cols w:space="708"/>
          <w:docGrid w:linePitch="360"/>
        </w:sectPr>
      </w:pPr>
      <w:r w:rsidRPr="00E31A3C">
        <w:rPr>
          <w:color w:val="auto"/>
        </w:rPr>
        <w:tab/>
      </w:r>
    </w:p>
    <w:p w14:paraId="521A6E87" w14:textId="59719F00" w:rsidR="00004CA3" w:rsidRPr="00E31A3C" w:rsidRDefault="00004CA3" w:rsidP="00004CA3">
      <w:pPr>
        <w:rPr>
          <w:color w:val="auto"/>
          <w:szCs w:val="24"/>
        </w:rPr>
      </w:pPr>
      <w:r w:rsidRPr="00E31A3C">
        <w:rPr>
          <w:color w:val="auto"/>
          <w:szCs w:val="24"/>
        </w:rPr>
        <w:lastRenderedPageBreak/>
        <w:t xml:space="preserve">Table </w:t>
      </w:r>
      <w:r w:rsidR="00E15242">
        <w:rPr>
          <w:color w:val="auto"/>
          <w:szCs w:val="24"/>
        </w:rPr>
        <w:t>3</w:t>
      </w:r>
      <w:r w:rsidRPr="00E31A3C">
        <w:rPr>
          <w:color w:val="auto"/>
          <w:szCs w:val="24"/>
        </w:rPr>
        <w:t>: Effect of crop establishment methods and nutrient management on relative growth rate (mg g</w:t>
      </w:r>
      <w:r w:rsidRPr="00E31A3C">
        <w:rPr>
          <w:color w:val="auto"/>
          <w:szCs w:val="24"/>
          <w:vertAlign w:val="superscript"/>
        </w:rPr>
        <w:t xml:space="preserve">-1 </w:t>
      </w:r>
      <w:r w:rsidRPr="00E31A3C">
        <w:rPr>
          <w:color w:val="auto"/>
          <w:szCs w:val="24"/>
        </w:rPr>
        <w:t>day</w:t>
      </w:r>
      <w:r w:rsidRPr="00E31A3C">
        <w:rPr>
          <w:color w:val="auto"/>
          <w:szCs w:val="24"/>
          <w:vertAlign w:val="superscript"/>
        </w:rPr>
        <w:t>-1</w:t>
      </w:r>
      <w:r w:rsidRPr="00E31A3C">
        <w:rPr>
          <w:color w:val="auto"/>
          <w:szCs w:val="24"/>
        </w:rPr>
        <w:t>) of rice.</w:t>
      </w:r>
    </w:p>
    <w:tbl>
      <w:tblPr>
        <w:tblStyle w:val="TableGrid"/>
        <w:tblW w:w="14183" w:type="dxa"/>
        <w:tblInd w:w="-1085" w:type="dxa"/>
        <w:tblLayout w:type="fixed"/>
        <w:tblLook w:val="04A0" w:firstRow="1" w:lastRow="0" w:firstColumn="1" w:lastColumn="0" w:noHBand="0" w:noVBand="1"/>
      </w:tblPr>
      <w:tblGrid>
        <w:gridCol w:w="3748"/>
        <w:gridCol w:w="1013"/>
        <w:gridCol w:w="1013"/>
        <w:gridCol w:w="1013"/>
        <w:gridCol w:w="1114"/>
        <w:gridCol w:w="1013"/>
        <w:gridCol w:w="1013"/>
        <w:gridCol w:w="1114"/>
        <w:gridCol w:w="1013"/>
        <w:gridCol w:w="1114"/>
        <w:gridCol w:w="1015"/>
      </w:tblGrid>
      <w:tr w:rsidR="00004CA3" w:rsidRPr="00E31A3C" w14:paraId="081EA842" w14:textId="77777777" w:rsidTr="00A666EE">
        <w:trPr>
          <w:trHeight w:val="317"/>
        </w:trPr>
        <w:tc>
          <w:tcPr>
            <w:tcW w:w="3748" w:type="dxa"/>
            <w:vMerge w:val="restart"/>
          </w:tcPr>
          <w:p w14:paraId="5B0F0317"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Treatments</w:t>
            </w:r>
          </w:p>
        </w:tc>
        <w:tc>
          <w:tcPr>
            <w:tcW w:w="2026" w:type="dxa"/>
            <w:gridSpan w:val="2"/>
          </w:tcPr>
          <w:p w14:paraId="69F65F39"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 xml:space="preserve">45-65 DAS </w:t>
            </w:r>
          </w:p>
        </w:tc>
        <w:tc>
          <w:tcPr>
            <w:tcW w:w="2127" w:type="dxa"/>
            <w:gridSpan w:val="2"/>
          </w:tcPr>
          <w:p w14:paraId="2BAFEDB1"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65-85 DAS</w:t>
            </w:r>
          </w:p>
        </w:tc>
        <w:tc>
          <w:tcPr>
            <w:tcW w:w="2026" w:type="dxa"/>
            <w:gridSpan w:val="2"/>
          </w:tcPr>
          <w:p w14:paraId="173E6CEE"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 xml:space="preserve"> 105-85 DAS</w:t>
            </w:r>
          </w:p>
        </w:tc>
        <w:tc>
          <w:tcPr>
            <w:tcW w:w="2127" w:type="dxa"/>
            <w:gridSpan w:val="2"/>
          </w:tcPr>
          <w:p w14:paraId="50E5A0D4"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 xml:space="preserve">125-105 DAS </w:t>
            </w:r>
          </w:p>
        </w:tc>
        <w:tc>
          <w:tcPr>
            <w:tcW w:w="2129" w:type="dxa"/>
            <w:gridSpan w:val="2"/>
          </w:tcPr>
          <w:p w14:paraId="1457D1F7"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 xml:space="preserve">Harvest-125 DAS </w:t>
            </w:r>
          </w:p>
        </w:tc>
      </w:tr>
      <w:tr w:rsidR="00004CA3" w:rsidRPr="00E31A3C" w14:paraId="33EC675E" w14:textId="77777777" w:rsidTr="00A666EE">
        <w:trPr>
          <w:trHeight w:val="317"/>
        </w:trPr>
        <w:tc>
          <w:tcPr>
            <w:tcW w:w="3748" w:type="dxa"/>
            <w:vMerge/>
          </w:tcPr>
          <w:p w14:paraId="1B298FF2" w14:textId="77777777" w:rsidR="00004CA3" w:rsidRPr="00E31A3C" w:rsidRDefault="00004CA3" w:rsidP="00A666EE">
            <w:pPr>
              <w:rPr>
                <w:rFonts w:ascii="Times New Roman" w:hAnsi="Times New Roman" w:cs="Times New Roman"/>
                <w:sz w:val="24"/>
                <w:szCs w:val="24"/>
              </w:rPr>
            </w:pPr>
          </w:p>
        </w:tc>
        <w:tc>
          <w:tcPr>
            <w:tcW w:w="1013" w:type="dxa"/>
          </w:tcPr>
          <w:p w14:paraId="2483F196"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74D7C395"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013" w:type="dxa"/>
          </w:tcPr>
          <w:p w14:paraId="14771EE5"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114" w:type="dxa"/>
          </w:tcPr>
          <w:p w14:paraId="38E90318"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013" w:type="dxa"/>
          </w:tcPr>
          <w:p w14:paraId="5E2889A2"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5434E47E"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114" w:type="dxa"/>
          </w:tcPr>
          <w:p w14:paraId="0C2E8B0C"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7098F398"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114" w:type="dxa"/>
          </w:tcPr>
          <w:p w14:paraId="36C5FCD0"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5" w:type="dxa"/>
          </w:tcPr>
          <w:p w14:paraId="6480954C"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2025</w:t>
            </w:r>
          </w:p>
        </w:tc>
      </w:tr>
      <w:tr w:rsidR="00004CA3" w:rsidRPr="00E31A3C" w14:paraId="15ADD529" w14:textId="77777777" w:rsidTr="00A666EE">
        <w:trPr>
          <w:trHeight w:val="332"/>
        </w:trPr>
        <w:tc>
          <w:tcPr>
            <w:tcW w:w="14183" w:type="dxa"/>
            <w:gridSpan w:val="11"/>
          </w:tcPr>
          <w:p w14:paraId="0F464410"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b/>
                <w:sz w:val="24"/>
                <w:szCs w:val="24"/>
              </w:rPr>
              <w:t>Factor A: Crop Establishment Methods</w:t>
            </w:r>
          </w:p>
        </w:tc>
      </w:tr>
      <w:tr w:rsidR="00004CA3" w:rsidRPr="00E31A3C" w14:paraId="0C588F91" w14:textId="77777777" w:rsidTr="00A666EE">
        <w:trPr>
          <w:trHeight w:val="317"/>
        </w:trPr>
        <w:tc>
          <w:tcPr>
            <w:tcW w:w="3748" w:type="dxa"/>
          </w:tcPr>
          <w:p w14:paraId="48D733FA"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Transplanting</w:t>
            </w:r>
          </w:p>
        </w:tc>
        <w:tc>
          <w:tcPr>
            <w:tcW w:w="1013" w:type="dxa"/>
            <w:vAlign w:val="center"/>
          </w:tcPr>
          <w:p w14:paraId="02F1CC80"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78.65</w:t>
            </w:r>
          </w:p>
        </w:tc>
        <w:tc>
          <w:tcPr>
            <w:tcW w:w="1013" w:type="dxa"/>
            <w:vAlign w:val="center"/>
          </w:tcPr>
          <w:p w14:paraId="113EF357"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75.05</w:t>
            </w:r>
          </w:p>
        </w:tc>
        <w:tc>
          <w:tcPr>
            <w:tcW w:w="1013" w:type="dxa"/>
            <w:vAlign w:val="center"/>
          </w:tcPr>
          <w:p w14:paraId="370A03DC"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45.18</w:t>
            </w:r>
          </w:p>
        </w:tc>
        <w:tc>
          <w:tcPr>
            <w:tcW w:w="1114" w:type="dxa"/>
            <w:vAlign w:val="center"/>
          </w:tcPr>
          <w:p w14:paraId="1642E2B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44.41</w:t>
            </w:r>
          </w:p>
        </w:tc>
        <w:tc>
          <w:tcPr>
            <w:tcW w:w="1013" w:type="dxa"/>
            <w:vAlign w:val="center"/>
          </w:tcPr>
          <w:p w14:paraId="1EFF7CFD"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20.45</w:t>
            </w:r>
          </w:p>
        </w:tc>
        <w:tc>
          <w:tcPr>
            <w:tcW w:w="1013" w:type="dxa"/>
            <w:vAlign w:val="center"/>
          </w:tcPr>
          <w:p w14:paraId="4A6AC3D6"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20.36</w:t>
            </w:r>
          </w:p>
        </w:tc>
        <w:tc>
          <w:tcPr>
            <w:tcW w:w="1114" w:type="dxa"/>
            <w:vAlign w:val="center"/>
          </w:tcPr>
          <w:p w14:paraId="7CE7BEFB"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5.93</w:t>
            </w:r>
          </w:p>
        </w:tc>
        <w:tc>
          <w:tcPr>
            <w:tcW w:w="1013" w:type="dxa"/>
            <w:vAlign w:val="center"/>
          </w:tcPr>
          <w:p w14:paraId="6196A60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5.95</w:t>
            </w:r>
          </w:p>
        </w:tc>
        <w:tc>
          <w:tcPr>
            <w:tcW w:w="1114" w:type="dxa"/>
            <w:vAlign w:val="center"/>
          </w:tcPr>
          <w:p w14:paraId="6B6B7A4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0.84</w:t>
            </w:r>
          </w:p>
        </w:tc>
        <w:tc>
          <w:tcPr>
            <w:tcW w:w="1015" w:type="dxa"/>
            <w:vAlign w:val="center"/>
          </w:tcPr>
          <w:p w14:paraId="153E2686"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0.82</w:t>
            </w:r>
          </w:p>
        </w:tc>
      </w:tr>
      <w:tr w:rsidR="00004CA3" w:rsidRPr="00E31A3C" w14:paraId="4C0ADDD0" w14:textId="77777777" w:rsidTr="00A666EE">
        <w:trPr>
          <w:trHeight w:val="317"/>
        </w:trPr>
        <w:tc>
          <w:tcPr>
            <w:tcW w:w="3748" w:type="dxa"/>
          </w:tcPr>
          <w:p w14:paraId="3C885996"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DSR</w:t>
            </w:r>
          </w:p>
        </w:tc>
        <w:tc>
          <w:tcPr>
            <w:tcW w:w="1013" w:type="dxa"/>
            <w:vAlign w:val="center"/>
          </w:tcPr>
          <w:p w14:paraId="55E193E7"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68.54</w:t>
            </w:r>
          </w:p>
        </w:tc>
        <w:tc>
          <w:tcPr>
            <w:tcW w:w="1013" w:type="dxa"/>
            <w:vAlign w:val="center"/>
          </w:tcPr>
          <w:p w14:paraId="49F3D88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64.45</w:t>
            </w:r>
          </w:p>
        </w:tc>
        <w:tc>
          <w:tcPr>
            <w:tcW w:w="1013" w:type="dxa"/>
            <w:vAlign w:val="center"/>
          </w:tcPr>
          <w:p w14:paraId="2AC6F4E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57.43</w:t>
            </w:r>
          </w:p>
        </w:tc>
        <w:tc>
          <w:tcPr>
            <w:tcW w:w="1114" w:type="dxa"/>
            <w:vAlign w:val="center"/>
          </w:tcPr>
          <w:p w14:paraId="2DAD5845"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56.39</w:t>
            </w:r>
          </w:p>
        </w:tc>
        <w:tc>
          <w:tcPr>
            <w:tcW w:w="1013" w:type="dxa"/>
            <w:vAlign w:val="center"/>
          </w:tcPr>
          <w:p w14:paraId="6E20248F"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23.19</w:t>
            </w:r>
          </w:p>
        </w:tc>
        <w:tc>
          <w:tcPr>
            <w:tcW w:w="1013" w:type="dxa"/>
            <w:vAlign w:val="center"/>
          </w:tcPr>
          <w:p w14:paraId="62276574"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23.01</w:t>
            </w:r>
          </w:p>
        </w:tc>
        <w:tc>
          <w:tcPr>
            <w:tcW w:w="1114" w:type="dxa"/>
            <w:vAlign w:val="center"/>
          </w:tcPr>
          <w:p w14:paraId="1C6BF560"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6.87</w:t>
            </w:r>
          </w:p>
        </w:tc>
        <w:tc>
          <w:tcPr>
            <w:tcW w:w="1013" w:type="dxa"/>
            <w:vAlign w:val="center"/>
          </w:tcPr>
          <w:p w14:paraId="74B11C5E"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6.93</w:t>
            </w:r>
          </w:p>
        </w:tc>
        <w:tc>
          <w:tcPr>
            <w:tcW w:w="1114" w:type="dxa"/>
            <w:vAlign w:val="center"/>
          </w:tcPr>
          <w:p w14:paraId="499A40B4"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0.58</w:t>
            </w:r>
          </w:p>
        </w:tc>
        <w:tc>
          <w:tcPr>
            <w:tcW w:w="1015" w:type="dxa"/>
            <w:vAlign w:val="center"/>
          </w:tcPr>
          <w:p w14:paraId="3DB10B4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0.51</w:t>
            </w:r>
          </w:p>
        </w:tc>
      </w:tr>
      <w:tr w:rsidR="00004CA3" w:rsidRPr="00E31A3C" w14:paraId="1B9EC40C" w14:textId="77777777" w:rsidTr="00A666EE">
        <w:trPr>
          <w:trHeight w:val="317"/>
        </w:trPr>
        <w:tc>
          <w:tcPr>
            <w:tcW w:w="3748" w:type="dxa"/>
          </w:tcPr>
          <w:p w14:paraId="57EC5CC9" w14:textId="77777777" w:rsidR="00004CA3" w:rsidRPr="00E31A3C" w:rsidRDefault="00004CA3" w:rsidP="00A666EE">
            <w:pPr>
              <w:rPr>
                <w:rFonts w:ascii="Times New Roman" w:hAnsi="Times New Roman" w:cs="Times New Roman"/>
                <w:sz w:val="24"/>
                <w:szCs w:val="24"/>
              </w:rPr>
            </w:pPr>
            <w:proofErr w:type="spellStart"/>
            <w:r w:rsidRPr="00E31A3C">
              <w:rPr>
                <w:rFonts w:ascii="Times New Roman" w:hAnsi="Times New Roman" w:cs="Times New Roman"/>
                <w:sz w:val="24"/>
                <w:szCs w:val="24"/>
              </w:rPr>
              <w:t>SeM</w:t>
            </w:r>
            <w:proofErr w:type="spellEnd"/>
            <w:r w:rsidRPr="00E31A3C">
              <w:rPr>
                <w:rFonts w:ascii="Times New Roman" w:hAnsi="Times New Roman" w:cs="Times New Roman"/>
                <w:sz w:val="24"/>
                <w:szCs w:val="24"/>
              </w:rPr>
              <w:t>±</w:t>
            </w:r>
          </w:p>
        </w:tc>
        <w:tc>
          <w:tcPr>
            <w:tcW w:w="1013" w:type="dxa"/>
            <w:vAlign w:val="center"/>
          </w:tcPr>
          <w:p w14:paraId="21B07E43"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2.92</w:t>
            </w:r>
          </w:p>
        </w:tc>
        <w:tc>
          <w:tcPr>
            <w:tcW w:w="1013" w:type="dxa"/>
            <w:vAlign w:val="center"/>
          </w:tcPr>
          <w:p w14:paraId="0AE891C1"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2.93</w:t>
            </w:r>
          </w:p>
        </w:tc>
        <w:tc>
          <w:tcPr>
            <w:tcW w:w="1013" w:type="dxa"/>
            <w:vAlign w:val="center"/>
          </w:tcPr>
          <w:p w14:paraId="172C628C"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1.52</w:t>
            </w:r>
          </w:p>
        </w:tc>
        <w:tc>
          <w:tcPr>
            <w:tcW w:w="1114" w:type="dxa"/>
            <w:vAlign w:val="center"/>
          </w:tcPr>
          <w:p w14:paraId="1CCD48A3"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1.36</w:t>
            </w:r>
          </w:p>
        </w:tc>
        <w:tc>
          <w:tcPr>
            <w:tcW w:w="1013" w:type="dxa"/>
            <w:vAlign w:val="center"/>
          </w:tcPr>
          <w:p w14:paraId="0A685C66"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0.98</w:t>
            </w:r>
          </w:p>
        </w:tc>
        <w:tc>
          <w:tcPr>
            <w:tcW w:w="1013" w:type="dxa"/>
            <w:vAlign w:val="center"/>
          </w:tcPr>
          <w:p w14:paraId="60AD7DF5"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0.78</w:t>
            </w:r>
          </w:p>
        </w:tc>
        <w:tc>
          <w:tcPr>
            <w:tcW w:w="1114" w:type="dxa"/>
            <w:vAlign w:val="center"/>
          </w:tcPr>
          <w:p w14:paraId="7AC61616"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0.24</w:t>
            </w:r>
          </w:p>
        </w:tc>
        <w:tc>
          <w:tcPr>
            <w:tcW w:w="1013" w:type="dxa"/>
            <w:vAlign w:val="center"/>
          </w:tcPr>
          <w:p w14:paraId="1C4A5463"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0.25</w:t>
            </w:r>
          </w:p>
        </w:tc>
        <w:tc>
          <w:tcPr>
            <w:tcW w:w="1114" w:type="dxa"/>
            <w:vAlign w:val="center"/>
          </w:tcPr>
          <w:p w14:paraId="6A94205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0.08</w:t>
            </w:r>
          </w:p>
        </w:tc>
        <w:tc>
          <w:tcPr>
            <w:tcW w:w="1015" w:type="dxa"/>
            <w:vAlign w:val="center"/>
          </w:tcPr>
          <w:p w14:paraId="4FA8D92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0.06</w:t>
            </w:r>
          </w:p>
        </w:tc>
      </w:tr>
      <w:tr w:rsidR="00004CA3" w:rsidRPr="00E31A3C" w14:paraId="04C2FAC8" w14:textId="77777777" w:rsidTr="00A666EE">
        <w:trPr>
          <w:trHeight w:val="317"/>
        </w:trPr>
        <w:tc>
          <w:tcPr>
            <w:tcW w:w="3748" w:type="dxa"/>
          </w:tcPr>
          <w:p w14:paraId="34D3B9E8"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CD (p≤0.05)</w:t>
            </w:r>
          </w:p>
        </w:tc>
        <w:tc>
          <w:tcPr>
            <w:tcW w:w="1013" w:type="dxa"/>
            <w:vAlign w:val="center"/>
          </w:tcPr>
          <w:p w14:paraId="398FBFF0"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8.74</w:t>
            </w:r>
          </w:p>
        </w:tc>
        <w:tc>
          <w:tcPr>
            <w:tcW w:w="1013" w:type="dxa"/>
            <w:vAlign w:val="center"/>
          </w:tcPr>
          <w:p w14:paraId="5AC33F0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8.77</w:t>
            </w:r>
          </w:p>
        </w:tc>
        <w:tc>
          <w:tcPr>
            <w:tcW w:w="1013" w:type="dxa"/>
            <w:vAlign w:val="center"/>
          </w:tcPr>
          <w:p w14:paraId="0F564F35"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4.46</w:t>
            </w:r>
          </w:p>
        </w:tc>
        <w:tc>
          <w:tcPr>
            <w:tcW w:w="1114" w:type="dxa"/>
            <w:vAlign w:val="center"/>
          </w:tcPr>
          <w:p w14:paraId="7D295F4B"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3.95</w:t>
            </w:r>
          </w:p>
        </w:tc>
        <w:tc>
          <w:tcPr>
            <w:tcW w:w="1013" w:type="dxa"/>
            <w:vAlign w:val="center"/>
          </w:tcPr>
          <w:p w14:paraId="3739C58B"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2.49</w:t>
            </w:r>
          </w:p>
        </w:tc>
        <w:tc>
          <w:tcPr>
            <w:tcW w:w="1013" w:type="dxa"/>
            <w:vAlign w:val="center"/>
          </w:tcPr>
          <w:p w14:paraId="3E5C44BB"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2.35</w:t>
            </w:r>
          </w:p>
        </w:tc>
        <w:tc>
          <w:tcPr>
            <w:tcW w:w="1114" w:type="dxa"/>
            <w:vAlign w:val="center"/>
          </w:tcPr>
          <w:p w14:paraId="74C58E9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0.73</w:t>
            </w:r>
          </w:p>
        </w:tc>
        <w:tc>
          <w:tcPr>
            <w:tcW w:w="1013" w:type="dxa"/>
            <w:vAlign w:val="center"/>
          </w:tcPr>
          <w:p w14:paraId="59FC8D86"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0.74</w:t>
            </w:r>
          </w:p>
        </w:tc>
        <w:tc>
          <w:tcPr>
            <w:tcW w:w="1114" w:type="dxa"/>
            <w:vAlign w:val="center"/>
          </w:tcPr>
          <w:p w14:paraId="48CE36F4"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0.23</w:t>
            </w:r>
          </w:p>
        </w:tc>
        <w:tc>
          <w:tcPr>
            <w:tcW w:w="1015" w:type="dxa"/>
            <w:vAlign w:val="center"/>
          </w:tcPr>
          <w:p w14:paraId="2A1F1059"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0.19</w:t>
            </w:r>
          </w:p>
        </w:tc>
      </w:tr>
      <w:tr w:rsidR="00004CA3" w:rsidRPr="00E31A3C" w14:paraId="0316634C" w14:textId="77777777" w:rsidTr="00A666EE">
        <w:trPr>
          <w:trHeight w:val="332"/>
        </w:trPr>
        <w:tc>
          <w:tcPr>
            <w:tcW w:w="14183" w:type="dxa"/>
            <w:gridSpan w:val="11"/>
          </w:tcPr>
          <w:p w14:paraId="471B72F8"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b/>
                <w:sz w:val="24"/>
                <w:szCs w:val="24"/>
              </w:rPr>
              <w:t>Factor B: Nutrient Management</w:t>
            </w:r>
          </w:p>
        </w:tc>
      </w:tr>
      <w:tr w:rsidR="00004CA3" w:rsidRPr="00E31A3C" w14:paraId="440F282A" w14:textId="77777777" w:rsidTr="00A666EE">
        <w:trPr>
          <w:trHeight w:val="317"/>
        </w:trPr>
        <w:tc>
          <w:tcPr>
            <w:tcW w:w="3748" w:type="dxa"/>
            <w:vAlign w:val="bottom"/>
          </w:tcPr>
          <w:p w14:paraId="0CEC0DDD" w14:textId="77777777" w:rsidR="00004CA3" w:rsidRPr="00E31A3C" w:rsidRDefault="00004CA3" w:rsidP="00A666EE">
            <w:pPr>
              <w:rPr>
                <w:rFonts w:ascii="Times New Roman" w:hAnsi="Times New Roman" w:cs="Times New Roman"/>
                <w:bCs/>
                <w:sz w:val="24"/>
                <w:szCs w:val="24"/>
              </w:rPr>
            </w:pPr>
            <w:r w:rsidRPr="00E31A3C">
              <w:rPr>
                <w:rFonts w:ascii="Times New Roman" w:hAnsi="Times New Roman" w:cs="Times New Roman"/>
                <w:bCs/>
                <w:sz w:val="24"/>
                <w:szCs w:val="24"/>
              </w:rPr>
              <w:t xml:space="preserve">Control </w:t>
            </w:r>
          </w:p>
        </w:tc>
        <w:tc>
          <w:tcPr>
            <w:tcW w:w="1013" w:type="dxa"/>
            <w:vAlign w:val="center"/>
          </w:tcPr>
          <w:p w14:paraId="56DC940E"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64.21</w:t>
            </w:r>
          </w:p>
        </w:tc>
        <w:tc>
          <w:tcPr>
            <w:tcW w:w="1013" w:type="dxa"/>
            <w:vAlign w:val="center"/>
          </w:tcPr>
          <w:p w14:paraId="6728B378"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60.01</w:t>
            </w:r>
          </w:p>
        </w:tc>
        <w:tc>
          <w:tcPr>
            <w:tcW w:w="1013" w:type="dxa"/>
            <w:vAlign w:val="center"/>
          </w:tcPr>
          <w:p w14:paraId="1F79DDB5" w14:textId="3AA8AC89"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49.28</w:t>
            </w:r>
          </w:p>
        </w:tc>
        <w:tc>
          <w:tcPr>
            <w:tcW w:w="1114" w:type="dxa"/>
            <w:vAlign w:val="center"/>
          </w:tcPr>
          <w:p w14:paraId="213B3DCD" w14:textId="780F7536"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4</w:t>
            </w:r>
            <w:r w:rsidR="00004CA3" w:rsidRPr="00E31A3C">
              <w:rPr>
                <w:rFonts w:ascii="Times New Roman" w:hAnsi="Times New Roman" w:cs="Times New Roman"/>
                <w:sz w:val="24"/>
                <w:szCs w:val="24"/>
              </w:rPr>
              <w:t>8.62</w:t>
            </w:r>
          </w:p>
        </w:tc>
        <w:tc>
          <w:tcPr>
            <w:tcW w:w="1013" w:type="dxa"/>
            <w:vAlign w:val="center"/>
          </w:tcPr>
          <w:p w14:paraId="78BE9B2A" w14:textId="09C0B528"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w:t>
            </w:r>
            <w:r w:rsidR="00602D05" w:rsidRPr="00E31A3C">
              <w:rPr>
                <w:rFonts w:ascii="Times New Roman" w:hAnsi="Times New Roman" w:cs="Times New Roman"/>
                <w:sz w:val="24"/>
                <w:szCs w:val="24"/>
              </w:rPr>
              <w:t>0</w:t>
            </w:r>
            <w:r w:rsidRPr="00E31A3C">
              <w:rPr>
                <w:rFonts w:ascii="Times New Roman" w:hAnsi="Times New Roman" w:cs="Times New Roman"/>
                <w:sz w:val="24"/>
                <w:szCs w:val="24"/>
              </w:rPr>
              <w:t>.35</w:t>
            </w:r>
          </w:p>
        </w:tc>
        <w:tc>
          <w:tcPr>
            <w:tcW w:w="1013" w:type="dxa"/>
            <w:vAlign w:val="center"/>
          </w:tcPr>
          <w:p w14:paraId="43539537" w14:textId="5796CE72"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w:t>
            </w:r>
            <w:r w:rsidR="00602D05" w:rsidRPr="00E31A3C">
              <w:rPr>
                <w:rFonts w:ascii="Times New Roman" w:hAnsi="Times New Roman" w:cs="Times New Roman"/>
                <w:sz w:val="24"/>
                <w:szCs w:val="24"/>
              </w:rPr>
              <w:t>1</w:t>
            </w:r>
            <w:r w:rsidRPr="00E31A3C">
              <w:rPr>
                <w:rFonts w:ascii="Times New Roman" w:hAnsi="Times New Roman" w:cs="Times New Roman"/>
                <w:sz w:val="24"/>
                <w:szCs w:val="24"/>
              </w:rPr>
              <w:t>.14</w:t>
            </w:r>
          </w:p>
        </w:tc>
        <w:tc>
          <w:tcPr>
            <w:tcW w:w="1114" w:type="dxa"/>
            <w:vAlign w:val="center"/>
          </w:tcPr>
          <w:p w14:paraId="78903BAA" w14:textId="35C1397F"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004CA3" w:rsidRPr="00E31A3C">
              <w:rPr>
                <w:rFonts w:ascii="Times New Roman" w:hAnsi="Times New Roman" w:cs="Times New Roman"/>
                <w:sz w:val="24"/>
                <w:szCs w:val="24"/>
              </w:rPr>
              <w:t>.42</w:t>
            </w:r>
          </w:p>
        </w:tc>
        <w:tc>
          <w:tcPr>
            <w:tcW w:w="1013" w:type="dxa"/>
            <w:vAlign w:val="center"/>
          </w:tcPr>
          <w:p w14:paraId="504DDD0C" w14:textId="27291129"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004CA3" w:rsidRPr="00E31A3C">
              <w:rPr>
                <w:rFonts w:ascii="Times New Roman" w:hAnsi="Times New Roman" w:cs="Times New Roman"/>
                <w:sz w:val="24"/>
                <w:szCs w:val="24"/>
              </w:rPr>
              <w:t>.4</w:t>
            </w:r>
            <w:r w:rsidRPr="00E31A3C">
              <w:rPr>
                <w:rFonts w:ascii="Times New Roman" w:hAnsi="Times New Roman" w:cs="Times New Roman"/>
                <w:sz w:val="24"/>
                <w:szCs w:val="24"/>
              </w:rPr>
              <w:t>5</w:t>
            </w:r>
          </w:p>
        </w:tc>
        <w:tc>
          <w:tcPr>
            <w:tcW w:w="1114" w:type="dxa"/>
            <w:vAlign w:val="center"/>
          </w:tcPr>
          <w:p w14:paraId="5625EB9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0.79</w:t>
            </w:r>
          </w:p>
        </w:tc>
        <w:tc>
          <w:tcPr>
            <w:tcW w:w="1015" w:type="dxa"/>
            <w:vAlign w:val="center"/>
          </w:tcPr>
          <w:p w14:paraId="07CC4F69"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0.70</w:t>
            </w:r>
          </w:p>
        </w:tc>
      </w:tr>
      <w:tr w:rsidR="00004CA3" w:rsidRPr="00E31A3C" w14:paraId="50D53697" w14:textId="77777777" w:rsidTr="00A666EE">
        <w:trPr>
          <w:trHeight w:val="317"/>
        </w:trPr>
        <w:tc>
          <w:tcPr>
            <w:tcW w:w="3748" w:type="dxa"/>
            <w:vAlign w:val="bottom"/>
          </w:tcPr>
          <w:p w14:paraId="1484B5DE" w14:textId="77777777" w:rsidR="00004CA3" w:rsidRPr="00E31A3C" w:rsidRDefault="00004CA3" w:rsidP="00A666EE">
            <w:pPr>
              <w:rPr>
                <w:rFonts w:ascii="Times New Roman" w:hAnsi="Times New Roman" w:cs="Times New Roman"/>
                <w:bCs/>
                <w:sz w:val="24"/>
                <w:szCs w:val="24"/>
              </w:rPr>
            </w:pPr>
            <w:r w:rsidRPr="00E31A3C">
              <w:rPr>
                <w:rFonts w:ascii="Times New Roman" w:hAnsi="Times New Roman" w:cs="Times New Roman"/>
                <w:bCs/>
                <w:sz w:val="24"/>
                <w:szCs w:val="24"/>
              </w:rPr>
              <w:t>RDF (N</w:t>
            </w:r>
            <w:r w:rsidRPr="00E31A3C">
              <w:rPr>
                <w:rFonts w:ascii="Times New Roman" w:hAnsi="Times New Roman" w:cs="Times New Roman"/>
                <w:sz w:val="24"/>
                <w:szCs w:val="24"/>
                <w:vertAlign w:val="subscript"/>
              </w:rPr>
              <w:t>120</w:t>
            </w:r>
            <w:r w:rsidRPr="00E31A3C">
              <w:rPr>
                <w:rFonts w:ascii="Times New Roman" w:hAnsi="Times New Roman" w:cs="Times New Roman"/>
                <w:bCs/>
                <w:sz w:val="24"/>
                <w:szCs w:val="24"/>
              </w:rPr>
              <w:t>P</w:t>
            </w:r>
            <w:r w:rsidRPr="00E31A3C">
              <w:rPr>
                <w:rFonts w:ascii="Times New Roman" w:hAnsi="Times New Roman" w:cs="Times New Roman"/>
                <w:sz w:val="24"/>
                <w:szCs w:val="24"/>
                <w:vertAlign w:val="subscript"/>
              </w:rPr>
              <w:t>60</w:t>
            </w:r>
            <w:r w:rsidRPr="00E31A3C">
              <w:rPr>
                <w:rFonts w:ascii="Times New Roman" w:hAnsi="Times New Roman" w:cs="Times New Roman"/>
                <w:bCs/>
                <w:sz w:val="24"/>
                <w:szCs w:val="24"/>
              </w:rPr>
              <w:t>K</w:t>
            </w:r>
            <w:r w:rsidRPr="00E31A3C">
              <w:rPr>
                <w:rFonts w:ascii="Times New Roman" w:hAnsi="Times New Roman" w:cs="Times New Roman"/>
                <w:sz w:val="24"/>
                <w:szCs w:val="24"/>
                <w:vertAlign w:val="subscript"/>
              </w:rPr>
              <w:t>30</w:t>
            </w:r>
            <w:r w:rsidRPr="00E31A3C">
              <w:rPr>
                <w:rFonts w:ascii="Times New Roman" w:hAnsi="Times New Roman" w:cs="Times New Roman"/>
                <w:sz w:val="24"/>
                <w:szCs w:val="24"/>
              </w:rPr>
              <w:t>)</w:t>
            </w:r>
          </w:p>
        </w:tc>
        <w:tc>
          <w:tcPr>
            <w:tcW w:w="1013" w:type="dxa"/>
            <w:vAlign w:val="center"/>
          </w:tcPr>
          <w:p w14:paraId="4241BA9F"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76.83</w:t>
            </w:r>
          </w:p>
        </w:tc>
        <w:tc>
          <w:tcPr>
            <w:tcW w:w="1013" w:type="dxa"/>
            <w:vAlign w:val="center"/>
          </w:tcPr>
          <w:p w14:paraId="6EA14FB5"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73.20</w:t>
            </w:r>
          </w:p>
        </w:tc>
        <w:tc>
          <w:tcPr>
            <w:tcW w:w="1013" w:type="dxa"/>
            <w:vAlign w:val="center"/>
          </w:tcPr>
          <w:p w14:paraId="3D7BCCD0" w14:textId="5086445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602D05" w:rsidRPr="00E31A3C">
              <w:rPr>
                <w:rFonts w:ascii="Times New Roman" w:hAnsi="Times New Roman" w:cs="Times New Roman"/>
                <w:sz w:val="24"/>
                <w:szCs w:val="24"/>
              </w:rPr>
              <w:t>3</w:t>
            </w:r>
            <w:r w:rsidRPr="00E31A3C">
              <w:rPr>
                <w:rFonts w:ascii="Times New Roman" w:hAnsi="Times New Roman" w:cs="Times New Roman"/>
                <w:sz w:val="24"/>
                <w:szCs w:val="24"/>
              </w:rPr>
              <w:t>.18</w:t>
            </w:r>
          </w:p>
        </w:tc>
        <w:tc>
          <w:tcPr>
            <w:tcW w:w="1114" w:type="dxa"/>
            <w:vAlign w:val="center"/>
          </w:tcPr>
          <w:p w14:paraId="516D1D5B"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50.27</w:t>
            </w:r>
          </w:p>
        </w:tc>
        <w:tc>
          <w:tcPr>
            <w:tcW w:w="1013" w:type="dxa"/>
            <w:vAlign w:val="center"/>
          </w:tcPr>
          <w:p w14:paraId="620C051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21.91</w:t>
            </w:r>
          </w:p>
        </w:tc>
        <w:tc>
          <w:tcPr>
            <w:tcW w:w="1013" w:type="dxa"/>
            <w:vAlign w:val="center"/>
          </w:tcPr>
          <w:p w14:paraId="022B7BA7" w14:textId="357DAE4F"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21.</w:t>
            </w:r>
            <w:r w:rsidR="00602D05" w:rsidRPr="00E31A3C">
              <w:rPr>
                <w:rFonts w:ascii="Times New Roman" w:hAnsi="Times New Roman" w:cs="Times New Roman"/>
                <w:sz w:val="24"/>
                <w:szCs w:val="24"/>
              </w:rPr>
              <w:t>6</w:t>
            </w:r>
            <w:r w:rsidRPr="00E31A3C">
              <w:rPr>
                <w:rFonts w:ascii="Times New Roman" w:hAnsi="Times New Roman" w:cs="Times New Roman"/>
                <w:sz w:val="24"/>
                <w:szCs w:val="24"/>
              </w:rPr>
              <w:t>3</w:t>
            </w:r>
          </w:p>
        </w:tc>
        <w:tc>
          <w:tcPr>
            <w:tcW w:w="1114" w:type="dxa"/>
            <w:vAlign w:val="center"/>
          </w:tcPr>
          <w:p w14:paraId="59336FA9"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6.04</w:t>
            </w:r>
          </w:p>
        </w:tc>
        <w:tc>
          <w:tcPr>
            <w:tcW w:w="1013" w:type="dxa"/>
            <w:vAlign w:val="center"/>
          </w:tcPr>
          <w:p w14:paraId="254F96DE" w14:textId="4E3CDABC"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w:t>
            </w:r>
            <w:r w:rsidR="00602D05" w:rsidRPr="00E31A3C">
              <w:rPr>
                <w:rFonts w:ascii="Times New Roman" w:hAnsi="Times New Roman" w:cs="Times New Roman"/>
                <w:sz w:val="24"/>
                <w:szCs w:val="24"/>
              </w:rPr>
              <w:t>28</w:t>
            </w:r>
          </w:p>
        </w:tc>
        <w:tc>
          <w:tcPr>
            <w:tcW w:w="1114" w:type="dxa"/>
            <w:vAlign w:val="center"/>
          </w:tcPr>
          <w:p w14:paraId="795B7F6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0.77</w:t>
            </w:r>
          </w:p>
        </w:tc>
        <w:tc>
          <w:tcPr>
            <w:tcW w:w="1015" w:type="dxa"/>
            <w:vAlign w:val="center"/>
          </w:tcPr>
          <w:p w14:paraId="4633EB43"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0.67</w:t>
            </w:r>
          </w:p>
        </w:tc>
      </w:tr>
      <w:tr w:rsidR="00004CA3" w:rsidRPr="00E31A3C" w14:paraId="47B2B275" w14:textId="77777777" w:rsidTr="00A666EE">
        <w:trPr>
          <w:trHeight w:val="317"/>
        </w:trPr>
        <w:tc>
          <w:tcPr>
            <w:tcW w:w="3748" w:type="dxa"/>
            <w:vAlign w:val="bottom"/>
          </w:tcPr>
          <w:p w14:paraId="1E9C231D" w14:textId="77777777" w:rsidR="00004CA3" w:rsidRPr="00E31A3C" w:rsidRDefault="00004CA3" w:rsidP="00A666EE">
            <w:pPr>
              <w:rPr>
                <w:rFonts w:ascii="Times New Roman" w:hAnsi="Times New Roman" w:cs="Times New Roman"/>
                <w:bCs/>
                <w:sz w:val="24"/>
                <w:szCs w:val="24"/>
              </w:rPr>
            </w:pPr>
            <w:r w:rsidRPr="00E31A3C">
              <w:rPr>
                <w:rFonts w:ascii="Times New Roman" w:hAnsi="Times New Roman" w:cs="Times New Roman"/>
                <w:bCs/>
                <w:sz w:val="24"/>
                <w:szCs w:val="24"/>
              </w:rPr>
              <w:t>STCR (TY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66FBC45C"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76.06</w:t>
            </w:r>
          </w:p>
        </w:tc>
        <w:tc>
          <w:tcPr>
            <w:tcW w:w="1013" w:type="dxa"/>
            <w:vAlign w:val="center"/>
          </w:tcPr>
          <w:p w14:paraId="63A8D96F"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72.45</w:t>
            </w:r>
          </w:p>
        </w:tc>
        <w:tc>
          <w:tcPr>
            <w:tcW w:w="1013" w:type="dxa"/>
            <w:vAlign w:val="center"/>
          </w:tcPr>
          <w:p w14:paraId="5FAA5342" w14:textId="6115FF3D"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602D05" w:rsidRPr="00E31A3C">
              <w:rPr>
                <w:rFonts w:ascii="Times New Roman" w:hAnsi="Times New Roman" w:cs="Times New Roman"/>
                <w:sz w:val="24"/>
                <w:szCs w:val="24"/>
              </w:rPr>
              <w:t>3</w:t>
            </w:r>
            <w:r w:rsidRPr="00E31A3C">
              <w:rPr>
                <w:rFonts w:ascii="Times New Roman" w:hAnsi="Times New Roman" w:cs="Times New Roman"/>
                <w:sz w:val="24"/>
                <w:szCs w:val="24"/>
              </w:rPr>
              <w:t>.78</w:t>
            </w:r>
          </w:p>
        </w:tc>
        <w:tc>
          <w:tcPr>
            <w:tcW w:w="1114" w:type="dxa"/>
            <w:vAlign w:val="center"/>
          </w:tcPr>
          <w:p w14:paraId="2449064F" w14:textId="2D49435D"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53</w:t>
            </w:r>
            <w:r w:rsidR="00004CA3" w:rsidRPr="00E31A3C">
              <w:rPr>
                <w:rFonts w:ascii="Times New Roman" w:hAnsi="Times New Roman" w:cs="Times New Roman"/>
                <w:sz w:val="24"/>
                <w:szCs w:val="24"/>
              </w:rPr>
              <w:t>.77</w:t>
            </w:r>
          </w:p>
        </w:tc>
        <w:tc>
          <w:tcPr>
            <w:tcW w:w="1013" w:type="dxa"/>
            <w:vAlign w:val="center"/>
          </w:tcPr>
          <w:p w14:paraId="2083DDCB" w14:textId="3118DB0E"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w:t>
            </w:r>
            <w:r w:rsidR="00602D05" w:rsidRPr="00E31A3C">
              <w:rPr>
                <w:rFonts w:ascii="Times New Roman" w:hAnsi="Times New Roman" w:cs="Times New Roman"/>
                <w:sz w:val="24"/>
                <w:szCs w:val="24"/>
              </w:rPr>
              <w:t>2</w:t>
            </w:r>
            <w:r w:rsidRPr="00E31A3C">
              <w:rPr>
                <w:rFonts w:ascii="Times New Roman" w:hAnsi="Times New Roman" w:cs="Times New Roman"/>
                <w:sz w:val="24"/>
                <w:szCs w:val="24"/>
              </w:rPr>
              <w:t>.83</w:t>
            </w:r>
          </w:p>
        </w:tc>
        <w:tc>
          <w:tcPr>
            <w:tcW w:w="1013" w:type="dxa"/>
            <w:vAlign w:val="center"/>
          </w:tcPr>
          <w:p w14:paraId="7DE06718" w14:textId="38B06A0E"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21.</w:t>
            </w:r>
            <w:r w:rsidR="00602D05" w:rsidRPr="00E31A3C">
              <w:rPr>
                <w:rFonts w:ascii="Times New Roman" w:hAnsi="Times New Roman" w:cs="Times New Roman"/>
                <w:sz w:val="24"/>
                <w:szCs w:val="24"/>
              </w:rPr>
              <w:t>5</w:t>
            </w:r>
            <w:r w:rsidRPr="00E31A3C">
              <w:rPr>
                <w:rFonts w:ascii="Times New Roman" w:hAnsi="Times New Roman" w:cs="Times New Roman"/>
                <w:sz w:val="24"/>
                <w:szCs w:val="24"/>
              </w:rPr>
              <w:t>4</w:t>
            </w:r>
          </w:p>
        </w:tc>
        <w:tc>
          <w:tcPr>
            <w:tcW w:w="1114" w:type="dxa"/>
            <w:vAlign w:val="center"/>
          </w:tcPr>
          <w:p w14:paraId="24E00652" w14:textId="14F7B1FD"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6</w:t>
            </w:r>
            <w:r w:rsidR="00004CA3" w:rsidRPr="00E31A3C">
              <w:rPr>
                <w:rFonts w:ascii="Times New Roman" w:hAnsi="Times New Roman" w:cs="Times New Roman"/>
                <w:sz w:val="24"/>
                <w:szCs w:val="24"/>
              </w:rPr>
              <w:t>.96</w:t>
            </w:r>
          </w:p>
        </w:tc>
        <w:tc>
          <w:tcPr>
            <w:tcW w:w="1013" w:type="dxa"/>
            <w:vAlign w:val="center"/>
          </w:tcPr>
          <w:p w14:paraId="415F4258" w14:textId="0F741574"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6</w:t>
            </w:r>
            <w:r w:rsidR="00004CA3" w:rsidRPr="00E31A3C">
              <w:rPr>
                <w:rFonts w:ascii="Times New Roman" w:hAnsi="Times New Roman" w:cs="Times New Roman"/>
                <w:sz w:val="24"/>
                <w:szCs w:val="24"/>
              </w:rPr>
              <w:t>.99</w:t>
            </w:r>
          </w:p>
        </w:tc>
        <w:tc>
          <w:tcPr>
            <w:tcW w:w="1114" w:type="dxa"/>
            <w:vAlign w:val="center"/>
          </w:tcPr>
          <w:p w14:paraId="7E80F98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0.80</w:t>
            </w:r>
          </w:p>
        </w:tc>
        <w:tc>
          <w:tcPr>
            <w:tcW w:w="1015" w:type="dxa"/>
            <w:vAlign w:val="center"/>
          </w:tcPr>
          <w:p w14:paraId="34F21F97"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0.75</w:t>
            </w:r>
          </w:p>
        </w:tc>
      </w:tr>
      <w:tr w:rsidR="00004CA3" w:rsidRPr="00E31A3C" w14:paraId="7D3C6A49" w14:textId="77777777" w:rsidTr="00A666EE">
        <w:trPr>
          <w:trHeight w:val="332"/>
        </w:trPr>
        <w:tc>
          <w:tcPr>
            <w:tcW w:w="3748" w:type="dxa"/>
            <w:vAlign w:val="bottom"/>
          </w:tcPr>
          <w:p w14:paraId="2D74FABC" w14:textId="77777777" w:rsidR="00004CA3" w:rsidRPr="00E31A3C" w:rsidRDefault="00004CA3" w:rsidP="00A666EE">
            <w:pPr>
              <w:rPr>
                <w:rFonts w:ascii="Times New Roman" w:hAnsi="Times New Roman" w:cs="Times New Roman"/>
                <w:bCs/>
                <w:sz w:val="24"/>
                <w:szCs w:val="24"/>
              </w:rPr>
            </w:pPr>
            <w:r w:rsidRPr="00E31A3C">
              <w:rPr>
                <w:rFonts w:ascii="Times New Roman" w:hAnsi="Times New Roman" w:cs="Times New Roman"/>
                <w:bCs/>
                <w:sz w:val="24"/>
                <w:szCs w:val="24"/>
              </w:rPr>
              <w:t>STCR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7BC3DC07"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74.19</w:t>
            </w:r>
          </w:p>
        </w:tc>
        <w:tc>
          <w:tcPr>
            <w:tcW w:w="1013" w:type="dxa"/>
            <w:vAlign w:val="center"/>
          </w:tcPr>
          <w:p w14:paraId="23DD01A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70.56</w:t>
            </w:r>
          </w:p>
        </w:tc>
        <w:tc>
          <w:tcPr>
            <w:tcW w:w="1013" w:type="dxa"/>
            <w:vAlign w:val="center"/>
          </w:tcPr>
          <w:p w14:paraId="709599D1" w14:textId="71DE2549"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w:t>
            </w:r>
            <w:r w:rsidR="00602D05" w:rsidRPr="00E31A3C">
              <w:rPr>
                <w:rFonts w:ascii="Times New Roman" w:hAnsi="Times New Roman" w:cs="Times New Roman"/>
                <w:sz w:val="24"/>
                <w:szCs w:val="24"/>
              </w:rPr>
              <w:t>8</w:t>
            </w:r>
            <w:r w:rsidRPr="00E31A3C">
              <w:rPr>
                <w:rFonts w:ascii="Times New Roman" w:hAnsi="Times New Roman" w:cs="Times New Roman"/>
                <w:sz w:val="24"/>
                <w:szCs w:val="24"/>
              </w:rPr>
              <w:t>.31</w:t>
            </w:r>
          </w:p>
        </w:tc>
        <w:tc>
          <w:tcPr>
            <w:tcW w:w="1114" w:type="dxa"/>
            <w:vAlign w:val="center"/>
          </w:tcPr>
          <w:p w14:paraId="363AD69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46.36</w:t>
            </w:r>
          </w:p>
        </w:tc>
        <w:tc>
          <w:tcPr>
            <w:tcW w:w="1013" w:type="dxa"/>
            <w:vAlign w:val="center"/>
          </w:tcPr>
          <w:p w14:paraId="0A466B65"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20.92</w:t>
            </w:r>
          </w:p>
        </w:tc>
        <w:tc>
          <w:tcPr>
            <w:tcW w:w="1013" w:type="dxa"/>
            <w:vAlign w:val="center"/>
          </w:tcPr>
          <w:p w14:paraId="4A92B8B0"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20.79</w:t>
            </w:r>
          </w:p>
        </w:tc>
        <w:tc>
          <w:tcPr>
            <w:tcW w:w="1114" w:type="dxa"/>
            <w:vAlign w:val="center"/>
          </w:tcPr>
          <w:p w14:paraId="79C41E36"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5.86</w:t>
            </w:r>
          </w:p>
        </w:tc>
        <w:tc>
          <w:tcPr>
            <w:tcW w:w="1013" w:type="dxa"/>
            <w:vAlign w:val="center"/>
          </w:tcPr>
          <w:p w14:paraId="73C7FB7E" w14:textId="6BE707CD"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5.9</w:t>
            </w:r>
            <w:r w:rsidR="00602D05" w:rsidRPr="00E31A3C">
              <w:rPr>
                <w:rFonts w:ascii="Times New Roman" w:hAnsi="Times New Roman" w:cs="Times New Roman"/>
                <w:sz w:val="24"/>
                <w:szCs w:val="24"/>
              </w:rPr>
              <w:t>8</w:t>
            </w:r>
          </w:p>
        </w:tc>
        <w:tc>
          <w:tcPr>
            <w:tcW w:w="1114" w:type="dxa"/>
            <w:vAlign w:val="center"/>
          </w:tcPr>
          <w:p w14:paraId="5A0816F8"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0.51</w:t>
            </w:r>
          </w:p>
        </w:tc>
        <w:tc>
          <w:tcPr>
            <w:tcW w:w="1015" w:type="dxa"/>
            <w:vAlign w:val="center"/>
          </w:tcPr>
          <w:p w14:paraId="03660E3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0.46</w:t>
            </w:r>
          </w:p>
        </w:tc>
      </w:tr>
      <w:tr w:rsidR="00004CA3" w:rsidRPr="00E31A3C" w14:paraId="1AA83469" w14:textId="77777777" w:rsidTr="00A666EE">
        <w:trPr>
          <w:trHeight w:val="317"/>
        </w:trPr>
        <w:tc>
          <w:tcPr>
            <w:tcW w:w="3748" w:type="dxa"/>
            <w:vAlign w:val="bottom"/>
          </w:tcPr>
          <w:p w14:paraId="11C65A99" w14:textId="77777777" w:rsidR="00004CA3" w:rsidRPr="00E31A3C" w:rsidRDefault="00004CA3" w:rsidP="00A666EE">
            <w:pPr>
              <w:rPr>
                <w:rFonts w:ascii="Times New Roman" w:hAnsi="Times New Roman" w:cs="Times New Roman"/>
                <w:bCs/>
                <w:sz w:val="24"/>
                <w:szCs w:val="24"/>
              </w:rPr>
            </w:pPr>
            <w:r w:rsidRPr="00E31A3C">
              <w:rPr>
                <w:rFonts w:ascii="Times New Roman" w:hAnsi="Times New Roman" w:cs="Times New Roman"/>
                <w:bCs/>
                <w:sz w:val="24"/>
                <w:szCs w:val="24"/>
              </w:rPr>
              <w:t>STCR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018E5E9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73.11</w:t>
            </w:r>
          </w:p>
        </w:tc>
        <w:tc>
          <w:tcPr>
            <w:tcW w:w="1013" w:type="dxa"/>
            <w:vAlign w:val="center"/>
          </w:tcPr>
          <w:p w14:paraId="4DCFE434"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69.55</w:t>
            </w:r>
          </w:p>
        </w:tc>
        <w:tc>
          <w:tcPr>
            <w:tcW w:w="1013" w:type="dxa"/>
            <w:vAlign w:val="center"/>
          </w:tcPr>
          <w:p w14:paraId="3B7289D1" w14:textId="01FDA190"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w:t>
            </w:r>
            <w:r w:rsidR="00602D05" w:rsidRPr="00E31A3C">
              <w:rPr>
                <w:rFonts w:ascii="Times New Roman" w:hAnsi="Times New Roman" w:cs="Times New Roman"/>
                <w:sz w:val="24"/>
                <w:szCs w:val="24"/>
              </w:rPr>
              <w:t>9</w:t>
            </w:r>
            <w:r w:rsidRPr="00E31A3C">
              <w:rPr>
                <w:rFonts w:ascii="Times New Roman" w:hAnsi="Times New Roman" w:cs="Times New Roman"/>
                <w:sz w:val="24"/>
                <w:szCs w:val="24"/>
              </w:rPr>
              <w:t>.04</w:t>
            </w:r>
          </w:p>
        </w:tc>
        <w:tc>
          <w:tcPr>
            <w:tcW w:w="1114" w:type="dxa"/>
            <w:vAlign w:val="center"/>
          </w:tcPr>
          <w:p w14:paraId="341DDD96" w14:textId="0D3CE81F"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w:t>
            </w:r>
            <w:r w:rsidR="00602D05" w:rsidRPr="00E31A3C">
              <w:rPr>
                <w:rFonts w:ascii="Times New Roman" w:hAnsi="Times New Roman" w:cs="Times New Roman"/>
                <w:sz w:val="24"/>
                <w:szCs w:val="24"/>
              </w:rPr>
              <w:t>7</w:t>
            </w:r>
            <w:r w:rsidRPr="00E31A3C">
              <w:rPr>
                <w:rFonts w:ascii="Times New Roman" w:hAnsi="Times New Roman" w:cs="Times New Roman"/>
                <w:sz w:val="24"/>
                <w:szCs w:val="24"/>
              </w:rPr>
              <w:t>.97</w:t>
            </w:r>
          </w:p>
        </w:tc>
        <w:tc>
          <w:tcPr>
            <w:tcW w:w="1013" w:type="dxa"/>
            <w:vAlign w:val="center"/>
          </w:tcPr>
          <w:p w14:paraId="78CA81FB"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20.76</w:t>
            </w:r>
          </w:p>
        </w:tc>
        <w:tc>
          <w:tcPr>
            <w:tcW w:w="1013" w:type="dxa"/>
            <w:vAlign w:val="center"/>
          </w:tcPr>
          <w:p w14:paraId="0BE966C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20.62</w:t>
            </w:r>
          </w:p>
        </w:tc>
        <w:tc>
          <w:tcPr>
            <w:tcW w:w="1114" w:type="dxa"/>
            <w:vAlign w:val="center"/>
          </w:tcPr>
          <w:p w14:paraId="1417DB99"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5.85</w:t>
            </w:r>
          </w:p>
        </w:tc>
        <w:tc>
          <w:tcPr>
            <w:tcW w:w="1013" w:type="dxa"/>
            <w:vAlign w:val="center"/>
          </w:tcPr>
          <w:p w14:paraId="72503C1E" w14:textId="144B164A"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602D05" w:rsidRPr="00E31A3C">
              <w:rPr>
                <w:rFonts w:ascii="Times New Roman" w:hAnsi="Times New Roman" w:cs="Times New Roman"/>
                <w:sz w:val="24"/>
                <w:szCs w:val="24"/>
              </w:rPr>
              <w:t>97</w:t>
            </w:r>
          </w:p>
        </w:tc>
        <w:tc>
          <w:tcPr>
            <w:tcW w:w="1114" w:type="dxa"/>
            <w:vAlign w:val="center"/>
          </w:tcPr>
          <w:p w14:paraId="0B1F4C4E"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0.66</w:t>
            </w:r>
          </w:p>
        </w:tc>
        <w:tc>
          <w:tcPr>
            <w:tcW w:w="1015" w:type="dxa"/>
            <w:vAlign w:val="center"/>
          </w:tcPr>
          <w:p w14:paraId="4ABEF41F"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0.62</w:t>
            </w:r>
          </w:p>
        </w:tc>
      </w:tr>
      <w:tr w:rsidR="00004CA3" w:rsidRPr="00E31A3C" w14:paraId="6639B487" w14:textId="77777777" w:rsidTr="00A666EE">
        <w:trPr>
          <w:trHeight w:val="317"/>
        </w:trPr>
        <w:tc>
          <w:tcPr>
            <w:tcW w:w="3748" w:type="dxa"/>
            <w:vAlign w:val="bottom"/>
          </w:tcPr>
          <w:p w14:paraId="41EF703E" w14:textId="77777777" w:rsidR="00004CA3" w:rsidRPr="00E31A3C" w:rsidRDefault="00004CA3" w:rsidP="00A666EE">
            <w:pPr>
              <w:rPr>
                <w:rFonts w:ascii="Times New Roman" w:hAnsi="Times New Roman" w:cs="Times New Roman"/>
                <w:bCs/>
                <w:sz w:val="24"/>
                <w:szCs w:val="24"/>
              </w:rPr>
            </w:pPr>
            <w:r w:rsidRPr="00E31A3C">
              <w:rPr>
                <w:rFonts w:ascii="Times New Roman" w:hAnsi="Times New Roman" w:cs="Times New Roman"/>
                <w:bCs/>
                <w:sz w:val="24"/>
                <w:szCs w:val="24"/>
              </w:rPr>
              <w:t>NE (TY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19B1DB09"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76.33</w:t>
            </w:r>
          </w:p>
        </w:tc>
        <w:tc>
          <w:tcPr>
            <w:tcW w:w="1013" w:type="dxa"/>
            <w:vAlign w:val="center"/>
          </w:tcPr>
          <w:p w14:paraId="572C99F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71.98</w:t>
            </w:r>
          </w:p>
        </w:tc>
        <w:tc>
          <w:tcPr>
            <w:tcW w:w="1013" w:type="dxa"/>
            <w:vAlign w:val="center"/>
          </w:tcPr>
          <w:p w14:paraId="651AC329" w14:textId="7EB2EDD3"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602D05" w:rsidRPr="00E31A3C">
              <w:rPr>
                <w:rFonts w:ascii="Times New Roman" w:hAnsi="Times New Roman" w:cs="Times New Roman"/>
                <w:sz w:val="24"/>
                <w:szCs w:val="24"/>
              </w:rPr>
              <w:t>4</w:t>
            </w:r>
            <w:r w:rsidRPr="00E31A3C">
              <w:rPr>
                <w:rFonts w:ascii="Times New Roman" w:hAnsi="Times New Roman" w:cs="Times New Roman"/>
                <w:sz w:val="24"/>
                <w:szCs w:val="24"/>
              </w:rPr>
              <w:t>.86</w:t>
            </w:r>
          </w:p>
        </w:tc>
        <w:tc>
          <w:tcPr>
            <w:tcW w:w="1114" w:type="dxa"/>
            <w:vAlign w:val="center"/>
          </w:tcPr>
          <w:p w14:paraId="4EBDEB76" w14:textId="21687CA4"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602D05" w:rsidRPr="00E31A3C">
              <w:rPr>
                <w:rFonts w:ascii="Times New Roman" w:hAnsi="Times New Roman" w:cs="Times New Roman"/>
                <w:sz w:val="24"/>
                <w:szCs w:val="24"/>
              </w:rPr>
              <w:t>6</w:t>
            </w:r>
            <w:r w:rsidRPr="00E31A3C">
              <w:rPr>
                <w:rFonts w:ascii="Times New Roman" w:hAnsi="Times New Roman" w:cs="Times New Roman"/>
                <w:sz w:val="24"/>
                <w:szCs w:val="24"/>
              </w:rPr>
              <w:t>.</w:t>
            </w:r>
            <w:r w:rsidR="00602D05" w:rsidRPr="00E31A3C">
              <w:rPr>
                <w:rFonts w:ascii="Times New Roman" w:hAnsi="Times New Roman" w:cs="Times New Roman"/>
                <w:sz w:val="24"/>
                <w:szCs w:val="24"/>
              </w:rPr>
              <w:t>2</w:t>
            </w:r>
            <w:r w:rsidRPr="00E31A3C">
              <w:rPr>
                <w:rFonts w:ascii="Times New Roman" w:hAnsi="Times New Roman" w:cs="Times New Roman"/>
                <w:sz w:val="24"/>
                <w:szCs w:val="24"/>
              </w:rPr>
              <w:t>3</w:t>
            </w:r>
          </w:p>
        </w:tc>
        <w:tc>
          <w:tcPr>
            <w:tcW w:w="1013" w:type="dxa"/>
            <w:vAlign w:val="center"/>
          </w:tcPr>
          <w:p w14:paraId="66FEF976" w14:textId="6F421ADC"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w:t>
            </w:r>
            <w:r w:rsidR="00602D05" w:rsidRPr="00E31A3C">
              <w:rPr>
                <w:rFonts w:ascii="Times New Roman" w:hAnsi="Times New Roman" w:cs="Times New Roman"/>
                <w:sz w:val="24"/>
                <w:szCs w:val="24"/>
              </w:rPr>
              <w:t>3</w:t>
            </w:r>
            <w:r w:rsidRPr="00E31A3C">
              <w:rPr>
                <w:rFonts w:ascii="Times New Roman" w:hAnsi="Times New Roman" w:cs="Times New Roman"/>
                <w:sz w:val="24"/>
                <w:szCs w:val="24"/>
              </w:rPr>
              <w:t>.72</w:t>
            </w:r>
          </w:p>
        </w:tc>
        <w:tc>
          <w:tcPr>
            <w:tcW w:w="1013" w:type="dxa"/>
            <w:vAlign w:val="center"/>
          </w:tcPr>
          <w:p w14:paraId="5EB51DC6" w14:textId="0CE44F0D"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w:t>
            </w:r>
            <w:r w:rsidR="00602D05" w:rsidRPr="00E31A3C">
              <w:rPr>
                <w:rFonts w:ascii="Times New Roman" w:hAnsi="Times New Roman" w:cs="Times New Roman"/>
                <w:sz w:val="24"/>
                <w:szCs w:val="24"/>
              </w:rPr>
              <w:t>4</w:t>
            </w:r>
            <w:r w:rsidRPr="00E31A3C">
              <w:rPr>
                <w:rFonts w:ascii="Times New Roman" w:hAnsi="Times New Roman" w:cs="Times New Roman"/>
                <w:sz w:val="24"/>
                <w:szCs w:val="24"/>
              </w:rPr>
              <w:t>.</w:t>
            </w:r>
            <w:r w:rsidR="00602D05" w:rsidRPr="00E31A3C">
              <w:rPr>
                <w:rFonts w:ascii="Times New Roman" w:hAnsi="Times New Roman" w:cs="Times New Roman"/>
                <w:sz w:val="24"/>
                <w:szCs w:val="24"/>
              </w:rPr>
              <w:t>4</w:t>
            </w:r>
            <w:r w:rsidRPr="00E31A3C">
              <w:rPr>
                <w:rFonts w:ascii="Times New Roman" w:hAnsi="Times New Roman" w:cs="Times New Roman"/>
                <w:sz w:val="24"/>
                <w:szCs w:val="24"/>
              </w:rPr>
              <w:t>7</w:t>
            </w:r>
          </w:p>
        </w:tc>
        <w:tc>
          <w:tcPr>
            <w:tcW w:w="1114" w:type="dxa"/>
            <w:vAlign w:val="center"/>
          </w:tcPr>
          <w:p w14:paraId="65442313" w14:textId="640D5CF6"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7</w:t>
            </w:r>
            <w:r w:rsidR="00004CA3" w:rsidRPr="00E31A3C">
              <w:rPr>
                <w:rFonts w:ascii="Times New Roman" w:hAnsi="Times New Roman" w:cs="Times New Roman"/>
                <w:sz w:val="24"/>
                <w:szCs w:val="24"/>
              </w:rPr>
              <w:t>.82</w:t>
            </w:r>
          </w:p>
        </w:tc>
        <w:tc>
          <w:tcPr>
            <w:tcW w:w="1013" w:type="dxa"/>
            <w:vAlign w:val="center"/>
          </w:tcPr>
          <w:p w14:paraId="02026A32" w14:textId="454BC7CE"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7</w:t>
            </w:r>
            <w:r w:rsidR="00004CA3" w:rsidRPr="00E31A3C">
              <w:rPr>
                <w:rFonts w:ascii="Times New Roman" w:hAnsi="Times New Roman" w:cs="Times New Roman"/>
                <w:sz w:val="24"/>
                <w:szCs w:val="24"/>
              </w:rPr>
              <w:t>.88</w:t>
            </w:r>
          </w:p>
        </w:tc>
        <w:tc>
          <w:tcPr>
            <w:tcW w:w="1114" w:type="dxa"/>
            <w:vAlign w:val="center"/>
          </w:tcPr>
          <w:p w14:paraId="31B0AEEC"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0.51</w:t>
            </w:r>
          </w:p>
        </w:tc>
        <w:tc>
          <w:tcPr>
            <w:tcW w:w="1015" w:type="dxa"/>
            <w:vAlign w:val="center"/>
          </w:tcPr>
          <w:p w14:paraId="62335466"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0.60</w:t>
            </w:r>
          </w:p>
        </w:tc>
      </w:tr>
      <w:tr w:rsidR="00004CA3" w:rsidRPr="00E31A3C" w14:paraId="17AB2BD0" w14:textId="77777777" w:rsidTr="00A666EE">
        <w:trPr>
          <w:trHeight w:val="317"/>
        </w:trPr>
        <w:tc>
          <w:tcPr>
            <w:tcW w:w="3748" w:type="dxa"/>
            <w:vAlign w:val="bottom"/>
          </w:tcPr>
          <w:p w14:paraId="4ECF9953" w14:textId="77777777" w:rsidR="00004CA3" w:rsidRPr="00E31A3C" w:rsidRDefault="00004CA3" w:rsidP="00A666EE">
            <w:pPr>
              <w:rPr>
                <w:rFonts w:ascii="Times New Roman" w:hAnsi="Times New Roman" w:cs="Times New Roman"/>
                <w:bCs/>
                <w:sz w:val="24"/>
                <w:szCs w:val="24"/>
              </w:rPr>
            </w:pPr>
            <w:r w:rsidRPr="00E31A3C">
              <w:rPr>
                <w:rFonts w:ascii="Times New Roman" w:hAnsi="Times New Roman" w:cs="Times New Roman"/>
                <w:bCs/>
                <w:sz w:val="24"/>
                <w:szCs w:val="24"/>
              </w:rPr>
              <w:t>NE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0D39EFC7"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74.46</w:t>
            </w:r>
          </w:p>
        </w:tc>
        <w:tc>
          <w:tcPr>
            <w:tcW w:w="1013" w:type="dxa"/>
            <w:vAlign w:val="center"/>
          </w:tcPr>
          <w:p w14:paraId="02B06AFB"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70.15</w:t>
            </w:r>
          </w:p>
        </w:tc>
        <w:tc>
          <w:tcPr>
            <w:tcW w:w="1013" w:type="dxa"/>
            <w:vAlign w:val="center"/>
          </w:tcPr>
          <w:p w14:paraId="4504CFD0" w14:textId="0218099E"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602D05" w:rsidRPr="00E31A3C">
              <w:rPr>
                <w:rFonts w:ascii="Times New Roman" w:hAnsi="Times New Roman" w:cs="Times New Roman"/>
                <w:sz w:val="24"/>
                <w:szCs w:val="24"/>
              </w:rPr>
              <w:t>2</w:t>
            </w:r>
            <w:r w:rsidRPr="00E31A3C">
              <w:rPr>
                <w:rFonts w:ascii="Times New Roman" w:hAnsi="Times New Roman" w:cs="Times New Roman"/>
                <w:sz w:val="24"/>
                <w:szCs w:val="24"/>
              </w:rPr>
              <w:t>.13</w:t>
            </w:r>
          </w:p>
        </w:tc>
        <w:tc>
          <w:tcPr>
            <w:tcW w:w="1114" w:type="dxa"/>
            <w:vAlign w:val="center"/>
          </w:tcPr>
          <w:p w14:paraId="64A533FB" w14:textId="67485A44"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51</w:t>
            </w:r>
            <w:r w:rsidR="00004CA3" w:rsidRPr="00E31A3C">
              <w:rPr>
                <w:rFonts w:ascii="Times New Roman" w:hAnsi="Times New Roman" w:cs="Times New Roman"/>
                <w:sz w:val="24"/>
                <w:szCs w:val="24"/>
              </w:rPr>
              <w:t>.</w:t>
            </w:r>
            <w:r w:rsidRPr="00E31A3C">
              <w:rPr>
                <w:rFonts w:ascii="Times New Roman" w:hAnsi="Times New Roman" w:cs="Times New Roman"/>
                <w:sz w:val="24"/>
                <w:szCs w:val="24"/>
              </w:rPr>
              <w:t>4</w:t>
            </w:r>
            <w:r w:rsidR="00004CA3" w:rsidRPr="00E31A3C">
              <w:rPr>
                <w:rFonts w:ascii="Times New Roman" w:hAnsi="Times New Roman" w:cs="Times New Roman"/>
                <w:sz w:val="24"/>
                <w:szCs w:val="24"/>
              </w:rPr>
              <w:t>1</w:t>
            </w:r>
          </w:p>
        </w:tc>
        <w:tc>
          <w:tcPr>
            <w:tcW w:w="1013" w:type="dxa"/>
            <w:vAlign w:val="center"/>
          </w:tcPr>
          <w:p w14:paraId="30C817B9"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21.51</w:t>
            </w:r>
          </w:p>
        </w:tc>
        <w:tc>
          <w:tcPr>
            <w:tcW w:w="1013" w:type="dxa"/>
            <w:vAlign w:val="center"/>
          </w:tcPr>
          <w:p w14:paraId="0742F17F" w14:textId="3E12437F"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w:t>
            </w:r>
            <w:r w:rsidR="00602D05" w:rsidRPr="00E31A3C">
              <w:rPr>
                <w:rFonts w:ascii="Times New Roman" w:hAnsi="Times New Roman" w:cs="Times New Roman"/>
                <w:sz w:val="24"/>
                <w:szCs w:val="24"/>
              </w:rPr>
              <w:t>2</w:t>
            </w:r>
            <w:r w:rsidRPr="00E31A3C">
              <w:rPr>
                <w:rFonts w:ascii="Times New Roman" w:hAnsi="Times New Roman" w:cs="Times New Roman"/>
                <w:sz w:val="24"/>
                <w:szCs w:val="24"/>
              </w:rPr>
              <w:t>.39</w:t>
            </w:r>
          </w:p>
        </w:tc>
        <w:tc>
          <w:tcPr>
            <w:tcW w:w="1114" w:type="dxa"/>
            <w:vAlign w:val="center"/>
          </w:tcPr>
          <w:p w14:paraId="2E374E15" w14:textId="6F5DDB67" w:rsidR="00004CA3" w:rsidRPr="00E31A3C" w:rsidRDefault="00602D05" w:rsidP="00A666EE">
            <w:pPr>
              <w:jc w:val="center"/>
              <w:rPr>
                <w:rFonts w:ascii="Times New Roman" w:hAnsi="Times New Roman" w:cs="Times New Roman"/>
                <w:sz w:val="24"/>
                <w:szCs w:val="24"/>
              </w:rPr>
            </w:pPr>
            <w:r w:rsidRPr="00E31A3C">
              <w:rPr>
                <w:rFonts w:ascii="Times New Roman" w:hAnsi="Times New Roman" w:cs="Times New Roman"/>
                <w:sz w:val="24"/>
                <w:szCs w:val="24"/>
              </w:rPr>
              <w:t>7</w:t>
            </w:r>
            <w:r w:rsidR="00004CA3" w:rsidRPr="00E31A3C">
              <w:rPr>
                <w:rFonts w:ascii="Times New Roman" w:hAnsi="Times New Roman" w:cs="Times New Roman"/>
                <w:sz w:val="24"/>
                <w:szCs w:val="24"/>
              </w:rPr>
              <w:t>.21</w:t>
            </w:r>
          </w:p>
        </w:tc>
        <w:tc>
          <w:tcPr>
            <w:tcW w:w="1013" w:type="dxa"/>
            <w:vAlign w:val="center"/>
          </w:tcPr>
          <w:p w14:paraId="1ABB5745" w14:textId="4C9D202E"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w:t>
            </w:r>
            <w:r w:rsidR="00602D05" w:rsidRPr="00E31A3C">
              <w:rPr>
                <w:rFonts w:ascii="Times New Roman" w:hAnsi="Times New Roman" w:cs="Times New Roman"/>
                <w:sz w:val="24"/>
                <w:szCs w:val="24"/>
              </w:rPr>
              <w:t>5</w:t>
            </w:r>
            <w:r w:rsidRPr="00E31A3C">
              <w:rPr>
                <w:rFonts w:ascii="Times New Roman" w:hAnsi="Times New Roman" w:cs="Times New Roman"/>
                <w:sz w:val="24"/>
                <w:szCs w:val="24"/>
              </w:rPr>
              <w:t>4</w:t>
            </w:r>
          </w:p>
        </w:tc>
        <w:tc>
          <w:tcPr>
            <w:tcW w:w="1114" w:type="dxa"/>
            <w:vAlign w:val="center"/>
          </w:tcPr>
          <w:p w14:paraId="200FAB2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0.82</w:t>
            </w:r>
          </w:p>
        </w:tc>
        <w:tc>
          <w:tcPr>
            <w:tcW w:w="1015" w:type="dxa"/>
            <w:vAlign w:val="center"/>
          </w:tcPr>
          <w:p w14:paraId="14262D79"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0.73</w:t>
            </w:r>
          </w:p>
        </w:tc>
      </w:tr>
      <w:tr w:rsidR="00004CA3" w:rsidRPr="00E31A3C" w14:paraId="4B492FBD" w14:textId="77777777" w:rsidTr="00A666EE">
        <w:trPr>
          <w:trHeight w:val="317"/>
        </w:trPr>
        <w:tc>
          <w:tcPr>
            <w:tcW w:w="3748" w:type="dxa"/>
            <w:vAlign w:val="bottom"/>
          </w:tcPr>
          <w:p w14:paraId="1CBC8E86" w14:textId="77777777" w:rsidR="00004CA3" w:rsidRPr="00E31A3C" w:rsidRDefault="00004CA3" w:rsidP="00A666EE">
            <w:pPr>
              <w:rPr>
                <w:rFonts w:ascii="Times New Roman" w:hAnsi="Times New Roman" w:cs="Times New Roman"/>
                <w:bCs/>
                <w:sz w:val="24"/>
                <w:szCs w:val="24"/>
              </w:rPr>
            </w:pPr>
            <w:r w:rsidRPr="00E31A3C">
              <w:rPr>
                <w:rFonts w:ascii="Times New Roman" w:hAnsi="Times New Roman" w:cs="Times New Roman"/>
                <w:bCs/>
                <w:sz w:val="24"/>
                <w:szCs w:val="24"/>
              </w:rPr>
              <w:t>NE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08B47ADB"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73.57</w:t>
            </w:r>
          </w:p>
        </w:tc>
        <w:tc>
          <w:tcPr>
            <w:tcW w:w="1013" w:type="dxa"/>
            <w:vAlign w:val="center"/>
          </w:tcPr>
          <w:p w14:paraId="0ED9E4AD"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70.12</w:t>
            </w:r>
          </w:p>
        </w:tc>
        <w:tc>
          <w:tcPr>
            <w:tcW w:w="1013" w:type="dxa"/>
            <w:vAlign w:val="center"/>
          </w:tcPr>
          <w:p w14:paraId="58266E67"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49.85</w:t>
            </w:r>
          </w:p>
        </w:tc>
        <w:tc>
          <w:tcPr>
            <w:tcW w:w="1114" w:type="dxa"/>
            <w:vAlign w:val="center"/>
          </w:tcPr>
          <w:p w14:paraId="5566500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48.67</w:t>
            </w:r>
          </w:p>
        </w:tc>
        <w:tc>
          <w:tcPr>
            <w:tcW w:w="1013" w:type="dxa"/>
            <w:vAlign w:val="center"/>
          </w:tcPr>
          <w:p w14:paraId="51197BAE"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21.56</w:t>
            </w:r>
          </w:p>
        </w:tc>
        <w:tc>
          <w:tcPr>
            <w:tcW w:w="1013" w:type="dxa"/>
            <w:vAlign w:val="center"/>
          </w:tcPr>
          <w:p w14:paraId="59AA9934" w14:textId="6608FFD8"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21.</w:t>
            </w:r>
            <w:r w:rsidR="00602D05" w:rsidRPr="00E31A3C">
              <w:rPr>
                <w:rFonts w:ascii="Times New Roman" w:hAnsi="Times New Roman" w:cs="Times New Roman"/>
                <w:sz w:val="24"/>
                <w:szCs w:val="24"/>
              </w:rPr>
              <w:t>1</w:t>
            </w:r>
            <w:r w:rsidRPr="00E31A3C">
              <w:rPr>
                <w:rFonts w:ascii="Times New Roman" w:hAnsi="Times New Roman" w:cs="Times New Roman"/>
                <w:sz w:val="24"/>
                <w:szCs w:val="24"/>
              </w:rPr>
              <w:t>9</w:t>
            </w:r>
          </w:p>
        </w:tc>
        <w:tc>
          <w:tcPr>
            <w:tcW w:w="1114" w:type="dxa"/>
            <w:vAlign w:val="center"/>
          </w:tcPr>
          <w:p w14:paraId="00C43550"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6.04</w:t>
            </w:r>
          </w:p>
        </w:tc>
        <w:tc>
          <w:tcPr>
            <w:tcW w:w="1013" w:type="dxa"/>
            <w:vAlign w:val="center"/>
          </w:tcPr>
          <w:p w14:paraId="023DF43D" w14:textId="760A87B9"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6.</w:t>
            </w:r>
            <w:r w:rsidR="00602D05" w:rsidRPr="00E31A3C">
              <w:rPr>
                <w:rFonts w:ascii="Times New Roman" w:hAnsi="Times New Roman" w:cs="Times New Roman"/>
                <w:sz w:val="24"/>
                <w:szCs w:val="24"/>
              </w:rPr>
              <w:t>35</w:t>
            </w:r>
          </w:p>
        </w:tc>
        <w:tc>
          <w:tcPr>
            <w:tcW w:w="1114" w:type="dxa"/>
            <w:vAlign w:val="center"/>
          </w:tcPr>
          <w:p w14:paraId="1DCF8827"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0.82</w:t>
            </w:r>
          </w:p>
        </w:tc>
        <w:tc>
          <w:tcPr>
            <w:tcW w:w="1015" w:type="dxa"/>
            <w:vAlign w:val="center"/>
          </w:tcPr>
          <w:p w14:paraId="3DA703C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0.80</w:t>
            </w:r>
          </w:p>
        </w:tc>
      </w:tr>
      <w:tr w:rsidR="00004CA3" w:rsidRPr="00E31A3C" w14:paraId="16E4AF8B" w14:textId="77777777" w:rsidTr="00A666EE">
        <w:trPr>
          <w:trHeight w:val="317"/>
        </w:trPr>
        <w:tc>
          <w:tcPr>
            <w:tcW w:w="3748" w:type="dxa"/>
          </w:tcPr>
          <w:p w14:paraId="51B9559A" w14:textId="77777777" w:rsidR="00004CA3" w:rsidRPr="00E31A3C" w:rsidRDefault="00004CA3" w:rsidP="00A666EE">
            <w:pPr>
              <w:rPr>
                <w:rFonts w:ascii="Times New Roman" w:hAnsi="Times New Roman" w:cs="Times New Roman"/>
                <w:sz w:val="24"/>
                <w:szCs w:val="24"/>
              </w:rPr>
            </w:pPr>
            <w:proofErr w:type="spellStart"/>
            <w:r w:rsidRPr="00E31A3C">
              <w:rPr>
                <w:rFonts w:ascii="Times New Roman" w:hAnsi="Times New Roman" w:cs="Times New Roman"/>
                <w:sz w:val="24"/>
                <w:szCs w:val="24"/>
              </w:rPr>
              <w:t>SeM</w:t>
            </w:r>
            <w:proofErr w:type="spellEnd"/>
            <w:r w:rsidRPr="00E31A3C">
              <w:rPr>
                <w:rFonts w:ascii="Times New Roman" w:hAnsi="Times New Roman" w:cs="Times New Roman"/>
                <w:sz w:val="24"/>
                <w:szCs w:val="24"/>
              </w:rPr>
              <w:t>±</w:t>
            </w:r>
          </w:p>
        </w:tc>
        <w:tc>
          <w:tcPr>
            <w:tcW w:w="1013" w:type="dxa"/>
            <w:vAlign w:val="center"/>
          </w:tcPr>
          <w:p w14:paraId="4E15DD05"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1.56</w:t>
            </w:r>
          </w:p>
        </w:tc>
        <w:tc>
          <w:tcPr>
            <w:tcW w:w="1013" w:type="dxa"/>
            <w:vAlign w:val="center"/>
          </w:tcPr>
          <w:p w14:paraId="37CCEE1F"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1.66</w:t>
            </w:r>
          </w:p>
        </w:tc>
        <w:tc>
          <w:tcPr>
            <w:tcW w:w="1013" w:type="dxa"/>
            <w:vAlign w:val="center"/>
          </w:tcPr>
          <w:p w14:paraId="4BD7E4E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0.70</w:t>
            </w:r>
          </w:p>
        </w:tc>
        <w:tc>
          <w:tcPr>
            <w:tcW w:w="1114" w:type="dxa"/>
            <w:vAlign w:val="center"/>
          </w:tcPr>
          <w:p w14:paraId="3475D40D"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0.74</w:t>
            </w:r>
          </w:p>
        </w:tc>
        <w:tc>
          <w:tcPr>
            <w:tcW w:w="1013" w:type="dxa"/>
            <w:vAlign w:val="center"/>
          </w:tcPr>
          <w:p w14:paraId="2754D7E8"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0.37</w:t>
            </w:r>
          </w:p>
        </w:tc>
        <w:tc>
          <w:tcPr>
            <w:tcW w:w="1013" w:type="dxa"/>
            <w:vAlign w:val="center"/>
          </w:tcPr>
          <w:p w14:paraId="7CEBA94F"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0.40</w:t>
            </w:r>
          </w:p>
        </w:tc>
        <w:tc>
          <w:tcPr>
            <w:tcW w:w="1114" w:type="dxa"/>
            <w:vAlign w:val="center"/>
          </w:tcPr>
          <w:p w14:paraId="77CB2738"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0.11</w:t>
            </w:r>
          </w:p>
        </w:tc>
        <w:tc>
          <w:tcPr>
            <w:tcW w:w="1013" w:type="dxa"/>
            <w:vAlign w:val="center"/>
          </w:tcPr>
          <w:p w14:paraId="47AC825C"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0.13</w:t>
            </w:r>
          </w:p>
        </w:tc>
        <w:tc>
          <w:tcPr>
            <w:tcW w:w="1114" w:type="dxa"/>
            <w:vAlign w:val="center"/>
          </w:tcPr>
          <w:p w14:paraId="4011D65E"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0.05</w:t>
            </w:r>
          </w:p>
        </w:tc>
        <w:tc>
          <w:tcPr>
            <w:tcW w:w="1015" w:type="dxa"/>
            <w:vAlign w:val="center"/>
          </w:tcPr>
          <w:p w14:paraId="0759B0E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0.04</w:t>
            </w:r>
          </w:p>
        </w:tc>
      </w:tr>
      <w:tr w:rsidR="00004CA3" w:rsidRPr="00E31A3C" w14:paraId="05E51ADC" w14:textId="77777777" w:rsidTr="00A666EE">
        <w:trPr>
          <w:trHeight w:val="317"/>
        </w:trPr>
        <w:tc>
          <w:tcPr>
            <w:tcW w:w="3748" w:type="dxa"/>
          </w:tcPr>
          <w:p w14:paraId="5E2F1341"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CD (p≤0.05)</w:t>
            </w:r>
          </w:p>
        </w:tc>
        <w:tc>
          <w:tcPr>
            <w:tcW w:w="1013" w:type="dxa"/>
            <w:vAlign w:val="center"/>
          </w:tcPr>
          <w:p w14:paraId="4F028173"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4.52</w:t>
            </w:r>
          </w:p>
        </w:tc>
        <w:tc>
          <w:tcPr>
            <w:tcW w:w="1013" w:type="dxa"/>
            <w:vAlign w:val="center"/>
          </w:tcPr>
          <w:p w14:paraId="2E2CF4A4"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4.81</w:t>
            </w:r>
          </w:p>
        </w:tc>
        <w:tc>
          <w:tcPr>
            <w:tcW w:w="1013" w:type="dxa"/>
            <w:vAlign w:val="center"/>
          </w:tcPr>
          <w:p w14:paraId="0DB20595"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2.11</w:t>
            </w:r>
          </w:p>
        </w:tc>
        <w:tc>
          <w:tcPr>
            <w:tcW w:w="1114" w:type="dxa"/>
            <w:vAlign w:val="center"/>
          </w:tcPr>
          <w:p w14:paraId="018CDBFB"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shd w:val="clear" w:color="auto" w:fill="FFFFFF"/>
              </w:rPr>
              <w:t>2.19</w:t>
            </w:r>
          </w:p>
        </w:tc>
        <w:tc>
          <w:tcPr>
            <w:tcW w:w="1013" w:type="dxa"/>
            <w:vAlign w:val="center"/>
          </w:tcPr>
          <w:p w14:paraId="13DFDE2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1.07</w:t>
            </w:r>
          </w:p>
        </w:tc>
        <w:tc>
          <w:tcPr>
            <w:tcW w:w="1013" w:type="dxa"/>
            <w:vAlign w:val="center"/>
          </w:tcPr>
          <w:p w14:paraId="0E5AAAA8"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1.17</w:t>
            </w:r>
          </w:p>
        </w:tc>
        <w:tc>
          <w:tcPr>
            <w:tcW w:w="1114" w:type="dxa"/>
            <w:vAlign w:val="center"/>
          </w:tcPr>
          <w:p w14:paraId="4751B341"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0.32</w:t>
            </w:r>
          </w:p>
        </w:tc>
        <w:tc>
          <w:tcPr>
            <w:tcW w:w="1013" w:type="dxa"/>
            <w:vAlign w:val="center"/>
          </w:tcPr>
          <w:p w14:paraId="245699FF"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0.38</w:t>
            </w:r>
          </w:p>
        </w:tc>
        <w:tc>
          <w:tcPr>
            <w:tcW w:w="1114" w:type="dxa"/>
            <w:vAlign w:val="center"/>
          </w:tcPr>
          <w:p w14:paraId="295E9179"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0.15</w:t>
            </w:r>
          </w:p>
        </w:tc>
        <w:tc>
          <w:tcPr>
            <w:tcW w:w="1015" w:type="dxa"/>
            <w:vAlign w:val="center"/>
          </w:tcPr>
          <w:p w14:paraId="2BFF8D86"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0.11</w:t>
            </w:r>
          </w:p>
        </w:tc>
      </w:tr>
      <w:tr w:rsidR="00004CA3" w:rsidRPr="00E31A3C" w14:paraId="56540AB3" w14:textId="77777777" w:rsidTr="00A666EE">
        <w:trPr>
          <w:trHeight w:val="317"/>
        </w:trPr>
        <w:tc>
          <w:tcPr>
            <w:tcW w:w="3748" w:type="dxa"/>
          </w:tcPr>
          <w:p w14:paraId="414420D8" w14:textId="77777777" w:rsidR="00004CA3" w:rsidRPr="00E31A3C" w:rsidRDefault="00004CA3" w:rsidP="00A666EE">
            <w:pPr>
              <w:rPr>
                <w:rFonts w:ascii="Times New Roman" w:hAnsi="Times New Roman" w:cs="Times New Roman"/>
                <w:sz w:val="24"/>
                <w:szCs w:val="24"/>
              </w:rPr>
            </w:pPr>
            <w:r w:rsidRPr="00E31A3C">
              <w:rPr>
                <w:rFonts w:ascii="Times New Roman" w:hAnsi="Times New Roman" w:cs="Times New Roman"/>
                <w:sz w:val="24"/>
                <w:szCs w:val="24"/>
              </w:rPr>
              <w:t>Interaction</w:t>
            </w:r>
          </w:p>
        </w:tc>
        <w:tc>
          <w:tcPr>
            <w:tcW w:w="1013" w:type="dxa"/>
            <w:vAlign w:val="center"/>
          </w:tcPr>
          <w:p w14:paraId="6DACDDC6"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1BC4F6EF"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6E41E7FE"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716DEBD0"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20FC842C"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12675E55"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229AAE42"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231BE97A"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00D8BC73"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5" w:type="dxa"/>
            <w:vAlign w:val="center"/>
          </w:tcPr>
          <w:p w14:paraId="15C23410" w14:textId="77777777" w:rsidR="00004CA3" w:rsidRPr="00E31A3C" w:rsidRDefault="00004CA3"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r>
    </w:tbl>
    <w:p w14:paraId="614EF51D" w14:textId="7DBC37FB" w:rsidR="009801CE" w:rsidRPr="00E31A3C" w:rsidRDefault="009801CE" w:rsidP="00EC4705">
      <w:pPr>
        <w:ind w:firstLine="0"/>
        <w:rPr>
          <w:b/>
          <w:bCs/>
          <w:color w:val="auto"/>
        </w:rPr>
        <w:sectPr w:rsidR="009801CE" w:rsidRPr="00E31A3C" w:rsidSect="00004CA3">
          <w:pgSz w:w="16838" w:h="11906" w:orient="landscape" w:code="9"/>
          <w:pgMar w:top="1699" w:right="2275" w:bottom="2275" w:left="2275" w:header="706" w:footer="706" w:gutter="0"/>
          <w:cols w:space="708"/>
          <w:docGrid w:linePitch="360"/>
        </w:sectPr>
      </w:pPr>
    </w:p>
    <w:p w14:paraId="4CFBAD14" w14:textId="30F37C1C" w:rsidR="00A10B80" w:rsidRPr="00E31A3C" w:rsidRDefault="00004CA3" w:rsidP="00EC4705">
      <w:pPr>
        <w:ind w:firstLine="0"/>
        <w:rPr>
          <w:b/>
          <w:bCs/>
          <w:color w:val="auto"/>
        </w:rPr>
      </w:pPr>
      <w:r w:rsidRPr="00E31A3C">
        <w:rPr>
          <w:noProof/>
          <w:color w:val="auto"/>
        </w:rPr>
        <w:lastRenderedPageBreak/>
        <w:drawing>
          <wp:inline distT="0" distB="0" distL="0" distR="0" wp14:anchorId="07ED1BC3" wp14:editId="4BAA36B6">
            <wp:extent cx="4130351" cy="1654628"/>
            <wp:effectExtent l="0" t="0" r="3810" b="3175"/>
            <wp:docPr id="1807537315" name="Chart 1">
              <a:extLst xmlns:a="http://schemas.openxmlformats.org/drawingml/2006/main">
                <a:ext uri="{FF2B5EF4-FFF2-40B4-BE49-F238E27FC236}">
                  <a16:creationId xmlns:a16="http://schemas.microsoft.com/office/drawing/2014/main" id="{4C99CA06-F520-8F71-7D21-5BF73686BD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DB88358" w14:textId="37EACF12" w:rsidR="00A10B80" w:rsidRPr="00E31A3C" w:rsidRDefault="00004CA3" w:rsidP="00EC4705">
      <w:pPr>
        <w:ind w:firstLine="0"/>
        <w:rPr>
          <w:b/>
          <w:bCs/>
          <w:color w:val="auto"/>
        </w:rPr>
      </w:pPr>
      <w:r w:rsidRPr="00E31A3C">
        <w:rPr>
          <w:b/>
          <w:bCs/>
          <w:color w:val="auto"/>
        </w:rPr>
        <w:t xml:space="preserve">Fig. 9: </w:t>
      </w:r>
      <w:r w:rsidR="001D4557" w:rsidRPr="00E31A3C">
        <w:rPr>
          <w:b/>
          <w:bCs/>
          <w:color w:val="auto"/>
        </w:rPr>
        <w:t xml:space="preserve">Effect of </w:t>
      </w:r>
      <w:r w:rsidR="001D4557" w:rsidRPr="00E31A3C">
        <w:rPr>
          <w:b/>
          <w:bCs/>
          <w:color w:val="auto"/>
          <w:szCs w:val="24"/>
        </w:rPr>
        <w:t>crop establishment methods on Relative growth rate of rice in 2024</w:t>
      </w:r>
    </w:p>
    <w:p w14:paraId="6F56A969" w14:textId="70BD6764" w:rsidR="00A10B80" w:rsidRPr="00E31A3C" w:rsidRDefault="00004CA3" w:rsidP="00EC4705">
      <w:pPr>
        <w:ind w:firstLine="0"/>
        <w:rPr>
          <w:b/>
          <w:bCs/>
          <w:color w:val="auto"/>
        </w:rPr>
      </w:pPr>
      <w:r w:rsidRPr="00E31A3C">
        <w:rPr>
          <w:noProof/>
          <w:color w:val="auto"/>
        </w:rPr>
        <w:drawing>
          <wp:inline distT="0" distB="0" distL="0" distR="0" wp14:anchorId="1929F535" wp14:editId="0BAB705F">
            <wp:extent cx="4211216" cy="1853681"/>
            <wp:effectExtent l="0" t="0" r="18415" b="13335"/>
            <wp:docPr id="1706407025" name="Chart 1">
              <a:extLst xmlns:a="http://schemas.openxmlformats.org/drawingml/2006/main">
                <a:ext uri="{FF2B5EF4-FFF2-40B4-BE49-F238E27FC236}">
                  <a16:creationId xmlns:a16="http://schemas.microsoft.com/office/drawing/2014/main" id="{A499F6F5-9C20-17D4-F7D5-AF4FA512E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B341BEA" w14:textId="71BC7E57" w:rsidR="00EA2B5D" w:rsidRDefault="00004CA3" w:rsidP="001D4557">
      <w:pPr>
        <w:ind w:firstLine="0"/>
        <w:rPr>
          <w:b/>
          <w:bCs/>
          <w:color w:val="auto"/>
          <w:szCs w:val="24"/>
        </w:rPr>
      </w:pPr>
      <w:r w:rsidRPr="00E31A3C">
        <w:rPr>
          <w:b/>
          <w:bCs/>
          <w:color w:val="auto"/>
        </w:rPr>
        <w:t xml:space="preserve">Fig. 10: </w:t>
      </w:r>
      <w:r w:rsidR="001D4557" w:rsidRPr="00E31A3C">
        <w:rPr>
          <w:b/>
          <w:bCs/>
          <w:color w:val="auto"/>
        </w:rPr>
        <w:t xml:space="preserve">Effect of </w:t>
      </w:r>
      <w:r w:rsidR="001D4557" w:rsidRPr="00E31A3C">
        <w:rPr>
          <w:b/>
          <w:bCs/>
          <w:color w:val="auto"/>
          <w:szCs w:val="24"/>
        </w:rPr>
        <w:t>crop establishment methods on Relative growth rate of rice in</w:t>
      </w:r>
      <w:r w:rsidR="00EA2B5D" w:rsidRPr="00E31A3C">
        <w:rPr>
          <w:b/>
          <w:bCs/>
          <w:color w:val="auto"/>
          <w:szCs w:val="24"/>
        </w:rPr>
        <w:t xml:space="preserve"> </w:t>
      </w:r>
      <w:r w:rsidR="001D4557" w:rsidRPr="00E31A3C">
        <w:rPr>
          <w:b/>
          <w:bCs/>
          <w:color w:val="auto"/>
          <w:szCs w:val="24"/>
        </w:rPr>
        <w:t>202</w:t>
      </w:r>
      <w:r w:rsidR="00EA2B5D" w:rsidRPr="00E31A3C">
        <w:rPr>
          <w:b/>
          <w:bCs/>
          <w:color w:val="auto"/>
          <w:szCs w:val="24"/>
        </w:rPr>
        <w:t>5</w:t>
      </w:r>
    </w:p>
    <w:p w14:paraId="72FDCB5B" w14:textId="77777777" w:rsidR="00E31A3C" w:rsidRPr="00E31A3C" w:rsidRDefault="00E31A3C" w:rsidP="001D4557">
      <w:pPr>
        <w:ind w:firstLine="0"/>
        <w:rPr>
          <w:b/>
          <w:bCs/>
          <w:color w:val="auto"/>
          <w:szCs w:val="24"/>
        </w:rPr>
      </w:pPr>
    </w:p>
    <w:p w14:paraId="3B556AE0" w14:textId="18B02059" w:rsidR="00EA2B5D" w:rsidRPr="00E31A3C" w:rsidRDefault="00E31A3C" w:rsidP="001D4557">
      <w:pPr>
        <w:ind w:firstLine="0"/>
        <w:rPr>
          <w:b/>
          <w:bCs/>
          <w:color w:val="auto"/>
          <w:szCs w:val="24"/>
        </w:rPr>
      </w:pPr>
      <w:r w:rsidRPr="00E31A3C">
        <w:rPr>
          <w:b/>
          <w:bCs/>
          <w:noProof/>
          <w:color w:val="auto"/>
          <w:szCs w:val="24"/>
        </w:rPr>
        <w:lastRenderedPageBreak/>
        <w:drawing>
          <wp:inline distT="0" distB="0" distL="0" distR="0" wp14:anchorId="37D5A4CA" wp14:editId="12D11CF9">
            <wp:extent cx="5208814" cy="2971800"/>
            <wp:effectExtent l="0" t="0" r="11430" b="0"/>
            <wp:docPr id="1171602011" name="Chart 1">
              <a:extLst xmlns:a="http://schemas.openxmlformats.org/drawingml/2006/main">
                <a:ext uri="{FF2B5EF4-FFF2-40B4-BE49-F238E27FC236}">
                  <a16:creationId xmlns:a16="http://schemas.microsoft.com/office/drawing/2014/main" id="{C3033E25-DE23-6D55-2891-CDB2263861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A3BF273" w14:textId="2A624EDB" w:rsidR="00EA2B5D" w:rsidRPr="00E31A3C" w:rsidRDefault="00EA2B5D" w:rsidP="00EA2B5D">
      <w:pPr>
        <w:ind w:firstLine="0"/>
        <w:rPr>
          <w:b/>
          <w:bCs/>
          <w:color w:val="auto"/>
        </w:rPr>
        <w:sectPr w:rsidR="00EA2B5D" w:rsidRPr="00E31A3C" w:rsidSect="00EA2B5D">
          <w:pgSz w:w="11906" w:h="16838" w:code="9"/>
          <w:pgMar w:top="2275" w:right="1699" w:bottom="2275" w:left="2275" w:header="706" w:footer="706" w:gutter="0"/>
          <w:cols w:space="708"/>
          <w:docGrid w:linePitch="360"/>
        </w:sectPr>
      </w:pPr>
      <w:r w:rsidRPr="00E31A3C">
        <w:rPr>
          <w:b/>
          <w:bCs/>
          <w:color w:val="auto"/>
        </w:rPr>
        <w:t xml:space="preserve">Fig. 11: Effect of </w:t>
      </w:r>
      <w:r w:rsidRPr="00E31A3C">
        <w:rPr>
          <w:b/>
          <w:bCs/>
          <w:color w:val="auto"/>
          <w:szCs w:val="24"/>
        </w:rPr>
        <w:t>nutrient management on Relative growth rate of rice in 2024</w:t>
      </w:r>
    </w:p>
    <w:p w14:paraId="6D5306FE" w14:textId="77777777" w:rsidR="00EA2B5D" w:rsidRPr="00E31A3C" w:rsidRDefault="00EA2B5D" w:rsidP="00EA2B5D">
      <w:pPr>
        <w:ind w:firstLine="0"/>
        <w:rPr>
          <w:b/>
          <w:bCs/>
          <w:color w:val="auto"/>
        </w:rPr>
      </w:pPr>
    </w:p>
    <w:p w14:paraId="25402CA5" w14:textId="593FCFE2" w:rsidR="00EA2B5D" w:rsidRPr="00E31A3C" w:rsidRDefault="00E31A3C" w:rsidP="00EA2B5D">
      <w:pPr>
        <w:ind w:firstLine="0"/>
        <w:rPr>
          <w:color w:val="auto"/>
          <w:lang w:val="en-US"/>
        </w:rPr>
      </w:pPr>
      <w:r w:rsidRPr="00E31A3C">
        <w:rPr>
          <w:noProof/>
          <w:color w:val="auto"/>
        </w:rPr>
        <w:drawing>
          <wp:inline distT="0" distB="0" distL="0" distR="0" wp14:anchorId="00170731" wp14:editId="0AFB4529">
            <wp:extent cx="5665470" cy="3355521"/>
            <wp:effectExtent l="0" t="0" r="11430" b="16510"/>
            <wp:docPr id="1370875982" name="Chart 1">
              <a:extLst xmlns:a="http://schemas.openxmlformats.org/drawingml/2006/main">
                <a:ext uri="{FF2B5EF4-FFF2-40B4-BE49-F238E27FC236}">
                  <a16:creationId xmlns:a16="http://schemas.microsoft.com/office/drawing/2014/main" id="{FD0385A3-91F2-3989-3C82-C944F97FEF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CF81A8D" w14:textId="32581B9E" w:rsidR="00EA2B5D" w:rsidRPr="00E31A3C" w:rsidRDefault="00EA2B5D" w:rsidP="00EA2B5D">
      <w:pPr>
        <w:ind w:firstLine="0"/>
        <w:rPr>
          <w:b/>
          <w:bCs/>
          <w:color w:val="auto"/>
        </w:rPr>
      </w:pPr>
      <w:r w:rsidRPr="00E31A3C">
        <w:rPr>
          <w:b/>
          <w:bCs/>
          <w:color w:val="auto"/>
        </w:rPr>
        <w:t xml:space="preserve">Fig. 12: Effect of </w:t>
      </w:r>
      <w:r w:rsidRPr="00E31A3C">
        <w:rPr>
          <w:b/>
          <w:bCs/>
          <w:color w:val="auto"/>
          <w:szCs w:val="24"/>
        </w:rPr>
        <w:t>nutrient management on Relative growth rate of rice in 2025.</w:t>
      </w:r>
    </w:p>
    <w:p w14:paraId="4A46CE8B" w14:textId="77777777" w:rsidR="00623CAD" w:rsidRPr="00E31A3C" w:rsidRDefault="00623CAD" w:rsidP="001D4557">
      <w:pPr>
        <w:ind w:firstLine="0"/>
        <w:rPr>
          <w:b/>
          <w:bCs/>
          <w:color w:val="auto"/>
          <w:szCs w:val="24"/>
        </w:rPr>
      </w:pPr>
    </w:p>
    <w:p w14:paraId="4965465A" w14:textId="77A06D3E" w:rsidR="005F0844" w:rsidRPr="00E31A3C" w:rsidRDefault="005F0844" w:rsidP="001D4557">
      <w:pPr>
        <w:ind w:firstLine="0"/>
        <w:rPr>
          <w:b/>
          <w:bCs/>
          <w:color w:val="auto"/>
          <w:szCs w:val="24"/>
        </w:rPr>
        <w:sectPr w:rsidR="005F0844" w:rsidRPr="00E31A3C" w:rsidSect="001D4557">
          <w:pgSz w:w="11906" w:h="16838" w:code="9"/>
          <w:pgMar w:top="2275" w:right="1699" w:bottom="2275" w:left="2275" w:header="706" w:footer="706" w:gutter="0"/>
          <w:cols w:space="708"/>
          <w:docGrid w:linePitch="360"/>
        </w:sectPr>
      </w:pPr>
    </w:p>
    <w:p w14:paraId="71A28831" w14:textId="18330CEA" w:rsidR="00550418" w:rsidRPr="00E31A3C" w:rsidRDefault="00550418" w:rsidP="00550418">
      <w:pPr>
        <w:rPr>
          <w:color w:val="auto"/>
          <w:szCs w:val="24"/>
        </w:rPr>
      </w:pPr>
      <w:r w:rsidRPr="00E31A3C">
        <w:rPr>
          <w:color w:val="auto"/>
          <w:szCs w:val="24"/>
        </w:rPr>
        <w:lastRenderedPageBreak/>
        <w:t xml:space="preserve">Table </w:t>
      </w:r>
      <w:r w:rsidR="00E15242">
        <w:rPr>
          <w:color w:val="auto"/>
          <w:szCs w:val="24"/>
        </w:rPr>
        <w:t>4</w:t>
      </w:r>
      <w:r w:rsidRPr="00E31A3C">
        <w:rPr>
          <w:color w:val="auto"/>
          <w:szCs w:val="24"/>
        </w:rPr>
        <w:t>: Effect of crop establishment methods and nutrient management on net assimilation rate (g m</w:t>
      </w:r>
      <w:r w:rsidRPr="00E31A3C">
        <w:rPr>
          <w:color w:val="auto"/>
          <w:szCs w:val="24"/>
          <w:vertAlign w:val="superscript"/>
        </w:rPr>
        <w:t xml:space="preserve">-2 </w:t>
      </w:r>
      <w:r w:rsidRPr="00E31A3C">
        <w:rPr>
          <w:color w:val="auto"/>
          <w:szCs w:val="24"/>
        </w:rPr>
        <w:t>day</w:t>
      </w:r>
      <w:r w:rsidRPr="00E31A3C">
        <w:rPr>
          <w:color w:val="auto"/>
          <w:szCs w:val="24"/>
          <w:vertAlign w:val="superscript"/>
        </w:rPr>
        <w:t>-1</w:t>
      </w:r>
      <w:r w:rsidRPr="00E31A3C">
        <w:rPr>
          <w:color w:val="auto"/>
          <w:szCs w:val="24"/>
        </w:rPr>
        <w:t>) of rice.</w:t>
      </w:r>
    </w:p>
    <w:tbl>
      <w:tblPr>
        <w:tblStyle w:val="TableGrid"/>
        <w:tblW w:w="14183" w:type="dxa"/>
        <w:tblInd w:w="-1085" w:type="dxa"/>
        <w:tblLayout w:type="fixed"/>
        <w:tblLook w:val="04A0" w:firstRow="1" w:lastRow="0" w:firstColumn="1" w:lastColumn="0" w:noHBand="0" w:noVBand="1"/>
      </w:tblPr>
      <w:tblGrid>
        <w:gridCol w:w="3748"/>
        <w:gridCol w:w="1013"/>
        <w:gridCol w:w="1013"/>
        <w:gridCol w:w="1013"/>
        <w:gridCol w:w="1114"/>
        <w:gridCol w:w="1013"/>
        <w:gridCol w:w="1013"/>
        <w:gridCol w:w="1114"/>
        <w:gridCol w:w="1013"/>
        <w:gridCol w:w="1114"/>
        <w:gridCol w:w="1015"/>
      </w:tblGrid>
      <w:tr w:rsidR="00550418" w:rsidRPr="00E31A3C" w14:paraId="4275591F" w14:textId="77777777" w:rsidTr="00A666EE">
        <w:trPr>
          <w:trHeight w:val="317"/>
        </w:trPr>
        <w:tc>
          <w:tcPr>
            <w:tcW w:w="3748" w:type="dxa"/>
            <w:vMerge w:val="restart"/>
          </w:tcPr>
          <w:p w14:paraId="034FA70E"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Treatments</w:t>
            </w:r>
          </w:p>
        </w:tc>
        <w:tc>
          <w:tcPr>
            <w:tcW w:w="2026" w:type="dxa"/>
            <w:gridSpan w:val="2"/>
          </w:tcPr>
          <w:p w14:paraId="21C88341"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 xml:space="preserve">45-65 DAS </w:t>
            </w:r>
          </w:p>
        </w:tc>
        <w:tc>
          <w:tcPr>
            <w:tcW w:w="2127" w:type="dxa"/>
            <w:gridSpan w:val="2"/>
          </w:tcPr>
          <w:p w14:paraId="24600CD0"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65-85 DAS</w:t>
            </w:r>
          </w:p>
        </w:tc>
        <w:tc>
          <w:tcPr>
            <w:tcW w:w="2026" w:type="dxa"/>
            <w:gridSpan w:val="2"/>
          </w:tcPr>
          <w:p w14:paraId="13D85AE3"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 xml:space="preserve"> 105-85 DAS</w:t>
            </w:r>
          </w:p>
        </w:tc>
        <w:tc>
          <w:tcPr>
            <w:tcW w:w="2127" w:type="dxa"/>
            <w:gridSpan w:val="2"/>
          </w:tcPr>
          <w:p w14:paraId="6E236957"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 xml:space="preserve">125-105 DAS </w:t>
            </w:r>
          </w:p>
        </w:tc>
        <w:tc>
          <w:tcPr>
            <w:tcW w:w="2129" w:type="dxa"/>
            <w:gridSpan w:val="2"/>
          </w:tcPr>
          <w:p w14:paraId="5F8D1541"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 xml:space="preserve">Harvest-125 DAS </w:t>
            </w:r>
          </w:p>
        </w:tc>
      </w:tr>
      <w:tr w:rsidR="00550418" w:rsidRPr="00E31A3C" w14:paraId="76140D6E" w14:textId="77777777" w:rsidTr="00A666EE">
        <w:trPr>
          <w:trHeight w:val="317"/>
        </w:trPr>
        <w:tc>
          <w:tcPr>
            <w:tcW w:w="3748" w:type="dxa"/>
            <w:vMerge/>
          </w:tcPr>
          <w:p w14:paraId="2AE8D36E" w14:textId="77777777" w:rsidR="00550418" w:rsidRPr="00E31A3C" w:rsidRDefault="00550418" w:rsidP="00A666EE">
            <w:pPr>
              <w:rPr>
                <w:rFonts w:ascii="Times New Roman" w:hAnsi="Times New Roman" w:cs="Times New Roman"/>
                <w:sz w:val="24"/>
                <w:szCs w:val="24"/>
              </w:rPr>
            </w:pPr>
          </w:p>
        </w:tc>
        <w:tc>
          <w:tcPr>
            <w:tcW w:w="1013" w:type="dxa"/>
          </w:tcPr>
          <w:p w14:paraId="4103DC48"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4C268E46"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013" w:type="dxa"/>
          </w:tcPr>
          <w:p w14:paraId="7E2CDE48"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114" w:type="dxa"/>
          </w:tcPr>
          <w:p w14:paraId="1A585B9B"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013" w:type="dxa"/>
          </w:tcPr>
          <w:p w14:paraId="4ABF0F11"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1EB1DD23"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114" w:type="dxa"/>
          </w:tcPr>
          <w:p w14:paraId="287D5904"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3" w:type="dxa"/>
          </w:tcPr>
          <w:p w14:paraId="6BCCA500"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2025</w:t>
            </w:r>
          </w:p>
        </w:tc>
        <w:tc>
          <w:tcPr>
            <w:tcW w:w="1114" w:type="dxa"/>
          </w:tcPr>
          <w:p w14:paraId="24E2D3D5"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2024</w:t>
            </w:r>
          </w:p>
        </w:tc>
        <w:tc>
          <w:tcPr>
            <w:tcW w:w="1015" w:type="dxa"/>
          </w:tcPr>
          <w:p w14:paraId="2CE55C56"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2025</w:t>
            </w:r>
          </w:p>
        </w:tc>
      </w:tr>
      <w:tr w:rsidR="00550418" w:rsidRPr="00E31A3C" w14:paraId="0A29ADC9" w14:textId="77777777" w:rsidTr="00A666EE">
        <w:trPr>
          <w:trHeight w:val="332"/>
        </w:trPr>
        <w:tc>
          <w:tcPr>
            <w:tcW w:w="14183" w:type="dxa"/>
            <w:gridSpan w:val="11"/>
          </w:tcPr>
          <w:p w14:paraId="7A542C05"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b/>
                <w:sz w:val="24"/>
                <w:szCs w:val="24"/>
              </w:rPr>
              <w:t>Factor A: Crop Establishment Methods</w:t>
            </w:r>
          </w:p>
        </w:tc>
      </w:tr>
      <w:tr w:rsidR="00550418" w:rsidRPr="00E31A3C" w14:paraId="3C36B4C2" w14:textId="77777777" w:rsidTr="00A666EE">
        <w:trPr>
          <w:trHeight w:val="317"/>
        </w:trPr>
        <w:tc>
          <w:tcPr>
            <w:tcW w:w="3748" w:type="dxa"/>
          </w:tcPr>
          <w:p w14:paraId="7BFCB622"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Transplanting</w:t>
            </w:r>
          </w:p>
        </w:tc>
        <w:tc>
          <w:tcPr>
            <w:tcW w:w="1013" w:type="dxa"/>
            <w:vAlign w:val="center"/>
          </w:tcPr>
          <w:p w14:paraId="28E4267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9.54</w:t>
            </w:r>
          </w:p>
        </w:tc>
        <w:tc>
          <w:tcPr>
            <w:tcW w:w="1013" w:type="dxa"/>
            <w:vAlign w:val="center"/>
          </w:tcPr>
          <w:p w14:paraId="53A3B31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9.34</w:t>
            </w:r>
          </w:p>
        </w:tc>
        <w:tc>
          <w:tcPr>
            <w:tcW w:w="1013" w:type="dxa"/>
            <w:vAlign w:val="center"/>
          </w:tcPr>
          <w:p w14:paraId="4A1949E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6.77</w:t>
            </w:r>
          </w:p>
        </w:tc>
        <w:tc>
          <w:tcPr>
            <w:tcW w:w="1114" w:type="dxa"/>
            <w:vAlign w:val="center"/>
          </w:tcPr>
          <w:p w14:paraId="4733E0C7"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6.56</w:t>
            </w:r>
          </w:p>
        </w:tc>
        <w:tc>
          <w:tcPr>
            <w:tcW w:w="1013" w:type="dxa"/>
            <w:vAlign w:val="center"/>
          </w:tcPr>
          <w:p w14:paraId="2C431A4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6.11</w:t>
            </w:r>
          </w:p>
        </w:tc>
        <w:tc>
          <w:tcPr>
            <w:tcW w:w="1013" w:type="dxa"/>
            <w:vAlign w:val="center"/>
          </w:tcPr>
          <w:p w14:paraId="25548D95"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5.99</w:t>
            </w:r>
          </w:p>
        </w:tc>
        <w:tc>
          <w:tcPr>
            <w:tcW w:w="1114" w:type="dxa"/>
            <w:vAlign w:val="center"/>
          </w:tcPr>
          <w:p w14:paraId="37C85AE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2.98</w:t>
            </w:r>
          </w:p>
        </w:tc>
        <w:tc>
          <w:tcPr>
            <w:tcW w:w="1013" w:type="dxa"/>
            <w:vAlign w:val="center"/>
          </w:tcPr>
          <w:p w14:paraId="1C543E97"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2.97</w:t>
            </w:r>
          </w:p>
        </w:tc>
        <w:tc>
          <w:tcPr>
            <w:tcW w:w="1114" w:type="dxa"/>
            <w:vAlign w:val="center"/>
          </w:tcPr>
          <w:p w14:paraId="66F1E53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0.88</w:t>
            </w:r>
          </w:p>
        </w:tc>
        <w:tc>
          <w:tcPr>
            <w:tcW w:w="1015" w:type="dxa"/>
            <w:vAlign w:val="center"/>
          </w:tcPr>
          <w:p w14:paraId="68F28DC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0.85</w:t>
            </w:r>
          </w:p>
        </w:tc>
      </w:tr>
      <w:tr w:rsidR="00550418" w:rsidRPr="00E31A3C" w14:paraId="24E14E76" w14:textId="77777777" w:rsidTr="00A666EE">
        <w:trPr>
          <w:trHeight w:val="317"/>
        </w:trPr>
        <w:tc>
          <w:tcPr>
            <w:tcW w:w="3748" w:type="dxa"/>
          </w:tcPr>
          <w:p w14:paraId="19C154AA"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DSR</w:t>
            </w:r>
          </w:p>
        </w:tc>
        <w:tc>
          <w:tcPr>
            <w:tcW w:w="1013" w:type="dxa"/>
            <w:vAlign w:val="center"/>
          </w:tcPr>
          <w:p w14:paraId="28D9BD99"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9.08</w:t>
            </w:r>
          </w:p>
        </w:tc>
        <w:tc>
          <w:tcPr>
            <w:tcW w:w="1013" w:type="dxa"/>
            <w:vAlign w:val="center"/>
          </w:tcPr>
          <w:p w14:paraId="444B6721"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8.75</w:t>
            </w:r>
          </w:p>
        </w:tc>
        <w:tc>
          <w:tcPr>
            <w:tcW w:w="1013" w:type="dxa"/>
            <w:vAlign w:val="center"/>
          </w:tcPr>
          <w:p w14:paraId="1BC040F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4.47</w:t>
            </w:r>
          </w:p>
        </w:tc>
        <w:tc>
          <w:tcPr>
            <w:tcW w:w="1114" w:type="dxa"/>
            <w:vAlign w:val="center"/>
          </w:tcPr>
          <w:p w14:paraId="3988433B"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4.39</w:t>
            </w:r>
          </w:p>
        </w:tc>
        <w:tc>
          <w:tcPr>
            <w:tcW w:w="1013" w:type="dxa"/>
            <w:vAlign w:val="center"/>
          </w:tcPr>
          <w:p w14:paraId="3B87F491"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5.54</w:t>
            </w:r>
          </w:p>
        </w:tc>
        <w:tc>
          <w:tcPr>
            <w:tcW w:w="1013" w:type="dxa"/>
            <w:vAlign w:val="center"/>
          </w:tcPr>
          <w:p w14:paraId="69BE391D"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5.45</w:t>
            </w:r>
          </w:p>
        </w:tc>
        <w:tc>
          <w:tcPr>
            <w:tcW w:w="1114" w:type="dxa"/>
            <w:vAlign w:val="center"/>
          </w:tcPr>
          <w:p w14:paraId="41A1F097"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2.55</w:t>
            </w:r>
          </w:p>
        </w:tc>
        <w:tc>
          <w:tcPr>
            <w:tcW w:w="1013" w:type="dxa"/>
            <w:vAlign w:val="center"/>
          </w:tcPr>
          <w:p w14:paraId="7C97AFA3"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2.59</w:t>
            </w:r>
          </w:p>
        </w:tc>
        <w:tc>
          <w:tcPr>
            <w:tcW w:w="1114" w:type="dxa"/>
            <w:vAlign w:val="center"/>
          </w:tcPr>
          <w:p w14:paraId="6239F7C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0.57</w:t>
            </w:r>
          </w:p>
        </w:tc>
        <w:tc>
          <w:tcPr>
            <w:tcW w:w="1015" w:type="dxa"/>
            <w:vAlign w:val="center"/>
          </w:tcPr>
          <w:p w14:paraId="64E4496A"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0.50</w:t>
            </w:r>
          </w:p>
        </w:tc>
      </w:tr>
      <w:tr w:rsidR="00550418" w:rsidRPr="00E31A3C" w14:paraId="753D8C0C" w14:textId="77777777" w:rsidTr="00A666EE">
        <w:trPr>
          <w:trHeight w:val="317"/>
        </w:trPr>
        <w:tc>
          <w:tcPr>
            <w:tcW w:w="3748" w:type="dxa"/>
          </w:tcPr>
          <w:p w14:paraId="728BCE5E" w14:textId="77777777" w:rsidR="00550418" w:rsidRPr="00E31A3C" w:rsidRDefault="00550418" w:rsidP="00A666EE">
            <w:pPr>
              <w:rPr>
                <w:rFonts w:ascii="Times New Roman" w:hAnsi="Times New Roman" w:cs="Times New Roman"/>
                <w:sz w:val="24"/>
                <w:szCs w:val="24"/>
              </w:rPr>
            </w:pPr>
            <w:proofErr w:type="spellStart"/>
            <w:r w:rsidRPr="00E31A3C">
              <w:rPr>
                <w:rFonts w:ascii="Times New Roman" w:hAnsi="Times New Roman" w:cs="Times New Roman"/>
                <w:sz w:val="24"/>
                <w:szCs w:val="24"/>
              </w:rPr>
              <w:t>SeM</w:t>
            </w:r>
            <w:proofErr w:type="spellEnd"/>
            <w:r w:rsidRPr="00E31A3C">
              <w:rPr>
                <w:rFonts w:ascii="Times New Roman" w:hAnsi="Times New Roman" w:cs="Times New Roman"/>
                <w:sz w:val="24"/>
                <w:szCs w:val="24"/>
              </w:rPr>
              <w:t>±</w:t>
            </w:r>
          </w:p>
        </w:tc>
        <w:tc>
          <w:tcPr>
            <w:tcW w:w="1013" w:type="dxa"/>
            <w:vAlign w:val="center"/>
          </w:tcPr>
          <w:p w14:paraId="7878F39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0.11</w:t>
            </w:r>
          </w:p>
        </w:tc>
        <w:tc>
          <w:tcPr>
            <w:tcW w:w="1013" w:type="dxa"/>
            <w:vAlign w:val="center"/>
          </w:tcPr>
          <w:p w14:paraId="5326DDD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0.14</w:t>
            </w:r>
          </w:p>
        </w:tc>
        <w:tc>
          <w:tcPr>
            <w:tcW w:w="1013" w:type="dxa"/>
            <w:vAlign w:val="center"/>
          </w:tcPr>
          <w:p w14:paraId="1518B103"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0.44</w:t>
            </w:r>
          </w:p>
        </w:tc>
        <w:tc>
          <w:tcPr>
            <w:tcW w:w="1114" w:type="dxa"/>
            <w:vAlign w:val="center"/>
          </w:tcPr>
          <w:p w14:paraId="6F4B6CE5"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0.50</w:t>
            </w:r>
          </w:p>
        </w:tc>
        <w:tc>
          <w:tcPr>
            <w:tcW w:w="1013" w:type="dxa"/>
            <w:vAlign w:val="center"/>
          </w:tcPr>
          <w:p w14:paraId="3B9D7ED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0.12</w:t>
            </w:r>
          </w:p>
        </w:tc>
        <w:tc>
          <w:tcPr>
            <w:tcW w:w="1013" w:type="dxa"/>
            <w:vAlign w:val="center"/>
          </w:tcPr>
          <w:p w14:paraId="2418868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0.11</w:t>
            </w:r>
          </w:p>
        </w:tc>
        <w:tc>
          <w:tcPr>
            <w:tcW w:w="1114" w:type="dxa"/>
            <w:vAlign w:val="center"/>
          </w:tcPr>
          <w:p w14:paraId="5BEDC341"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0.13</w:t>
            </w:r>
          </w:p>
        </w:tc>
        <w:tc>
          <w:tcPr>
            <w:tcW w:w="1013" w:type="dxa"/>
            <w:vAlign w:val="center"/>
          </w:tcPr>
          <w:p w14:paraId="4B68892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0.12</w:t>
            </w:r>
          </w:p>
        </w:tc>
        <w:tc>
          <w:tcPr>
            <w:tcW w:w="1114" w:type="dxa"/>
            <w:vAlign w:val="center"/>
          </w:tcPr>
          <w:p w14:paraId="04617BC7"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0.07</w:t>
            </w:r>
          </w:p>
        </w:tc>
        <w:tc>
          <w:tcPr>
            <w:tcW w:w="1015" w:type="dxa"/>
            <w:vAlign w:val="center"/>
          </w:tcPr>
          <w:p w14:paraId="2AD62B0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0.06</w:t>
            </w:r>
          </w:p>
        </w:tc>
      </w:tr>
      <w:tr w:rsidR="00550418" w:rsidRPr="00E31A3C" w14:paraId="6E54998D" w14:textId="77777777" w:rsidTr="00A666EE">
        <w:trPr>
          <w:trHeight w:val="317"/>
        </w:trPr>
        <w:tc>
          <w:tcPr>
            <w:tcW w:w="3748" w:type="dxa"/>
          </w:tcPr>
          <w:p w14:paraId="5532A6C3"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CD (p≤0.05)</w:t>
            </w:r>
          </w:p>
        </w:tc>
        <w:tc>
          <w:tcPr>
            <w:tcW w:w="1013" w:type="dxa"/>
            <w:vAlign w:val="center"/>
          </w:tcPr>
          <w:p w14:paraId="1334712B"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0.33</w:t>
            </w:r>
          </w:p>
        </w:tc>
        <w:tc>
          <w:tcPr>
            <w:tcW w:w="1013" w:type="dxa"/>
            <w:vAlign w:val="center"/>
          </w:tcPr>
          <w:p w14:paraId="5DE6286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0.41</w:t>
            </w:r>
          </w:p>
        </w:tc>
        <w:tc>
          <w:tcPr>
            <w:tcW w:w="1013" w:type="dxa"/>
            <w:vAlign w:val="center"/>
          </w:tcPr>
          <w:p w14:paraId="61A9EB6F"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1.29</w:t>
            </w:r>
          </w:p>
        </w:tc>
        <w:tc>
          <w:tcPr>
            <w:tcW w:w="1114" w:type="dxa"/>
            <w:vAlign w:val="center"/>
          </w:tcPr>
          <w:p w14:paraId="4EB9FB9B"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1.51</w:t>
            </w:r>
          </w:p>
        </w:tc>
        <w:tc>
          <w:tcPr>
            <w:tcW w:w="1013" w:type="dxa"/>
            <w:vAlign w:val="center"/>
          </w:tcPr>
          <w:p w14:paraId="4FF653E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0.36</w:t>
            </w:r>
          </w:p>
        </w:tc>
        <w:tc>
          <w:tcPr>
            <w:tcW w:w="1013" w:type="dxa"/>
            <w:vAlign w:val="center"/>
          </w:tcPr>
          <w:p w14:paraId="37FEBD8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0.32</w:t>
            </w:r>
          </w:p>
        </w:tc>
        <w:tc>
          <w:tcPr>
            <w:tcW w:w="1114" w:type="dxa"/>
            <w:vAlign w:val="center"/>
          </w:tcPr>
          <w:p w14:paraId="42B8FB3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0.38</w:t>
            </w:r>
          </w:p>
        </w:tc>
        <w:tc>
          <w:tcPr>
            <w:tcW w:w="1013" w:type="dxa"/>
            <w:vAlign w:val="center"/>
          </w:tcPr>
          <w:p w14:paraId="4D8A68C3"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0.35</w:t>
            </w:r>
          </w:p>
        </w:tc>
        <w:tc>
          <w:tcPr>
            <w:tcW w:w="1114" w:type="dxa"/>
            <w:vAlign w:val="center"/>
          </w:tcPr>
          <w:p w14:paraId="51E1DD6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0.22</w:t>
            </w:r>
          </w:p>
        </w:tc>
        <w:tc>
          <w:tcPr>
            <w:tcW w:w="1015" w:type="dxa"/>
            <w:vAlign w:val="center"/>
          </w:tcPr>
          <w:p w14:paraId="60F6923A"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0.19</w:t>
            </w:r>
          </w:p>
        </w:tc>
      </w:tr>
      <w:tr w:rsidR="00550418" w:rsidRPr="00E31A3C" w14:paraId="44122209" w14:textId="77777777" w:rsidTr="00A666EE">
        <w:trPr>
          <w:trHeight w:val="332"/>
        </w:trPr>
        <w:tc>
          <w:tcPr>
            <w:tcW w:w="14183" w:type="dxa"/>
            <w:gridSpan w:val="11"/>
          </w:tcPr>
          <w:p w14:paraId="3E93B84C"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b/>
                <w:sz w:val="24"/>
                <w:szCs w:val="24"/>
              </w:rPr>
              <w:t>Factor B: Nutrient Management</w:t>
            </w:r>
          </w:p>
        </w:tc>
      </w:tr>
      <w:tr w:rsidR="00550418" w:rsidRPr="00E31A3C" w14:paraId="61806541" w14:textId="77777777" w:rsidTr="00A666EE">
        <w:trPr>
          <w:trHeight w:val="317"/>
        </w:trPr>
        <w:tc>
          <w:tcPr>
            <w:tcW w:w="3748" w:type="dxa"/>
            <w:vAlign w:val="bottom"/>
          </w:tcPr>
          <w:p w14:paraId="06B098BA" w14:textId="77777777" w:rsidR="00550418" w:rsidRPr="00E31A3C" w:rsidRDefault="00550418" w:rsidP="00A666EE">
            <w:pPr>
              <w:rPr>
                <w:rFonts w:ascii="Times New Roman" w:hAnsi="Times New Roman" w:cs="Times New Roman"/>
                <w:bCs/>
                <w:sz w:val="24"/>
                <w:szCs w:val="24"/>
              </w:rPr>
            </w:pPr>
            <w:r w:rsidRPr="00E31A3C">
              <w:rPr>
                <w:rFonts w:ascii="Times New Roman" w:hAnsi="Times New Roman" w:cs="Times New Roman"/>
                <w:bCs/>
                <w:sz w:val="24"/>
                <w:szCs w:val="24"/>
              </w:rPr>
              <w:t xml:space="preserve">Control </w:t>
            </w:r>
          </w:p>
        </w:tc>
        <w:tc>
          <w:tcPr>
            <w:tcW w:w="1013" w:type="dxa"/>
            <w:vAlign w:val="center"/>
          </w:tcPr>
          <w:p w14:paraId="3FDFC8C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7.06</w:t>
            </w:r>
          </w:p>
        </w:tc>
        <w:tc>
          <w:tcPr>
            <w:tcW w:w="1013" w:type="dxa"/>
            <w:vAlign w:val="center"/>
          </w:tcPr>
          <w:p w14:paraId="072720EA"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6.73</w:t>
            </w:r>
          </w:p>
        </w:tc>
        <w:tc>
          <w:tcPr>
            <w:tcW w:w="1013" w:type="dxa"/>
            <w:vAlign w:val="center"/>
          </w:tcPr>
          <w:p w14:paraId="03266C94"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4.42</w:t>
            </w:r>
          </w:p>
        </w:tc>
        <w:tc>
          <w:tcPr>
            <w:tcW w:w="1114" w:type="dxa"/>
            <w:vAlign w:val="center"/>
          </w:tcPr>
          <w:p w14:paraId="74202CC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4.28</w:t>
            </w:r>
          </w:p>
        </w:tc>
        <w:tc>
          <w:tcPr>
            <w:tcW w:w="1013" w:type="dxa"/>
            <w:vAlign w:val="center"/>
          </w:tcPr>
          <w:p w14:paraId="1161AA6E" w14:textId="654C2862"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3.</w:t>
            </w:r>
            <w:r w:rsidR="009C10F8" w:rsidRPr="00E31A3C">
              <w:rPr>
                <w:rFonts w:ascii="Times New Roman" w:hAnsi="Times New Roman" w:cs="Times New Roman"/>
                <w:sz w:val="24"/>
                <w:szCs w:val="24"/>
              </w:rPr>
              <w:t>49</w:t>
            </w:r>
          </w:p>
        </w:tc>
        <w:tc>
          <w:tcPr>
            <w:tcW w:w="1013" w:type="dxa"/>
            <w:vAlign w:val="center"/>
          </w:tcPr>
          <w:p w14:paraId="6AD3FEEC" w14:textId="3252FD8E"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3.</w:t>
            </w:r>
            <w:r w:rsidR="009C10F8" w:rsidRPr="00E31A3C">
              <w:rPr>
                <w:rFonts w:ascii="Times New Roman" w:hAnsi="Times New Roman" w:cs="Times New Roman"/>
                <w:sz w:val="24"/>
                <w:szCs w:val="24"/>
              </w:rPr>
              <w:t>29</w:t>
            </w:r>
          </w:p>
        </w:tc>
        <w:tc>
          <w:tcPr>
            <w:tcW w:w="1114" w:type="dxa"/>
            <w:vAlign w:val="center"/>
          </w:tcPr>
          <w:p w14:paraId="61E79014"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3.19</w:t>
            </w:r>
          </w:p>
        </w:tc>
        <w:tc>
          <w:tcPr>
            <w:tcW w:w="1013" w:type="dxa"/>
            <w:vAlign w:val="center"/>
          </w:tcPr>
          <w:p w14:paraId="0B8F4249"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3.17</w:t>
            </w:r>
          </w:p>
        </w:tc>
        <w:tc>
          <w:tcPr>
            <w:tcW w:w="1114" w:type="dxa"/>
            <w:vAlign w:val="center"/>
          </w:tcPr>
          <w:p w14:paraId="11EE970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0.63</w:t>
            </w:r>
          </w:p>
        </w:tc>
        <w:tc>
          <w:tcPr>
            <w:tcW w:w="1015" w:type="dxa"/>
            <w:vAlign w:val="center"/>
          </w:tcPr>
          <w:p w14:paraId="0924BD57"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0.55</w:t>
            </w:r>
          </w:p>
        </w:tc>
      </w:tr>
      <w:tr w:rsidR="00550418" w:rsidRPr="00E31A3C" w14:paraId="7C0DD3A9" w14:textId="77777777" w:rsidTr="00A666EE">
        <w:trPr>
          <w:trHeight w:val="317"/>
        </w:trPr>
        <w:tc>
          <w:tcPr>
            <w:tcW w:w="3748" w:type="dxa"/>
            <w:vAlign w:val="bottom"/>
          </w:tcPr>
          <w:p w14:paraId="15B966BA" w14:textId="77777777" w:rsidR="00550418" w:rsidRPr="00E31A3C" w:rsidRDefault="00550418" w:rsidP="00A666EE">
            <w:pPr>
              <w:rPr>
                <w:rFonts w:ascii="Times New Roman" w:hAnsi="Times New Roman" w:cs="Times New Roman"/>
                <w:bCs/>
                <w:sz w:val="24"/>
                <w:szCs w:val="24"/>
              </w:rPr>
            </w:pPr>
            <w:r w:rsidRPr="00E31A3C">
              <w:rPr>
                <w:rFonts w:ascii="Times New Roman" w:hAnsi="Times New Roman" w:cs="Times New Roman"/>
                <w:bCs/>
                <w:sz w:val="24"/>
                <w:szCs w:val="24"/>
              </w:rPr>
              <w:t>RDF (N</w:t>
            </w:r>
            <w:r w:rsidRPr="00E31A3C">
              <w:rPr>
                <w:rFonts w:ascii="Times New Roman" w:hAnsi="Times New Roman" w:cs="Times New Roman"/>
                <w:sz w:val="24"/>
                <w:szCs w:val="24"/>
                <w:vertAlign w:val="subscript"/>
              </w:rPr>
              <w:t>120</w:t>
            </w:r>
            <w:r w:rsidRPr="00E31A3C">
              <w:rPr>
                <w:rFonts w:ascii="Times New Roman" w:hAnsi="Times New Roman" w:cs="Times New Roman"/>
                <w:bCs/>
                <w:sz w:val="24"/>
                <w:szCs w:val="24"/>
              </w:rPr>
              <w:t>P</w:t>
            </w:r>
            <w:r w:rsidRPr="00E31A3C">
              <w:rPr>
                <w:rFonts w:ascii="Times New Roman" w:hAnsi="Times New Roman" w:cs="Times New Roman"/>
                <w:sz w:val="24"/>
                <w:szCs w:val="24"/>
                <w:vertAlign w:val="subscript"/>
              </w:rPr>
              <w:t>60</w:t>
            </w:r>
            <w:r w:rsidRPr="00E31A3C">
              <w:rPr>
                <w:rFonts w:ascii="Times New Roman" w:hAnsi="Times New Roman" w:cs="Times New Roman"/>
                <w:bCs/>
                <w:sz w:val="24"/>
                <w:szCs w:val="24"/>
              </w:rPr>
              <w:t>K</w:t>
            </w:r>
            <w:r w:rsidRPr="00E31A3C">
              <w:rPr>
                <w:rFonts w:ascii="Times New Roman" w:hAnsi="Times New Roman" w:cs="Times New Roman"/>
                <w:sz w:val="24"/>
                <w:szCs w:val="24"/>
                <w:vertAlign w:val="subscript"/>
              </w:rPr>
              <w:t>30</w:t>
            </w:r>
            <w:r w:rsidRPr="00E31A3C">
              <w:rPr>
                <w:rFonts w:ascii="Times New Roman" w:hAnsi="Times New Roman" w:cs="Times New Roman"/>
                <w:sz w:val="24"/>
                <w:szCs w:val="24"/>
              </w:rPr>
              <w:t>)</w:t>
            </w:r>
          </w:p>
        </w:tc>
        <w:tc>
          <w:tcPr>
            <w:tcW w:w="1013" w:type="dxa"/>
            <w:vAlign w:val="center"/>
          </w:tcPr>
          <w:p w14:paraId="04A6A79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9.81</w:t>
            </w:r>
          </w:p>
        </w:tc>
        <w:tc>
          <w:tcPr>
            <w:tcW w:w="1013" w:type="dxa"/>
            <w:vAlign w:val="center"/>
          </w:tcPr>
          <w:p w14:paraId="08772FC9"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9.56</w:t>
            </w:r>
          </w:p>
        </w:tc>
        <w:tc>
          <w:tcPr>
            <w:tcW w:w="1013" w:type="dxa"/>
            <w:vAlign w:val="center"/>
          </w:tcPr>
          <w:p w14:paraId="5F70D7C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6.18</w:t>
            </w:r>
          </w:p>
        </w:tc>
        <w:tc>
          <w:tcPr>
            <w:tcW w:w="1114" w:type="dxa"/>
            <w:vAlign w:val="center"/>
          </w:tcPr>
          <w:p w14:paraId="0713027B"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6.14</w:t>
            </w:r>
          </w:p>
        </w:tc>
        <w:tc>
          <w:tcPr>
            <w:tcW w:w="1013" w:type="dxa"/>
            <w:vAlign w:val="center"/>
          </w:tcPr>
          <w:p w14:paraId="7F52CE98" w14:textId="6935CC0C" w:rsidR="00550418" w:rsidRPr="00E31A3C" w:rsidRDefault="009C10F8" w:rsidP="00A666EE">
            <w:pPr>
              <w:jc w:val="center"/>
              <w:rPr>
                <w:rFonts w:ascii="Times New Roman" w:hAnsi="Times New Roman" w:cs="Times New Roman"/>
                <w:sz w:val="24"/>
                <w:szCs w:val="24"/>
              </w:rPr>
            </w:pPr>
            <w:r w:rsidRPr="00E31A3C">
              <w:rPr>
                <w:rFonts w:ascii="Times New Roman" w:hAnsi="Times New Roman" w:cs="Times New Roman"/>
                <w:sz w:val="24"/>
                <w:szCs w:val="24"/>
              </w:rPr>
              <w:t>5.70</w:t>
            </w:r>
          </w:p>
        </w:tc>
        <w:tc>
          <w:tcPr>
            <w:tcW w:w="1013" w:type="dxa"/>
            <w:vAlign w:val="center"/>
          </w:tcPr>
          <w:p w14:paraId="26CC99FA" w14:textId="4D9AA510" w:rsidR="00550418" w:rsidRPr="00E31A3C" w:rsidRDefault="009C10F8" w:rsidP="00A666EE">
            <w:pPr>
              <w:jc w:val="center"/>
              <w:rPr>
                <w:rFonts w:ascii="Times New Roman" w:hAnsi="Times New Roman" w:cs="Times New Roman"/>
                <w:sz w:val="24"/>
                <w:szCs w:val="24"/>
              </w:rPr>
            </w:pPr>
            <w:r w:rsidRPr="00E31A3C">
              <w:rPr>
                <w:rFonts w:ascii="Times New Roman" w:hAnsi="Times New Roman" w:cs="Times New Roman"/>
                <w:sz w:val="24"/>
                <w:szCs w:val="24"/>
              </w:rPr>
              <w:t>5.61</w:t>
            </w:r>
          </w:p>
        </w:tc>
        <w:tc>
          <w:tcPr>
            <w:tcW w:w="1114" w:type="dxa"/>
            <w:vAlign w:val="center"/>
          </w:tcPr>
          <w:p w14:paraId="123BCFEF"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2.79</w:t>
            </w:r>
          </w:p>
        </w:tc>
        <w:tc>
          <w:tcPr>
            <w:tcW w:w="1013" w:type="dxa"/>
            <w:vAlign w:val="center"/>
          </w:tcPr>
          <w:p w14:paraId="1BA4BB93"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2.83</w:t>
            </w:r>
          </w:p>
        </w:tc>
        <w:tc>
          <w:tcPr>
            <w:tcW w:w="1114" w:type="dxa"/>
            <w:vAlign w:val="center"/>
          </w:tcPr>
          <w:p w14:paraId="19BCAF47"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0.83</w:t>
            </w:r>
          </w:p>
        </w:tc>
        <w:tc>
          <w:tcPr>
            <w:tcW w:w="1015" w:type="dxa"/>
            <w:vAlign w:val="center"/>
          </w:tcPr>
          <w:p w14:paraId="769CE51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0.71</w:t>
            </w:r>
          </w:p>
        </w:tc>
      </w:tr>
      <w:tr w:rsidR="00550418" w:rsidRPr="00E31A3C" w14:paraId="286308BD" w14:textId="77777777" w:rsidTr="00A666EE">
        <w:trPr>
          <w:trHeight w:val="317"/>
        </w:trPr>
        <w:tc>
          <w:tcPr>
            <w:tcW w:w="3748" w:type="dxa"/>
            <w:vAlign w:val="bottom"/>
          </w:tcPr>
          <w:p w14:paraId="397DE3AB" w14:textId="77777777" w:rsidR="00550418" w:rsidRPr="00E31A3C" w:rsidRDefault="00550418" w:rsidP="00A666EE">
            <w:pPr>
              <w:rPr>
                <w:rFonts w:ascii="Times New Roman" w:hAnsi="Times New Roman" w:cs="Times New Roman"/>
                <w:bCs/>
                <w:sz w:val="24"/>
                <w:szCs w:val="24"/>
              </w:rPr>
            </w:pPr>
            <w:r w:rsidRPr="00E31A3C">
              <w:rPr>
                <w:rFonts w:ascii="Times New Roman" w:hAnsi="Times New Roman" w:cs="Times New Roman"/>
                <w:bCs/>
                <w:sz w:val="24"/>
                <w:szCs w:val="24"/>
              </w:rPr>
              <w:t>STCR (TY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2D93F8E7"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10.04</w:t>
            </w:r>
          </w:p>
        </w:tc>
        <w:tc>
          <w:tcPr>
            <w:tcW w:w="1013" w:type="dxa"/>
            <w:vAlign w:val="center"/>
          </w:tcPr>
          <w:p w14:paraId="20C09155"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9.75</w:t>
            </w:r>
          </w:p>
        </w:tc>
        <w:tc>
          <w:tcPr>
            <w:tcW w:w="1013" w:type="dxa"/>
            <w:vAlign w:val="center"/>
          </w:tcPr>
          <w:p w14:paraId="1694346F"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6.27</w:t>
            </w:r>
          </w:p>
        </w:tc>
        <w:tc>
          <w:tcPr>
            <w:tcW w:w="1114" w:type="dxa"/>
            <w:vAlign w:val="center"/>
          </w:tcPr>
          <w:p w14:paraId="4EAC55E6"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6.21</w:t>
            </w:r>
          </w:p>
        </w:tc>
        <w:tc>
          <w:tcPr>
            <w:tcW w:w="1013" w:type="dxa"/>
            <w:vAlign w:val="center"/>
          </w:tcPr>
          <w:p w14:paraId="44682EA6" w14:textId="679648F5" w:rsidR="00550418" w:rsidRPr="00E31A3C" w:rsidRDefault="009C10F8" w:rsidP="00A666EE">
            <w:pPr>
              <w:jc w:val="center"/>
              <w:rPr>
                <w:rFonts w:ascii="Times New Roman" w:hAnsi="Times New Roman" w:cs="Times New Roman"/>
                <w:sz w:val="24"/>
                <w:szCs w:val="24"/>
              </w:rPr>
            </w:pPr>
            <w:r w:rsidRPr="00E31A3C">
              <w:rPr>
                <w:rFonts w:ascii="Times New Roman" w:hAnsi="Times New Roman" w:cs="Times New Roman"/>
                <w:sz w:val="24"/>
                <w:szCs w:val="24"/>
              </w:rPr>
              <w:t>5.87</w:t>
            </w:r>
          </w:p>
        </w:tc>
        <w:tc>
          <w:tcPr>
            <w:tcW w:w="1013" w:type="dxa"/>
            <w:vAlign w:val="center"/>
          </w:tcPr>
          <w:p w14:paraId="6BD264D4" w14:textId="72E084F0" w:rsidR="00550418" w:rsidRPr="00E31A3C" w:rsidRDefault="009C10F8" w:rsidP="00A666EE">
            <w:pPr>
              <w:jc w:val="center"/>
              <w:rPr>
                <w:rFonts w:ascii="Times New Roman" w:hAnsi="Times New Roman" w:cs="Times New Roman"/>
                <w:sz w:val="24"/>
                <w:szCs w:val="24"/>
              </w:rPr>
            </w:pPr>
            <w:r w:rsidRPr="00E31A3C">
              <w:rPr>
                <w:rFonts w:ascii="Times New Roman" w:hAnsi="Times New Roman" w:cs="Times New Roman"/>
                <w:sz w:val="24"/>
                <w:szCs w:val="24"/>
              </w:rPr>
              <w:t>5.65</w:t>
            </w:r>
          </w:p>
        </w:tc>
        <w:tc>
          <w:tcPr>
            <w:tcW w:w="1114" w:type="dxa"/>
            <w:vAlign w:val="center"/>
          </w:tcPr>
          <w:p w14:paraId="017300A5"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2.82</w:t>
            </w:r>
          </w:p>
        </w:tc>
        <w:tc>
          <w:tcPr>
            <w:tcW w:w="1013" w:type="dxa"/>
            <w:vAlign w:val="center"/>
          </w:tcPr>
          <w:p w14:paraId="33EC7583"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2.85</w:t>
            </w:r>
          </w:p>
        </w:tc>
        <w:tc>
          <w:tcPr>
            <w:tcW w:w="1114" w:type="dxa"/>
            <w:vAlign w:val="center"/>
          </w:tcPr>
          <w:p w14:paraId="1164E595"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0.90</w:t>
            </w:r>
          </w:p>
        </w:tc>
        <w:tc>
          <w:tcPr>
            <w:tcW w:w="1015" w:type="dxa"/>
            <w:vAlign w:val="center"/>
          </w:tcPr>
          <w:p w14:paraId="66C82C94"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0.84</w:t>
            </w:r>
          </w:p>
        </w:tc>
      </w:tr>
      <w:tr w:rsidR="00550418" w:rsidRPr="00E31A3C" w14:paraId="25E0CFA2" w14:textId="77777777" w:rsidTr="00A666EE">
        <w:trPr>
          <w:trHeight w:val="332"/>
        </w:trPr>
        <w:tc>
          <w:tcPr>
            <w:tcW w:w="3748" w:type="dxa"/>
            <w:vAlign w:val="bottom"/>
          </w:tcPr>
          <w:p w14:paraId="7A530A15" w14:textId="77777777" w:rsidR="00550418" w:rsidRPr="00E31A3C" w:rsidRDefault="00550418" w:rsidP="00A666EE">
            <w:pPr>
              <w:rPr>
                <w:rFonts w:ascii="Times New Roman" w:hAnsi="Times New Roman" w:cs="Times New Roman"/>
                <w:bCs/>
                <w:sz w:val="24"/>
                <w:szCs w:val="24"/>
              </w:rPr>
            </w:pPr>
            <w:r w:rsidRPr="00E31A3C">
              <w:rPr>
                <w:rFonts w:ascii="Times New Roman" w:hAnsi="Times New Roman" w:cs="Times New Roman"/>
                <w:bCs/>
                <w:sz w:val="24"/>
                <w:szCs w:val="24"/>
              </w:rPr>
              <w:t>STCR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5EB6B626"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9.22</w:t>
            </w:r>
          </w:p>
        </w:tc>
        <w:tc>
          <w:tcPr>
            <w:tcW w:w="1013" w:type="dxa"/>
            <w:vAlign w:val="center"/>
          </w:tcPr>
          <w:p w14:paraId="2276A6A6"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8.92</w:t>
            </w:r>
          </w:p>
        </w:tc>
        <w:tc>
          <w:tcPr>
            <w:tcW w:w="1013" w:type="dxa"/>
            <w:vAlign w:val="center"/>
          </w:tcPr>
          <w:p w14:paraId="3CE3F5C9"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5.72</w:t>
            </w:r>
          </w:p>
        </w:tc>
        <w:tc>
          <w:tcPr>
            <w:tcW w:w="1114" w:type="dxa"/>
            <w:vAlign w:val="center"/>
          </w:tcPr>
          <w:p w14:paraId="105904CD" w14:textId="1652F8C5"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5.6</w:t>
            </w:r>
            <w:r w:rsidR="009C10F8" w:rsidRPr="00E31A3C">
              <w:rPr>
                <w:rFonts w:ascii="Times New Roman" w:hAnsi="Times New Roman" w:cs="Times New Roman"/>
                <w:sz w:val="24"/>
                <w:szCs w:val="24"/>
              </w:rPr>
              <w:t>2</w:t>
            </w:r>
          </w:p>
        </w:tc>
        <w:tc>
          <w:tcPr>
            <w:tcW w:w="1013" w:type="dxa"/>
            <w:vAlign w:val="center"/>
          </w:tcPr>
          <w:p w14:paraId="4219EBB6" w14:textId="7EDF7226"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9C10F8" w:rsidRPr="00E31A3C">
              <w:rPr>
                <w:rFonts w:ascii="Times New Roman" w:hAnsi="Times New Roman" w:cs="Times New Roman"/>
                <w:sz w:val="24"/>
                <w:szCs w:val="24"/>
              </w:rPr>
              <w:t>36</w:t>
            </w:r>
          </w:p>
        </w:tc>
        <w:tc>
          <w:tcPr>
            <w:tcW w:w="1013" w:type="dxa"/>
            <w:vAlign w:val="center"/>
          </w:tcPr>
          <w:p w14:paraId="77748AA4" w14:textId="075F2660"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9C10F8" w:rsidRPr="00E31A3C">
              <w:rPr>
                <w:rFonts w:ascii="Times New Roman" w:hAnsi="Times New Roman" w:cs="Times New Roman"/>
                <w:sz w:val="24"/>
                <w:szCs w:val="24"/>
              </w:rPr>
              <w:t>17</w:t>
            </w:r>
          </w:p>
        </w:tc>
        <w:tc>
          <w:tcPr>
            <w:tcW w:w="1114" w:type="dxa"/>
            <w:vAlign w:val="center"/>
          </w:tcPr>
          <w:p w14:paraId="4CF7BA8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2.55</w:t>
            </w:r>
          </w:p>
        </w:tc>
        <w:tc>
          <w:tcPr>
            <w:tcW w:w="1013" w:type="dxa"/>
            <w:vAlign w:val="center"/>
          </w:tcPr>
          <w:p w14:paraId="56BAA354"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2.56</w:t>
            </w:r>
          </w:p>
        </w:tc>
        <w:tc>
          <w:tcPr>
            <w:tcW w:w="1114" w:type="dxa"/>
            <w:vAlign w:val="center"/>
          </w:tcPr>
          <w:p w14:paraId="5118BDC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0.52</w:t>
            </w:r>
          </w:p>
        </w:tc>
        <w:tc>
          <w:tcPr>
            <w:tcW w:w="1015" w:type="dxa"/>
            <w:vAlign w:val="center"/>
          </w:tcPr>
          <w:p w14:paraId="3D34991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0.47</w:t>
            </w:r>
          </w:p>
        </w:tc>
      </w:tr>
      <w:tr w:rsidR="00550418" w:rsidRPr="00E31A3C" w14:paraId="7BE2BCBF" w14:textId="77777777" w:rsidTr="00A666EE">
        <w:trPr>
          <w:trHeight w:val="317"/>
        </w:trPr>
        <w:tc>
          <w:tcPr>
            <w:tcW w:w="3748" w:type="dxa"/>
            <w:vAlign w:val="bottom"/>
          </w:tcPr>
          <w:p w14:paraId="3C8A4501" w14:textId="77777777" w:rsidR="00550418" w:rsidRPr="00E31A3C" w:rsidRDefault="00550418" w:rsidP="00A666EE">
            <w:pPr>
              <w:rPr>
                <w:rFonts w:ascii="Times New Roman" w:hAnsi="Times New Roman" w:cs="Times New Roman"/>
                <w:bCs/>
                <w:sz w:val="24"/>
                <w:szCs w:val="24"/>
              </w:rPr>
            </w:pPr>
            <w:r w:rsidRPr="00E31A3C">
              <w:rPr>
                <w:rFonts w:ascii="Times New Roman" w:hAnsi="Times New Roman" w:cs="Times New Roman"/>
                <w:bCs/>
                <w:sz w:val="24"/>
                <w:szCs w:val="24"/>
              </w:rPr>
              <w:t>STCR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1F861853"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9.11</w:t>
            </w:r>
          </w:p>
        </w:tc>
        <w:tc>
          <w:tcPr>
            <w:tcW w:w="1013" w:type="dxa"/>
            <w:vAlign w:val="center"/>
          </w:tcPr>
          <w:p w14:paraId="765FDD46"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8.80</w:t>
            </w:r>
          </w:p>
        </w:tc>
        <w:tc>
          <w:tcPr>
            <w:tcW w:w="1013" w:type="dxa"/>
            <w:vAlign w:val="center"/>
          </w:tcPr>
          <w:p w14:paraId="56B8BE5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5.66</w:t>
            </w:r>
          </w:p>
        </w:tc>
        <w:tc>
          <w:tcPr>
            <w:tcW w:w="1114" w:type="dxa"/>
            <w:vAlign w:val="center"/>
          </w:tcPr>
          <w:p w14:paraId="0869F4E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5.53</w:t>
            </w:r>
          </w:p>
        </w:tc>
        <w:tc>
          <w:tcPr>
            <w:tcW w:w="1013" w:type="dxa"/>
            <w:vAlign w:val="center"/>
          </w:tcPr>
          <w:p w14:paraId="63E43234" w14:textId="593EBEAD"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9C10F8" w:rsidRPr="00E31A3C">
              <w:rPr>
                <w:rFonts w:ascii="Times New Roman" w:hAnsi="Times New Roman" w:cs="Times New Roman"/>
                <w:sz w:val="24"/>
                <w:szCs w:val="24"/>
              </w:rPr>
              <w:t>31</w:t>
            </w:r>
          </w:p>
        </w:tc>
        <w:tc>
          <w:tcPr>
            <w:tcW w:w="1013" w:type="dxa"/>
            <w:vAlign w:val="center"/>
          </w:tcPr>
          <w:p w14:paraId="4466E642" w14:textId="388BFE5D"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9C10F8" w:rsidRPr="00E31A3C">
              <w:rPr>
                <w:rFonts w:ascii="Times New Roman" w:hAnsi="Times New Roman" w:cs="Times New Roman"/>
                <w:sz w:val="24"/>
                <w:szCs w:val="24"/>
              </w:rPr>
              <w:t>11</w:t>
            </w:r>
          </w:p>
        </w:tc>
        <w:tc>
          <w:tcPr>
            <w:tcW w:w="1114" w:type="dxa"/>
            <w:vAlign w:val="center"/>
          </w:tcPr>
          <w:p w14:paraId="3A9C44FF"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2.53</w:t>
            </w:r>
          </w:p>
        </w:tc>
        <w:tc>
          <w:tcPr>
            <w:tcW w:w="1013" w:type="dxa"/>
            <w:vAlign w:val="center"/>
          </w:tcPr>
          <w:p w14:paraId="180FCE5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2.54</w:t>
            </w:r>
          </w:p>
        </w:tc>
        <w:tc>
          <w:tcPr>
            <w:tcW w:w="1114" w:type="dxa"/>
            <w:vAlign w:val="center"/>
          </w:tcPr>
          <w:p w14:paraId="316CBCE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0.67</w:t>
            </w:r>
          </w:p>
        </w:tc>
        <w:tc>
          <w:tcPr>
            <w:tcW w:w="1015" w:type="dxa"/>
            <w:vAlign w:val="center"/>
          </w:tcPr>
          <w:p w14:paraId="33987C3B"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0.62</w:t>
            </w:r>
          </w:p>
        </w:tc>
      </w:tr>
      <w:tr w:rsidR="00550418" w:rsidRPr="00E31A3C" w14:paraId="5CF7377F" w14:textId="77777777" w:rsidTr="00A666EE">
        <w:trPr>
          <w:trHeight w:val="317"/>
        </w:trPr>
        <w:tc>
          <w:tcPr>
            <w:tcW w:w="3748" w:type="dxa"/>
            <w:vAlign w:val="bottom"/>
          </w:tcPr>
          <w:p w14:paraId="446FD902" w14:textId="77777777" w:rsidR="00550418" w:rsidRPr="00E31A3C" w:rsidRDefault="00550418" w:rsidP="00A666EE">
            <w:pPr>
              <w:rPr>
                <w:rFonts w:ascii="Times New Roman" w:hAnsi="Times New Roman" w:cs="Times New Roman"/>
                <w:bCs/>
                <w:sz w:val="24"/>
                <w:szCs w:val="24"/>
              </w:rPr>
            </w:pPr>
            <w:r w:rsidRPr="00E31A3C">
              <w:rPr>
                <w:rFonts w:ascii="Times New Roman" w:hAnsi="Times New Roman" w:cs="Times New Roman"/>
                <w:bCs/>
                <w:sz w:val="24"/>
                <w:szCs w:val="24"/>
              </w:rPr>
              <w:t>NE (TY =75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11E4F1A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10.50</w:t>
            </w:r>
          </w:p>
        </w:tc>
        <w:tc>
          <w:tcPr>
            <w:tcW w:w="1013" w:type="dxa"/>
            <w:vAlign w:val="center"/>
          </w:tcPr>
          <w:p w14:paraId="17184C6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10.37</w:t>
            </w:r>
          </w:p>
        </w:tc>
        <w:tc>
          <w:tcPr>
            <w:tcW w:w="1013" w:type="dxa"/>
            <w:vAlign w:val="center"/>
          </w:tcPr>
          <w:p w14:paraId="1A38852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6.66</w:t>
            </w:r>
          </w:p>
        </w:tc>
        <w:tc>
          <w:tcPr>
            <w:tcW w:w="1114" w:type="dxa"/>
            <w:vAlign w:val="center"/>
          </w:tcPr>
          <w:p w14:paraId="055912A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6.57</w:t>
            </w:r>
          </w:p>
        </w:tc>
        <w:tc>
          <w:tcPr>
            <w:tcW w:w="1013" w:type="dxa"/>
            <w:vAlign w:val="center"/>
          </w:tcPr>
          <w:p w14:paraId="452DFA5F" w14:textId="161DA819"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6.</w:t>
            </w:r>
            <w:r w:rsidR="009C10F8" w:rsidRPr="00E31A3C">
              <w:rPr>
                <w:rFonts w:ascii="Times New Roman" w:hAnsi="Times New Roman" w:cs="Times New Roman"/>
                <w:sz w:val="24"/>
                <w:szCs w:val="24"/>
              </w:rPr>
              <w:t>05</w:t>
            </w:r>
          </w:p>
        </w:tc>
        <w:tc>
          <w:tcPr>
            <w:tcW w:w="1013" w:type="dxa"/>
            <w:vAlign w:val="center"/>
          </w:tcPr>
          <w:p w14:paraId="0FEAD699" w14:textId="7DA6B5DD" w:rsidR="00550418" w:rsidRPr="00E31A3C" w:rsidRDefault="009C10F8"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550418" w:rsidRPr="00E31A3C">
              <w:rPr>
                <w:rFonts w:ascii="Times New Roman" w:hAnsi="Times New Roman" w:cs="Times New Roman"/>
                <w:sz w:val="24"/>
                <w:szCs w:val="24"/>
              </w:rPr>
              <w:t>.</w:t>
            </w:r>
            <w:r w:rsidRPr="00E31A3C">
              <w:rPr>
                <w:rFonts w:ascii="Times New Roman" w:hAnsi="Times New Roman" w:cs="Times New Roman"/>
                <w:sz w:val="24"/>
                <w:szCs w:val="24"/>
              </w:rPr>
              <w:t>80</w:t>
            </w:r>
          </w:p>
        </w:tc>
        <w:tc>
          <w:tcPr>
            <w:tcW w:w="1114" w:type="dxa"/>
            <w:vAlign w:val="center"/>
          </w:tcPr>
          <w:p w14:paraId="3F375505"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2.85</w:t>
            </w:r>
          </w:p>
        </w:tc>
        <w:tc>
          <w:tcPr>
            <w:tcW w:w="1013" w:type="dxa"/>
            <w:vAlign w:val="center"/>
          </w:tcPr>
          <w:p w14:paraId="48C56573"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2.91</w:t>
            </w:r>
          </w:p>
        </w:tc>
        <w:tc>
          <w:tcPr>
            <w:tcW w:w="1114" w:type="dxa"/>
            <w:vAlign w:val="center"/>
          </w:tcPr>
          <w:p w14:paraId="57D1D54D"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0.58</w:t>
            </w:r>
          </w:p>
        </w:tc>
        <w:tc>
          <w:tcPr>
            <w:tcW w:w="1015" w:type="dxa"/>
            <w:vAlign w:val="center"/>
          </w:tcPr>
          <w:p w14:paraId="27F0D3B9"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0.69</w:t>
            </w:r>
          </w:p>
        </w:tc>
      </w:tr>
      <w:tr w:rsidR="00550418" w:rsidRPr="00E31A3C" w14:paraId="66A60C86" w14:textId="77777777" w:rsidTr="00A666EE">
        <w:trPr>
          <w:trHeight w:val="317"/>
        </w:trPr>
        <w:tc>
          <w:tcPr>
            <w:tcW w:w="3748" w:type="dxa"/>
            <w:vAlign w:val="bottom"/>
          </w:tcPr>
          <w:p w14:paraId="1318F46E" w14:textId="77777777" w:rsidR="00550418" w:rsidRPr="00E31A3C" w:rsidRDefault="00550418" w:rsidP="00A666EE">
            <w:pPr>
              <w:rPr>
                <w:rFonts w:ascii="Times New Roman" w:hAnsi="Times New Roman" w:cs="Times New Roman"/>
                <w:bCs/>
                <w:sz w:val="24"/>
                <w:szCs w:val="24"/>
              </w:rPr>
            </w:pPr>
            <w:r w:rsidRPr="00E31A3C">
              <w:rPr>
                <w:rFonts w:ascii="Times New Roman" w:hAnsi="Times New Roman" w:cs="Times New Roman"/>
                <w:bCs/>
                <w:sz w:val="24"/>
                <w:szCs w:val="24"/>
              </w:rPr>
              <w:t>NE (TY =85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3F65EC03"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9.41</w:t>
            </w:r>
          </w:p>
        </w:tc>
        <w:tc>
          <w:tcPr>
            <w:tcW w:w="1013" w:type="dxa"/>
            <w:vAlign w:val="center"/>
          </w:tcPr>
          <w:p w14:paraId="441C16F1"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9.20</w:t>
            </w:r>
          </w:p>
        </w:tc>
        <w:tc>
          <w:tcPr>
            <w:tcW w:w="1013" w:type="dxa"/>
            <w:vAlign w:val="center"/>
          </w:tcPr>
          <w:p w14:paraId="04A8EBF4"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5.86</w:t>
            </w:r>
          </w:p>
        </w:tc>
        <w:tc>
          <w:tcPr>
            <w:tcW w:w="1114" w:type="dxa"/>
            <w:vAlign w:val="center"/>
          </w:tcPr>
          <w:p w14:paraId="5F709F4B"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5.75</w:t>
            </w:r>
          </w:p>
        </w:tc>
        <w:tc>
          <w:tcPr>
            <w:tcW w:w="1013" w:type="dxa"/>
            <w:vAlign w:val="center"/>
          </w:tcPr>
          <w:p w14:paraId="7E9BEE2A" w14:textId="67565BAC"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9C10F8" w:rsidRPr="00E31A3C">
              <w:rPr>
                <w:rFonts w:ascii="Times New Roman" w:hAnsi="Times New Roman" w:cs="Times New Roman"/>
                <w:sz w:val="24"/>
                <w:szCs w:val="24"/>
              </w:rPr>
              <w:t>25</w:t>
            </w:r>
          </w:p>
        </w:tc>
        <w:tc>
          <w:tcPr>
            <w:tcW w:w="1013" w:type="dxa"/>
            <w:vAlign w:val="center"/>
          </w:tcPr>
          <w:p w14:paraId="3F0CAD01" w14:textId="1ADCC319"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9C10F8" w:rsidRPr="00E31A3C">
              <w:rPr>
                <w:rFonts w:ascii="Times New Roman" w:hAnsi="Times New Roman" w:cs="Times New Roman"/>
                <w:sz w:val="24"/>
                <w:szCs w:val="24"/>
              </w:rPr>
              <w:t>01</w:t>
            </w:r>
          </w:p>
        </w:tc>
        <w:tc>
          <w:tcPr>
            <w:tcW w:w="1114" w:type="dxa"/>
            <w:vAlign w:val="center"/>
          </w:tcPr>
          <w:p w14:paraId="6455E0F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2.74</w:t>
            </w:r>
          </w:p>
        </w:tc>
        <w:tc>
          <w:tcPr>
            <w:tcW w:w="1013" w:type="dxa"/>
            <w:vAlign w:val="center"/>
          </w:tcPr>
          <w:p w14:paraId="4DA5641D"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2.76</w:t>
            </w:r>
          </w:p>
        </w:tc>
        <w:tc>
          <w:tcPr>
            <w:tcW w:w="1114" w:type="dxa"/>
            <w:vAlign w:val="center"/>
          </w:tcPr>
          <w:p w14:paraId="5CFE7F54"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0.83</w:t>
            </w:r>
          </w:p>
        </w:tc>
        <w:tc>
          <w:tcPr>
            <w:tcW w:w="1015" w:type="dxa"/>
            <w:vAlign w:val="center"/>
          </w:tcPr>
          <w:p w14:paraId="2A67AEB5"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0.74</w:t>
            </w:r>
          </w:p>
        </w:tc>
      </w:tr>
      <w:tr w:rsidR="00550418" w:rsidRPr="00E31A3C" w14:paraId="4F39583E" w14:textId="77777777" w:rsidTr="00A666EE">
        <w:trPr>
          <w:trHeight w:val="317"/>
        </w:trPr>
        <w:tc>
          <w:tcPr>
            <w:tcW w:w="3748" w:type="dxa"/>
            <w:vAlign w:val="bottom"/>
          </w:tcPr>
          <w:p w14:paraId="0B3B686B" w14:textId="77777777" w:rsidR="00550418" w:rsidRPr="00E31A3C" w:rsidRDefault="00550418" w:rsidP="00A666EE">
            <w:pPr>
              <w:rPr>
                <w:rFonts w:ascii="Times New Roman" w:hAnsi="Times New Roman" w:cs="Times New Roman"/>
                <w:bCs/>
                <w:sz w:val="24"/>
                <w:szCs w:val="24"/>
              </w:rPr>
            </w:pPr>
            <w:r w:rsidRPr="00E31A3C">
              <w:rPr>
                <w:rFonts w:ascii="Times New Roman" w:hAnsi="Times New Roman" w:cs="Times New Roman"/>
                <w:bCs/>
                <w:sz w:val="24"/>
                <w:szCs w:val="24"/>
              </w:rPr>
              <w:t>NE (TY =95 q ha</w:t>
            </w:r>
            <w:r w:rsidRPr="00E31A3C">
              <w:rPr>
                <w:rFonts w:ascii="Times New Roman" w:hAnsi="Times New Roman" w:cs="Times New Roman"/>
                <w:bCs/>
                <w:sz w:val="24"/>
                <w:szCs w:val="24"/>
                <w:vertAlign w:val="superscript"/>
              </w:rPr>
              <w:t>-1</w:t>
            </w:r>
            <w:r w:rsidRPr="00E31A3C">
              <w:rPr>
                <w:rFonts w:ascii="Times New Roman" w:hAnsi="Times New Roman" w:cs="Times New Roman"/>
                <w:bCs/>
                <w:sz w:val="24"/>
                <w:szCs w:val="24"/>
              </w:rPr>
              <w:t>)</w:t>
            </w:r>
          </w:p>
        </w:tc>
        <w:tc>
          <w:tcPr>
            <w:tcW w:w="1013" w:type="dxa"/>
            <w:vAlign w:val="center"/>
          </w:tcPr>
          <w:p w14:paraId="01218E64"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9.31</w:t>
            </w:r>
          </w:p>
        </w:tc>
        <w:tc>
          <w:tcPr>
            <w:tcW w:w="1013" w:type="dxa"/>
            <w:vAlign w:val="center"/>
          </w:tcPr>
          <w:p w14:paraId="7F604AA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9.03</w:t>
            </w:r>
          </w:p>
        </w:tc>
        <w:tc>
          <w:tcPr>
            <w:tcW w:w="1013" w:type="dxa"/>
            <w:vAlign w:val="center"/>
          </w:tcPr>
          <w:p w14:paraId="2C1D991B"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5.83</w:t>
            </w:r>
          </w:p>
        </w:tc>
        <w:tc>
          <w:tcPr>
            <w:tcW w:w="1114" w:type="dxa"/>
            <w:vAlign w:val="center"/>
          </w:tcPr>
          <w:p w14:paraId="0687602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5.71</w:t>
            </w:r>
          </w:p>
        </w:tc>
        <w:tc>
          <w:tcPr>
            <w:tcW w:w="1013" w:type="dxa"/>
            <w:vAlign w:val="center"/>
          </w:tcPr>
          <w:p w14:paraId="127F71C3" w14:textId="6FCF956B"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5.</w:t>
            </w:r>
            <w:r w:rsidR="009C10F8" w:rsidRPr="00E31A3C">
              <w:rPr>
                <w:rFonts w:ascii="Times New Roman" w:hAnsi="Times New Roman" w:cs="Times New Roman"/>
                <w:sz w:val="24"/>
                <w:szCs w:val="24"/>
              </w:rPr>
              <w:t>17</w:t>
            </w:r>
          </w:p>
        </w:tc>
        <w:tc>
          <w:tcPr>
            <w:tcW w:w="1013" w:type="dxa"/>
            <w:vAlign w:val="center"/>
          </w:tcPr>
          <w:p w14:paraId="3E3BF9EA" w14:textId="6AE5F150" w:rsidR="00550418" w:rsidRPr="00E31A3C" w:rsidRDefault="009C10F8" w:rsidP="00A666EE">
            <w:pPr>
              <w:jc w:val="center"/>
              <w:rPr>
                <w:rFonts w:ascii="Times New Roman" w:hAnsi="Times New Roman" w:cs="Times New Roman"/>
                <w:sz w:val="24"/>
                <w:szCs w:val="24"/>
              </w:rPr>
            </w:pPr>
            <w:r w:rsidRPr="00E31A3C">
              <w:rPr>
                <w:rFonts w:ascii="Times New Roman" w:hAnsi="Times New Roman" w:cs="Times New Roman"/>
                <w:sz w:val="24"/>
                <w:szCs w:val="24"/>
              </w:rPr>
              <w:t>4.99</w:t>
            </w:r>
          </w:p>
        </w:tc>
        <w:tc>
          <w:tcPr>
            <w:tcW w:w="1114" w:type="dxa"/>
            <w:vAlign w:val="center"/>
          </w:tcPr>
          <w:p w14:paraId="1DEF6911"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2.65</w:t>
            </w:r>
          </w:p>
        </w:tc>
        <w:tc>
          <w:tcPr>
            <w:tcW w:w="1013" w:type="dxa"/>
            <w:vAlign w:val="center"/>
          </w:tcPr>
          <w:p w14:paraId="049E699A"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2.66</w:t>
            </w:r>
          </w:p>
        </w:tc>
        <w:tc>
          <w:tcPr>
            <w:tcW w:w="1114" w:type="dxa"/>
            <w:vAlign w:val="center"/>
          </w:tcPr>
          <w:p w14:paraId="4C45E3CE" w14:textId="77777777" w:rsidR="00550418" w:rsidRPr="00E31A3C" w:rsidRDefault="00550418" w:rsidP="00A666EE">
            <w:pPr>
              <w:jc w:val="center"/>
              <w:rPr>
                <w:rFonts w:ascii="Times New Roman" w:hAnsi="Times New Roman" w:cs="Times New Roman"/>
                <w:sz w:val="24"/>
                <w:szCs w:val="24"/>
                <w:highlight w:val="yellow"/>
              </w:rPr>
            </w:pPr>
            <w:r w:rsidRPr="00E31A3C">
              <w:rPr>
                <w:rFonts w:ascii="Times New Roman" w:hAnsi="Times New Roman" w:cs="Times New Roman"/>
                <w:sz w:val="24"/>
                <w:szCs w:val="24"/>
              </w:rPr>
              <w:t>0.82</w:t>
            </w:r>
          </w:p>
        </w:tc>
        <w:tc>
          <w:tcPr>
            <w:tcW w:w="1015" w:type="dxa"/>
            <w:vAlign w:val="center"/>
          </w:tcPr>
          <w:p w14:paraId="30412BC8" w14:textId="77777777" w:rsidR="00550418" w:rsidRPr="00E31A3C" w:rsidRDefault="00550418" w:rsidP="00A666EE">
            <w:pPr>
              <w:jc w:val="center"/>
              <w:rPr>
                <w:rFonts w:ascii="Times New Roman" w:hAnsi="Times New Roman" w:cs="Times New Roman"/>
                <w:sz w:val="24"/>
                <w:szCs w:val="24"/>
                <w:highlight w:val="yellow"/>
              </w:rPr>
            </w:pPr>
            <w:r w:rsidRPr="00E31A3C">
              <w:rPr>
                <w:rFonts w:ascii="Times New Roman" w:hAnsi="Times New Roman" w:cs="Times New Roman"/>
                <w:sz w:val="24"/>
                <w:szCs w:val="24"/>
              </w:rPr>
              <w:t>0.80</w:t>
            </w:r>
          </w:p>
        </w:tc>
      </w:tr>
      <w:tr w:rsidR="00550418" w:rsidRPr="00E31A3C" w14:paraId="0F72FF9B" w14:textId="77777777" w:rsidTr="00A666EE">
        <w:trPr>
          <w:trHeight w:val="317"/>
        </w:trPr>
        <w:tc>
          <w:tcPr>
            <w:tcW w:w="3748" w:type="dxa"/>
          </w:tcPr>
          <w:p w14:paraId="65FB3264" w14:textId="77777777" w:rsidR="00550418" w:rsidRPr="00E31A3C" w:rsidRDefault="00550418" w:rsidP="00A666EE">
            <w:pPr>
              <w:rPr>
                <w:rFonts w:ascii="Times New Roman" w:hAnsi="Times New Roman" w:cs="Times New Roman"/>
                <w:sz w:val="24"/>
                <w:szCs w:val="24"/>
              </w:rPr>
            </w:pPr>
            <w:proofErr w:type="spellStart"/>
            <w:r w:rsidRPr="00E31A3C">
              <w:rPr>
                <w:rFonts w:ascii="Times New Roman" w:hAnsi="Times New Roman" w:cs="Times New Roman"/>
                <w:sz w:val="24"/>
                <w:szCs w:val="24"/>
              </w:rPr>
              <w:t>SeM</w:t>
            </w:r>
            <w:proofErr w:type="spellEnd"/>
            <w:r w:rsidRPr="00E31A3C">
              <w:rPr>
                <w:rFonts w:ascii="Times New Roman" w:hAnsi="Times New Roman" w:cs="Times New Roman"/>
                <w:sz w:val="24"/>
                <w:szCs w:val="24"/>
              </w:rPr>
              <w:t>±</w:t>
            </w:r>
          </w:p>
        </w:tc>
        <w:tc>
          <w:tcPr>
            <w:tcW w:w="1013" w:type="dxa"/>
            <w:vAlign w:val="center"/>
          </w:tcPr>
          <w:p w14:paraId="70C9076F"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0.25</w:t>
            </w:r>
          </w:p>
        </w:tc>
        <w:tc>
          <w:tcPr>
            <w:tcW w:w="1013" w:type="dxa"/>
            <w:vAlign w:val="center"/>
          </w:tcPr>
          <w:p w14:paraId="6B2F16BF"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0.24</w:t>
            </w:r>
          </w:p>
        </w:tc>
        <w:tc>
          <w:tcPr>
            <w:tcW w:w="1013" w:type="dxa"/>
            <w:vAlign w:val="center"/>
          </w:tcPr>
          <w:p w14:paraId="08888D1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0.16</w:t>
            </w:r>
          </w:p>
        </w:tc>
        <w:tc>
          <w:tcPr>
            <w:tcW w:w="1114" w:type="dxa"/>
            <w:vAlign w:val="center"/>
          </w:tcPr>
          <w:p w14:paraId="799A180D"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0.15</w:t>
            </w:r>
          </w:p>
        </w:tc>
        <w:tc>
          <w:tcPr>
            <w:tcW w:w="1013" w:type="dxa"/>
            <w:vAlign w:val="center"/>
          </w:tcPr>
          <w:p w14:paraId="2799A35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0.15</w:t>
            </w:r>
          </w:p>
        </w:tc>
        <w:tc>
          <w:tcPr>
            <w:tcW w:w="1013" w:type="dxa"/>
            <w:vAlign w:val="center"/>
          </w:tcPr>
          <w:p w14:paraId="4C1CC4FB"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0.15</w:t>
            </w:r>
          </w:p>
        </w:tc>
        <w:tc>
          <w:tcPr>
            <w:tcW w:w="1114" w:type="dxa"/>
            <w:vAlign w:val="center"/>
          </w:tcPr>
          <w:p w14:paraId="06BDB2B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0.07</w:t>
            </w:r>
          </w:p>
        </w:tc>
        <w:tc>
          <w:tcPr>
            <w:tcW w:w="1013" w:type="dxa"/>
            <w:vAlign w:val="center"/>
          </w:tcPr>
          <w:p w14:paraId="367EE98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0.07</w:t>
            </w:r>
          </w:p>
        </w:tc>
        <w:tc>
          <w:tcPr>
            <w:tcW w:w="1114" w:type="dxa"/>
            <w:vAlign w:val="center"/>
          </w:tcPr>
          <w:p w14:paraId="3DD1DD53"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0.02</w:t>
            </w:r>
          </w:p>
        </w:tc>
        <w:tc>
          <w:tcPr>
            <w:tcW w:w="1015" w:type="dxa"/>
            <w:vAlign w:val="center"/>
          </w:tcPr>
          <w:p w14:paraId="3724879A"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0.02</w:t>
            </w:r>
          </w:p>
        </w:tc>
      </w:tr>
      <w:tr w:rsidR="00550418" w:rsidRPr="00E31A3C" w14:paraId="7C8E10CC" w14:textId="77777777" w:rsidTr="00A666EE">
        <w:trPr>
          <w:trHeight w:val="317"/>
        </w:trPr>
        <w:tc>
          <w:tcPr>
            <w:tcW w:w="3748" w:type="dxa"/>
          </w:tcPr>
          <w:p w14:paraId="49C49CEC"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CD (p≤0.05)</w:t>
            </w:r>
          </w:p>
        </w:tc>
        <w:tc>
          <w:tcPr>
            <w:tcW w:w="1013" w:type="dxa"/>
            <w:vAlign w:val="center"/>
          </w:tcPr>
          <w:p w14:paraId="16C4EBB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0.74</w:t>
            </w:r>
          </w:p>
        </w:tc>
        <w:tc>
          <w:tcPr>
            <w:tcW w:w="1013" w:type="dxa"/>
            <w:vAlign w:val="center"/>
          </w:tcPr>
          <w:p w14:paraId="1B94A1FB"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0.72</w:t>
            </w:r>
          </w:p>
        </w:tc>
        <w:tc>
          <w:tcPr>
            <w:tcW w:w="1013" w:type="dxa"/>
            <w:vAlign w:val="center"/>
          </w:tcPr>
          <w:p w14:paraId="3016D86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0.47</w:t>
            </w:r>
          </w:p>
        </w:tc>
        <w:tc>
          <w:tcPr>
            <w:tcW w:w="1114" w:type="dxa"/>
            <w:vAlign w:val="center"/>
          </w:tcPr>
          <w:p w14:paraId="7777AB9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0.46</w:t>
            </w:r>
          </w:p>
        </w:tc>
        <w:tc>
          <w:tcPr>
            <w:tcW w:w="1013" w:type="dxa"/>
            <w:vAlign w:val="center"/>
          </w:tcPr>
          <w:p w14:paraId="44FDF1E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0.45</w:t>
            </w:r>
          </w:p>
        </w:tc>
        <w:tc>
          <w:tcPr>
            <w:tcW w:w="1013" w:type="dxa"/>
            <w:vAlign w:val="center"/>
          </w:tcPr>
          <w:p w14:paraId="5D3714E5"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0.44</w:t>
            </w:r>
          </w:p>
        </w:tc>
        <w:tc>
          <w:tcPr>
            <w:tcW w:w="1114" w:type="dxa"/>
            <w:vAlign w:val="center"/>
          </w:tcPr>
          <w:p w14:paraId="25298270"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0.22</w:t>
            </w:r>
          </w:p>
        </w:tc>
        <w:tc>
          <w:tcPr>
            <w:tcW w:w="1013" w:type="dxa"/>
            <w:vAlign w:val="center"/>
          </w:tcPr>
          <w:p w14:paraId="447DD615"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0.22</w:t>
            </w:r>
          </w:p>
        </w:tc>
        <w:tc>
          <w:tcPr>
            <w:tcW w:w="1114" w:type="dxa"/>
            <w:vAlign w:val="center"/>
          </w:tcPr>
          <w:p w14:paraId="2A8AC3D7"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0.06</w:t>
            </w:r>
          </w:p>
        </w:tc>
        <w:tc>
          <w:tcPr>
            <w:tcW w:w="1015" w:type="dxa"/>
            <w:vAlign w:val="center"/>
          </w:tcPr>
          <w:p w14:paraId="2887CB46"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0.05</w:t>
            </w:r>
          </w:p>
        </w:tc>
      </w:tr>
      <w:tr w:rsidR="00550418" w:rsidRPr="00E31A3C" w14:paraId="3D9253B6" w14:textId="77777777" w:rsidTr="00A666EE">
        <w:trPr>
          <w:trHeight w:val="317"/>
        </w:trPr>
        <w:tc>
          <w:tcPr>
            <w:tcW w:w="3748" w:type="dxa"/>
          </w:tcPr>
          <w:p w14:paraId="7127502D" w14:textId="77777777" w:rsidR="00550418" w:rsidRPr="00E31A3C" w:rsidRDefault="00550418" w:rsidP="00A666EE">
            <w:pPr>
              <w:rPr>
                <w:rFonts w:ascii="Times New Roman" w:hAnsi="Times New Roman" w:cs="Times New Roman"/>
                <w:sz w:val="24"/>
                <w:szCs w:val="24"/>
              </w:rPr>
            </w:pPr>
            <w:r w:rsidRPr="00E31A3C">
              <w:rPr>
                <w:rFonts w:ascii="Times New Roman" w:hAnsi="Times New Roman" w:cs="Times New Roman"/>
                <w:sz w:val="24"/>
                <w:szCs w:val="24"/>
              </w:rPr>
              <w:t>Interaction</w:t>
            </w:r>
          </w:p>
        </w:tc>
        <w:tc>
          <w:tcPr>
            <w:tcW w:w="1013" w:type="dxa"/>
            <w:vAlign w:val="center"/>
          </w:tcPr>
          <w:p w14:paraId="0C3BC81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6C789417"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68D61FDA"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7990E4CE"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46A6A14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0186171C"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1031396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3" w:type="dxa"/>
            <w:vAlign w:val="center"/>
          </w:tcPr>
          <w:p w14:paraId="4B731E86"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114" w:type="dxa"/>
            <w:vAlign w:val="center"/>
          </w:tcPr>
          <w:p w14:paraId="1A66C952"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c>
          <w:tcPr>
            <w:tcW w:w="1015" w:type="dxa"/>
            <w:vAlign w:val="center"/>
          </w:tcPr>
          <w:p w14:paraId="74460748" w14:textId="77777777" w:rsidR="00550418" w:rsidRPr="00E31A3C" w:rsidRDefault="00550418" w:rsidP="00A666EE">
            <w:pPr>
              <w:jc w:val="center"/>
              <w:rPr>
                <w:rFonts w:ascii="Times New Roman" w:hAnsi="Times New Roman" w:cs="Times New Roman"/>
                <w:sz w:val="24"/>
                <w:szCs w:val="24"/>
              </w:rPr>
            </w:pPr>
            <w:r w:rsidRPr="00E31A3C">
              <w:rPr>
                <w:rFonts w:ascii="Times New Roman" w:hAnsi="Times New Roman" w:cs="Times New Roman"/>
                <w:sz w:val="24"/>
                <w:szCs w:val="24"/>
              </w:rPr>
              <w:t>NS</w:t>
            </w:r>
          </w:p>
        </w:tc>
      </w:tr>
    </w:tbl>
    <w:p w14:paraId="1368A709" w14:textId="2D72E125" w:rsidR="00EA2B5D" w:rsidRPr="00E31A3C" w:rsidRDefault="00EA2B5D" w:rsidP="001D4557">
      <w:pPr>
        <w:ind w:firstLine="0"/>
        <w:rPr>
          <w:b/>
          <w:bCs/>
          <w:color w:val="auto"/>
          <w:szCs w:val="24"/>
        </w:rPr>
        <w:sectPr w:rsidR="00EA2B5D" w:rsidRPr="00E31A3C" w:rsidSect="00550418">
          <w:pgSz w:w="16838" w:h="11906" w:orient="landscape" w:code="9"/>
          <w:pgMar w:top="1699" w:right="2275" w:bottom="2275" w:left="2275" w:header="706" w:footer="706" w:gutter="0"/>
          <w:cols w:space="708"/>
          <w:docGrid w:linePitch="360"/>
        </w:sectPr>
      </w:pPr>
    </w:p>
    <w:p w14:paraId="465CE637" w14:textId="28B75A88" w:rsidR="0072221D" w:rsidRPr="00E31A3C" w:rsidRDefault="0097584A" w:rsidP="0072221D">
      <w:pPr>
        <w:ind w:firstLine="0"/>
        <w:rPr>
          <w:b/>
          <w:bCs/>
          <w:color w:val="auto"/>
        </w:rPr>
      </w:pPr>
      <w:r w:rsidRPr="0097584A">
        <w:rPr>
          <w:b/>
          <w:bCs/>
          <w:noProof/>
          <w:color w:val="auto"/>
        </w:rPr>
        <w:lastRenderedPageBreak/>
        <w:drawing>
          <wp:inline distT="0" distB="0" distL="0" distR="0" wp14:anchorId="1D18CE74" wp14:editId="3622BEC4">
            <wp:extent cx="5004707" cy="1967230"/>
            <wp:effectExtent l="0" t="0" r="5715" b="13970"/>
            <wp:docPr id="876567881" name="Chart 1">
              <a:extLst xmlns:a="http://schemas.openxmlformats.org/drawingml/2006/main">
                <a:ext uri="{FF2B5EF4-FFF2-40B4-BE49-F238E27FC236}">
                  <a16:creationId xmlns:a16="http://schemas.microsoft.com/office/drawing/2014/main" id="{F831BBC6-3466-11A7-AFE6-3B0A297E7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4F8A37E" w14:textId="77777777" w:rsidR="0072221D" w:rsidRPr="00E31A3C" w:rsidRDefault="0072221D" w:rsidP="0072221D">
      <w:pPr>
        <w:ind w:firstLine="0"/>
        <w:rPr>
          <w:b/>
          <w:bCs/>
          <w:color w:val="auto"/>
          <w:szCs w:val="24"/>
        </w:rPr>
      </w:pPr>
      <w:r w:rsidRPr="00E31A3C">
        <w:rPr>
          <w:b/>
          <w:bCs/>
          <w:color w:val="auto"/>
          <w:szCs w:val="24"/>
        </w:rPr>
        <w:t xml:space="preserve">Fig. 13: </w:t>
      </w:r>
      <w:r w:rsidRPr="00E31A3C">
        <w:rPr>
          <w:b/>
          <w:bCs/>
          <w:color w:val="auto"/>
        </w:rPr>
        <w:t xml:space="preserve">Effect of </w:t>
      </w:r>
      <w:r w:rsidRPr="00E31A3C">
        <w:rPr>
          <w:b/>
          <w:bCs/>
          <w:color w:val="auto"/>
          <w:szCs w:val="24"/>
        </w:rPr>
        <w:t>crop establishment methods on Net assimilation rate of rice in 2024</w:t>
      </w:r>
    </w:p>
    <w:p w14:paraId="01A51EF9" w14:textId="52014829" w:rsidR="0072221D" w:rsidRPr="00E31A3C" w:rsidRDefault="00865163" w:rsidP="0072221D">
      <w:pPr>
        <w:ind w:firstLine="0"/>
        <w:rPr>
          <w:b/>
          <w:bCs/>
          <w:color w:val="auto"/>
          <w:szCs w:val="24"/>
        </w:rPr>
      </w:pPr>
      <w:r w:rsidRPr="00865163">
        <w:rPr>
          <w:b/>
          <w:bCs/>
          <w:noProof/>
          <w:color w:val="auto"/>
          <w:szCs w:val="24"/>
        </w:rPr>
        <w:drawing>
          <wp:inline distT="0" distB="0" distL="0" distR="0" wp14:anchorId="163A2B3B" wp14:editId="425973E1">
            <wp:extent cx="5004435" cy="2188029"/>
            <wp:effectExtent l="0" t="0" r="5715" b="3175"/>
            <wp:docPr id="113143602" name="Chart 1">
              <a:extLst xmlns:a="http://schemas.openxmlformats.org/drawingml/2006/main">
                <a:ext uri="{FF2B5EF4-FFF2-40B4-BE49-F238E27FC236}">
                  <a16:creationId xmlns:a16="http://schemas.microsoft.com/office/drawing/2014/main" id="{0553EB9F-B157-0CC9-306E-27B3575DF8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F0F0138" w14:textId="69584B75" w:rsidR="0072221D" w:rsidRPr="00E31A3C" w:rsidRDefault="0072221D" w:rsidP="0072221D">
      <w:pPr>
        <w:ind w:firstLine="0"/>
        <w:rPr>
          <w:b/>
          <w:bCs/>
          <w:color w:val="auto"/>
          <w:szCs w:val="24"/>
        </w:rPr>
      </w:pPr>
      <w:r w:rsidRPr="00E31A3C">
        <w:rPr>
          <w:b/>
          <w:bCs/>
          <w:color w:val="auto"/>
          <w:szCs w:val="24"/>
        </w:rPr>
        <w:t xml:space="preserve">Fig. 14:  </w:t>
      </w:r>
      <w:r w:rsidRPr="00E31A3C">
        <w:rPr>
          <w:b/>
          <w:bCs/>
          <w:color w:val="auto"/>
        </w:rPr>
        <w:t xml:space="preserve">Effect of </w:t>
      </w:r>
      <w:r w:rsidRPr="00E31A3C">
        <w:rPr>
          <w:b/>
          <w:bCs/>
          <w:color w:val="auto"/>
          <w:szCs w:val="24"/>
        </w:rPr>
        <w:t>crop establishment methods on Net assimilation rate of rice in 2025</w:t>
      </w:r>
    </w:p>
    <w:p w14:paraId="314E20CF" w14:textId="10CFCC8E" w:rsidR="0072221D" w:rsidRPr="00E31A3C" w:rsidRDefault="0072221D" w:rsidP="0072221D">
      <w:pPr>
        <w:ind w:firstLine="0"/>
        <w:rPr>
          <w:b/>
          <w:bCs/>
          <w:color w:val="auto"/>
          <w:szCs w:val="24"/>
        </w:rPr>
      </w:pPr>
      <w:r w:rsidRPr="00E31A3C">
        <w:rPr>
          <w:b/>
          <w:bCs/>
          <w:color w:val="auto"/>
          <w:szCs w:val="24"/>
        </w:rPr>
        <w:t xml:space="preserve"> </w:t>
      </w:r>
      <w:r w:rsidRPr="00E31A3C">
        <w:rPr>
          <w:noProof/>
          <w:color w:val="auto"/>
        </w:rPr>
        <w:drawing>
          <wp:inline distT="0" distB="0" distL="0" distR="0" wp14:anchorId="1E859986" wp14:editId="560D7BD2">
            <wp:extent cx="4491135" cy="1996751"/>
            <wp:effectExtent l="0" t="0" r="5080" b="3810"/>
            <wp:docPr id="347988703" name="Chart 1">
              <a:extLst xmlns:a="http://schemas.openxmlformats.org/drawingml/2006/main">
                <a:ext uri="{FF2B5EF4-FFF2-40B4-BE49-F238E27FC236}">
                  <a16:creationId xmlns:a16="http://schemas.microsoft.com/office/drawing/2014/main" id="{EFFDA36D-1E29-A1EA-D054-EA682A1997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6A1F639" w14:textId="0EE72394" w:rsidR="0072221D" w:rsidRPr="00E31A3C" w:rsidRDefault="0072221D" w:rsidP="0072221D">
      <w:pPr>
        <w:ind w:firstLine="0"/>
        <w:rPr>
          <w:b/>
          <w:bCs/>
          <w:color w:val="auto"/>
        </w:rPr>
        <w:sectPr w:rsidR="0072221D" w:rsidRPr="00E31A3C" w:rsidSect="0072221D">
          <w:pgSz w:w="11906" w:h="16838" w:code="9"/>
          <w:pgMar w:top="2275" w:right="1699" w:bottom="2275" w:left="2275" w:header="706" w:footer="706" w:gutter="0"/>
          <w:cols w:space="708"/>
          <w:docGrid w:linePitch="360"/>
        </w:sectPr>
      </w:pPr>
      <w:r w:rsidRPr="00E31A3C">
        <w:rPr>
          <w:b/>
          <w:bCs/>
          <w:color w:val="auto"/>
        </w:rPr>
        <w:t xml:space="preserve">Fig. 15: Effect of </w:t>
      </w:r>
      <w:r w:rsidRPr="00E31A3C">
        <w:rPr>
          <w:b/>
          <w:bCs/>
          <w:color w:val="auto"/>
          <w:szCs w:val="24"/>
        </w:rPr>
        <w:t>nutrient management on Net assimilation rate of rice in 2024.</w:t>
      </w:r>
    </w:p>
    <w:p w14:paraId="02BFE7FA" w14:textId="15D113C0" w:rsidR="00550418" w:rsidRPr="00E31A3C" w:rsidRDefault="00550418" w:rsidP="00EC4705">
      <w:pPr>
        <w:ind w:firstLine="0"/>
        <w:rPr>
          <w:b/>
          <w:bCs/>
          <w:color w:val="auto"/>
        </w:rPr>
      </w:pPr>
    </w:p>
    <w:p w14:paraId="601D3420" w14:textId="003772B8" w:rsidR="00623CAD" w:rsidRPr="00E31A3C" w:rsidRDefault="00C14A35" w:rsidP="00EC4705">
      <w:pPr>
        <w:ind w:firstLine="0"/>
        <w:rPr>
          <w:b/>
          <w:bCs/>
          <w:color w:val="auto"/>
        </w:rPr>
      </w:pPr>
      <w:r w:rsidRPr="00E31A3C">
        <w:rPr>
          <w:noProof/>
          <w:color w:val="auto"/>
        </w:rPr>
        <w:drawing>
          <wp:inline distT="0" distB="0" distL="0" distR="0" wp14:anchorId="6A38B603" wp14:editId="372F5071">
            <wp:extent cx="4721289" cy="2475723"/>
            <wp:effectExtent l="0" t="0" r="3175" b="1270"/>
            <wp:docPr id="2104903132" name="Chart 1">
              <a:extLst xmlns:a="http://schemas.openxmlformats.org/drawingml/2006/main">
                <a:ext uri="{FF2B5EF4-FFF2-40B4-BE49-F238E27FC236}">
                  <a16:creationId xmlns:a16="http://schemas.microsoft.com/office/drawing/2014/main" id="{32BA3516-FA94-D372-F9C2-E98FD26D2C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D87CE14" w14:textId="7118334B" w:rsidR="00C14A35" w:rsidRPr="00E31A3C" w:rsidRDefault="00C14A35" w:rsidP="00C14A35">
      <w:pPr>
        <w:ind w:firstLine="0"/>
        <w:rPr>
          <w:b/>
          <w:bCs/>
          <w:color w:val="auto"/>
        </w:rPr>
      </w:pPr>
      <w:r w:rsidRPr="00E31A3C">
        <w:rPr>
          <w:b/>
          <w:bCs/>
          <w:color w:val="auto"/>
        </w:rPr>
        <w:t xml:space="preserve">Fig. 16: Effect of </w:t>
      </w:r>
      <w:r w:rsidRPr="00E31A3C">
        <w:rPr>
          <w:b/>
          <w:bCs/>
          <w:color w:val="auto"/>
          <w:szCs w:val="24"/>
        </w:rPr>
        <w:t>nutrient management on Net assimilation rate of rice in 2025.</w:t>
      </w:r>
    </w:p>
    <w:p w14:paraId="68E005CB" w14:textId="77777777" w:rsidR="006D6D4B" w:rsidRPr="00B3310B" w:rsidRDefault="006D6D4B" w:rsidP="006D6D4B">
      <w:pPr>
        <w:spacing w:before="100" w:beforeAutospacing="1" w:after="100" w:afterAutospacing="1" w:line="240" w:lineRule="auto"/>
        <w:outlineLvl w:val="1"/>
        <w:rPr>
          <w:rFonts w:eastAsia="Times New Roman"/>
          <w:b/>
          <w:bCs/>
          <w:sz w:val="36"/>
          <w:szCs w:val="36"/>
          <w:lang w:eastAsia="en-GB"/>
        </w:rPr>
      </w:pPr>
      <w:r w:rsidRPr="00B3310B">
        <w:rPr>
          <w:rFonts w:eastAsia="Times New Roman"/>
          <w:b/>
          <w:bCs/>
          <w:sz w:val="36"/>
          <w:szCs w:val="36"/>
          <w:lang w:eastAsia="en-GB"/>
        </w:rPr>
        <w:t>Conclusions</w:t>
      </w:r>
    </w:p>
    <w:p w14:paraId="754B390D" w14:textId="77777777" w:rsidR="006D6D4B" w:rsidRPr="00B3310B" w:rsidRDefault="006D6D4B" w:rsidP="006D6D4B">
      <w:pPr>
        <w:spacing w:before="100" w:beforeAutospacing="1" w:after="100" w:afterAutospacing="1" w:line="240" w:lineRule="auto"/>
        <w:rPr>
          <w:rFonts w:eastAsia="Times New Roman"/>
          <w:szCs w:val="24"/>
          <w:lang w:eastAsia="en-GB"/>
        </w:rPr>
      </w:pPr>
      <w:r w:rsidRPr="00B3310B">
        <w:rPr>
          <w:rFonts w:eastAsia="Times New Roman"/>
          <w:szCs w:val="24"/>
          <w:lang w:eastAsia="en-GB"/>
        </w:rPr>
        <w:t>The study showed that rice growth indices were significantly influenced by both establishment method and nutrient management strategy. Transplanted rice generally performed better than direct seeded rice in terms of leaf area index, crop growth rate, and net assimilation rate, indicating better canopy development and physiological growth under transplanted conditions. Among the nutrient management treatments, the Soil Test Crop Response approach with a target yield of 95 q ha⁻¹ produced the highest leaf area index and crop growth rate at key growth stages. Relative growth rate was highest during the early growth interval and declined progressively with crop age. The Nutrient Expert approach with a target yield of 75 q ha⁻¹ recorded higher net assimilation rate during the early growth period. Overall, the findings suggest that precision nutrient management, particularly STCR-based fertilization at higher target yield levels, can improve physiological growth performance of rice. However, the response varied across growth indices and crop stages, indicating the need to select nutrient strategies according to specific production objectives and establishment conditions.</w:t>
      </w:r>
    </w:p>
    <w:p w14:paraId="61D88EAC" w14:textId="77777777" w:rsidR="006D6D4B" w:rsidRPr="00B3310B" w:rsidRDefault="006D6D4B" w:rsidP="006D6D4B">
      <w:pPr>
        <w:spacing w:before="100" w:beforeAutospacing="1" w:after="100" w:afterAutospacing="1" w:line="240" w:lineRule="auto"/>
        <w:outlineLvl w:val="1"/>
        <w:rPr>
          <w:rFonts w:eastAsia="Times New Roman"/>
          <w:b/>
          <w:bCs/>
          <w:sz w:val="36"/>
          <w:szCs w:val="36"/>
          <w:lang w:eastAsia="en-GB"/>
        </w:rPr>
      </w:pPr>
      <w:r w:rsidRPr="00B3310B">
        <w:rPr>
          <w:rFonts w:eastAsia="Times New Roman"/>
          <w:b/>
          <w:bCs/>
          <w:sz w:val="36"/>
          <w:szCs w:val="36"/>
          <w:lang w:eastAsia="en-GB"/>
        </w:rPr>
        <w:t>Limitations</w:t>
      </w:r>
    </w:p>
    <w:p w14:paraId="4BE64C80" w14:textId="77777777" w:rsidR="006D6D4B" w:rsidRPr="00B3310B" w:rsidRDefault="006D6D4B" w:rsidP="006D6D4B">
      <w:pPr>
        <w:spacing w:before="100" w:beforeAutospacing="1" w:after="100" w:afterAutospacing="1" w:line="240" w:lineRule="auto"/>
        <w:rPr>
          <w:rFonts w:eastAsia="Times New Roman"/>
          <w:szCs w:val="24"/>
          <w:lang w:eastAsia="en-GB"/>
        </w:rPr>
      </w:pPr>
      <w:r w:rsidRPr="00B3310B">
        <w:rPr>
          <w:rFonts w:eastAsia="Times New Roman"/>
          <w:szCs w:val="24"/>
          <w:lang w:eastAsia="en-GB"/>
        </w:rPr>
        <w:t xml:space="preserve">The study was limited to two Kharif seasons at a single experimental location under the temperate conditions of Kashmir. Therefore, the results may not fully represent other rice-growing ecologies, soil types, or climatic regions. The manuscript focused mainly on physiological growth indices and did not provide </w:t>
      </w:r>
      <w:r w:rsidRPr="00B3310B">
        <w:rPr>
          <w:rFonts w:eastAsia="Times New Roman"/>
          <w:szCs w:val="24"/>
          <w:lang w:eastAsia="en-GB"/>
        </w:rPr>
        <w:lastRenderedPageBreak/>
        <w:t>detailed yield, nutrient-use efficiency, or economic analysis. Fertilizer doses generated under STCR and Nutrient Expert approaches were also not clearly presented for each treatment. Further multi-location studies including yield, profitability, and nutrient-use efficiency would strengthen the practical applicability of the findings.</w:t>
      </w:r>
    </w:p>
    <w:p w14:paraId="72BD8FEC" w14:textId="77777777" w:rsidR="006D6D4B" w:rsidRPr="000839CE" w:rsidRDefault="006D6D4B" w:rsidP="006D6D4B">
      <w:pPr>
        <w:spacing w:line="240" w:lineRule="auto"/>
        <w:rPr>
          <w:b/>
        </w:rPr>
      </w:pPr>
      <w:r w:rsidRPr="000839CE">
        <w:rPr>
          <w:b/>
        </w:rPr>
        <w:t>Declaration of AI Use</w:t>
      </w:r>
    </w:p>
    <w:p w14:paraId="6D4745B3" w14:textId="77777777" w:rsidR="006D6D4B" w:rsidRPr="000839CE" w:rsidRDefault="006D6D4B" w:rsidP="006D6D4B">
      <w:pPr>
        <w:spacing w:line="240" w:lineRule="auto"/>
      </w:pPr>
    </w:p>
    <w:p w14:paraId="6249C342" w14:textId="77777777" w:rsidR="006D6D4B" w:rsidRPr="000839CE" w:rsidRDefault="006D6D4B" w:rsidP="006D6D4B">
      <w:pPr>
        <w:spacing w:line="240" w:lineRule="auto"/>
      </w:pPr>
      <w:r w:rsidRPr="00C56790">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3744D8B" w14:textId="74F03B33" w:rsidR="00FB34B6" w:rsidRPr="00E31A3C" w:rsidRDefault="00FB34B6" w:rsidP="004D082F">
      <w:pPr>
        <w:ind w:firstLine="0"/>
        <w:rPr>
          <w:color w:val="auto"/>
        </w:rPr>
      </w:pPr>
    </w:p>
    <w:p w14:paraId="7528AEFA" w14:textId="1E656D79" w:rsidR="00053939" w:rsidRPr="00E31A3C" w:rsidRDefault="00246349" w:rsidP="00EC4705">
      <w:pPr>
        <w:ind w:firstLine="0"/>
        <w:rPr>
          <w:b/>
          <w:bCs/>
          <w:color w:val="auto"/>
        </w:rPr>
      </w:pPr>
      <w:r w:rsidRPr="00E31A3C">
        <w:rPr>
          <w:b/>
          <w:bCs/>
          <w:color w:val="auto"/>
        </w:rPr>
        <w:t>Reference</w:t>
      </w:r>
    </w:p>
    <w:p w14:paraId="2333BC61" w14:textId="77777777" w:rsidR="009A7496" w:rsidRPr="00E31A3C" w:rsidRDefault="009A7496" w:rsidP="009A7496">
      <w:pPr>
        <w:ind w:firstLine="0"/>
      </w:pPr>
    </w:p>
    <w:p w14:paraId="5C653D50" w14:textId="77777777" w:rsidR="00672B4D" w:rsidRDefault="00672B4D" w:rsidP="005D0266">
      <w:pPr>
        <w:ind w:left="720" w:hanging="720"/>
      </w:pPr>
      <w:proofErr w:type="spellStart"/>
      <w:r w:rsidRPr="00E31A3C">
        <w:t>Amgain</w:t>
      </w:r>
      <w:proofErr w:type="spellEnd"/>
      <w:r w:rsidRPr="00E31A3C">
        <w:t xml:space="preserve">, L. and Timsina, J. 2005.  Major Agronomical Research Works at the Institute of Agriculture and Animal Sciences, Rampur, Chitwan, Nepal: A Review. Journal of the Institute of Agriculture and Animal </w:t>
      </w:r>
      <w:proofErr w:type="gramStart"/>
      <w:r w:rsidRPr="00E31A3C">
        <w:t>Science,  26</w:t>
      </w:r>
      <w:proofErr w:type="gramEnd"/>
      <w:r w:rsidRPr="00E31A3C">
        <w:t xml:space="preserve">, 1-20. </w:t>
      </w:r>
      <w:hyperlink r:id="rId29" w:history="1">
        <w:r w:rsidRPr="00E31A3C">
          <w:rPr>
            <w:rStyle w:val="Hyperlink"/>
          </w:rPr>
          <w:t>https://doi.org/10.3126/jiaas.v26i0.606</w:t>
        </w:r>
      </w:hyperlink>
      <w:r w:rsidRPr="00E31A3C">
        <w:t xml:space="preserve"> </w:t>
      </w:r>
    </w:p>
    <w:p w14:paraId="6D17B3FA" w14:textId="52777909" w:rsidR="0000667A" w:rsidRDefault="0000667A" w:rsidP="005D0266">
      <w:pPr>
        <w:ind w:left="720" w:hanging="720"/>
      </w:pPr>
      <w:r w:rsidRPr="0000667A">
        <w:t>Bhat, T.</w:t>
      </w:r>
      <w:r w:rsidR="00441ED8">
        <w:t xml:space="preserve"> </w:t>
      </w:r>
      <w:r w:rsidRPr="0000667A">
        <w:t>A., Kanth, R.</w:t>
      </w:r>
      <w:r w:rsidR="00441ED8">
        <w:t xml:space="preserve"> </w:t>
      </w:r>
      <w:r w:rsidRPr="0000667A">
        <w:t xml:space="preserve">H., Jan, B., Nazir, A., </w:t>
      </w:r>
      <w:proofErr w:type="spellStart"/>
      <w:r w:rsidRPr="0000667A">
        <w:t>Ahanger</w:t>
      </w:r>
      <w:proofErr w:type="spellEnd"/>
      <w:r w:rsidRPr="0000667A">
        <w:t>, S.</w:t>
      </w:r>
      <w:r w:rsidR="00441ED8">
        <w:t xml:space="preserve"> </w:t>
      </w:r>
      <w:r w:rsidRPr="0000667A">
        <w:t>A., Mir, M.</w:t>
      </w:r>
      <w:r w:rsidR="00441ED8">
        <w:t xml:space="preserve"> </w:t>
      </w:r>
      <w:r w:rsidRPr="0000667A">
        <w:t xml:space="preserve">S., </w:t>
      </w:r>
      <w:proofErr w:type="spellStart"/>
      <w:r w:rsidRPr="0000667A">
        <w:t>Naikoo</w:t>
      </w:r>
      <w:proofErr w:type="spellEnd"/>
      <w:r w:rsidRPr="0000667A">
        <w:t>, N.</w:t>
      </w:r>
      <w:r w:rsidR="00441ED8">
        <w:t xml:space="preserve"> </w:t>
      </w:r>
      <w:r w:rsidRPr="0000667A">
        <w:t>B., Fayaz, S., Dar, K.</w:t>
      </w:r>
      <w:r w:rsidR="00441ED8">
        <w:t xml:space="preserve"> </w:t>
      </w:r>
      <w:r w:rsidRPr="0000667A">
        <w:t>A., Gul, A. and Mansoor, T. 2022. Real-Time nitrogen application of rice varieties based on leaf colour chart under system of rice intensification in temperate climate. </w:t>
      </w:r>
      <w:r w:rsidRPr="0000667A">
        <w:rPr>
          <w:i/>
          <w:iCs/>
        </w:rPr>
        <w:t>Agronomy</w:t>
      </w:r>
      <w:r w:rsidRPr="0000667A">
        <w:t>, </w:t>
      </w:r>
      <w:r w:rsidRPr="0000667A">
        <w:rPr>
          <w:i/>
          <w:iCs/>
        </w:rPr>
        <w:t>12</w:t>
      </w:r>
      <w:r w:rsidRPr="0000667A">
        <w:t>(9), p.2229.</w:t>
      </w:r>
    </w:p>
    <w:p w14:paraId="3FB35985" w14:textId="247C764D" w:rsidR="001012F1" w:rsidRDefault="001012F1" w:rsidP="005D0266">
      <w:pPr>
        <w:ind w:left="720" w:hanging="720"/>
      </w:pPr>
      <w:r w:rsidRPr="001012F1">
        <w:t xml:space="preserve">Bhat, T.A., </w:t>
      </w:r>
      <w:proofErr w:type="spellStart"/>
      <w:r w:rsidRPr="001012F1">
        <w:t>Kotru</w:t>
      </w:r>
      <w:proofErr w:type="spellEnd"/>
      <w:r w:rsidRPr="001012F1">
        <w:t>, R., Ahmad, L. and Ganai, M.A., 2015. Management of nitrogen through leaf colour chart (LCC) in rice under irrigated conditions of Kashmir. </w:t>
      </w:r>
      <w:r w:rsidRPr="001012F1">
        <w:rPr>
          <w:i/>
          <w:iCs/>
        </w:rPr>
        <w:t>Applied Biological Research</w:t>
      </w:r>
      <w:r w:rsidRPr="001012F1">
        <w:t>, </w:t>
      </w:r>
      <w:r w:rsidRPr="001012F1">
        <w:rPr>
          <w:i/>
          <w:iCs/>
        </w:rPr>
        <w:t>17</w:t>
      </w:r>
      <w:r w:rsidRPr="001012F1">
        <w:t>(1), pp.24-30.</w:t>
      </w:r>
    </w:p>
    <w:p w14:paraId="32EE0526" w14:textId="77777777" w:rsidR="00672B4D" w:rsidRPr="00E31A3C" w:rsidRDefault="00672B4D" w:rsidP="009A7496">
      <w:pPr>
        <w:ind w:left="720" w:hanging="720"/>
        <w:rPr>
          <w:color w:val="auto"/>
        </w:rPr>
      </w:pPr>
      <w:proofErr w:type="spellStart"/>
      <w:r w:rsidRPr="00E31A3C">
        <w:rPr>
          <w:color w:val="auto"/>
        </w:rPr>
        <w:t>Bouyoucos</w:t>
      </w:r>
      <w:proofErr w:type="spellEnd"/>
      <w:r w:rsidRPr="00E31A3C">
        <w:rPr>
          <w:color w:val="auto"/>
        </w:rPr>
        <w:t>, G. J. 1962. Hydrometer method improved for making particle size analyses of soils 1. </w:t>
      </w:r>
      <w:r w:rsidRPr="00E31A3C">
        <w:rPr>
          <w:i/>
          <w:iCs/>
          <w:color w:val="auto"/>
        </w:rPr>
        <w:t>Agronomy journal</w:t>
      </w:r>
      <w:r w:rsidRPr="00E31A3C">
        <w:rPr>
          <w:color w:val="auto"/>
        </w:rPr>
        <w:t> 54(5): 464-465.</w:t>
      </w:r>
    </w:p>
    <w:p w14:paraId="70484989" w14:textId="77777777" w:rsidR="00672B4D" w:rsidRPr="00E31A3C" w:rsidRDefault="00672B4D" w:rsidP="009A7496">
      <w:pPr>
        <w:ind w:left="720" w:hanging="720"/>
      </w:pPr>
      <w:proofErr w:type="spellStart"/>
      <w:r w:rsidRPr="00E31A3C">
        <w:t>Carcea</w:t>
      </w:r>
      <w:proofErr w:type="spellEnd"/>
      <w:r w:rsidRPr="00E31A3C">
        <w:t xml:space="preserve">, M. 2021. Value of wholegrain rice in a healthy human nutrition. </w:t>
      </w:r>
      <w:r w:rsidRPr="00E31A3C">
        <w:rPr>
          <w:i/>
          <w:iCs/>
        </w:rPr>
        <w:t xml:space="preserve">Agriculture </w:t>
      </w:r>
      <w:r w:rsidRPr="00E31A3C">
        <w:t>11: 720.</w:t>
      </w:r>
    </w:p>
    <w:p w14:paraId="2039F898" w14:textId="77777777" w:rsidR="00672B4D" w:rsidRPr="00E31A3C" w:rsidRDefault="00672B4D" w:rsidP="008D393A">
      <w:pPr>
        <w:ind w:left="720" w:hanging="720"/>
        <w:rPr>
          <w:color w:val="000000" w:themeColor="text1"/>
        </w:rPr>
      </w:pPr>
      <w:r w:rsidRPr="00E31A3C">
        <w:rPr>
          <w:color w:val="000000" w:themeColor="text1"/>
        </w:rPr>
        <w:lastRenderedPageBreak/>
        <w:t xml:space="preserve">Chauhan, B.S., Hussain Awan, T., Bernard Abugho, S. and </w:t>
      </w:r>
      <w:proofErr w:type="spellStart"/>
      <w:r w:rsidRPr="00E31A3C">
        <w:rPr>
          <w:color w:val="000000" w:themeColor="text1"/>
        </w:rPr>
        <w:t>Evengelista</w:t>
      </w:r>
      <w:proofErr w:type="spellEnd"/>
      <w:r w:rsidRPr="00E31A3C">
        <w:rPr>
          <w:color w:val="000000" w:themeColor="text1"/>
        </w:rPr>
        <w:t xml:space="preserve">, G. 2015. Effect of crop establishment methods and weed control treatments on weed management, and rice yield. </w:t>
      </w:r>
      <w:r w:rsidRPr="00E31A3C">
        <w:rPr>
          <w:i/>
          <w:iCs/>
          <w:color w:val="000000" w:themeColor="text1"/>
        </w:rPr>
        <w:t>Field Crop. Res.</w:t>
      </w:r>
      <w:r w:rsidRPr="00E31A3C">
        <w:rPr>
          <w:color w:val="000000" w:themeColor="text1"/>
        </w:rPr>
        <w:t xml:space="preserve"> 172, 72–84. </w:t>
      </w:r>
      <w:hyperlink r:id="rId30" w:history="1">
        <w:r w:rsidRPr="00E31A3C">
          <w:rPr>
            <w:rStyle w:val="Hyperlink"/>
          </w:rPr>
          <w:t>https://doi.org/10.1016/j.fcr.2014.12.011</w:t>
        </w:r>
      </w:hyperlink>
      <w:r w:rsidRPr="00E31A3C">
        <w:rPr>
          <w:color w:val="000000" w:themeColor="text1"/>
        </w:rPr>
        <w:t xml:space="preserve">  </w:t>
      </w:r>
    </w:p>
    <w:p w14:paraId="6B02A161" w14:textId="77777777" w:rsidR="00672B4D" w:rsidRPr="00E31A3C" w:rsidRDefault="00672B4D" w:rsidP="009A7496">
      <w:pPr>
        <w:ind w:left="720" w:hanging="720"/>
        <w:rPr>
          <w:color w:val="auto"/>
        </w:rPr>
      </w:pPr>
      <w:r w:rsidRPr="00E31A3C">
        <w:rPr>
          <w:color w:val="auto"/>
        </w:rPr>
        <w:t xml:space="preserve">Chen, S., Xia, G., Zhao, W., Wu, F. and Zhang, G. 2007. Drainage of paddy soils and its significance. </w:t>
      </w:r>
      <w:r w:rsidRPr="00E31A3C">
        <w:rPr>
          <w:i/>
          <w:iCs/>
          <w:color w:val="auto"/>
        </w:rPr>
        <w:t>Rice Sci</w:t>
      </w:r>
      <w:r w:rsidRPr="00E31A3C">
        <w:rPr>
          <w:color w:val="auto"/>
        </w:rPr>
        <w:t xml:space="preserve"> 14: 283-288.</w:t>
      </w:r>
    </w:p>
    <w:p w14:paraId="5EF5EEFD" w14:textId="77777777" w:rsidR="00672B4D" w:rsidRPr="00E31A3C" w:rsidRDefault="00672B4D" w:rsidP="009A7496">
      <w:pPr>
        <w:ind w:left="720" w:hanging="720"/>
      </w:pPr>
      <w:r w:rsidRPr="00E31A3C">
        <w:t>Choudhary, S., Baghel, S. S., Upadhyay, A. K., Jakhar, S. R., Thapar, M. and Choudhary, S. 2021. Performance of direct seeded rice as influenced by STCR based nutrient management. Journal of Pharmacognosy and Phytochemistry, 9(5), 1000-1003.</w:t>
      </w:r>
    </w:p>
    <w:p w14:paraId="1BDE375B" w14:textId="77777777" w:rsidR="00672B4D" w:rsidRPr="00E31A3C" w:rsidRDefault="00672B4D" w:rsidP="009A7496">
      <w:pPr>
        <w:ind w:left="720" w:hanging="720"/>
        <w:rPr>
          <w:color w:val="000000" w:themeColor="text1"/>
        </w:rPr>
      </w:pPr>
      <w:r w:rsidRPr="00E31A3C">
        <w:rPr>
          <w:color w:val="000000" w:themeColor="text1"/>
        </w:rPr>
        <w:t>DES. Directorate of Economics and Statistics, Ministry of Agriculture, 2025. Available online. http://eands.dancet.nic.in (Accessed on 13-05-2026).</w:t>
      </w:r>
    </w:p>
    <w:p w14:paraId="36FE5090" w14:textId="77777777" w:rsidR="00672B4D" w:rsidRPr="00E31A3C" w:rsidRDefault="00672B4D" w:rsidP="009A7496">
      <w:pPr>
        <w:ind w:left="720" w:hanging="720"/>
        <w:rPr>
          <w:color w:val="auto"/>
        </w:rPr>
      </w:pPr>
      <w:r w:rsidRPr="00E31A3C">
        <w:rPr>
          <w:color w:val="auto"/>
        </w:rPr>
        <w:t xml:space="preserve">Edwards, J. T., Purcell, L. C and Vories, E. D. 2005. Light Interception and Yield Potential of Short-Season Maize (Zea mays L.) Hybrids in the Midsouth. </w:t>
      </w:r>
      <w:r w:rsidRPr="00E31A3C">
        <w:rPr>
          <w:i/>
          <w:iCs/>
          <w:color w:val="auto"/>
        </w:rPr>
        <w:t>Agron. J</w:t>
      </w:r>
      <w:r w:rsidRPr="00E31A3C">
        <w:rPr>
          <w:color w:val="auto"/>
        </w:rPr>
        <w:t xml:space="preserve"> 97: 225–234. </w:t>
      </w:r>
    </w:p>
    <w:p w14:paraId="5565681F" w14:textId="77777777" w:rsidR="00672B4D" w:rsidRPr="00E31A3C" w:rsidRDefault="00672B4D" w:rsidP="008D393A">
      <w:pPr>
        <w:ind w:left="720" w:hanging="720"/>
        <w:rPr>
          <w:color w:val="000000" w:themeColor="text1"/>
        </w:rPr>
      </w:pPr>
      <w:r w:rsidRPr="00E31A3C">
        <w:rPr>
          <w:color w:val="000000" w:themeColor="text1"/>
        </w:rPr>
        <w:t>Evans, G. C. (1982). The quantitative analysis of plant growth. University of California Press, Berkeley, California.</w:t>
      </w:r>
    </w:p>
    <w:p w14:paraId="2E5855DD" w14:textId="77777777" w:rsidR="00672B4D" w:rsidRPr="00E31A3C" w:rsidRDefault="00672B4D" w:rsidP="009A7496">
      <w:pPr>
        <w:ind w:left="720" w:hanging="720"/>
      </w:pPr>
      <w:r w:rsidRPr="00E31A3C">
        <w:t xml:space="preserve">Farooq, M., Siddique, K. H. M., Rehman, H., Aziz, T., Dong, J. L. and Wahid, A. 2011. Rice direct seeding: Experiences, challenges and opportunities. </w:t>
      </w:r>
      <w:r w:rsidRPr="00E31A3C">
        <w:rPr>
          <w:i/>
          <w:iCs/>
        </w:rPr>
        <w:t>Soil Tillage Res</w:t>
      </w:r>
      <w:r w:rsidRPr="00E31A3C">
        <w:t xml:space="preserve"> 111: 87–98.</w:t>
      </w:r>
    </w:p>
    <w:p w14:paraId="0DE2C8A5" w14:textId="77777777" w:rsidR="00672B4D" w:rsidRPr="00E31A3C" w:rsidRDefault="00672B4D" w:rsidP="008D393A">
      <w:pPr>
        <w:ind w:left="720" w:hanging="720"/>
        <w:rPr>
          <w:color w:val="000000" w:themeColor="text1"/>
        </w:rPr>
      </w:pPr>
      <w:proofErr w:type="spellStart"/>
      <w:r w:rsidRPr="00E31A3C">
        <w:rPr>
          <w:color w:val="000000" w:themeColor="text1"/>
        </w:rPr>
        <w:t>Fikriyah</w:t>
      </w:r>
      <w:proofErr w:type="spellEnd"/>
      <w:r w:rsidRPr="00E31A3C">
        <w:rPr>
          <w:color w:val="000000" w:themeColor="text1"/>
        </w:rPr>
        <w:t xml:space="preserve">, V. N., </w:t>
      </w:r>
      <w:proofErr w:type="spellStart"/>
      <w:r w:rsidRPr="00E31A3C">
        <w:rPr>
          <w:color w:val="000000" w:themeColor="text1"/>
        </w:rPr>
        <w:t>Darvishzadeh</w:t>
      </w:r>
      <w:proofErr w:type="spellEnd"/>
      <w:r w:rsidRPr="00E31A3C">
        <w:rPr>
          <w:color w:val="000000" w:themeColor="text1"/>
        </w:rPr>
        <w:t xml:space="preserve">, R., Laborte, A. and Khan, N. I. 2019. Discriminating transplanted and direct seeded rice </w:t>
      </w:r>
      <w:proofErr w:type="spellStart"/>
      <w:r w:rsidRPr="00E31A3C">
        <w:rPr>
          <w:color w:val="000000" w:themeColor="text1"/>
        </w:rPr>
        <w:t>usingf</w:t>
      </w:r>
      <w:proofErr w:type="spellEnd"/>
      <w:r w:rsidRPr="00E31A3C">
        <w:rPr>
          <w:color w:val="000000" w:themeColor="text1"/>
        </w:rPr>
        <w:t xml:space="preserve"> Sentinel-1 intensity data. </w:t>
      </w:r>
      <w:r w:rsidRPr="00E31A3C">
        <w:rPr>
          <w:i/>
          <w:iCs/>
          <w:color w:val="000000" w:themeColor="text1"/>
        </w:rPr>
        <w:t xml:space="preserve">Int J Appl Earth </w:t>
      </w:r>
      <w:proofErr w:type="spellStart"/>
      <w:r w:rsidRPr="00E31A3C">
        <w:rPr>
          <w:i/>
          <w:iCs/>
          <w:color w:val="000000" w:themeColor="text1"/>
        </w:rPr>
        <w:t>Obs</w:t>
      </w:r>
      <w:proofErr w:type="spellEnd"/>
      <w:r w:rsidRPr="00E31A3C">
        <w:rPr>
          <w:i/>
          <w:iCs/>
          <w:color w:val="000000" w:themeColor="text1"/>
        </w:rPr>
        <w:t xml:space="preserve"> Geoinformation </w:t>
      </w:r>
      <w:r w:rsidRPr="00E31A3C">
        <w:rPr>
          <w:color w:val="000000" w:themeColor="text1"/>
        </w:rPr>
        <w:t xml:space="preserve">76, 143-153.  </w:t>
      </w:r>
      <w:hyperlink r:id="rId31" w:history="1">
        <w:r w:rsidRPr="00E31A3C">
          <w:rPr>
            <w:rStyle w:val="Hyperlink"/>
          </w:rPr>
          <w:t>https://doi.org/10.1016/j.jag.2018.11.007</w:t>
        </w:r>
      </w:hyperlink>
      <w:r w:rsidRPr="00E31A3C">
        <w:rPr>
          <w:color w:val="000000" w:themeColor="text1"/>
        </w:rPr>
        <w:t xml:space="preserve"> </w:t>
      </w:r>
    </w:p>
    <w:p w14:paraId="50380EBF" w14:textId="77777777" w:rsidR="00672B4D" w:rsidRPr="00E31A3C" w:rsidRDefault="00672B4D" w:rsidP="009A7496">
      <w:pPr>
        <w:ind w:left="720" w:hanging="720"/>
      </w:pPr>
      <w:r w:rsidRPr="00E31A3C">
        <w:t xml:space="preserve">Gao, X. P., Zou, C. Q., Fan, X. Y., Zhang, F. S. and Hoffland, E. 2006. From flooded to aerobic conditions in rice cultivation: consequences for zinc uptake. </w:t>
      </w:r>
      <w:r w:rsidRPr="00E31A3C">
        <w:rPr>
          <w:i/>
          <w:iCs/>
        </w:rPr>
        <w:t>Plant Soil</w:t>
      </w:r>
      <w:r w:rsidRPr="00E31A3C">
        <w:t xml:space="preserve"> 280:41-47.</w:t>
      </w:r>
    </w:p>
    <w:p w14:paraId="119AA70E" w14:textId="77777777" w:rsidR="00672B4D" w:rsidRPr="00E31A3C" w:rsidRDefault="00672B4D" w:rsidP="009A7496">
      <w:pPr>
        <w:ind w:left="720" w:hanging="720"/>
      </w:pPr>
      <w:r w:rsidRPr="00E31A3C">
        <w:t xml:space="preserve">Government of India. 2025. </w:t>
      </w:r>
      <w:r w:rsidRPr="00E31A3C">
        <w:rPr>
          <w:i/>
          <w:iCs/>
        </w:rPr>
        <w:t xml:space="preserve">Agricultural Statistics at a Glance 2025. </w:t>
      </w:r>
      <w:r w:rsidRPr="00E31A3C">
        <w:t xml:space="preserve">Directorate of Economics and Statistics, Department of Agriculture and Farmers </w:t>
      </w:r>
      <w:r w:rsidRPr="00E31A3C">
        <w:lastRenderedPageBreak/>
        <w:t xml:space="preserve">Welfare, New Delhi. </w:t>
      </w:r>
      <w:hyperlink r:id="rId32" w:history="1">
        <w:r w:rsidRPr="00E31A3C">
          <w:rPr>
            <w:rStyle w:val="Hyperlink"/>
          </w:rPr>
          <w:t>https://agriwelfare.gov.in/en/AgricultureEstimates</w:t>
        </w:r>
      </w:hyperlink>
      <w:r w:rsidRPr="00E31A3C">
        <w:t xml:space="preserve"> (Assessed on 13-05-2026)</w:t>
      </w:r>
    </w:p>
    <w:p w14:paraId="75078C9D" w14:textId="77777777" w:rsidR="00672B4D" w:rsidRPr="00E31A3C" w:rsidRDefault="00672B4D" w:rsidP="009A7496">
      <w:pPr>
        <w:ind w:left="720" w:hanging="720"/>
        <w:rPr>
          <w:color w:val="auto"/>
        </w:rPr>
      </w:pPr>
      <w:r w:rsidRPr="00E31A3C">
        <w:rPr>
          <w:color w:val="auto"/>
        </w:rPr>
        <w:t xml:space="preserve">Hoffmann, W. A and </w:t>
      </w:r>
      <w:proofErr w:type="spellStart"/>
      <w:r w:rsidRPr="00E31A3C">
        <w:rPr>
          <w:color w:val="auto"/>
        </w:rPr>
        <w:t>Poorter</w:t>
      </w:r>
      <w:proofErr w:type="spellEnd"/>
      <w:r w:rsidRPr="00E31A3C">
        <w:rPr>
          <w:color w:val="auto"/>
        </w:rPr>
        <w:t>, H. 2002. Avoiding bias in calculations of relative growth rate.</w:t>
      </w:r>
      <w:r w:rsidRPr="00E31A3C">
        <w:rPr>
          <w:i/>
          <w:iCs/>
          <w:color w:val="auto"/>
        </w:rPr>
        <w:t xml:space="preserve"> Ann. Bot</w:t>
      </w:r>
      <w:r w:rsidRPr="00E31A3C">
        <w:rPr>
          <w:color w:val="auto"/>
        </w:rPr>
        <w:t xml:space="preserve"> 90(1): 37–42. </w:t>
      </w:r>
    </w:p>
    <w:p w14:paraId="3DAA5CA5" w14:textId="77777777" w:rsidR="00672B4D" w:rsidRPr="00E31A3C" w:rsidRDefault="00672B4D" w:rsidP="009A7496">
      <w:pPr>
        <w:ind w:left="720" w:hanging="720"/>
        <w:rPr>
          <w:color w:val="auto"/>
        </w:rPr>
      </w:pPr>
      <w:proofErr w:type="spellStart"/>
      <w:r w:rsidRPr="00E31A3C">
        <w:rPr>
          <w:color w:val="auto"/>
        </w:rPr>
        <w:t>Hokmalipour</w:t>
      </w:r>
      <w:proofErr w:type="spellEnd"/>
      <w:r w:rsidRPr="00E31A3C">
        <w:rPr>
          <w:color w:val="auto"/>
        </w:rPr>
        <w:t xml:space="preserve">, S and M. H. </w:t>
      </w:r>
      <w:proofErr w:type="spellStart"/>
      <w:r w:rsidRPr="00E31A3C">
        <w:rPr>
          <w:color w:val="auto"/>
        </w:rPr>
        <w:t>Darbandi</w:t>
      </w:r>
      <w:proofErr w:type="spellEnd"/>
      <w:r w:rsidRPr="00E31A3C">
        <w:rPr>
          <w:color w:val="auto"/>
        </w:rPr>
        <w:t>, M. H. 2011. Physiological Growth Indices in Corn (Zea mays L.) Cultivars as Affected by Nitrogen Fertilizer Levels.</w:t>
      </w:r>
      <w:r w:rsidRPr="00E31A3C">
        <w:rPr>
          <w:i/>
          <w:iCs/>
          <w:color w:val="auto"/>
        </w:rPr>
        <w:t xml:space="preserve"> World Appl. Sci. J</w:t>
      </w:r>
      <w:r w:rsidRPr="00E31A3C">
        <w:rPr>
          <w:color w:val="auto"/>
        </w:rPr>
        <w:t xml:space="preserve"> 15(12): 1800–1805.</w:t>
      </w:r>
    </w:p>
    <w:p w14:paraId="4BB0F84A" w14:textId="77777777" w:rsidR="00672B4D" w:rsidRPr="00E31A3C" w:rsidRDefault="00672B4D" w:rsidP="009A7496">
      <w:pPr>
        <w:ind w:left="720" w:hanging="720"/>
      </w:pPr>
      <w:proofErr w:type="spellStart"/>
      <w:r w:rsidRPr="00E31A3C">
        <w:t>Hoogenkamp</w:t>
      </w:r>
      <w:proofErr w:type="spellEnd"/>
      <w:r w:rsidRPr="00E31A3C">
        <w:t xml:space="preserve">, H., Kumagai, H. and </w:t>
      </w:r>
      <w:proofErr w:type="spellStart"/>
      <w:r w:rsidRPr="00E31A3C">
        <w:t>Wanasundara</w:t>
      </w:r>
      <w:proofErr w:type="spellEnd"/>
      <w:r w:rsidRPr="00E31A3C">
        <w:t>, J. P. D. Rice Protein and Rice Protein Products; Elsevier Inc.: Amsterdam, The Netherlands, 2017.</w:t>
      </w:r>
    </w:p>
    <w:p w14:paraId="5F31FA42" w14:textId="77777777" w:rsidR="00672B4D" w:rsidRPr="00E31A3C" w:rsidRDefault="00672B4D" w:rsidP="009A7496">
      <w:pPr>
        <w:ind w:left="720" w:hanging="720"/>
        <w:rPr>
          <w:color w:val="auto"/>
        </w:rPr>
      </w:pPr>
      <w:r w:rsidRPr="00E31A3C">
        <w:rPr>
          <w:color w:val="auto"/>
        </w:rPr>
        <w:t>Jackson, M. L. 1973. Soil chemical analysis. Prentice Hall of India private limited, New Delhi, p. 498.</w:t>
      </w:r>
    </w:p>
    <w:p w14:paraId="1B5AABD7" w14:textId="77777777" w:rsidR="00672B4D" w:rsidRDefault="00672B4D" w:rsidP="009A7496">
      <w:pPr>
        <w:ind w:left="720" w:hanging="720"/>
      </w:pPr>
      <w:r w:rsidRPr="00E31A3C">
        <w:t xml:space="preserve">Jalota, S. K., Khera, R. and Ghuman, B. S. 1998. Methods in soil physics, </w:t>
      </w:r>
      <w:proofErr w:type="spellStart"/>
      <w:r w:rsidRPr="00E31A3C">
        <w:t>Naroosa</w:t>
      </w:r>
      <w:proofErr w:type="spellEnd"/>
      <w:r w:rsidRPr="00E31A3C">
        <w:t xml:space="preserve"> publishing house New Delhi, 9197.</w:t>
      </w:r>
    </w:p>
    <w:p w14:paraId="39BC1C90" w14:textId="787E9CC7" w:rsidR="00FD12E5" w:rsidRDefault="00FD12E5" w:rsidP="009A7496">
      <w:pPr>
        <w:ind w:left="720" w:hanging="720"/>
      </w:pPr>
      <w:r w:rsidRPr="00FD12E5">
        <w:t xml:space="preserve">Jamsheed, B., Bhat, T.A., Saad, A.A., Nazir, A., Fayaz, S., Eldin, S.M., Jan, B., </w:t>
      </w:r>
      <w:proofErr w:type="spellStart"/>
      <w:r w:rsidRPr="00FD12E5">
        <w:t>Kounsar</w:t>
      </w:r>
      <w:proofErr w:type="spellEnd"/>
      <w:r w:rsidRPr="00FD12E5">
        <w:t xml:space="preserve">, H., Yaqoob, M., Mir, A.H. and Wani, F.J., 2023. Estimation of yield, phenology and </w:t>
      </w:r>
      <w:proofErr w:type="spellStart"/>
      <w:r w:rsidRPr="00FD12E5">
        <w:t>agro</w:t>
      </w:r>
      <w:proofErr w:type="spellEnd"/>
      <w:r w:rsidRPr="00FD12E5">
        <w:t>-meteorological indices of quality protein maize (</w:t>
      </w:r>
      <w:r w:rsidRPr="00FD12E5">
        <w:rPr>
          <w:i/>
          <w:iCs/>
        </w:rPr>
        <w:t>Zea mays</w:t>
      </w:r>
      <w:r w:rsidRPr="00FD12E5">
        <w:t xml:space="preserve"> L.) under different nutrient omissions in temperate ecology of Kashmir. </w:t>
      </w:r>
      <w:r w:rsidRPr="00FD12E5">
        <w:rPr>
          <w:i/>
          <w:iCs/>
        </w:rPr>
        <w:t>Journal of King Saud University-Science</w:t>
      </w:r>
      <w:r w:rsidRPr="00FD12E5">
        <w:t>, </w:t>
      </w:r>
      <w:r w:rsidRPr="00FD12E5">
        <w:rPr>
          <w:i/>
          <w:iCs/>
        </w:rPr>
        <w:t>35</w:t>
      </w:r>
      <w:r w:rsidRPr="00FD12E5">
        <w:t>(7), p.102808.</w:t>
      </w:r>
    </w:p>
    <w:p w14:paraId="3EBA6CEA" w14:textId="61FC1089" w:rsidR="00FD12E5" w:rsidRPr="00E31A3C" w:rsidRDefault="00FD12E5" w:rsidP="00FD12E5">
      <w:pPr>
        <w:ind w:left="720" w:hanging="720"/>
      </w:pPr>
      <w:r w:rsidRPr="00DD3049">
        <w:t xml:space="preserve">Jamsheed, B., Bhat, T.A., Jan, B., Saxena, A., Nazir, A., Dar, K.A., Fayaz, S., </w:t>
      </w:r>
      <w:proofErr w:type="spellStart"/>
      <w:r w:rsidRPr="00DD3049">
        <w:t>Kounsar</w:t>
      </w:r>
      <w:proofErr w:type="spellEnd"/>
      <w:r w:rsidRPr="00DD3049">
        <w:t xml:space="preserve">, H., Bhat, J.A. and Bashir, S.D. </w:t>
      </w:r>
      <w:r>
        <w:t>2023</w:t>
      </w:r>
      <w:r w:rsidRPr="00DD3049">
        <w:t xml:space="preserve">. Impact of </w:t>
      </w:r>
      <w:proofErr w:type="gramStart"/>
      <w:r w:rsidRPr="00DD3049">
        <w:t>site specific</w:t>
      </w:r>
      <w:proofErr w:type="gramEnd"/>
      <w:r w:rsidRPr="00DD3049">
        <w:t xml:space="preserve"> nutrient omission technique on growth, yield and quality of QPM. </w:t>
      </w:r>
      <w:r w:rsidRPr="00DD3049">
        <w:rPr>
          <w:i/>
          <w:iCs/>
        </w:rPr>
        <w:t>Emergent Life Sciences Research</w:t>
      </w:r>
      <w:r w:rsidRPr="00DD3049">
        <w:t>, </w:t>
      </w:r>
      <w:r w:rsidRPr="00DD3049">
        <w:rPr>
          <w:i/>
          <w:iCs/>
        </w:rPr>
        <w:t>9</w:t>
      </w:r>
      <w:r w:rsidRPr="00DD3049">
        <w:t>(2), pp.186-195.</w:t>
      </w:r>
    </w:p>
    <w:p w14:paraId="007F263C" w14:textId="77777777" w:rsidR="00672B4D" w:rsidRPr="00E31A3C" w:rsidRDefault="00672B4D" w:rsidP="009A7496">
      <w:pPr>
        <w:ind w:left="720" w:hanging="720"/>
        <w:rPr>
          <w:color w:val="auto"/>
        </w:rPr>
      </w:pPr>
      <w:r w:rsidRPr="00E31A3C">
        <w:rPr>
          <w:color w:val="auto"/>
        </w:rPr>
        <w:t xml:space="preserve">Lukeba, J. C. L., Vumilia, R. K., Nkongolo, K. C. K., </w:t>
      </w:r>
      <w:proofErr w:type="spellStart"/>
      <w:r w:rsidRPr="00E31A3C">
        <w:rPr>
          <w:color w:val="auto"/>
        </w:rPr>
        <w:t>Mwabila</w:t>
      </w:r>
      <w:proofErr w:type="spellEnd"/>
      <w:r w:rsidRPr="00E31A3C">
        <w:rPr>
          <w:color w:val="auto"/>
        </w:rPr>
        <w:t xml:space="preserve">, M. L and Tsumbu, M. 2013. Growth and Leaf Area Index Simulation in Maize (Zea mays L.) under Small-Scale Farm Conditions in a Sub-Saharan African Region. </w:t>
      </w:r>
      <w:r w:rsidRPr="00E31A3C">
        <w:rPr>
          <w:i/>
          <w:iCs/>
          <w:color w:val="auto"/>
        </w:rPr>
        <w:t>Am. J. Plant Sci</w:t>
      </w:r>
      <w:r w:rsidRPr="00E31A3C">
        <w:rPr>
          <w:color w:val="auto"/>
        </w:rPr>
        <w:t xml:space="preserve"> 4: 575–583.</w:t>
      </w:r>
    </w:p>
    <w:p w14:paraId="28EA7815" w14:textId="77777777" w:rsidR="00672B4D" w:rsidRPr="00E31A3C" w:rsidRDefault="00672B4D" w:rsidP="009A7496">
      <w:pPr>
        <w:ind w:left="720" w:hanging="720"/>
      </w:pPr>
      <w:r w:rsidRPr="00E31A3C">
        <w:t xml:space="preserve">Mallikarjuna S. B. P., </w:t>
      </w:r>
      <w:proofErr w:type="spellStart"/>
      <w:r w:rsidRPr="00E31A3C">
        <w:t>Marundan</w:t>
      </w:r>
      <w:proofErr w:type="spellEnd"/>
      <w:r w:rsidRPr="00E31A3C">
        <w:t xml:space="preserve">, S. Samia, M. Ordonio, R. L., Rebong, D. B., Miranda, R., </w:t>
      </w:r>
      <w:proofErr w:type="spellStart"/>
      <w:r w:rsidRPr="00E31A3C">
        <w:t>Alibuyog</w:t>
      </w:r>
      <w:proofErr w:type="spellEnd"/>
      <w:r w:rsidRPr="00E31A3C">
        <w:t xml:space="preserve">, A., Rebong, A. T., Tabil, M. A. and </w:t>
      </w:r>
      <w:proofErr w:type="spellStart"/>
      <w:r w:rsidRPr="00E31A3C">
        <w:t>Suralta</w:t>
      </w:r>
      <w:proofErr w:type="spellEnd"/>
      <w:r w:rsidRPr="00E31A3C">
        <w:t xml:space="preserve">, R. R. 2021. Development and characterization of GR2E Golden rice introgression lines. </w:t>
      </w:r>
      <w:r w:rsidRPr="00E31A3C">
        <w:rPr>
          <w:i/>
          <w:iCs/>
        </w:rPr>
        <w:t>Sci. Rep</w:t>
      </w:r>
      <w:r w:rsidRPr="00E31A3C">
        <w:t xml:space="preserve"> 11: 2496.</w:t>
      </w:r>
    </w:p>
    <w:p w14:paraId="460D7E85" w14:textId="77777777" w:rsidR="00672B4D" w:rsidRPr="00E31A3C" w:rsidRDefault="00672B4D" w:rsidP="009A7496">
      <w:pPr>
        <w:ind w:left="720" w:hanging="720"/>
      </w:pPr>
      <w:r w:rsidRPr="00E31A3C">
        <w:lastRenderedPageBreak/>
        <w:t xml:space="preserve">Miao, Y. 2023. Precision Nutrient Management. In: Zhang, Q. (eds) Encyclopaedia of Smart Agriculture Technologies. Springer, Cham. </w:t>
      </w:r>
      <w:hyperlink r:id="rId33" w:history="1">
        <w:r w:rsidRPr="00E31A3C">
          <w:rPr>
            <w:rStyle w:val="Hyperlink"/>
          </w:rPr>
          <w:t>https://doi.org/10.1007/978-3-030-89123-7_154-1</w:t>
        </w:r>
      </w:hyperlink>
      <w:r w:rsidRPr="00E31A3C">
        <w:t xml:space="preserve"> </w:t>
      </w:r>
    </w:p>
    <w:p w14:paraId="0EBB7ED6" w14:textId="77777777" w:rsidR="00672B4D" w:rsidRPr="00E31A3C" w:rsidRDefault="00672B4D" w:rsidP="009A7496">
      <w:pPr>
        <w:ind w:left="720" w:hanging="720"/>
        <w:jc w:val="left"/>
      </w:pPr>
      <w:proofErr w:type="spellStart"/>
      <w:r w:rsidRPr="00E31A3C">
        <w:t>MoAFW</w:t>
      </w:r>
      <w:proofErr w:type="spellEnd"/>
      <w:r w:rsidRPr="00E31A3C">
        <w:t xml:space="preserve"> (Ministry of Agriculture and Farmers Welfare). 2025. </w:t>
      </w:r>
    </w:p>
    <w:p w14:paraId="49FD90B0" w14:textId="77777777" w:rsidR="00672B4D" w:rsidRPr="00E31A3C" w:rsidRDefault="00672B4D" w:rsidP="009A7496">
      <w:pPr>
        <w:ind w:left="720" w:hanging="720"/>
        <w:jc w:val="left"/>
      </w:pPr>
      <w:proofErr w:type="spellStart"/>
      <w:r w:rsidRPr="00E31A3C">
        <w:t>Mohidem</w:t>
      </w:r>
      <w:proofErr w:type="spellEnd"/>
      <w:r w:rsidRPr="00E31A3C">
        <w:t xml:space="preserve">, N. A., Hashim, N., Shamsudin, R. and Che, M. H. 2022. Rice for Food Security: Revisiting Its Production, Diversity, Rice Milling Process and Nutrient Content. </w:t>
      </w:r>
      <w:r w:rsidRPr="00E31A3C">
        <w:rPr>
          <w:i/>
          <w:iCs/>
        </w:rPr>
        <w:t>Agriculture</w:t>
      </w:r>
      <w:r w:rsidRPr="00E31A3C">
        <w:t xml:space="preserve"> 12(6):741. </w:t>
      </w:r>
      <w:hyperlink r:id="rId34" w:history="1">
        <w:r w:rsidRPr="00E31A3C">
          <w:rPr>
            <w:rStyle w:val="Hyperlink"/>
          </w:rPr>
          <w:t>https://doi.org/10.3390/agriculture12060741</w:t>
        </w:r>
      </w:hyperlink>
    </w:p>
    <w:p w14:paraId="1FA48B94" w14:textId="77777777" w:rsidR="00672B4D" w:rsidRPr="00E31A3C" w:rsidRDefault="00672B4D" w:rsidP="009A7496">
      <w:pPr>
        <w:ind w:left="720" w:hanging="720"/>
        <w:rPr>
          <w:color w:val="000000" w:themeColor="text1"/>
        </w:rPr>
      </w:pPr>
      <w:proofErr w:type="spellStart"/>
      <w:r w:rsidRPr="00E31A3C">
        <w:rPr>
          <w:color w:val="000000" w:themeColor="text1"/>
        </w:rPr>
        <w:t>Nasiro</w:t>
      </w:r>
      <w:proofErr w:type="spellEnd"/>
      <w:r w:rsidRPr="00E31A3C">
        <w:rPr>
          <w:color w:val="000000" w:themeColor="text1"/>
        </w:rPr>
        <w:t xml:space="preserve">, K. and </w:t>
      </w:r>
      <w:proofErr w:type="spellStart"/>
      <w:r w:rsidRPr="00E31A3C">
        <w:rPr>
          <w:color w:val="000000" w:themeColor="text1"/>
        </w:rPr>
        <w:t>Mohammednur</w:t>
      </w:r>
      <w:proofErr w:type="spellEnd"/>
      <w:r w:rsidRPr="00E31A3C">
        <w:rPr>
          <w:color w:val="000000" w:themeColor="text1"/>
        </w:rPr>
        <w:t>, T. 2024. Precision Nutrient Management Amid Climate Change Challenges: 10.11648/j.sf.20240503.12</w:t>
      </w:r>
    </w:p>
    <w:p w14:paraId="068B65DD" w14:textId="77777777" w:rsidR="00672B4D" w:rsidRPr="00E31A3C" w:rsidRDefault="00672B4D" w:rsidP="009A7496">
      <w:pPr>
        <w:ind w:left="720" w:hanging="720"/>
        <w:rPr>
          <w:color w:val="auto"/>
        </w:rPr>
      </w:pPr>
      <w:r w:rsidRPr="00E31A3C">
        <w:rPr>
          <w:color w:val="auto"/>
        </w:rPr>
        <w:t xml:space="preserve">Olsen, S. R., Col, S. W., </w:t>
      </w:r>
      <w:proofErr w:type="spellStart"/>
      <w:r w:rsidRPr="00E31A3C">
        <w:rPr>
          <w:color w:val="auto"/>
        </w:rPr>
        <w:t>Watenabe</w:t>
      </w:r>
      <w:proofErr w:type="spellEnd"/>
      <w:r w:rsidRPr="00E31A3C">
        <w:rPr>
          <w:color w:val="auto"/>
        </w:rPr>
        <w:t>, P. S. and Dean, L. A. 1954. Estimation of available phosphorus in soils by extraction with sodium bicarbonate USDA</w:t>
      </w:r>
      <w:r w:rsidRPr="00E31A3C">
        <w:rPr>
          <w:i/>
          <w:color w:val="auto"/>
        </w:rPr>
        <w:t xml:space="preserve">, </w:t>
      </w:r>
      <w:r w:rsidRPr="00E31A3C">
        <w:rPr>
          <w:color w:val="auto"/>
        </w:rPr>
        <w:t>Circular 939.</w:t>
      </w:r>
    </w:p>
    <w:p w14:paraId="2CCF927F" w14:textId="77777777" w:rsidR="00672B4D" w:rsidRPr="00E31A3C" w:rsidRDefault="00672B4D" w:rsidP="009A7496">
      <w:pPr>
        <w:ind w:left="720" w:hanging="720"/>
      </w:pPr>
      <w:proofErr w:type="spellStart"/>
      <w:r w:rsidRPr="00E31A3C">
        <w:t>Paikara</w:t>
      </w:r>
      <w:proofErr w:type="spellEnd"/>
      <w:r w:rsidRPr="00E31A3C">
        <w:t>, B. S. and Pandey, T. D. 2018. To study the effect of integrated nutrient management on leaf area index (LAI) and crop growth rate (CGR) of summer maize (</w:t>
      </w:r>
      <w:r w:rsidRPr="00E31A3C">
        <w:rPr>
          <w:i/>
          <w:iCs/>
        </w:rPr>
        <w:t>Zea mays</w:t>
      </w:r>
      <w:r w:rsidRPr="00E31A3C">
        <w:t xml:space="preserve"> L.) in Chhattisgarh plains. </w:t>
      </w:r>
      <w:r w:rsidRPr="00E31A3C">
        <w:rPr>
          <w:i/>
          <w:iCs/>
        </w:rPr>
        <w:t>Journal of Pharmacognosy and Phytochemistry</w:t>
      </w:r>
      <w:r w:rsidRPr="00E31A3C">
        <w:t>, </w:t>
      </w:r>
      <w:r w:rsidRPr="00E31A3C">
        <w:rPr>
          <w:i/>
          <w:iCs/>
        </w:rPr>
        <w:t>7</w:t>
      </w:r>
      <w:r w:rsidRPr="00E31A3C">
        <w:t>(2), 2735-2737.</w:t>
      </w:r>
    </w:p>
    <w:p w14:paraId="3233E95B" w14:textId="77777777" w:rsidR="00672B4D" w:rsidRPr="00E31A3C" w:rsidRDefault="00672B4D" w:rsidP="009A7496">
      <w:pPr>
        <w:ind w:left="720" w:hanging="720"/>
        <w:rPr>
          <w:color w:val="auto"/>
        </w:rPr>
      </w:pPr>
      <w:r w:rsidRPr="00E31A3C">
        <w:rPr>
          <w:color w:val="auto"/>
        </w:rPr>
        <w:t>Poornima, S., Singh, Y. V., Shivay, Y. S. and Sharma, V. K. 2020. Effect of establishment methods and nutrient management on productivity and energetics of rice (</w:t>
      </w:r>
      <w:r w:rsidRPr="00E31A3C">
        <w:rPr>
          <w:i/>
          <w:iCs/>
          <w:color w:val="auto"/>
        </w:rPr>
        <w:t>Oryza sativa</w:t>
      </w:r>
      <w:r w:rsidRPr="00E31A3C">
        <w:rPr>
          <w:color w:val="auto"/>
        </w:rPr>
        <w:t>). </w:t>
      </w:r>
      <w:r w:rsidRPr="00E31A3C">
        <w:rPr>
          <w:i/>
          <w:iCs/>
          <w:color w:val="auto"/>
        </w:rPr>
        <w:t>Indian Journal of Agricultural Sciences</w:t>
      </w:r>
      <w:r w:rsidRPr="00E31A3C">
        <w:rPr>
          <w:color w:val="auto"/>
        </w:rPr>
        <w:t> 90(8): 1599-02.</w:t>
      </w:r>
    </w:p>
    <w:p w14:paraId="0C8C0C06" w14:textId="77777777" w:rsidR="00672B4D" w:rsidRPr="00E31A3C" w:rsidRDefault="00672B4D" w:rsidP="009A7496">
      <w:pPr>
        <w:ind w:left="720" w:hanging="720"/>
        <w:rPr>
          <w:color w:val="auto"/>
        </w:rPr>
      </w:pPr>
      <w:r w:rsidRPr="00E31A3C">
        <w:rPr>
          <w:color w:val="auto"/>
        </w:rPr>
        <w:t xml:space="preserve">Poudel, S., Poudel, B., Acharya, B., </w:t>
      </w:r>
      <w:proofErr w:type="spellStart"/>
      <w:r w:rsidRPr="00E31A3C">
        <w:rPr>
          <w:color w:val="auto"/>
        </w:rPr>
        <w:t>Kathayat</w:t>
      </w:r>
      <w:proofErr w:type="spellEnd"/>
      <w:r w:rsidRPr="00E31A3C">
        <w:rPr>
          <w:color w:val="auto"/>
        </w:rPr>
        <w:t xml:space="preserve">, D., Pant, K., Tamang, K.R., </w:t>
      </w:r>
      <w:proofErr w:type="spellStart"/>
      <w:r w:rsidRPr="00E31A3C">
        <w:rPr>
          <w:color w:val="auto"/>
        </w:rPr>
        <w:t>Timalsina</w:t>
      </w:r>
      <w:proofErr w:type="spellEnd"/>
      <w:r w:rsidRPr="00E31A3C">
        <w:rPr>
          <w:color w:val="auto"/>
        </w:rPr>
        <w:t xml:space="preserve">, N. and Ghimire, P. 2020. Effect of crop establishment methods on performance of rice in </w:t>
      </w:r>
      <w:proofErr w:type="spellStart"/>
      <w:r w:rsidRPr="00E31A3C">
        <w:rPr>
          <w:color w:val="auto"/>
        </w:rPr>
        <w:t>Rupandehi</w:t>
      </w:r>
      <w:proofErr w:type="spellEnd"/>
      <w:r w:rsidRPr="00E31A3C">
        <w:rPr>
          <w:color w:val="auto"/>
        </w:rPr>
        <w:t xml:space="preserve">, Nepal. </w:t>
      </w:r>
      <w:r w:rsidRPr="00E31A3C">
        <w:rPr>
          <w:i/>
          <w:iCs/>
          <w:color w:val="auto"/>
        </w:rPr>
        <w:t>Journal of the Institute of Agriculture and Animal Science</w:t>
      </w:r>
      <w:r w:rsidRPr="00E31A3C">
        <w:rPr>
          <w:color w:val="auto"/>
        </w:rPr>
        <w:t xml:space="preserve"> pp.127-135.</w:t>
      </w:r>
    </w:p>
    <w:p w14:paraId="73B5EBFD" w14:textId="77777777" w:rsidR="00672B4D" w:rsidRPr="00E31A3C" w:rsidRDefault="00672B4D" w:rsidP="009A7496">
      <w:pPr>
        <w:ind w:left="720" w:hanging="720"/>
        <w:rPr>
          <w:color w:val="auto"/>
        </w:rPr>
      </w:pPr>
      <w:r w:rsidRPr="00E31A3C">
        <w:rPr>
          <w:color w:val="auto"/>
        </w:rPr>
        <w:t xml:space="preserve">Raj, A., Singh, C. S., Singh, A. K., Singh, A. K. and Singh, S. K. 2018. Growth and yield response of maize hybrids to varying nutrient management practices. </w:t>
      </w:r>
      <w:r w:rsidRPr="00E31A3C">
        <w:rPr>
          <w:i/>
          <w:iCs/>
          <w:color w:val="auto"/>
        </w:rPr>
        <w:t>Journal of Pharmacognosy and Phytochemistry</w:t>
      </w:r>
      <w:r w:rsidRPr="00E31A3C">
        <w:rPr>
          <w:color w:val="auto"/>
        </w:rPr>
        <w:t xml:space="preserve"> 755-759.</w:t>
      </w:r>
    </w:p>
    <w:p w14:paraId="252B3063" w14:textId="77777777" w:rsidR="00672B4D" w:rsidRPr="00E31A3C" w:rsidRDefault="00672B4D" w:rsidP="009A7496">
      <w:pPr>
        <w:ind w:left="720" w:hanging="720"/>
      </w:pPr>
      <w:r w:rsidRPr="00E31A3C">
        <w:t xml:space="preserve">Rao, A. N., Johnson, D.E., </w:t>
      </w:r>
      <w:proofErr w:type="spellStart"/>
      <w:r w:rsidRPr="00E31A3C">
        <w:t>Sivaprasad</w:t>
      </w:r>
      <w:proofErr w:type="spellEnd"/>
      <w:r w:rsidRPr="00E31A3C">
        <w:t xml:space="preserve">, B., Ladha, J. K. and Mortimer, A. M. 2007. Weed management in direct-seeded rice. </w:t>
      </w:r>
      <w:r w:rsidRPr="00E31A3C">
        <w:rPr>
          <w:i/>
          <w:iCs/>
        </w:rPr>
        <w:t>Adv Agron</w:t>
      </w:r>
      <w:r w:rsidRPr="00E31A3C">
        <w:t xml:space="preserve"> 93:153–255.</w:t>
      </w:r>
    </w:p>
    <w:p w14:paraId="04EC19F7" w14:textId="77777777" w:rsidR="00672B4D" w:rsidRPr="00E31A3C" w:rsidRDefault="00672B4D" w:rsidP="008D393A">
      <w:pPr>
        <w:ind w:left="720" w:hanging="720"/>
        <w:rPr>
          <w:color w:val="000000" w:themeColor="text1"/>
        </w:rPr>
      </w:pPr>
      <w:r w:rsidRPr="00E31A3C">
        <w:rPr>
          <w:color w:val="000000" w:themeColor="text1"/>
        </w:rPr>
        <w:lastRenderedPageBreak/>
        <w:t xml:space="preserve">Ray, D. K., Ramankutty, N., Mueller, N.D., West, P.C. and Foley, J.A. 2012. Recent patterns of crop yield growth and stagnation. </w:t>
      </w:r>
      <w:r w:rsidRPr="00E31A3C">
        <w:rPr>
          <w:i/>
          <w:iCs/>
          <w:color w:val="000000" w:themeColor="text1"/>
        </w:rPr>
        <w:t>Nat. Commun</w:t>
      </w:r>
      <w:r w:rsidRPr="00E31A3C">
        <w:rPr>
          <w:color w:val="000000" w:themeColor="text1"/>
        </w:rPr>
        <w:t xml:space="preserve">. 3, 1293–1297. </w:t>
      </w:r>
      <w:hyperlink r:id="rId35" w:history="1">
        <w:r w:rsidRPr="00E31A3C">
          <w:rPr>
            <w:rStyle w:val="Hyperlink"/>
          </w:rPr>
          <w:t>https://doi.org/10.1038/ncomms2296</w:t>
        </w:r>
      </w:hyperlink>
      <w:r w:rsidRPr="00E31A3C">
        <w:rPr>
          <w:color w:val="000000" w:themeColor="text1"/>
        </w:rPr>
        <w:t xml:space="preserve"> </w:t>
      </w:r>
    </w:p>
    <w:p w14:paraId="70ACBD98" w14:textId="77777777" w:rsidR="00672B4D" w:rsidRPr="00E31A3C" w:rsidRDefault="00672B4D" w:rsidP="008D393A">
      <w:pPr>
        <w:ind w:left="720" w:hanging="720"/>
        <w:rPr>
          <w:color w:val="000000" w:themeColor="text1"/>
        </w:rPr>
      </w:pPr>
      <w:r w:rsidRPr="00E31A3C">
        <w:rPr>
          <w:color w:val="000000" w:themeColor="text1"/>
        </w:rPr>
        <w:t>Redford, P. J. 1967. Growth Analysis formulae-their use and abuse. Crop Sci 7: 171-175.</w:t>
      </w:r>
    </w:p>
    <w:p w14:paraId="2DF25825" w14:textId="77777777" w:rsidR="00672B4D" w:rsidRPr="00E31A3C" w:rsidRDefault="00672B4D" w:rsidP="009A7496">
      <w:pPr>
        <w:ind w:left="720" w:hanging="720"/>
      </w:pPr>
      <w:r w:rsidRPr="00E31A3C">
        <w:t xml:space="preserve">Samant, T.K., </w:t>
      </w:r>
      <w:proofErr w:type="spellStart"/>
      <w:r w:rsidRPr="00E31A3C">
        <w:t>Garnayak</w:t>
      </w:r>
      <w:proofErr w:type="spellEnd"/>
      <w:r w:rsidRPr="00E31A3C">
        <w:t xml:space="preserve">, L.M., </w:t>
      </w:r>
      <w:proofErr w:type="spellStart"/>
      <w:r w:rsidRPr="00E31A3C">
        <w:t>Paikaray</w:t>
      </w:r>
      <w:proofErr w:type="spellEnd"/>
      <w:r w:rsidRPr="00E31A3C">
        <w:t>, R.K., Mishra, K.N., Panda, R.K., Swain, S.K., Sarangi, S.K. and Jena, S.N., 2022. Effect of Nutrient Management and Rice Establishment Methods on Biochemical and Physiological Attributes, Yield and Economics of Rice (</w:t>
      </w:r>
      <w:r w:rsidRPr="00E31A3C">
        <w:rPr>
          <w:i/>
          <w:iCs/>
        </w:rPr>
        <w:t>Oryza sativa</w:t>
      </w:r>
      <w:r w:rsidRPr="00E31A3C">
        <w:t xml:space="preserve"> L.) in Rice-Groundnut Cropping System in Coastal Odisha. </w:t>
      </w:r>
      <w:r w:rsidRPr="00E31A3C">
        <w:rPr>
          <w:i/>
          <w:iCs/>
        </w:rPr>
        <w:t>Journal of the Indian Society of Coastal Agricultural Research</w:t>
      </w:r>
      <w:r w:rsidRPr="00E31A3C">
        <w:t>, </w:t>
      </w:r>
      <w:r w:rsidRPr="00E31A3C">
        <w:rPr>
          <w:i/>
          <w:iCs/>
        </w:rPr>
        <w:t>40</w:t>
      </w:r>
      <w:r w:rsidRPr="00E31A3C">
        <w:t>(1).</w:t>
      </w:r>
    </w:p>
    <w:p w14:paraId="452C5AE2" w14:textId="77777777" w:rsidR="00672B4D" w:rsidRPr="00E31A3C" w:rsidRDefault="00672B4D" w:rsidP="009A7496">
      <w:pPr>
        <w:ind w:left="720" w:hanging="720"/>
      </w:pPr>
      <w:r w:rsidRPr="00E31A3C">
        <w:t xml:space="preserve">Sangeetha, C. and Baskar, P. 2015. Influence of different crop establishment methods on productivity of rice. </w:t>
      </w:r>
      <w:r w:rsidRPr="00E31A3C">
        <w:rPr>
          <w:i/>
          <w:iCs/>
        </w:rPr>
        <w:t>Agri. Review</w:t>
      </w:r>
      <w:r w:rsidRPr="00E31A3C">
        <w:t xml:space="preserve"> 36(2): 113-124. DOI:10.5958/0976-0741.2015.00013.6   </w:t>
      </w:r>
    </w:p>
    <w:p w14:paraId="51A768F7" w14:textId="77777777" w:rsidR="00672B4D" w:rsidRPr="00E31A3C" w:rsidRDefault="00672B4D" w:rsidP="009A7496">
      <w:pPr>
        <w:ind w:left="720" w:hanging="720"/>
        <w:rPr>
          <w:color w:val="000000" w:themeColor="text1"/>
        </w:rPr>
      </w:pPr>
      <w:r w:rsidRPr="00E31A3C">
        <w:rPr>
          <w:color w:val="000000" w:themeColor="text1"/>
        </w:rPr>
        <w:t xml:space="preserve">Satyanarayana, T., Majumdar, K., Dutta, S., Jat, M. L., </w:t>
      </w:r>
      <w:proofErr w:type="spellStart"/>
      <w:r w:rsidRPr="00E31A3C">
        <w:rPr>
          <w:color w:val="000000" w:themeColor="text1"/>
        </w:rPr>
        <w:t>Pattanayak</w:t>
      </w:r>
      <w:proofErr w:type="spellEnd"/>
      <w:r w:rsidRPr="00E31A3C">
        <w:rPr>
          <w:color w:val="000000" w:themeColor="text1"/>
        </w:rPr>
        <w:t xml:space="preserve">, S. K, Biradar, D. P., Aladakatti, Y. R., </w:t>
      </w:r>
      <w:proofErr w:type="spellStart"/>
      <w:r w:rsidRPr="00E31A3C">
        <w:rPr>
          <w:color w:val="000000" w:themeColor="text1"/>
        </w:rPr>
        <w:t>Pampolino</w:t>
      </w:r>
      <w:proofErr w:type="spellEnd"/>
      <w:r w:rsidRPr="00E31A3C">
        <w:rPr>
          <w:color w:val="000000" w:themeColor="text1"/>
        </w:rPr>
        <w:t xml:space="preserve">, M. and Johnston, A. 2014. Nutrient Expert®–Maize: </w:t>
      </w:r>
      <w:proofErr w:type="gramStart"/>
      <w:r w:rsidRPr="00E31A3C">
        <w:rPr>
          <w:color w:val="000000" w:themeColor="text1"/>
        </w:rPr>
        <w:t>A  Tool</w:t>
      </w:r>
      <w:proofErr w:type="gramEnd"/>
      <w:r w:rsidRPr="00E31A3C">
        <w:rPr>
          <w:color w:val="000000" w:themeColor="text1"/>
        </w:rPr>
        <w:t xml:space="preserve"> for Increasing Crop Yields and Farm Profit. Better Crops South Asia. </w:t>
      </w:r>
      <w:r w:rsidRPr="00E31A3C">
        <w:rPr>
          <w:i/>
          <w:iCs/>
          <w:color w:val="000000" w:themeColor="text1"/>
        </w:rPr>
        <w:t>International Plant Nutrition Institute (</w:t>
      </w:r>
      <w:proofErr w:type="gramStart"/>
      <w:r w:rsidRPr="00E31A3C">
        <w:rPr>
          <w:i/>
          <w:iCs/>
          <w:color w:val="000000" w:themeColor="text1"/>
        </w:rPr>
        <w:t>IPNI)</w:t>
      </w:r>
      <w:r w:rsidRPr="00E31A3C">
        <w:rPr>
          <w:color w:val="000000" w:themeColor="text1"/>
        </w:rPr>
        <w:t xml:space="preserve">  8</w:t>
      </w:r>
      <w:proofErr w:type="gramEnd"/>
      <w:r w:rsidRPr="00E31A3C">
        <w:rPr>
          <w:color w:val="000000" w:themeColor="text1"/>
        </w:rPr>
        <w:t>(1).</w:t>
      </w:r>
    </w:p>
    <w:p w14:paraId="1E72B5E8" w14:textId="77777777" w:rsidR="00672B4D" w:rsidRPr="00E31A3C" w:rsidRDefault="00672B4D" w:rsidP="009A7496">
      <w:pPr>
        <w:ind w:left="720" w:hanging="720"/>
        <w:rPr>
          <w:color w:val="auto"/>
        </w:rPr>
      </w:pPr>
      <w:r w:rsidRPr="00E31A3C">
        <w:rPr>
          <w:color w:val="auto"/>
        </w:rPr>
        <w:t xml:space="preserve">Shaheen, F. A., Wani, S.A., </w:t>
      </w:r>
      <w:proofErr w:type="spellStart"/>
      <w:r w:rsidRPr="00E31A3C">
        <w:rPr>
          <w:color w:val="auto"/>
        </w:rPr>
        <w:t>Parray</w:t>
      </w:r>
      <w:proofErr w:type="spellEnd"/>
      <w:r w:rsidRPr="00E31A3C">
        <w:rPr>
          <w:color w:val="auto"/>
        </w:rPr>
        <w:t xml:space="preserve">, G.A., Sofi, N.R., Bhat, M.A., Sultan, T., Mohiddin, F.A., Jibran, S., Akhter, N., </w:t>
      </w:r>
      <w:proofErr w:type="spellStart"/>
      <w:r w:rsidRPr="00E31A3C">
        <w:rPr>
          <w:color w:val="auto"/>
        </w:rPr>
        <w:t>Naqash</w:t>
      </w:r>
      <w:proofErr w:type="spellEnd"/>
      <w:r w:rsidRPr="00E31A3C">
        <w:rPr>
          <w:color w:val="auto"/>
        </w:rPr>
        <w:t xml:space="preserve">, F. and Jeelani, F. 2018. Sustaining Rice Farming in Kashmir Valley: Challenges and Opportunities. </w:t>
      </w:r>
      <w:proofErr w:type="spellStart"/>
      <w:r w:rsidRPr="00E31A3C">
        <w:rPr>
          <w:i/>
          <w:iCs/>
          <w:color w:val="auto"/>
        </w:rPr>
        <w:t>Agro</w:t>
      </w:r>
      <w:proofErr w:type="spellEnd"/>
      <w:r w:rsidRPr="00E31A3C">
        <w:rPr>
          <w:i/>
          <w:iCs/>
          <w:color w:val="auto"/>
        </w:rPr>
        <w:t>-Economist</w:t>
      </w:r>
      <w:r w:rsidRPr="00E31A3C">
        <w:rPr>
          <w:color w:val="auto"/>
        </w:rPr>
        <w:t>, 5(2), pp.61-70.</w:t>
      </w:r>
    </w:p>
    <w:p w14:paraId="31B94785" w14:textId="77777777" w:rsidR="00672B4D" w:rsidRPr="00E31A3C" w:rsidRDefault="00672B4D" w:rsidP="009A7496">
      <w:pPr>
        <w:ind w:left="720" w:hanging="720"/>
      </w:pPr>
      <w:r w:rsidRPr="00E31A3C">
        <w:t>Sharma, P. K., Ladha, J. K. and Bhushan, L. 2003. Soil physical effects of puddling in rice-wheat cropping systems. In “Improving the Productivity and Sustainability of Rice-Wheat Systems: Issues and Impacts” Ladha JK, Hill JE, Duxbury JM, Gupta RK, Buresh RJ (</w:t>
      </w:r>
      <w:proofErr w:type="gramStart"/>
      <w:r w:rsidRPr="00E31A3C">
        <w:t>eds.)ASA</w:t>
      </w:r>
      <w:proofErr w:type="gramEnd"/>
      <w:r w:rsidRPr="00E31A3C">
        <w:t>, CSSA, SSSA, Madison, WI, ASA Special Publication 65: 97–113.</w:t>
      </w:r>
    </w:p>
    <w:p w14:paraId="2BF982AC" w14:textId="77777777" w:rsidR="00672B4D" w:rsidRPr="00E31A3C" w:rsidRDefault="00672B4D" w:rsidP="009A7496">
      <w:pPr>
        <w:ind w:left="720" w:hanging="720"/>
        <w:rPr>
          <w:color w:val="000000" w:themeColor="text1"/>
        </w:rPr>
      </w:pPr>
      <w:r w:rsidRPr="00E31A3C">
        <w:rPr>
          <w:color w:val="000000" w:themeColor="text1"/>
        </w:rPr>
        <w:t xml:space="preserve">Shubha, G.V., </w:t>
      </w:r>
      <w:proofErr w:type="spellStart"/>
      <w:r w:rsidRPr="00E31A3C">
        <w:rPr>
          <w:color w:val="000000" w:themeColor="text1"/>
        </w:rPr>
        <w:t>Chittapur</w:t>
      </w:r>
      <w:proofErr w:type="spellEnd"/>
      <w:r w:rsidRPr="00E31A3C">
        <w:rPr>
          <w:color w:val="000000" w:themeColor="text1"/>
        </w:rPr>
        <w:t xml:space="preserve">, B.M. and Veeresh, H. 2018. Nutrient Expert and Soil Test Crop Response Assisted Site Specific Nutrient Management: An Alternative Precision Fertilization Technology for Direct Seeded Rice under </w:t>
      </w:r>
      <w:r w:rsidRPr="00E31A3C">
        <w:rPr>
          <w:color w:val="000000" w:themeColor="text1"/>
        </w:rPr>
        <w:lastRenderedPageBreak/>
        <w:t xml:space="preserve">Tungabhadra Irrigation Command, </w:t>
      </w:r>
      <w:r w:rsidRPr="00E31A3C">
        <w:rPr>
          <w:i/>
          <w:iCs/>
          <w:color w:val="000000" w:themeColor="text1"/>
        </w:rPr>
        <w:t xml:space="preserve">Int. J. Pure App. </w:t>
      </w:r>
      <w:proofErr w:type="spellStart"/>
      <w:r w:rsidRPr="00E31A3C">
        <w:rPr>
          <w:i/>
          <w:iCs/>
          <w:color w:val="000000" w:themeColor="text1"/>
        </w:rPr>
        <w:t>Biosci</w:t>
      </w:r>
      <w:proofErr w:type="spellEnd"/>
      <w:r w:rsidRPr="00E31A3C">
        <w:rPr>
          <w:color w:val="000000" w:themeColor="text1"/>
        </w:rPr>
        <w:t xml:space="preserve"> 6(4): 71-76 </w:t>
      </w:r>
      <w:proofErr w:type="spellStart"/>
      <w:r w:rsidRPr="00E31A3C">
        <w:rPr>
          <w:color w:val="000000" w:themeColor="text1"/>
        </w:rPr>
        <w:t>doi</w:t>
      </w:r>
      <w:proofErr w:type="spellEnd"/>
      <w:r w:rsidRPr="00E31A3C">
        <w:rPr>
          <w:color w:val="000000" w:themeColor="text1"/>
        </w:rPr>
        <w:t xml:space="preserve">: </w:t>
      </w:r>
      <w:hyperlink r:id="rId36" w:history="1">
        <w:r w:rsidRPr="00E31A3C">
          <w:rPr>
            <w:rStyle w:val="Hyperlink"/>
          </w:rPr>
          <w:t>http://dx.doi.org/10.18782/2320-7051.6678</w:t>
        </w:r>
      </w:hyperlink>
      <w:r w:rsidRPr="00E31A3C">
        <w:rPr>
          <w:color w:val="000000" w:themeColor="text1"/>
        </w:rPr>
        <w:t xml:space="preserve"> </w:t>
      </w:r>
    </w:p>
    <w:p w14:paraId="1E16D3A8" w14:textId="77777777" w:rsidR="00672B4D" w:rsidRPr="00E31A3C" w:rsidRDefault="00672B4D" w:rsidP="009A7496">
      <w:pPr>
        <w:ind w:left="720" w:hanging="720"/>
      </w:pPr>
      <w:r w:rsidRPr="00E31A3C">
        <w:t xml:space="preserve">Singh, A., Pandey, I.B., Singh, S.B., Singh, R.K., Singh, D.K., </w:t>
      </w:r>
      <w:proofErr w:type="spellStart"/>
      <w:r w:rsidRPr="00E31A3C">
        <w:t>Dahiphale</w:t>
      </w:r>
      <w:proofErr w:type="spellEnd"/>
      <w:r w:rsidRPr="00E31A3C">
        <w:t>, A.V., Kumar, M., Singh, A., Shashidhar, K.S., Singh, G.C. and Sahu, S. 2022. Standardizing the crop establishment methods, NPK fertilizer levels and weed management practices for enhanced growth and yield optimization of paddy-rice. ISSN: 00845841, 53(11).</w:t>
      </w:r>
    </w:p>
    <w:p w14:paraId="6CC29F55" w14:textId="77777777" w:rsidR="00672B4D" w:rsidRPr="00E31A3C" w:rsidRDefault="00672B4D" w:rsidP="009A7496">
      <w:pPr>
        <w:ind w:left="720" w:hanging="720"/>
      </w:pPr>
      <w:r w:rsidRPr="00E31A3C">
        <w:t>Singh, Y., Singh, G., Johnson, D. and Mortimer, M. 2005. Changing from transplanted rice to direct seeding in the rice–wheat cropping system in India. In: Rice is Life: Scientific Perspectives for the 21st Century, Tsukuba, Japan: Proceedings of the World Rice Research Conference, 4–7 November 2004, pp 198–201.</w:t>
      </w:r>
    </w:p>
    <w:p w14:paraId="01676EC7" w14:textId="77777777" w:rsidR="00672B4D" w:rsidRPr="00E31A3C" w:rsidRDefault="00672B4D" w:rsidP="009A7496">
      <w:pPr>
        <w:ind w:left="720" w:hanging="720"/>
        <w:rPr>
          <w:color w:val="auto"/>
        </w:rPr>
      </w:pPr>
      <w:r w:rsidRPr="00E31A3C">
        <w:rPr>
          <w:color w:val="auto"/>
        </w:rPr>
        <w:t xml:space="preserve">Subbiah, B. V. and Asija, G. L. 1956. A rapid procedure for the estimation of available nitrogen in soil. </w:t>
      </w:r>
      <w:r w:rsidRPr="00E31A3C">
        <w:rPr>
          <w:i/>
          <w:color w:val="auto"/>
        </w:rPr>
        <w:t xml:space="preserve">Current Science </w:t>
      </w:r>
      <w:r w:rsidRPr="00E31A3C">
        <w:rPr>
          <w:color w:val="auto"/>
        </w:rPr>
        <w:t>27: 259-260.</w:t>
      </w:r>
    </w:p>
    <w:p w14:paraId="7811752C" w14:textId="77777777" w:rsidR="00672B4D" w:rsidRPr="00E31A3C" w:rsidRDefault="00672B4D" w:rsidP="009A7496">
      <w:pPr>
        <w:ind w:left="720" w:hanging="720"/>
        <w:rPr>
          <w:color w:val="auto"/>
        </w:rPr>
      </w:pPr>
      <w:proofErr w:type="spellStart"/>
      <w:r w:rsidRPr="00E31A3C">
        <w:rPr>
          <w:color w:val="auto"/>
        </w:rPr>
        <w:t>Theerthana</w:t>
      </w:r>
      <w:proofErr w:type="spellEnd"/>
      <w:r w:rsidRPr="00E31A3C">
        <w:rPr>
          <w:color w:val="auto"/>
        </w:rPr>
        <w:t xml:space="preserve">, T., S Fathima, P. and R Denesh, G. 2021. Influence of different crop establishment and irrigation methods on growth and growth indices of rice. </w:t>
      </w:r>
      <w:r w:rsidRPr="00E31A3C">
        <w:rPr>
          <w:i/>
          <w:iCs/>
          <w:color w:val="auto"/>
        </w:rPr>
        <w:t xml:space="preserve">Journal of Experimental Agriculture International </w:t>
      </w:r>
      <w:r w:rsidRPr="00E31A3C">
        <w:rPr>
          <w:b/>
          <w:bCs/>
          <w:color w:val="auto"/>
        </w:rPr>
        <w:t>43</w:t>
      </w:r>
      <w:r w:rsidRPr="00E31A3C">
        <w:rPr>
          <w:color w:val="auto"/>
        </w:rPr>
        <w:t>(11): 22-34</w:t>
      </w:r>
    </w:p>
    <w:p w14:paraId="50C9119F" w14:textId="77777777" w:rsidR="00672B4D" w:rsidRPr="00E31A3C" w:rsidRDefault="00672B4D" w:rsidP="009A7496">
      <w:pPr>
        <w:ind w:left="720" w:hanging="720"/>
      </w:pPr>
      <w:r w:rsidRPr="00E31A3C">
        <w:t xml:space="preserve">Vishnu, Verma, V., Kumar, A., Rakesh, S., &amp; </w:t>
      </w:r>
      <w:proofErr w:type="spellStart"/>
      <w:r w:rsidRPr="00E31A3C">
        <w:t>Gathiye</w:t>
      </w:r>
      <w:proofErr w:type="spellEnd"/>
      <w:r w:rsidRPr="00E31A3C">
        <w:t>, G. S. 2020. Effect of Nutrient Management on Physiological Growth of Rice (</w:t>
      </w:r>
      <w:r w:rsidRPr="00E31A3C">
        <w:rPr>
          <w:i/>
          <w:iCs/>
        </w:rPr>
        <w:t>Oryza sativa</w:t>
      </w:r>
      <w:r w:rsidRPr="00E31A3C">
        <w:t xml:space="preserve"> L.). </w:t>
      </w:r>
      <w:r w:rsidRPr="00E31A3C">
        <w:rPr>
          <w:i/>
          <w:iCs/>
        </w:rPr>
        <w:t>International Journal of Current Microbiology and Applied Sciences</w:t>
      </w:r>
      <w:r w:rsidRPr="00E31A3C">
        <w:t xml:space="preserve"> 9(9), 2390-2396. </w:t>
      </w:r>
      <w:hyperlink r:id="rId37" w:history="1">
        <w:r w:rsidRPr="00E31A3C">
          <w:rPr>
            <w:rStyle w:val="Hyperlink"/>
          </w:rPr>
          <w:t>https://doi.org/10.20546/ijcmas.2020.909.297</w:t>
        </w:r>
      </w:hyperlink>
    </w:p>
    <w:p w14:paraId="4CB5D0B6" w14:textId="77777777" w:rsidR="00672B4D" w:rsidRPr="00E31A3C" w:rsidRDefault="00672B4D" w:rsidP="009A7496">
      <w:pPr>
        <w:ind w:left="720" w:hanging="720"/>
        <w:rPr>
          <w:color w:val="auto"/>
        </w:rPr>
      </w:pPr>
      <w:r w:rsidRPr="00E31A3C">
        <w:rPr>
          <w:color w:val="auto"/>
        </w:rPr>
        <w:t xml:space="preserve">Walkley, A. and Black, L. A. 1934. An examination of the </w:t>
      </w:r>
      <w:proofErr w:type="spellStart"/>
      <w:r w:rsidRPr="00E31A3C">
        <w:rPr>
          <w:color w:val="auto"/>
        </w:rPr>
        <w:t>Degtjareff</w:t>
      </w:r>
      <w:proofErr w:type="spellEnd"/>
      <w:r w:rsidRPr="00E31A3C">
        <w:rPr>
          <w:color w:val="auto"/>
        </w:rPr>
        <w:t xml:space="preserve"> method for determining soil organic matter and a proposed modification of the chromic acid titration method. </w:t>
      </w:r>
      <w:r w:rsidRPr="00E31A3C">
        <w:rPr>
          <w:i/>
          <w:color w:val="auto"/>
        </w:rPr>
        <w:t xml:space="preserve">Soil Science </w:t>
      </w:r>
      <w:r w:rsidRPr="00E31A3C">
        <w:rPr>
          <w:color w:val="auto"/>
        </w:rPr>
        <w:t>37: 29-38.</w:t>
      </w:r>
    </w:p>
    <w:p w14:paraId="7614A8AF" w14:textId="77777777" w:rsidR="00672B4D" w:rsidRPr="00E31A3C" w:rsidRDefault="00672B4D" w:rsidP="008D393A">
      <w:pPr>
        <w:ind w:left="720" w:hanging="720"/>
        <w:rPr>
          <w:color w:val="000000" w:themeColor="text1"/>
        </w:rPr>
      </w:pPr>
      <w:r w:rsidRPr="00E31A3C">
        <w:rPr>
          <w:color w:val="000000" w:themeColor="text1"/>
        </w:rPr>
        <w:t>Watson, D. J. 1952. The physiological basis of variation in yield. Advances in agronomy 4: 101-145.</w:t>
      </w:r>
    </w:p>
    <w:p w14:paraId="11984839" w14:textId="77777777" w:rsidR="00672B4D" w:rsidRPr="00E31A3C" w:rsidRDefault="00672B4D" w:rsidP="009A7496">
      <w:pPr>
        <w:ind w:left="720" w:hanging="720"/>
        <w:rPr>
          <w:color w:val="auto"/>
        </w:rPr>
      </w:pPr>
      <w:r w:rsidRPr="00E31A3C">
        <w:rPr>
          <w:color w:val="auto"/>
        </w:rPr>
        <w:t xml:space="preserve">Zhu, X. G., Long, S. P., Ort, D. R., </w:t>
      </w:r>
      <w:proofErr w:type="spellStart"/>
      <w:r w:rsidRPr="00E31A3C">
        <w:rPr>
          <w:color w:val="auto"/>
        </w:rPr>
        <w:t>Eizenga</w:t>
      </w:r>
      <w:proofErr w:type="spellEnd"/>
      <w:r w:rsidRPr="00E31A3C">
        <w:rPr>
          <w:color w:val="auto"/>
        </w:rPr>
        <w:t xml:space="preserve">, G., </w:t>
      </w:r>
      <w:proofErr w:type="spellStart"/>
      <w:r w:rsidRPr="00E31A3C">
        <w:rPr>
          <w:color w:val="auto"/>
        </w:rPr>
        <w:t>McCling</w:t>
      </w:r>
      <w:proofErr w:type="spellEnd"/>
      <w:r w:rsidRPr="00E31A3C">
        <w:rPr>
          <w:color w:val="auto"/>
        </w:rPr>
        <w:t xml:space="preserve">, A., Kovach, M., Tyagi, W., Ali, M. L., Tung, C. W. and Reynold, A. 2010. Improving photosynthetic efficiency for greater yield. </w:t>
      </w:r>
      <w:r w:rsidRPr="00E31A3C">
        <w:rPr>
          <w:i/>
          <w:iCs/>
          <w:color w:val="auto"/>
        </w:rPr>
        <w:t xml:space="preserve">Ann. Revised Plant </w:t>
      </w:r>
      <w:proofErr w:type="spellStart"/>
      <w:r w:rsidRPr="00E31A3C">
        <w:rPr>
          <w:i/>
          <w:iCs/>
          <w:color w:val="auto"/>
        </w:rPr>
        <w:t>Biol</w:t>
      </w:r>
      <w:proofErr w:type="spellEnd"/>
      <w:r w:rsidRPr="00E31A3C">
        <w:rPr>
          <w:i/>
          <w:iCs/>
          <w:color w:val="auto"/>
        </w:rPr>
        <w:t xml:space="preserve"> </w:t>
      </w:r>
      <w:r w:rsidRPr="00E31A3C">
        <w:rPr>
          <w:color w:val="auto"/>
        </w:rPr>
        <w:t>61: 235-261.</w:t>
      </w:r>
    </w:p>
    <w:p w14:paraId="4F3A6A88" w14:textId="77777777" w:rsidR="00053939" w:rsidRPr="00E31A3C" w:rsidRDefault="00053939" w:rsidP="00EC4705">
      <w:pPr>
        <w:ind w:firstLine="0"/>
        <w:rPr>
          <w:color w:val="auto"/>
        </w:rPr>
      </w:pPr>
    </w:p>
    <w:p w14:paraId="5290AE76" w14:textId="77777777" w:rsidR="00053939" w:rsidRPr="00E31A3C" w:rsidRDefault="00053939" w:rsidP="00EC4705">
      <w:pPr>
        <w:ind w:firstLine="0"/>
        <w:rPr>
          <w:b/>
          <w:bCs/>
          <w:color w:val="auto"/>
        </w:rPr>
      </w:pPr>
    </w:p>
    <w:p w14:paraId="7272A373" w14:textId="77777777" w:rsidR="00053939" w:rsidRPr="00E31A3C" w:rsidRDefault="00053939" w:rsidP="00EC4705">
      <w:pPr>
        <w:ind w:firstLine="0"/>
        <w:rPr>
          <w:b/>
          <w:bCs/>
          <w:color w:val="auto"/>
        </w:rPr>
      </w:pPr>
    </w:p>
    <w:p w14:paraId="0D293A48" w14:textId="77777777" w:rsidR="00053939" w:rsidRPr="00E31A3C" w:rsidRDefault="00053939" w:rsidP="00EC4705">
      <w:pPr>
        <w:ind w:firstLine="0"/>
        <w:rPr>
          <w:b/>
          <w:bCs/>
          <w:color w:val="auto"/>
        </w:rPr>
      </w:pPr>
    </w:p>
    <w:p w14:paraId="7B662045" w14:textId="77777777" w:rsidR="00053939" w:rsidRPr="00E31A3C" w:rsidRDefault="00053939" w:rsidP="00EC4705">
      <w:pPr>
        <w:ind w:firstLine="0"/>
        <w:rPr>
          <w:b/>
          <w:bCs/>
          <w:color w:val="auto"/>
        </w:rPr>
      </w:pPr>
    </w:p>
    <w:p w14:paraId="103CF27C" w14:textId="77777777" w:rsidR="00053939" w:rsidRPr="00E31A3C" w:rsidRDefault="00053939" w:rsidP="00EC4705">
      <w:pPr>
        <w:ind w:firstLine="0"/>
        <w:rPr>
          <w:b/>
          <w:bCs/>
          <w:color w:val="auto"/>
        </w:rPr>
      </w:pPr>
    </w:p>
    <w:sectPr w:rsidR="00053939" w:rsidRPr="00E31A3C" w:rsidSect="009801CE">
      <w:pgSz w:w="11906" w:h="16838" w:code="9"/>
      <w:pgMar w:top="2275" w:right="1699" w:bottom="2275" w:left="2275"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A145A" w14:textId="77777777" w:rsidR="006C6365" w:rsidRDefault="006C6365" w:rsidP="007B1096">
      <w:pPr>
        <w:spacing w:line="240" w:lineRule="auto"/>
      </w:pPr>
      <w:r>
        <w:separator/>
      </w:r>
    </w:p>
  </w:endnote>
  <w:endnote w:type="continuationSeparator" w:id="0">
    <w:p w14:paraId="7419F660" w14:textId="77777777" w:rsidR="006C6365" w:rsidRDefault="006C6365" w:rsidP="007B10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43818" w14:textId="77777777" w:rsidR="007B1096" w:rsidRDefault="007B1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F270" w14:textId="77777777" w:rsidR="007B1096" w:rsidRDefault="007B10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858F" w14:textId="77777777" w:rsidR="007B1096" w:rsidRDefault="007B1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4C58F" w14:textId="77777777" w:rsidR="006C6365" w:rsidRDefault="006C6365" w:rsidP="007B1096">
      <w:pPr>
        <w:spacing w:line="240" w:lineRule="auto"/>
      </w:pPr>
      <w:r>
        <w:separator/>
      </w:r>
    </w:p>
  </w:footnote>
  <w:footnote w:type="continuationSeparator" w:id="0">
    <w:p w14:paraId="170D2474" w14:textId="77777777" w:rsidR="006C6365" w:rsidRDefault="006C6365" w:rsidP="007B10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861A1" w14:textId="38D7CA3C" w:rsidR="007B1096" w:rsidRDefault="007B1096">
    <w:pPr>
      <w:pStyle w:val="Header"/>
    </w:pPr>
    <w:r>
      <w:rPr>
        <w:noProof/>
      </w:rPr>
      <w:pict w14:anchorId="017D23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2532" o:spid="_x0000_s1026" type="#_x0000_t136" style="position:absolute;left:0;text-align:left;margin-left:0;margin-top:0;width:503.25pt;height:55.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85E04" w14:textId="45AF33EA" w:rsidR="007B1096" w:rsidRDefault="007B1096">
    <w:pPr>
      <w:pStyle w:val="Header"/>
    </w:pPr>
    <w:r>
      <w:rPr>
        <w:noProof/>
      </w:rPr>
      <w:pict w14:anchorId="6ECCE6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2533" o:spid="_x0000_s1027" type="#_x0000_t136" style="position:absolute;left:0;text-align:left;margin-left:0;margin-top:0;width:503.25pt;height:55.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52E09" w14:textId="49A2E74D" w:rsidR="007B1096" w:rsidRDefault="007B1096">
    <w:pPr>
      <w:pStyle w:val="Header"/>
    </w:pPr>
    <w:r>
      <w:rPr>
        <w:noProof/>
      </w:rPr>
      <w:pict w14:anchorId="2C2CB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862531" o:spid="_x0000_s1025" type="#_x0000_t136" style="position:absolute;left:0;text-align:left;margin-left:0;margin-top:0;width:503.25pt;height:55.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567B85"/>
    <w:multiLevelType w:val="multilevel"/>
    <w:tmpl w:val="D296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25201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05"/>
    <w:rsid w:val="00000881"/>
    <w:rsid w:val="000029DF"/>
    <w:rsid w:val="00004CA3"/>
    <w:rsid w:val="0000667A"/>
    <w:rsid w:val="000077A9"/>
    <w:rsid w:val="000116A5"/>
    <w:rsid w:val="0001401D"/>
    <w:rsid w:val="00015666"/>
    <w:rsid w:val="000407E5"/>
    <w:rsid w:val="000426FC"/>
    <w:rsid w:val="00053939"/>
    <w:rsid w:val="00060207"/>
    <w:rsid w:val="00070EC0"/>
    <w:rsid w:val="0008355D"/>
    <w:rsid w:val="000C03D0"/>
    <w:rsid w:val="000E5407"/>
    <w:rsid w:val="001012F1"/>
    <w:rsid w:val="00101B01"/>
    <w:rsid w:val="00103543"/>
    <w:rsid w:val="00107E58"/>
    <w:rsid w:val="0016319B"/>
    <w:rsid w:val="0017150C"/>
    <w:rsid w:val="00185F9D"/>
    <w:rsid w:val="00191D28"/>
    <w:rsid w:val="001C41B1"/>
    <w:rsid w:val="001D4557"/>
    <w:rsid w:val="001E0C49"/>
    <w:rsid w:val="00223666"/>
    <w:rsid w:val="002302BE"/>
    <w:rsid w:val="00237BB0"/>
    <w:rsid w:val="00243711"/>
    <w:rsid w:val="00246349"/>
    <w:rsid w:val="00247B37"/>
    <w:rsid w:val="00262E37"/>
    <w:rsid w:val="00264762"/>
    <w:rsid w:val="00276800"/>
    <w:rsid w:val="002770C8"/>
    <w:rsid w:val="002B06D1"/>
    <w:rsid w:val="002B1417"/>
    <w:rsid w:val="002C1000"/>
    <w:rsid w:val="002C5E69"/>
    <w:rsid w:val="002D44DF"/>
    <w:rsid w:val="002D4E11"/>
    <w:rsid w:val="002D56FA"/>
    <w:rsid w:val="002D72AD"/>
    <w:rsid w:val="002E49FF"/>
    <w:rsid w:val="003113D2"/>
    <w:rsid w:val="00317F16"/>
    <w:rsid w:val="00334190"/>
    <w:rsid w:val="003B48C3"/>
    <w:rsid w:val="003B75A6"/>
    <w:rsid w:val="003E196D"/>
    <w:rsid w:val="00405500"/>
    <w:rsid w:val="00412310"/>
    <w:rsid w:val="0042267B"/>
    <w:rsid w:val="004336F4"/>
    <w:rsid w:val="00441ED8"/>
    <w:rsid w:val="00443D9C"/>
    <w:rsid w:val="00445AE5"/>
    <w:rsid w:val="0044641D"/>
    <w:rsid w:val="00447541"/>
    <w:rsid w:val="00450C99"/>
    <w:rsid w:val="004550AE"/>
    <w:rsid w:val="00460FB7"/>
    <w:rsid w:val="0046640E"/>
    <w:rsid w:val="004700DB"/>
    <w:rsid w:val="00476829"/>
    <w:rsid w:val="00492B89"/>
    <w:rsid w:val="004B28B1"/>
    <w:rsid w:val="004B7EC6"/>
    <w:rsid w:val="004C0BDB"/>
    <w:rsid w:val="004D082F"/>
    <w:rsid w:val="004E1C21"/>
    <w:rsid w:val="004E7A46"/>
    <w:rsid w:val="004F6533"/>
    <w:rsid w:val="00531F64"/>
    <w:rsid w:val="005408B5"/>
    <w:rsid w:val="00550418"/>
    <w:rsid w:val="005A3E60"/>
    <w:rsid w:val="005D0266"/>
    <w:rsid w:val="005D6952"/>
    <w:rsid w:val="005F0844"/>
    <w:rsid w:val="00602D05"/>
    <w:rsid w:val="006218CC"/>
    <w:rsid w:val="00623CAD"/>
    <w:rsid w:val="0062742B"/>
    <w:rsid w:val="00640527"/>
    <w:rsid w:val="00647BE6"/>
    <w:rsid w:val="00672B4D"/>
    <w:rsid w:val="006A52FA"/>
    <w:rsid w:val="006C6365"/>
    <w:rsid w:val="006C69C3"/>
    <w:rsid w:val="006C7B74"/>
    <w:rsid w:val="006D6D4B"/>
    <w:rsid w:val="006D7A12"/>
    <w:rsid w:val="006F0217"/>
    <w:rsid w:val="00710DF4"/>
    <w:rsid w:val="00712A0E"/>
    <w:rsid w:val="007159B2"/>
    <w:rsid w:val="0072221D"/>
    <w:rsid w:val="0073229B"/>
    <w:rsid w:val="00733251"/>
    <w:rsid w:val="00741023"/>
    <w:rsid w:val="00753C8A"/>
    <w:rsid w:val="00764E5B"/>
    <w:rsid w:val="0078617C"/>
    <w:rsid w:val="00786D4C"/>
    <w:rsid w:val="007A19B0"/>
    <w:rsid w:val="007A24D6"/>
    <w:rsid w:val="007A493E"/>
    <w:rsid w:val="007B0F69"/>
    <w:rsid w:val="007B1096"/>
    <w:rsid w:val="007F2350"/>
    <w:rsid w:val="007F5B37"/>
    <w:rsid w:val="008146C2"/>
    <w:rsid w:val="00865163"/>
    <w:rsid w:val="008823E0"/>
    <w:rsid w:val="00882DE5"/>
    <w:rsid w:val="008934C1"/>
    <w:rsid w:val="00893EBD"/>
    <w:rsid w:val="0089679C"/>
    <w:rsid w:val="008A3900"/>
    <w:rsid w:val="008C3A43"/>
    <w:rsid w:val="008C407B"/>
    <w:rsid w:val="008D393A"/>
    <w:rsid w:val="008D422F"/>
    <w:rsid w:val="008D6964"/>
    <w:rsid w:val="008F5A32"/>
    <w:rsid w:val="0090292A"/>
    <w:rsid w:val="00906AF1"/>
    <w:rsid w:val="00914668"/>
    <w:rsid w:val="0092177F"/>
    <w:rsid w:val="009308CA"/>
    <w:rsid w:val="00931032"/>
    <w:rsid w:val="009401D4"/>
    <w:rsid w:val="00940C02"/>
    <w:rsid w:val="009443E0"/>
    <w:rsid w:val="00946AFF"/>
    <w:rsid w:val="009513EA"/>
    <w:rsid w:val="00953BEB"/>
    <w:rsid w:val="00973A39"/>
    <w:rsid w:val="0097584A"/>
    <w:rsid w:val="009801CE"/>
    <w:rsid w:val="00983DA5"/>
    <w:rsid w:val="009A7496"/>
    <w:rsid w:val="009C10F8"/>
    <w:rsid w:val="009C312A"/>
    <w:rsid w:val="009F36BC"/>
    <w:rsid w:val="00A05429"/>
    <w:rsid w:val="00A10B80"/>
    <w:rsid w:val="00A338A5"/>
    <w:rsid w:val="00A53A3E"/>
    <w:rsid w:val="00A57AE8"/>
    <w:rsid w:val="00A640F1"/>
    <w:rsid w:val="00A749D8"/>
    <w:rsid w:val="00A77769"/>
    <w:rsid w:val="00A81568"/>
    <w:rsid w:val="00A93E89"/>
    <w:rsid w:val="00AC248A"/>
    <w:rsid w:val="00AD50FB"/>
    <w:rsid w:val="00AE32DB"/>
    <w:rsid w:val="00AF1349"/>
    <w:rsid w:val="00AF4473"/>
    <w:rsid w:val="00B37E6E"/>
    <w:rsid w:val="00B50E01"/>
    <w:rsid w:val="00B7029C"/>
    <w:rsid w:val="00BB0DA3"/>
    <w:rsid w:val="00BB26CA"/>
    <w:rsid w:val="00BD1DE5"/>
    <w:rsid w:val="00BE3DAD"/>
    <w:rsid w:val="00C01496"/>
    <w:rsid w:val="00C039A3"/>
    <w:rsid w:val="00C14A35"/>
    <w:rsid w:val="00C2271A"/>
    <w:rsid w:val="00C33A0B"/>
    <w:rsid w:val="00C35544"/>
    <w:rsid w:val="00C82639"/>
    <w:rsid w:val="00C83B78"/>
    <w:rsid w:val="00C91E5B"/>
    <w:rsid w:val="00C97835"/>
    <w:rsid w:val="00CF17A6"/>
    <w:rsid w:val="00CF3938"/>
    <w:rsid w:val="00D11E0F"/>
    <w:rsid w:val="00D142EF"/>
    <w:rsid w:val="00D17DF4"/>
    <w:rsid w:val="00D4513C"/>
    <w:rsid w:val="00D52031"/>
    <w:rsid w:val="00D549BD"/>
    <w:rsid w:val="00D6601A"/>
    <w:rsid w:val="00D82B71"/>
    <w:rsid w:val="00D85E0F"/>
    <w:rsid w:val="00DB6E00"/>
    <w:rsid w:val="00DC7524"/>
    <w:rsid w:val="00DD0DA0"/>
    <w:rsid w:val="00DD3049"/>
    <w:rsid w:val="00E00672"/>
    <w:rsid w:val="00E15242"/>
    <w:rsid w:val="00E31A3C"/>
    <w:rsid w:val="00E438D6"/>
    <w:rsid w:val="00E46D82"/>
    <w:rsid w:val="00E5241B"/>
    <w:rsid w:val="00E54C81"/>
    <w:rsid w:val="00E6133C"/>
    <w:rsid w:val="00E70E05"/>
    <w:rsid w:val="00EA227F"/>
    <w:rsid w:val="00EA2B5D"/>
    <w:rsid w:val="00EB32F1"/>
    <w:rsid w:val="00EB75F0"/>
    <w:rsid w:val="00EC4705"/>
    <w:rsid w:val="00EE3F13"/>
    <w:rsid w:val="00EE44F0"/>
    <w:rsid w:val="00EE57C7"/>
    <w:rsid w:val="00F07B2A"/>
    <w:rsid w:val="00F24141"/>
    <w:rsid w:val="00F244CA"/>
    <w:rsid w:val="00F3008C"/>
    <w:rsid w:val="00F328BD"/>
    <w:rsid w:val="00F453F9"/>
    <w:rsid w:val="00F45F48"/>
    <w:rsid w:val="00F512F9"/>
    <w:rsid w:val="00F560F0"/>
    <w:rsid w:val="00F647CE"/>
    <w:rsid w:val="00F8672F"/>
    <w:rsid w:val="00F97A25"/>
    <w:rsid w:val="00FA4A21"/>
    <w:rsid w:val="00FB34B6"/>
    <w:rsid w:val="00FD12E5"/>
    <w:rsid w:val="00FD148E"/>
    <w:rsid w:val="00FD5D19"/>
    <w:rsid w:val="00FE58C2"/>
    <w:rsid w:val="00FF0E7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C8D43"/>
  <w15:chartTrackingRefBased/>
  <w15:docId w15:val="{ED8DAE40-7B85-4E90-B373-D3286E9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000000"/>
        <w:kern w:val="2"/>
        <w:sz w:val="24"/>
        <w:szCs w:val="70"/>
        <w:lang w:val="en-IN" w:eastAsia="en-US" w:bidi="ar-SA"/>
        <w14:ligatures w14:val="standardContextual"/>
      </w:rPr>
    </w:rPrDefault>
    <w:pPrDefault>
      <w:pPr>
        <w:spacing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EB"/>
  </w:style>
  <w:style w:type="paragraph" w:styleId="Heading1">
    <w:name w:val="heading 1"/>
    <w:basedOn w:val="Normal"/>
    <w:next w:val="Normal"/>
    <w:link w:val="Heading1Char"/>
    <w:uiPriority w:val="9"/>
    <w:qFormat/>
    <w:rsid w:val="00EC47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47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470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470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C470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C470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470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470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470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70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470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4705"/>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470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C470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C470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470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470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470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4705"/>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C4705"/>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EC4705"/>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70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470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C4705"/>
    <w:rPr>
      <w:i/>
      <w:iCs/>
      <w:color w:val="404040" w:themeColor="text1" w:themeTint="BF"/>
    </w:rPr>
  </w:style>
  <w:style w:type="paragraph" w:styleId="ListParagraph">
    <w:name w:val="List Paragraph"/>
    <w:basedOn w:val="Normal"/>
    <w:uiPriority w:val="34"/>
    <w:qFormat/>
    <w:rsid w:val="00EC4705"/>
    <w:pPr>
      <w:ind w:left="720"/>
      <w:contextualSpacing/>
    </w:pPr>
  </w:style>
  <w:style w:type="character" w:styleId="IntenseEmphasis">
    <w:name w:val="Intense Emphasis"/>
    <w:basedOn w:val="DefaultParagraphFont"/>
    <w:uiPriority w:val="21"/>
    <w:qFormat/>
    <w:rsid w:val="00EC4705"/>
    <w:rPr>
      <w:i/>
      <w:iCs/>
      <w:color w:val="2F5496" w:themeColor="accent1" w:themeShade="BF"/>
    </w:rPr>
  </w:style>
  <w:style w:type="paragraph" w:styleId="IntenseQuote">
    <w:name w:val="Intense Quote"/>
    <w:basedOn w:val="Normal"/>
    <w:next w:val="Normal"/>
    <w:link w:val="IntenseQuoteChar"/>
    <w:uiPriority w:val="30"/>
    <w:qFormat/>
    <w:rsid w:val="00EC47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4705"/>
    <w:rPr>
      <w:i/>
      <w:iCs/>
      <w:color w:val="2F5496" w:themeColor="accent1" w:themeShade="BF"/>
    </w:rPr>
  </w:style>
  <w:style w:type="character" w:styleId="IntenseReference">
    <w:name w:val="Intense Reference"/>
    <w:basedOn w:val="DefaultParagraphFont"/>
    <w:uiPriority w:val="32"/>
    <w:qFormat/>
    <w:rsid w:val="00EC4705"/>
    <w:rPr>
      <w:b/>
      <w:bCs/>
      <w:smallCaps/>
      <w:color w:val="2F5496" w:themeColor="accent1" w:themeShade="BF"/>
      <w:spacing w:val="5"/>
    </w:rPr>
  </w:style>
  <w:style w:type="table" w:styleId="TableGrid">
    <w:name w:val="Table Grid"/>
    <w:basedOn w:val="TableNormal"/>
    <w:uiPriority w:val="39"/>
    <w:rsid w:val="0062742B"/>
    <w:pPr>
      <w:spacing w:line="240" w:lineRule="auto"/>
      <w:ind w:firstLine="0"/>
      <w:jc w:val="left"/>
    </w:pPr>
    <w:rPr>
      <w:rFonts w:asciiTheme="minorHAnsi" w:hAnsiTheme="minorHAnsi" w:cstheme="minorBidi"/>
      <w:color w:val="auto"/>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92B89"/>
    <w:rPr>
      <w:b/>
      <w:bCs/>
    </w:rPr>
  </w:style>
  <w:style w:type="character" w:styleId="Hyperlink">
    <w:name w:val="Hyperlink"/>
    <w:basedOn w:val="DefaultParagraphFont"/>
    <w:uiPriority w:val="99"/>
    <w:unhideWhenUsed/>
    <w:rsid w:val="00764E5B"/>
    <w:rPr>
      <w:color w:val="0000FF"/>
      <w:u w:val="single"/>
    </w:rPr>
  </w:style>
  <w:style w:type="character" w:styleId="UnresolvedMention">
    <w:name w:val="Unresolved Mention"/>
    <w:basedOn w:val="DefaultParagraphFont"/>
    <w:uiPriority w:val="99"/>
    <w:semiHidden/>
    <w:unhideWhenUsed/>
    <w:rsid w:val="005D0266"/>
    <w:rPr>
      <w:color w:val="605E5C"/>
      <w:shd w:val="clear" w:color="auto" w:fill="E1DFDD"/>
    </w:rPr>
  </w:style>
  <w:style w:type="paragraph" w:styleId="Header">
    <w:name w:val="header"/>
    <w:basedOn w:val="Normal"/>
    <w:link w:val="HeaderChar"/>
    <w:uiPriority w:val="99"/>
    <w:unhideWhenUsed/>
    <w:rsid w:val="007B1096"/>
    <w:pPr>
      <w:tabs>
        <w:tab w:val="center" w:pos="4513"/>
        <w:tab w:val="right" w:pos="9026"/>
      </w:tabs>
      <w:spacing w:line="240" w:lineRule="auto"/>
    </w:pPr>
  </w:style>
  <w:style w:type="character" w:customStyle="1" w:styleId="HeaderChar">
    <w:name w:val="Header Char"/>
    <w:basedOn w:val="DefaultParagraphFont"/>
    <w:link w:val="Header"/>
    <w:uiPriority w:val="99"/>
    <w:rsid w:val="007B1096"/>
  </w:style>
  <w:style w:type="paragraph" w:styleId="Footer">
    <w:name w:val="footer"/>
    <w:basedOn w:val="Normal"/>
    <w:link w:val="FooterChar"/>
    <w:uiPriority w:val="99"/>
    <w:unhideWhenUsed/>
    <w:rsid w:val="007B1096"/>
    <w:pPr>
      <w:tabs>
        <w:tab w:val="center" w:pos="4513"/>
        <w:tab w:val="right" w:pos="9026"/>
      </w:tabs>
      <w:spacing w:line="240" w:lineRule="auto"/>
    </w:pPr>
  </w:style>
  <w:style w:type="character" w:customStyle="1" w:styleId="FooterChar">
    <w:name w:val="Footer Char"/>
    <w:basedOn w:val="DefaultParagraphFont"/>
    <w:link w:val="Footer"/>
    <w:uiPriority w:val="99"/>
    <w:rsid w:val="007B1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theme" Target="theme/theme1.xml"/><Relationship Id="rId21" Type="http://schemas.openxmlformats.org/officeDocument/2006/relationships/chart" Target="charts/chart9.xml"/><Relationship Id="rId34" Type="http://schemas.openxmlformats.org/officeDocument/2006/relationships/hyperlink" Target="https://doi.org/10.3390/agriculture12060741"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yperlink" Target="https://doi.org/10.1007/978-3-030-89123-7_154-1"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s://doi.org/10.3126/jiaas.v26i0.60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chart" Target="charts/chart12.xml"/><Relationship Id="rId32" Type="http://schemas.openxmlformats.org/officeDocument/2006/relationships/hyperlink" Target="https://agriwelfare.gov.in/en/AgricultureEstimates" TargetMode="External"/><Relationship Id="rId37" Type="http://schemas.openxmlformats.org/officeDocument/2006/relationships/hyperlink" Target="https://doi.org/10.20546/ijcmas.2020.909.297" TargetMode="Externa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hyperlink" Target="http://dx.doi.org/10.18782/2320-7051.6678" TargetMode="External"/><Relationship Id="rId10" Type="http://schemas.openxmlformats.org/officeDocument/2006/relationships/footer" Target="footer2.xml"/><Relationship Id="rId19" Type="http://schemas.openxmlformats.org/officeDocument/2006/relationships/chart" Target="charts/chart7.xml"/><Relationship Id="rId31" Type="http://schemas.openxmlformats.org/officeDocument/2006/relationships/hyperlink" Target="https://doi.org/10.1016/j.jag.2018.11.00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hyperlink" Target="https://doi.org/10.1016/j.fcr.2014.12.011" TargetMode="External"/><Relationship Id="rId35" Type="http://schemas.openxmlformats.org/officeDocument/2006/relationships/hyperlink" Target="https://doi.org/10.1038/ncomms2296" TargetMode="External"/><Relationship Id="rId8" Type="http://schemas.openxmlformats.org/officeDocument/2006/relationships/header" Target="header2.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illi\Desktop\graph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455314960629923"/>
          <c:y val="0.20370370370370369"/>
          <c:w val="0.85489129483814508"/>
          <c:h val="0.58299358413531654"/>
        </c:manualLayout>
      </c:layout>
      <c:lineChart>
        <c:grouping val="standard"/>
        <c:varyColors val="0"/>
        <c:ser>
          <c:idx val="0"/>
          <c:order val="0"/>
          <c:tx>
            <c:strRef>
              <c:f>'growth parameters'!$Q$123</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parameters'!$R$122:$V$122</c:f>
              <c:strCache>
                <c:ptCount val="5"/>
                <c:pt idx="0">
                  <c:v>45 DAS</c:v>
                </c:pt>
                <c:pt idx="1">
                  <c:v>65 DAS</c:v>
                </c:pt>
                <c:pt idx="2">
                  <c:v>85 DAS</c:v>
                </c:pt>
                <c:pt idx="3">
                  <c:v>105 DAS</c:v>
                </c:pt>
                <c:pt idx="4">
                  <c:v>125 DAS</c:v>
                </c:pt>
              </c:strCache>
            </c:strRef>
          </c:cat>
          <c:val>
            <c:numRef>
              <c:f>'growth parameters'!$R$123:$V$123</c:f>
              <c:numCache>
                <c:formatCode>General</c:formatCode>
                <c:ptCount val="5"/>
                <c:pt idx="0">
                  <c:v>2.27</c:v>
                </c:pt>
                <c:pt idx="1">
                  <c:v>2.95</c:v>
                </c:pt>
                <c:pt idx="2">
                  <c:v>4.05</c:v>
                </c:pt>
                <c:pt idx="3">
                  <c:v>3.24</c:v>
                </c:pt>
                <c:pt idx="4">
                  <c:v>1.51</c:v>
                </c:pt>
              </c:numCache>
            </c:numRef>
          </c:val>
          <c:smooth val="0"/>
          <c:extLst>
            <c:ext xmlns:c16="http://schemas.microsoft.com/office/drawing/2014/chart" uri="{C3380CC4-5D6E-409C-BE32-E72D297353CC}">
              <c16:uniqueId val="{00000000-A104-4BDB-9498-31E845D8FDF0}"/>
            </c:ext>
          </c:extLst>
        </c:ser>
        <c:ser>
          <c:idx val="1"/>
          <c:order val="1"/>
          <c:tx>
            <c:strRef>
              <c:f>'growth parameters'!$Q$124</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parameters'!$R$122:$V$122</c:f>
              <c:strCache>
                <c:ptCount val="5"/>
                <c:pt idx="0">
                  <c:v>45 DAS</c:v>
                </c:pt>
                <c:pt idx="1">
                  <c:v>65 DAS</c:v>
                </c:pt>
                <c:pt idx="2">
                  <c:v>85 DAS</c:v>
                </c:pt>
                <c:pt idx="3">
                  <c:v>105 DAS</c:v>
                </c:pt>
                <c:pt idx="4">
                  <c:v>125 DAS</c:v>
                </c:pt>
              </c:strCache>
            </c:strRef>
          </c:cat>
          <c:val>
            <c:numRef>
              <c:f>'growth parameters'!$R$124:$V$124</c:f>
              <c:numCache>
                <c:formatCode>General</c:formatCode>
                <c:ptCount val="5"/>
                <c:pt idx="0">
                  <c:v>1.97</c:v>
                </c:pt>
                <c:pt idx="1">
                  <c:v>2.64</c:v>
                </c:pt>
                <c:pt idx="2">
                  <c:v>3.65</c:v>
                </c:pt>
                <c:pt idx="3">
                  <c:v>2.93</c:v>
                </c:pt>
                <c:pt idx="4">
                  <c:v>1.35</c:v>
                </c:pt>
              </c:numCache>
            </c:numRef>
          </c:val>
          <c:smooth val="0"/>
          <c:extLst>
            <c:ext xmlns:c16="http://schemas.microsoft.com/office/drawing/2014/chart" uri="{C3380CC4-5D6E-409C-BE32-E72D297353CC}">
              <c16:uniqueId val="{00000001-A104-4BDB-9498-31E845D8FDF0}"/>
            </c:ext>
          </c:extLst>
        </c:ser>
        <c:dLbls>
          <c:showLegendKey val="0"/>
          <c:showVal val="0"/>
          <c:showCatName val="0"/>
          <c:showSerName val="0"/>
          <c:showPercent val="0"/>
          <c:showBubbleSize val="0"/>
        </c:dLbls>
        <c:marker val="1"/>
        <c:smooth val="0"/>
        <c:axId val="2011335440"/>
        <c:axId val="2011340720"/>
      </c:lineChart>
      <c:catAx>
        <c:axId val="201133544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40720"/>
        <c:crosses val="autoZero"/>
        <c:auto val="1"/>
        <c:lblAlgn val="ctr"/>
        <c:lblOffset val="100"/>
        <c:noMultiLvlLbl val="0"/>
      </c:catAx>
      <c:valAx>
        <c:axId val="20113407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Leaf area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35440"/>
        <c:crosses val="autoZero"/>
        <c:crossBetween val="between"/>
      </c:valAx>
      <c:spPr>
        <a:noFill/>
        <a:ln>
          <a:noFill/>
        </a:ln>
        <a:effectLst/>
      </c:spPr>
    </c:plotArea>
    <c:legend>
      <c:legendPos val="b"/>
      <c:layout>
        <c:manualLayout>
          <c:xMode val="edge"/>
          <c:yMode val="edge"/>
          <c:x val="0.32635498687664044"/>
          <c:y val="3.7615193934091531E-2"/>
          <c:w val="0.375067585301837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880314960629925"/>
          <c:y val="0.17592592592592593"/>
          <c:w val="0.83064129483814531"/>
          <c:h val="0.55991469816272954"/>
        </c:manualLayout>
      </c:layout>
      <c:lineChart>
        <c:grouping val="standard"/>
        <c:varyColors val="0"/>
        <c:ser>
          <c:idx val="0"/>
          <c:order val="0"/>
          <c:tx>
            <c:strRef>
              <c:f>'growth parameters'!$W$195</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parameters'!$X$194:$AC$194</c:f>
              <c:strCache>
                <c:ptCount val="5"/>
                <c:pt idx="0">
                  <c:v>45-65 DAS</c:v>
                </c:pt>
                <c:pt idx="1">
                  <c:v>65-85 DAS</c:v>
                </c:pt>
                <c:pt idx="2">
                  <c:v>105-85 DAS</c:v>
                </c:pt>
                <c:pt idx="3">
                  <c:v>125-105 DAS</c:v>
                </c:pt>
                <c:pt idx="4">
                  <c:v>Harvest-125 DAS</c:v>
                </c:pt>
              </c:strCache>
            </c:strRef>
          </c:cat>
          <c:val>
            <c:numRef>
              <c:f>'growth parameters'!$X$195:$AC$195</c:f>
              <c:numCache>
                <c:formatCode>General</c:formatCode>
                <c:ptCount val="6"/>
                <c:pt idx="0">
                  <c:v>75.05</c:v>
                </c:pt>
                <c:pt idx="1">
                  <c:v>44.41</c:v>
                </c:pt>
                <c:pt idx="2">
                  <c:v>20.36</c:v>
                </c:pt>
                <c:pt idx="3">
                  <c:v>5.95</c:v>
                </c:pt>
                <c:pt idx="4">
                  <c:v>0.82</c:v>
                </c:pt>
              </c:numCache>
            </c:numRef>
          </c:val>
          <c:smooth val="0"/>
          <c:extLst>
            <c:ext xmlns:c16="http://schemas.microsoft.com/office/drawing/2014/chart" uri="{C3380CC4-5D6E-409C-BE32-E72D297353CC}">
              <c16:uniqueId val="{00000000-6331-4D17-8260-86C152BF0F5E}"/>
            </c:ext>
          </c:extLst>
        </c:ser>
        <c:ser>
          <c:idx val="1"/>
          <c:order val="1"/>
          <c:tx>
            <c:strRef>
              <c:f>'growth parameters'!$W$196</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parameters'!$X$194:$AC$194</c:f>
              <c:strCache>
                <c:ptCount val="5"/>
                <c:pt idx="0">
                  <c:v>45-65 DAS</c:v>
                </c:pt>
                <c:pt idx="1">
                  <c:v>65-85 DAS</c:v>
                </c:pt>
                <c:pt idx="2">
                  <c:v>105-85 DAS</c:v>
                </c:pt>
                <c:pt idx="3">
                  <c:v>125-105 DAS</c:v>
                </c:pt>
                <c:pt idx="4">
                  <c:v>Harvest-125 DAS</c:v>
                </c:pt>
              </c:strCache>
            </c:strRef>
          </c:cat>
          <c:val>
            <c:numRef>
              <c:f>'growth parameters'!$X$196:$AC$196</c:f>
              <c:numCache>
                <c:formatCode>General</c:formatCode>
                <c:ptCount val="6"/>
                <c:pt idx="0">
                  <c:v>64.45</c:v>
                </c:pt>
                <c:pt idx="1">
                  <c:v>56.39</c:v>
                </c:pt>
                <c:pt idx="2">
                  <c:v>23.01</c:v>
                </c:pt>
                <c:pt idx="3">
                  <c:v>6.93</c:v>
                </c:pt>
                <c:pt idx="4">
                  <c:v>0.51</c:v>
                </c:pt>
              </c:numCache>
            </c:numRef>
          </c:val>
          <c:smooth val="0"/>
          <c:extLst>
            <c:ext xmlns:c16="http://schemas.microsoft.com/office/drawing/2014/chart" uri="{C3380CC4-5D6E-409C-BE32-E72D297353CC}">
              <c16:uniqueId val="{00000001-6331-4D17-8260-86C152BF0F5E}"/>
            </c:ext>
          </c:extLst>
        </c:ser>
        <c:dLbls>
          <c:showLegendKey val="0"/>
          <c:showVal val="0"/>
          <c:showCatName val="0"/>
          <c:showSerName val="0"/>
          <c:showPercent val="0"/>
          <c:showBubbleSize val="0"/>
        </c:dLbls>
        <c:marker val="1"/>
        <c:smooth val="0"/>
        <c:axId val="375353344"/>
        <c:axId val="375354784"/>
      </c:lineChart>
      <c:catAx>
        <c:axId val="3753533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354784"/>
        <c:crosses val="autoZero"/>
        <c:auto val="1"/>
        <c:lblAlgn val="ctr"/>
        <c:lblOffset val="100"/>
        <c:noMultiLvlLbl val="0"/>
      </c:catAx>
      <c:valAx>
        <c:axId val="3753547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 growth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353344"/>
        <c:crosses val="autoZero"/>
        <c:crossBetween val="between"/>
      </c:valAx>
      <c:spPr>
        <a:noFill/>
        <a:ln>
          <a:noFill/>
        </a:ln>
        <a:effectLst/>
      </c:spPr>
    </c:plotArea>
    <c:legend>
      <c:legendPos val="b"/>
      <c:layout>
        <c:manualLayout>
          <c:xMode val="edge"/>
          <c:yMode val="edge"/>
          <c:x val="0.30691054243219595"/>
          <c:y val="2.8355934674832269E-2"/>
          <c:w val="0.375067585301837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85707658123275"/>
          <c:y val="0.18279940560811411"/>
          <c:w val="0.85144327421599664"/>
          <c:h val="0.65738722204526512"/>
        </c:manualLayout>
      </c:layout>
      <c:lineChart>
        <c:grouping val="standard"/>
        <c:varyColors val="0"/>
        <c:ser>
          <c:idx val="0"/>
          <c:order val="0"/>
          <c:tx>
            <c:strRef>
              <c:f>'growth parameters'!$B$279</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parameters'!$C$279:$H$279</c:f>
              <c:numCache>
                <c:formatCode>General</c:formatCode>
                <c:ptCount val="6"/>
                <c:pt idx="0">
                  <c:v>64.209999999999994</c:v>
                </c:pt>
                <c:pt idx="1">
                  <c:v>49.28</c:v>
                </c:pt>
                <c:pt idx="2">
                  <c:v>20.350000000000001</c:v>
                </c:pt>
                <c:pt idx="3">
                  <c:v>5.42</c:v>
                </c:pt>
                <c:pt idx="4">
                  <c:v>0.79</c:v>
                </c:pt>
              </c:numCache>
            </c:numRef>
          </c:val>
          <c:smooth val="0"/>
          <c:extLst>
            <c:ext xmlns:c16="http://schemas.microsoft.com/office/drawing/2014/chart" uri="{C3380CC4-5D6E-409C-BE32-E72D297353CC}">
              <c16:uniqueId val="{00000000-4ADE-431A-BD88-E72CE966C144}"/>
            </c:ext>
          </c:extLst>
        </c:ser>
        <c:ser>
          <c:idx val="1"/>
          <c:order val="1"/>
          <c:tx>
            <c:strRef>
              <c:f>'growth parameters'!$B$280</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parameters'!$C$280:$H$280</c:f>
              <c:numCache>
                <c:formatCode>General</c:formatCode>
                <c:ptCount val="6"/>
                <c:pt idx="0">
                  <c:v>76.83</c:v>
                </c:pt>
                <c:pt idx="1">
                  <c:v>53.18</c:v>
                </c:pt>
                <c:pt idx="2">
                  <c:v>21.91</c:v>
                </c:pt>
                <c:pt idx="3">
                  <c:v>6.04</c:v>
                </c:pt>
                <c:pt idx="4">
                  <c:v>0.77</c:v>
                </c:pt>
              </c:numCache>
            </c:numRef>
          </c:val>
          <c:smooth val="0"/>
          <c:extLst>
            <c:ext xmlns:c16="http://schemas.microsoft.com/office/drawing/2014/chart" uri="{C3380CC4-5D6E-409C-BE32-E72D297353CC}">
              <c16:uniqueId val="{00000001-4ADE-431A-BD88-E72CE966C144}"/>
            </c:ext>
          </c:extLst>
        </c:ser>
        <c:ser>
          <c:idx val="2"/>
          <c:order val="2"/>
          <c:tx>
            <c:strRef>
              <c:f>'growth parameters'!$B$281</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parameters'!$C$281:$H$281</c:f>
              <c:numCache>
                <c:formatCode>General</c:formatCode>
                <c:ptCount val="6"/>
                <c:pt idx="0">
                  <c:v>76.06</c:v>
                </c:pt>
                <c:pt idx="1">
                  <c:v>53.78</c:v>
                </c:pt>
                <c:pt idx="2">
                  <c:v>22.83</c:v>
                </c:pt>
                <c:pt idx="3">
                  <c:v>6.96</c:v>
                </c:pt>
                <c:pt idx="4">
                  <c:v>0.8</c:v>
                </c:pt>
              </c:numCache>
            </c:numRef>
          </c:val>
          <c:smooth val="0"/>
          <c:extLst>
            <c:ext xmlns:c16="http://schemas.microsoft.com/office/drawing/2014/chart" uri="{C3380CC4-5D6E-409C-BE32-E72D297353CC}">
              <c16:uniqueId val="{00000002-4ADE-431A-BD88-E72CE966C144}"/>
            </c:ext>
          </c:extLst>
        </c:ser>
        <c:ser>
          <c:idx val="3"/>
          <c:order val="3"/>
          <c:tx>
            <c:strRef>
              <c:f>'growth parameters'!$B$282</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parameters'!$C$282:$H$282</c:f>
              <c:numCache>
                <c:formatCode>General</c:formatCode>
                <c:ptCount val="6"/>
                <c:pt idx="0">
                  <c:v>74.19</c:v>
                </c:pt>
                <c:pt idx="1">
                  <c:v>48.31</c:v>
                </c:pt>
                <c:pt idx="2">
                  <c:v>20.92</c:v>
                </c:pt>
                <c:pt idx="3">
                  <c:v>5.8</c:v>
                </c:pt>
                <c:pt idx="4">
                  <c:v>0.51</c:v>
                </c:pt>
              </c:numCache>
            </c:numRef>
          </c:val>
          <c:smooth val="0"/>
          <c:extLst>
            <c:ext xmlns:c16="http://schemas.microsoft.com/office/drawing/2014/chart" uri="{C3380CC4-5D6E-409C-BE32-E72D297353CC}">
              <c16:uniqueId val="{00000003-4ADE-431A-BD88-E72CE966C144}"/>
            </c:ext>
          </c:extLst>
        </c:ser>
        <c:ser>
          <c:idx val="4"/>
          <c:order val="4"/>
          <c:tx>
            <c:strRef>
              <c:f>'growth parameters'!$B$283</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parameters'!$C$283:$H$283</c:f>
              <c:numCache>
                <c:formatCode>General</c:formatCode>
                <c:ptCount val="6"/>
                <c:pt idx="0">
                  <c:v>73.11</c:v>
                </c:pt>
                <c:pt idx="1">
                  <c:v>49.04</c:v>
                </c:pt>
                <c:pt idx="2">
                  <c:v>20.76</c:v>
                </c:pt>
                <c:pt idx="3">
                  <c:v>5.85</c:v>
                </c:pt>
                <c:pt idx="4">
                  <c:v>0.66</c:v>
                </c:pt>
              </c:numCache>
            </c:numRef>
          </c:val>
          <c:smooth val="0"/>
          <c:extLst>
            <c:ext xmlns:c16="http://schemas.microsoft.com/office/drawing/2014/chart" uri="{C3380CC4-5D6E-409C-BE32-E72D297353CC}">
              <c16:uniqueId val="{00000004-4ADE-431A-BD88-E72CE966C144}"/>
            </c:ext>
          </c:extLst>
        </c:ser>
        <c:ser>
          <c:idx val="5"/>
          <c:order val="5"/>
          <c:tx>
            <c:strRef>
              <c:f>'growth parameters'!$B$284</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parameters'!$C$284:$H$284</c:f>
              <c:numCache>
                <c:formatCode>General</c:formatCode>
                <c:ptCount val="6"/>
                <c:pt idx="0">
                  <c:v>76.33</c:v>
                </c:pt>
                <c:pt idx="1">
                  <c:v>54.86</c:v>
                </c:pt>
                <c:pt idx="2">
                  <c:v>23.72</c:v>
                </c:pt>
                <c:pt idx="3">
                  <c:v>7.82</c:v>
                </c:pt>
                <c:pt idx="4">
                  <c:v>0.51</c:v>
                </c:pt>
              </c:numCache>
            </c:numRef>
          </c:val>
          <c:smooth val="0"/>
          <c:extLst>
            <c:ext xmlns:c16="http://schemas.microsoft.com/office/drawing/2014/chart" uri="{C3380CC4-5D6E-409C-BE32-E72D297353CC}">
              <c16:uniqueId val="{00000005-4ADE-431A-BD88-E72CE966C144}"/>
            </c:ext>
          </c:extLst>
        </c:ser>
        <c:ser>
          <c:idx val="6"/>
          <c:order val="6"/>
          <c:tx>
            <c:strRef>
              <c:f>'growth parameters'!$B$285</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parameters'!$C$285:$H$285</c:f>
              <c:numCache>
                <c:formatCode>General</c:formatCode>
                <c:ptCount val="6"/>
                <c:pt idx="0">
                  <c:v>74.459999999999994</c:v>
                </c:pt>
                <c:pt idx="1">
                  <c:v>52.13</c:v>
                </c:pt>
                <c:pt idx="2">
                  <c:v>21.51</c:v>
                </c:pt>
                <c:pt idx="3">
                  <c:v>7.21</c:v>
                </c:pt>
                <c:pt idx="4">
                  <c:v>0.82</c:v>
                </c:pt>
              </c:numCache>
            </c:numRef>
          </c:val>
          <c:smooth val="0"/>
          <c:extLst>
            <c:ext xmlns:c16="http://schemas.microsoft.com/office/drawing/2014/chart" uri="{C3380CC4-5D6E-409C-BE32-E72D297353CC}">
              <c16:uniqueId val="{00000006-4ADE-431A-BD88-E72CE966C144}"/>
            </c:ext>
          </c:extLst>
        </c:ser>
        <c:ser>
          <c:idx val="7"/>
          <c:order val="7"/>
          <c:tx>
            <c:strRef>
              <c:f>'growth parameters'!$B$286</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parameters'!$C$286:$H$286</c:f>
              <c:numCache>
                <c:formatCode>General</c:formatCode>
                <c:ptCount val="6"/>
                <c:pt idx="0">
                  <c:v>73.569999999999993</c:v>
                </c:pt>
                <c:pt idx="1">
                  <c:v>49.85</c:v>
                </c:pt>
                <c:pt idx="2">
                  <c:v>21.56</c:v>
                </c:pt>
                <c:pt idx="3">
                  <c:v>6.04</c:v>
                </c:pt>
                <c:pt idx="4">
                  <c:v>0.82</c:v>
                </c:pt>
              </c:numCache>
            </c:numRef>
          </c:val>
          <c:smooth val="0"/>
          <c:extLst>
            <c:ext xmlns:c16="http://schemas.microsoft.com/office/drawing/2014/chart" uri="{C3380CC4-5D6E-409C-BE32-E72D297353CC}">
              <c16:uniqueId val="{00000007-4ADE-431A-BD88-E72CE966C144}"/>
            </c:ext>
          </c:extLst>
        </c:ser>
        <c:ser>
          <c:idx val="8"/>
          <c:order val="8"/>
          <c:tx>
            <c:strRef>
              <c:f>'growth parameters'!$B$287</c:f>
              <c:strCache>
                <c:ptCount val="1"/>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'growth parameters'!$C$278:$H$278</c:f>
              <c:strCache>
                <c:ptCount val="5"/>
                <c:pt idx="0">
                  <c:v>45-65 DAS</c:v>
                </c:pt>
                <c:pt idx="1">
                  <c:v>65-85 DAS</c:v>
                </c:pt>
                <c:pt idx="2">
                  <c:v>105-85 DAS</c:v>
                </c:pt>
                <c:pt idx="3">
                  <c:v>125-105 DAS</c:v>
                </c:pt>
                <c:pt idx="4">
                  <c:v>Harvest-125 DAS</c:v>
                </c:pt>
              </c:strCache>
            </c:strRef>
          </c:cat>
          <c:val>
            <c:numRef>
              <c:f>'growth parameters'!$C$287:$H$287</c:f>
              <c:numCache>
                <c:formatCode>General</c:formatCode>
                <c:ptCount val="6"/>
              </c:numCache>
            </c:numRef>
          </c:val>
          <c:smooth val="0"/>
          <c:extLst>
            <c:ext xmlns:c16="http://schemas.microsoft.com/office/drawing/2014/chart" uri="{C3380CC4-5D6E-409C-BE32-E72D297353CC}">
              <c16:uniqueId val="{00000008-4ADE-431A-BD88-E72CE966C144}"/>
            </c:ext>
          </c:extLst>
        </c:ser>
        <c:dLbls>
          <c:showLegendKey val="0"/>
          <c:showVal val="0"/>
          <c:showCatName val="0"/>
          <c:showSerName val="0"/>
          <c:showPercent val="0"/>
          <c:showBubbleSize val="0"/>
        </c:dLbls>
        <c:marker val="1"/>
        <c:smooth val="0"/>
        <c:axId val="899283967"/>
        <c:axId val="899270047"/>
      </c:lineChart>
      <c:catAx>
        <c:axId val="899283967"/>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Days after sowing</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899270047"/>
        <c:crosses val="autoZero"/>
        <c:auto val="1"/>
        <c:lblAlgn val="ctr"/>
        <c:lblOffset val="100"/>
        <c:noMultiLvlLbl val="0"/>
      </c:catAx>
      <c:valAx>
        <c:axId val="899270047"/>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Relative growth rate (</a:t>
                </a:r>
                <a:r>
                  <a:rPr lang="en-US" sz="900" b="0" dirty="0">
                    <a:latin typeface="+mn-lt"/>
                    <a:ea typeface="Calibri" panose="020F0502020204030204" pitchFamily="34" charset="0"/>
                    <a:cs typeface="Times New Roman" panose="02020603050405020304" pitchFamily="18" charset="0"/>
                  </a:rPr>
                  <a:t>mg g</a:t>
                </a:r>
                <a:r>
                  <a:rPr lang="en-US" sz="900" b="0" baseline="30000" dirty="0">
                    <a:latin typeface="+mn-lt"/>
                    <a:ea typeface="Calibri" panose="020F0502020204030204" pitchFamily="34" charset="0"/>
                    <a:cs typeface="Times New Roman" panose="02020603050405020304" pitchFamily="18" charset="0"/>
                  </a:rPr>
                  <a:t>-1 </a:t>
                </a:r>
                <a:r>
                  <a:rPr lang="en-US" sz="900" b="0" dirty="0">
                    <a:latin typeface="+mn-lt"/>
                    <a:ea typeface="Calibri" panose="020F0502020204030204" pitchFamily="34" charset="0"/>
                    <a:cs typeface="Times New Roman" panose="02020603050405020304" pitchFamily="18" charset="0"/>
                  </a:rPr>
                  <a:t>day</a:t>
                </a:r>
                <a:r>
                  <a:rPr lang="en-US" sz="900" b="0" baseline="30000" dirty="0">
                    <a:latin typeface="+mn-lt"/>
                    <a:ea typeface="Calibri" panose="020F0502020204030204" pitchFamily="34" charset="0"/>
                    <a:cs typeface="Times New Roman" panose="02020603050405020304" pitchFamily="18" charset="0"/>
                  </a:rPr>
                  <a:t>-1</a:t>
                </a:r>
                <a:r>
                  <a:rPr lang="en-US" sz="900" b="0" i="0" u="none" strike="noStrike" kern="1200" baseline="0" dirty="0">
                    <a:solidFill>
                      <a:prstClr val="black">
                        <a:lumMod val="65000"/>
                        <a:lumOff val="35000"/>
                      </a:prstClr>
                    </a:solidFill>
                    <a:latin typeface="+mn-lt"/>
                    <a:cs typeface="Times New Roman" panose="02020603050405020304" pitchFamily="18" charset="0"/>
                  </a:rPr>
                  <a:t>)</a:t>
                </a:r>
              </a:p>
            </c:rich>
          </c:tx>
          <c:layout>
            <c:manualLayout>
              <c:xMode val="edge"/>
              <c:yMode val="edge"/>
              <c:x val="2.4404955306837742E-2"/>
              <c:y val="0.28518860175881533"/>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899283967"/>
        <c:crosses val="autoZero"/>
        <c:crossBetween val="between"/>
      </c:valAx>
      <c:spPr>
        <a:noFill/>
        <a:ln>
          <a:noFill/>
        </a:ln>
        <a:effectLst/>
      </c:spPr>
    </c:plotArea>
    <c:legend>
      <c:legendPos val="b"/>
      <c:legendEntry>
        <c:idx val="8"/>
        <c:delete val="1"/>
      </c:legendEntry>
      <c:layout>
        <c:manualLayout>
          <c:xMode val="edge"/>
          <c:yMode val="edge"/>
          <c:x val="6.7442241807529155E-2"/>
          <c:y val="2.0745286468492646E-2"/>
          <c:w val="0.89202134218123075"/>
          <c:h val="0.124361288412897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172323466117639"/>
          <c:y val="0.19798584479156922"/>
          <c:w val="0.83728153770042646"/>
          <c:h val="0.64467989217778765"/>
        </c:manualLayout>
      </c:layout>
      <c:lineChart>
        <c:grouping val="standard"/>
        <c:varyColors val="0"/>
        <c:ser>
          <c:idx val="0"/>
          <c:order val="0"/>
          <c:tx>
            <c:strRef>
              <c:f>'growth parameters'!$N$279</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parameters'!$O$279:$T$279</c:f>
              <c:numCache>
                <c:formatCode>General</c:formatCode>
                <c:ptCount val="6"/>
                <c:pt idx="0">
                  <c:v>60.01</c:v>
                </c:pt>
                <c:pt idx="1">
                  <c:v>48.62</c:v>
                </c:pt>
                <c:pt idx="2">
                  <c:v>21.14</c:v>
                </c:pt>
                <c:pt idx="3">
                  <c:v>5.45</c:v>
                </c:pt>
                <c:pt idx="4">
                  <c:v>0.7</c:v>
                </c:pt>
              </c:numCache>
            </c:numRef>
          </c:val>
          <c:smooth val="0"/>
          <c:extLst>
            <c:ext xmlns:c16="http://schemas.microsoft.com/office/drawing/2014/chart" uri="{C3380CC4-5D6E-409C-BE32-E72D297353CC}">
              <c16:uniqueId val="{00000000-FE67-45B6-BC30-911C78A44248}"/>
            </c:ext>
          </c:extLst>
        </c:ser>
        <c:ser>
          <c:idx val="1"/>
          <c:order val="1"/>
          <c:tx>
            <c:strRef>
              <c:f>'growth parameters'!$N$280</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parameters'!$O$280:$T$280</c:f>
              <c:numCache>
                <c:formatCode>General</c:formatCode>
                <c:ptCount val="6"/>
                <c:pt idx="0">
                  <c:v>73.2</c:v>
                </c:pt>
                <c:pt idx="1">
                  <c:v>50.27</c:v>
                </c:pt>
                <c:pt idx="2">
                  <c:v>21.63</c:v>
                </c:pt>
                <c:pt idx="3">
                  <c:v>6.28</c:v>
                </c:pt>
                <c:pt idx="4">
                  <c:v>0.67</c:v>
                </c:pt>
              </c:numCache>
            </c:numRef>
          </c:val>
          <c:smooth val="0"/>
          <c:extLst>
            <c:ext xmlns:c16="http://schemas.microsoft.com/office/drawing/2014/chart" uri="{C3380CC4-5D6E-409C-BE32-E72D297353CC}">
              <c16:uniqueId val="{00000001-FE67-45B6-BC30-911C78A44248}"/>
            </c:ext>
          </c:extLst>
        </c:ser>
        <c:ser>
          <c:idx val="2"/>
          <c:order val="2"/>
          <c:tx>
            <c:strRef>
              <c:f>'growth parameters'!$N$281</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parameters'!$O$281:$T$281</c:f>
              <c:numCache>
                <c:formatCode>General</c:formatCode>
                <c:ptCount val="6"/>
                <c:pt idx="0">
                  <c:v>72.45</c:v>
                </c:pt>
                <c:pt idx="1">
                  <c:v>53.77</c:v>
                </c:pt>
                <c:pt idx="2">
                  <c:v>21.54</c:v>
                </c:pt>
                <c:pt idx="3">
                  <c:v>6.99</c:v>
                </c:pt>
                <c:pt idx="4">
                  <c:v>0.75</c:v>
                </c:pt>
              </c:numCache>
            </c:numRef>
          </c:val>
          <c:smooth val="0"/>
          <c:extLst>
            <c:ext xmlns:c16="http://schemas.microsoft.com/office/drawing/2014/chart" uri="{C3380CC4-5D6E-409C-BE32-E72D297353CC}">
              <c16:uniqueId val="{00000002-FE67-45B6-BC30-911C78A44248}"/>
            </c:ext>
          </c:extLst>
        </c:ser>
        <c:ser>
          <c:idx val="3"/>
          <c:order val="3"/>
          <c:tx>
            <c:strRef>
              <c:f>'growth parameters'!$N$282</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parameters'!$O$282:$T$282</c:f>
              <c:numCache>
                <c:formatCode>General</c:formatCode>
                <c:ptCount val="6"/>
                <c:pt idx="0">
                  <c:v>70.56</c:v>
                </c:pt>
                <c:pt idx="1">
                  <c:v>46.36</c:v>
                </c:pt>
                <c:pt idx="2">
                  <c:v>20.79</c:v>
                </c:pt>
                <c:pt idx="3">
                  <c:v>5.98</c:v>
                </c:pt>
                <c:pt idx="4">
                  <c:v>0.46</c:v>
                </c:pt>
              </c:numCache>
            </c:numRef>
          </c:val>
          <c:smooth val="0"/>
          <c:extLst>
            <c:ext xmlns:c16="http://schemas.microsoft.com/office/drawing/2014/chart" uri="{C3380CC4-5D6E-409C-BE32-E72D297353CC}">
              <c16:uniqueId val="{00000003-FE67-45B6-BC30-911C78A44248}"/>
            </c:ext>
          </c:extLst>
        </c:ser>
        <c:ser>
          <c:idx val="4"/>
          <c:order val="4"/>
          <c:tx>
            <c:strRef>
              <c:f>'growth parameters'!$N$283</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parameters'!$O$283:$T$283</c:f>
              <c:numCache>
                <c:formatCode>General</c:formatCode>
                <c:ptCount val="6"/>
                <c:pt idx="0">
                  <c:v>69.55</c:v>
                </c:pt>
                <c:pt idx="1">
                  <c:v>47.97</c:v>
                </c:pt>
                <c:pt idx="2">
                  <c:v>20.62</c:v>
                </c:pt>
                <c:pt idx="3">
                  <c:v>5.97</c:v>
                </c:pt>
                <c:pt idx="4">
                  <c:v>0.62</c:v>
                </c:pt>
              </c:numCache>
            </c:numRef>
          </c:val>
          <c:smooth val="0"/>
          <c:extLst>
            <c:ext xmlns:c16="http://schemas.microsoft.com/office/drawing/2014/chart" uri="{C3380CC4-5D6E-409C-BE32-E72D297353CC}">
              <c16:uniqueId val="{00000004-FE67-45B6-BC30-911C78A44248}"/>
            </c:ext>
          </c:extLst>
        </c:ser>
        <c:ser>
          <c:idx val="5"/>
          <c:order val="5"/>
          <c:tx>
            <c:strRef>
              <c:f>'growth parameters'!$N$284</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parameters'!$O$284:$T$284</c:f>
              <c:numCache>
                <c:formatCode>General</c:formatCode>
                <c:ptCount val="6"/>
                <c:pt idx="0">
                  <c:v>71.98</c:v>
                </c:pt>
                <c:pt idx="1">
                  <c:v>56.23</c:v>
                </c:pt>
                <c:pt idx="2">
                  <c:v>24.47</c:v>
                </c:pt>
                <c:pt idx="3">
                  <c:v>7.88</c:v>
                </c:pt>
                <c:pt idx="4">
                  <c:v>0.6</c:v>
                </c:pt>
              </c:numCache>
            </c:numRef>
          </c:val>
          <c:smooth val="0"/>
          <c:extLst>
            <c:ext xmlns:c16="http://schemas.microsoft.com/office/drawing/2014/chart" uri="{C3380CC4-5D6E-409C-BE32-E72D297353CC}">
              <c16:uniqueId val="{00000005-FE67-45B6-BC30-911C78A44248}"/>
            </c:ext>
          </c:extLst>
        </c:ser>
        <c:ser>
          <c:idx val="6"/>
          <c:order val="6"/>
          <c:tx>
            <c:strRef>
              <c:f>'growth parameters'!$N$285</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parameters'!$O$285:$T$285</c:f>
              <c:numCache>
                <c:formatCode>General</c:formatCode>
                <c:ptCount val="6"/>
                <c:pt idx="0">
                  <c:v>70.150000000000006</c:v>
                </c:pt>
                <c:pt idx="1">
                  <c:v>51.41</c:v>
                </c:pt>
                <c:pt idx="2">
                  <c:v>22.39</c:v>
                </c:pt>
                <c:pt idx="3">
                  <c:v>6.54</c:v>
                </c:pt>
                <c:pt idx="4">
                  <c:v>0.73</c:v>
                </c:pt>
              </c:numCache>
            </c:numRef>
          </c:val>
          <c:smooth val="0"/>
          <c:extLst>
            <c:ext xmlns:c16="http://schemas.microsoft.com/office/drawing/2014/chart" uri="{C3380CC4-5D6E-409C-BE32-E72D297353CC}">
              <c16:uniqueId val="{00000006-FE67-45B6-BC30-911C78A44248}"/>
            </c:ext>
          </c:extLst>
        </c:ser>
        <c:ser>
          <c:idx val="7"/>
          <c:order val="7"/>
          <c:tx>
            <c:strRef>
              <c:f>'growth parameters'!$N$286</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parameters'!$O$278:$T$278</c:f>
              <c:strCache>
                <c:ptCount val="5"/>
                <c:pt idx="0">
                  <c:v>45-65 DAS</c:v>
                </c:pt>
                <c:pt idx="1">
                  <c:v>65-85 DAS</c:v>
                </c:pt>
                <c:pt idx="2">
                  <c:v>105-85 DAS</c:v>
                </c:pt>
                <c:pt idx="3">
                  <c:v>125-105 DAS</c:v>
                </c:pt>
                <c:pt idx="4">
                  <c:v>Harvest-125 DAS</c:v>
                </c:pt>
              </c:strCache>
            </c:strRef>
          </c:cat>
          <c:val>
            <c:numRef>
              <c:f>'growth parameters'!$O$286:$T$286</c:f>
              <c:numCache>
                <c:formatCode>General</c:formatCode>
                <c:ptCount val="6"/>
                <c:pt idx="0">
                  <c:v>70.12</c:v>
                </c:pt>
                <c:pt idx="1">
                  <c:v>48.67</c:v>
                </c:pt>
                <c:pt idx="2">
                  <c:v>21.19</c:v>
                </c:pt>
                <c:pt idx="3">
                  <c:v>6.35</c:v>
                </c:pt>
                <c:pt idx="4">
                  <c:v>0.8</c:v>
                </c:pt>
              </c:numCache>
            </c:numRef>
          </c:val>
          <c:smooth val="0"/>
          <c:extLst>
            <c:ext xmlns:c16="http://schemas.microsoft.com/office/drawing/2014/chart" uri="{C3380CC4-5D6E-409C-BE32-E72D297353CC}">
              <c16:uniqueId val="{00000007-FE67-45B6-BC30-911C78A44248}"/>
            </c:ext>
          </c:extLst>
        </c:ser>
        <c:dLbls>
          <c:showLegendKey val="0"/>
          <c:showVal val="0"/>
          <c:showCatName val="0"/>
          <c:showSerName val="0"/>
          <c:showPercent val="0"/>
          <c:showBubbleSize val="0"/>
        </c:dLbls>
        <c:marker val="1"/>
        <c:smooth val="0"/>
        <c:axId val="896710415"/>
        <c:axId val="896716655"/>
      </c:lineChart>
      <c:catAx>
        <c:axId val="896710415"/>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prstClr val="black">
                        <a:lumMod val="65000"/>
                        <a:lumOff val="35000"/>
                      </a:prstClr>
                    </a:solidFill>
                    <a:latin typeface="+mn-lt"/>
                    <a:ea typeface="+mn-ea"/>
                    <a:cs typeface="+mn-cs"/>
                  </a:defRPr>
                </a:pPr>
                <a:r>
                  <a:rPr lang="en-US" sz="1100" b="1" i="0" u="none" strike="noStrike" kern="1200" baseline="0" dirty="0">
                    <a:solidFill>
                      <a:prstClr val="black">
                        <a:lumMod val="65000"/>
                        <a:lumOff val="35000"/>
                      </a:prstClr>
                    </a:solidFill>
                    <a:latin typeface="Times New Roman" panose="02020603050405020304" pitchFamily="18" charset="0"/>
                    <a:cs typeface="Times New Roman" panose="02020603050405020304" pitchFamily="18" charset="0"/>
                  </a:rPr>
                  <a:t>Days after sowing</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6716655"/>
        <c:crosses val="autoZero"/>
        <c:auto val="1"/>
        <c:lblAlgn val="ctr"/>
        <c:lblOffset val="100"/>
        <c:noMultiLvlLbl val="0"/>
      </c:catAx>
      <c:valAx>
        <c:axId val="896716655"/>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Relative growth rate (</a:t>
                </a:r>
                <a:r>
                  <a:rPr lang="en-US" sz="900" b="0" dirty="0">
                    <a:latin typeface="+mn-lt"/>
                    <a:ea typeface="Calibri" panose="020F0502020204030204" pitchFamily="34" charset="0"/>
                    <a:cs typeface="Times New Roman" panose="02020603050405020304" pitchFamily="18" charset="0"/>
                  </a:rPr>
                  <a:t>mg g</a:t>
                </a:r>
                <a:r>
                  <a:rPr lang="en-US" sz="900" b="0" baseline="30000" dirty="0">
                    <a:latin typeface="+mn-lt"/>
                    <a:ea typeface="Calibri" panose="020F0502020204030204" pitchFamily="34" charset="0"/>
                    <a:cs typeface="Times New Roman" panose="02020603050405020304" pitchFamily="18" charset="0"/>
                  </a:rPr>
                  <a:t>-1 </a:t>
                </a:r>
                <a:r>
                  <a:rPr lang="en-US" sz="900" b="0" dirty="0">
                    <a:latin typeface="+mn-lt"/>
                    <a:ea typeface="Calibri" panose="020F0502020204030204" pitchFamily="34" charset="0"/>
                    <a:cs typeface="Times New Roman" panose="02020603050405020304" pitchFamily="18" charset="0"/>
                  </a:rPr>
                  <a:t>day</a:t>
                </a:r>
                <a:r>
                  <a:rPr lang="en-US" sz="900" b="0" baseline="30000" dirty="0">
                    <a:latin typeface="+mn-lt"/>
                    <a:ea typeface="Calibri" panose="020F0502020204030204" pitchFamily="34" charset="0"/>
                    <a:cs typeface="Times New Roman" panose="02020603050405020304" pitchFamily="18" charset="0"/>
                  </a:rPr>
                  <a:t>-1</a:t>
                </a:r>
                <a:r>
                  <a:rPr lang="en-US" sz="900" b="0" i="0" u="none" strike="noStrike" kern="1200" baseline="0" dirty="0">
                    <a:solidFill>
                      <a:prstClr val="black">
                        <a:lumMod val="65000"/>
                        <a:lumOff val="35000"/>
                      </a:prstClr>
                    </a:solidFill>
                    <a:latin typeface="+mn-lt"/>
                    <a:cs typeface="Times New Roman" panose="02020603050405020304" pitchFamily="18" charset="0"/>
                  </a:rPr>
                  <a:t>)</a:t>
                </a:r>
              </a:p>
            </c:rich>
          </c:tx>
          <c:layout>
            <c:manualLayout>
              <c:xMode val="edge"/>
              <c:yMode val="edge"/>
              <c:x val="2.8754203606116285E-2"/>
              <c:y val="0.26730144018049734"/>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896710415"/>
        <c:crosses val="autoZero"/>
        <c:crossBetween val="between"/>
      </c:valAx>
      <c:spPr>
        <a:noFill/>
        <a:ln>
          <a:noFill/>
        </a:ln>
        <a:effectLst/>
      </c:spPr>
    </c:plotArea>
    <c:legend>
      <c:legendPos val="b"/>
      <c:layout>
        <c:manualLayout>
          <c:xMode val="edge"/>
          <c:yMode val="edge"/>
          <c:x val="6.7649559791604738E-2"/>
          <c:y val="2.1319263158193113E-2"/>
          <c:w val="0.86851819400789976"/>
          <c:h val="0.111742719496905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solidFill>
        <a:schemeClr val="tx1"/>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708778631217506"/>
          <c:y val="0.19952416356877323"/>
          <c:w val="0.79733079829557219"/>
          <c:h val="0.61974836187434612"/>
        </c:manualLayout>
      </c:layout>
      <c:lineChart>
        <c:grouping val="standard"/>
        <c:varyColors val="0"/>
        <c:ser>
          <c:idx val="0"/>
          <c:order val="0"/>
          <c:tx>
            <c:strRef>
              <c:f>'growth parameters'!$AI$229</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parameters'!$AJ$228:$AO$228</c:f>
              <c:strCache>
                <c:ptCount val="5"/>
                <c:pt idx="0">
                  <c:v>45-65 DAS</c:v>
                </c:pt>
                <c:pt idx="1">
                  <c:v>65-85 DAS</c:v>
                </c:pt>
                <c:pt idx="2">
                  <c:v>105-85 DAS</c:v>
                </c:pt>
                <c:pt idx="3">
                  <c:v>125-105 DAS</c:v>
                </c:pt>
                <c:pt idx="4">
                  <c:v>Harvest-125 DAS</c:v>
                </c:pt>
              </c:strCache>
            </c:strRef>
          </c:cat>
          <c:val>
            <c:numRef>
              <c:f>'growth parameters'!$AJ$229:$AO$229</c:f>
              <c:numCache>
                <c:formatCode>General</c:formatCode>
                <c:ptCount val="6"/>
                <c:pt idx="0">
                  <c:v>9.5399999999999991</c:v>
                </c:pt>
                <c:pt idx="1">
                  <c:v>6.77</c:v>
                </c:pt>
                <c:pt idx="2">
                  <c:v>6.11</c:v>
                </c:pt>
                <c:pt idx="3">
                  <c:v>2.98</c:v>
                </c:pt>
                <c:pt idx="4">
                  <c:v>0.88</c:v>
                </c:pt>
              </c:numCache>
            </c:numRef>
          </c:val>
          <c:smooth val="0"/>
          <c:extLst>
            <c:ext xmlns:c16="http://schemas.microsoft.com/office/drawing/2014/chart" uri="{C3380CC4-5D6E-409C-BE32-E72D297353CC}">
              <c16:uniqueId val="{00000000-E3B5-49C9-A1C1-D4459544D6CB}"/>
            </c:ext>
          </c:extLst>
        </c:ser>
        <c:ser>
          <c:idx val="1"/>
          <c:order val="1"/>
          <c:tx>
            <c:strRef>
              <c:f>'growth parameters'!$AI$230</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parameters'!$AJ$228:$AO$228</c:f>
              <c:strCache>
                <c:ptCount val="5"/>
                <c:pt idx="0">
                  <c:v>45-65 DAS</c:v>
                </c:pt>
                <c:pt idx="1">
                  <c:v>65-85 DAS</c:v>
                </c:pt>
                <c:pt idx="2">
                  <c:v>105-85 DAS</c:v>
                </c:pt>
                <c:pt idx="3">
                  <c:v>125-105 DAS</c:v>
                </c:pt>
                <c:pt idx="4">
                  <c:v>Harvest-125 DAS</c:v>
                </c:pt>
              </c:strCache>
            </c:strRef>
          </c:cat>
          <c:val>
            <c:numRef>
              <c:f>'growth parameters'!$AJ$230:$AO$230</c:f>
              <c:numCache>
                <c:formatCode>General</c:formatCode>
                <c:ptCount val="6"/>
                <c:pt idx="0">
                  <c:v>9.08</c:v>
                </c:pt>
                <c:pt idx="1">
                  <c:v>4.8899999999999997</c:v>
                </c:pt>
                <c:pt idx="2">
                  <c:v>4.4400000000000004</c:v>
                </c:pt>
                <c:pt idx="3">
                  <c:v>2.5499999999999998</c:v>
                </c:pt>
                <c:pt idx="4">
                  <c:v>0.56999999999999995</c:v>
                </c:pt>
              </c:numCache>
            </c:numRef>
          </c:val>
          <c:smooth val="0"/>
          <c:extLst>
            <c:ext xmlns:c16="http://schemas.microsoft.com/office/drawing/2014/chart" uri="{C3380CC4-5D6E-409C-BE32-E72D297353CC}">
              <c16:uniqueId val="{00000001-E3B5-49C9-A1C1-D4459544D6CB}"/>
            </c:ext>
          </c:extLst>
        </c:ser>
        <c:dLbls>
          <c:showLegendKey val="0"/>
          <c:showVal val="0"/>
          <c:showCatName val="0"/>
          <c:showSerName val="0"/>
          <c:showPercent val="0"/>
          <c:showBubbleSize val="0"/>
        </c:dLbls>
        <c:marker val="1"/>
        <c:smooth val="0"/>
        <c:axId val="1098323263"/>
        <c:axId val="1098328543"/>
      </c:lineChart>
      <c:catAx>
        <c:axId val="1098323263"/>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Days after sowing</a:t>
                </a:r>
              </a:p>
            </c:rich>
          </c:tx>
          <c:layout>
            <c:manualLayout>
              <c:xMode val="edge"/>
              <c:yMode val="edge"/>
              <c:x val="0.40093374656976982"/>
              <c:y val="0.92666841032982761"/>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098328543"/>
        <c:crosses val="autoZero"/>
        <c:auto val="1"/>
        <c:lblAlgn val="ctr"/>
        <c:lblOffset val="100"/>
        <c:noMultiLvlLbl val="0"/>
      </c:catAx>
      <c:valAx>
        <c:axId val="1098328543"/>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Net assimilation rate (</a:t>
                </a:r>
                <a:r>
                  <a:rPr lang="en-US" sz="900" b="0" dirty="0">
                    <a:latin typeface="+mn-lt"/>
                    <a:ea typeface="Calibri" panose="020F0502020204030204" pitchFamily="34" charset="0"/>
                    <a:cs typeface="Times New Roman" panose="02020603050405020304" pitchFamily="18" charset="0"/>
                  </a:rPr>
                  <a:t>g m</a:t>
                </a:r>
                <a:r>
                  <a:rPr lang="en-US" sz="900" b="0" baseline="30000" dirty="0">
                    <a:latin typeface="+mn-lt"/>
                    <a:ea typeface="Calibri" panose="020F0502020204030204" pitchFamily="34" charset="0"/>
                    <a:cs typeface="Times New Roman" panose="02020603050405020304" pitchFamily="18" charset="0"/>
                  </a:rPr>
                  <a:t>-2 </a:t>
                </a:r>
                <a:r>
                  <a:rPr lang="en-US" sz="900" b="0" dirty="0">
                    <a:latin typeface="+mn-lt"/>
                    <a:ea typeface="Calibri" panose="020F0502020204030204" pitchFamily="34" charset="0"/>
                    <a:cs typeface="Times New Roman" panose="02020603050405020304" pitchFamily="18" charset="0"/>
                  </a:rPr>
                  <a:t>day</a:t>
                </a:r>
                <a:r>
                  <a:rPr lang="en-US" sz="900" b="0" baseline="30000" dirty="0">
                    <a:latin typeface="+mn-lt"/>
                    <a:ea typeface="Calibri" panose="020F0502020204030204" pitchFamily="34" charset="0"/>
                    <a:cs typeface="Times New Roman" panose="02020603050405020304" pitchFamily="18" charset="0"/>
                  </a:rPr>
                  <a:t>-1</a:t>
                </a:r>
                <a:r>
                  <a:rPr lang="en-US" sz="900" b="0" i="0" u="none" strike="noStrike" kern="1200" baseline="0" dirty="0">
                    <a:solidFill>
                      <a:prstClr val="black">
                        <a:lumMod val="65000"/>
                        <a:lumOff val="35000"/>
                      </a:prstClr>
                    </a:solidFill>
                    <a:latin typeface="+mn-lt"/>
                    <a:cs typeface="Times New Roman" panose="02020603050405020304" pitchFamily="18" charset="0"/>
                  </a:rPr>
                  <a:t>)</a:t>
                </a:r>
              </a:p>
            </c:rich>
          </c:tx>
          <c:layout>
            <c:manualLayout>
              <c:xMode val="edge"/>
              <c:yMode val="edge"/>
              <c:x val="1.5554802889836714E-2"/>
              <c:y val="0.19092988618514359"/>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098323263"/>
        <c:crosses val="autoZero"/>
        <c:crossBetween val="between"/>
      </c:valAx>
      <c:spPr>
        <a:noFill/>
        <a:ln w="28575">
          <a:noFill/>
        </a:ln>
        <a:effectLst/>
      </c:spPr>
    </c:plotArea>
    <c:legend>
      <c:legendPos val="b"/>
      <c:layout>
        <c:manualLayout>
          <c:xMode val="edge"/>
          <c:yMode val="edge"/>
          <c:x val="0.2615995238967222"/>
          <c:y val="2.7880689634985217E-2"/>
          <c:w val="0.48377751327595681"/>
          <c:h val="8.58739572051634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solidFill>
        <a:schemeClr val="tx1"/>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42047691481748"/>
          <c:y val="0.18838445019547378"/>
          <c:w val="0.8126385036387499"/>
          <c:h val="0.62506056259696163"/>
        </c:manualLayout>
      </c:layout>
      <c:lineChart>
        <c:grouping val="standard"/>
        <c:varyColors val="0"/>
        <c:ser>
          <c:idx val="0"/>
          <c:order val="0"/>
          <c:tx>
            <c:strRef>
              <c:f>'growth parameters'!$AR$229</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parameters'!$AS$228:$AX$228</c:f>
              <c:strCache>
                <c:ptCount val="5"/>
                <c:pt idx="0">
                  <c:v>45-65 DAS</c:v>
                </c:pt>
                <c:pt idx="1">
                  <c:v>65-85 DAS</c:v>
                </c:pt>
                <c:pt idx="2">
                  <c:v>105-85 DAS</c:v>
                </c:pt>
                <c:pt idx="3">
                  <c:v>125-105 DAS</c:v>
                </c:pt>
                <c:pt idx="4">
                  <c:v>Harvest-125 DAS</c:v>
                </c:pt>
              </c:strCache>
            </c:strRef>
          </c:cat>
          <c:val>
            <c:numRef>
              <c:f>'growth parameters'!$AS$229:$AX$229</c:f>
              <c:numCache>
                <c:formatCode>General</c:formatCode>
                <c:ptCount val="6"/>
                <c:pt idx="0">
                  <c:v>9.34</c:v>
                </c:pt>
                <c:pt idx="1">
                  <c:v>6.77</c:v>
                </c:pt>
                <c:pt idx="2">
                  <c:v>5.99</c:v>
                </c:pt>
                <c:pt idx="3">
                  <c:v>2.97</c:v>
                </c:pt>
                <c:pt idx="4">
                  <c:v>0.85</c:v>
                </c:pt>
              </c:numCache>
            </c:numRef>
          </c:val>
          <c:smooth val="0"/>
          <c:extLst>
            <c:ext xmlns:c16="http://schemas.microsoft.com/office/drawing/2014/chart" uri="{C3380CC4-5D6E-409C-BE32-E72D297353CC}">
              <c16:uniqueId val="{00000000-9627-4223-831B-3FA8783662CB}"/>
            </c:ext>
          </c:extLst>
        </c:ser>
        <c:ser>
          <c:idx val="1"/>
          <c:order val="1"/>
          <c:tx>
            <c:strRef>
              <c:f>'growth parameters'!$AR$230</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parameters'!$AS$228:$AX$228</c:f>
              <c:strCache>
                <c:ptCount val="5"/>
                <c:pt idx="0">
                  <c:v>45-65 DAS</c:v>
                </c:pt>
                <c:pt idx="1">
                  <c:v>65-85 DAS</c:v>
                </c:pt>
                <c:pt idx="2">
                  <c:v>105-85 DAS</c:v>
                </c:pt>
                <c:pt idx="3">
                  <c:v>125-105 DAS</c:v>
                </c:pt>
                <c:pt idx="4">
                  <c:v>Harvest-125 DAS</c:v>
                </c:pt>
              </c:strCache>
            </c:strRef>
          </c:cat>
          <c:val>
            <c:numRef>
              <c:f>'growth parameters'!$AS$230:$AX$230</c:f>
              <c:numCache>
                <c:formatCode>General</c:formatCode>
                <c:ptCount val="6"/>
                <c:pt idx="0">
                  <c:v>8.75</c:v>
                </c:pt>
                <c:pt idx="1">
                  <c:v>4.8899999999999997</c:v>
                </c:pt>
                <c:pt idx="2">
                  <c:v>4.17</c:v>
                </c:pt>
                <c:pt idx="3">
                  <c:v>2.59</c:v>
                </c:pt>
                <c:pt idx="4">
                  <c:v>0.5</c:v>
                </c:pt>
              </c:numCache>
            </c:numRef>
          </c:val>
          <c:smooth val="0"/>
          <c:extLst>
            <c:ext xmlns:c16="http://schemas.microsoft.com/office/drawing/2014/chart" uri="{C3380CC4-5D6E-409C-BE32-E72D297353CC}">
              <c16:uniqueId val="{00000001-9627-4223-831B-3FA8783662CB}"/>
            </c:ext>
          </c:extLst>
        </c:ser>
        <c:dLbls>
          <c:showLegendKey val="0"/>
          <c:showVal val="0"/>
          <c:showCatName val="0"/>
          <c:showSerName val="0"/>
          <c:showPercent val="0"/>
          <c:showBubbleSize val="0"/>
        </c:dLbls>
        <c:marker val="1"/>
        <c:smooth val="0"/>
        <c:axId val="1098320863"/>
        <c:axId val="1098326143"/>
      </c:lineChart>
      <c:catAx>
        <c:axId val="1098320863"/>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Days after sowing</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098326143"/>
        <c:crosses val="autoZero"/>
        <c:auto val="1"/>
        <c:lblAlgn val="ctr"/>
        <c:lblOffset val="100"/>
        <c:noMultiLvlLbl val="0"/>
      </c:catAx>
      <c:valAx>
        <c:axId val="1098326143"/>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r>
                  <a:rPr lang="en-US" sz="900" b="0" i="0" u="none" strike="noStrike" kern="1200" baseline="0" dirty="0">
                    <a:solidFill>
                      <a:prstClr val="black">
                        <a:lumMod val="65000"/>
                        <a:lumOff val="35000"/>
                      </a:prstClr>
                    </a:solidFill>
                    <a:latin typeface="+mn-lt"/>
                    <a:cs typeface="Times New Roman" panose="02020603050405020304" pitchFamily="18" charset="0"/>
                  </a:rPr>
                  <a:t>Net assimilation rate (</a:t>
                </a:r>
                <a:r>
                  <a:rPr lang="en-US" sz="900" b="0" dirty="0">
                    <a:latin typeface="+mn-lt"/>
                    <a:ea typeface="Calibri" panose="020F0502020204030204" pitchFamily="34" charset="0"/>
                    <a:cs typeface="Times New Roman" panose="02020603050405020304" pitchFamily="18" charset="0"/>
                  </a:rPr>
                  <a:t>g m</a:t>
                </a:r>
                <a:r>
                  <a:rPr lang="en-US" sz="900" b="0" baseline="30000" dirty="0">
                    <a:latin typeface="+mn-lt"/>
                    <a:ea typeface="Calibri" panose="020F0502020204030204" pitchFamily="34" charset="0"/>
                    <a:cs typeface="Times New Roman" panose="02020603050405020304" pitchFamily="18" charset="0"/>
                  </a:rPr>
                  <a:t>-2 </a:t>
                </a:r>
                <a:r>
                  <a:rPr lang="en-US" sz="900" b="0" dirty="0">
                    <a:latin typeface="+mn-lt"/>
                    <a:ea typeface="Calibri" panose="020F0502020204030204" pitchFamily="34" charset="0"/>
                    <a:cs typeface="Times New Roman" panose="02020603050405020304" pitchFamily="18" charset="0"/>
                  </a:rPr>
                  <a:t>day</a:t>
                </a:r>
                <a:r>
                  <a:rPr lang="en-US" sz="900" b="0" baseline="30000" dirty="0">
                    <a:latin typeface="+mn-lt"/>
                    <a:ea typeface="Calibri" panose="020F0502020204030204" pitchFamily="34" charset="0"/>
                    <a:cs typeface="Times New Roman" panose="02020603050405020304" pitchFamily="18" charset="0"/>
                  </a:rPr>
                  <a:t>-1</a:t>
                </a:r>
                <a:r>
                  <a:rPr lang="en-US" sz="900" b="0" i="0" u="none" strike="noStrike" kern="1200" baseline="0" dirty="0">
                    <a:solidFill>
                      <a:prstClr val="black">
                        <a:lumMod val="65000"/>
                        <a:lumOff val="35000"/>
                      </a:prstClr>
                    </a:solidFill>
                    <a:latin typeface="+mn-lt"/>
                    <a:cs typeface="Times New Roman" panose="02020603050405020304" pitchFamily="18" charset="0"/>
                  </a:rPr>
                  <a:t>)</a:t>
                </a:r>
              </a:p>
            </c:rich>
          </c:tx>
          <c:layout>
            <c:manualLayout>
              <c:xMode val="edge"/>
              <c:yMode val="edge"/>
              <c:x val="3.7861638033882129E-2"/>
              <c:y val="0.26515564488005433"/>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0" i="0" u="none" strike="noStrike" kern="1200" baseline="0">
                  <a:solidFill>
                    <a:prstClr val="black">
                      <a:lumMod val="65000"/>
                      <a:lumOff val="35000"/>
                    </a:prst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1098320863"/>
        <c:crosses val="autoZero"/>
        <c:crossBetween val="between"/>
      </c:valAx>
      <c:spPr>
        <a:noFill/>
        <a:ln>
          <a:noFill/>
        </a:ln>
        <a:effectLst/>
      </c:spPr>
    </c:plotArea>
    <c:legend>
      <c:legendPos val="b"/>
      <c:layout>
        <c:manualLayout>
          <c:xMode val="edge"/>
          <c:yMode val="edge"/>
          <c:x val="0.31368317732052514"/>
          <c:y val="4.7789479846617688E-2"/>
          <c:w val="0.37587996275900887"/>
          <c:h val="7.445271199836080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3175" cap="flat" cmpd="sng" algn="ctr">
      <a:solidFill>
        <a:schemeClr val="tx1"/>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92228202666381"/>
          <c:y val="0.19430586570632041"/>
          <c:w val="0.87347618483666545"/>
          <c:h val="0.56247138518309592"/>
        </c:manualLayout>
      </c:layout>
      <c:lineChart>
        <c:grouping val="standard"/>
        <c:varyColors val="0"/>
        <c:ser>
          <c:idx val="0"/>
          <c:order val="0"/>
          <c:tx>
            <c:strRef>
              <c:f>'growth parameters'!$B$248</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parameters'!$C$248:$H$248</c:f>
              <c:numCache>
                <c:formatCode>General</c:formatCode>
                <c:ptCount val="6"/>
                <c:pt idx="0">
                  <c:v>7.06</c:v>
                </c:pt>
                <c:pt idx="1">
                  <c:v>4.42</c:v>
                </c:pt>
                <c:pt idx="2">
                  <c:v>3.84</c:v>
                </c:pt>
                <c:pt idx="3">
                  <c:v>3.19</c:v>
                </c:pt>
                <c:pt idx="4">
                  <c:v>0.63</c:v>
                </c:pt>
              </c:numCache>
            </c:numRef>
          </c:val>
          <c:smooth val="0"/>
          <c:extLst>
            <c:ext xmlns:c16="http://schemas.microsoft.com/office/drawing/2014/chart" uri="{C3380CC4-5D6E-409C-BE32-E72D297353CC}">
              <c16:uniqueId val="{00000000-169B-47F6-80E9-9B608B9D34E4}"/>
            </c:ext>
          </c:extLst>
        </c:ser>
        <c:ser>
          <c:idx val="1"/>
          <c:order val="1"/>
          <c:tx>
            <c:strRef>
              <c:f>'growth parameters'!$B$249</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parameters'!$C$249:$H$249</c:f>
              <c:numCache>
                <c:formatCode>General</c:formatCode>
                <c:ptCount val="6"/>
                <c:pt idx="0">
                  <c:v>9.81</c:v>
                </c:pt>
                <c:pt idx="1">
                  <c:v>6.18</c:v>
                </c:pt>
                <c:pt idx="2">
                  <c:v>6.05</c:v>
                </c:pt>
                <c:pt idx="3">
                  <c:v>2.79</c:v>
                </c:pt>
                <c:pt idx="4">
                  <c:v>0.83</c:v>
                </c:pt>
              </c:numCache>
            </c:numRef>
          </c:val>
          <c:smooth val="0"/>
          <c:extLst>
            <c:ext xmlns:c16="http://schemas.microsoft.com/office/drawing/2014/chart" uri="{C3380CC4-5D6E-409C-BE32-E72D297353CC}">
              <c16:uniqueId val="{00000001-169B-47F6-80E9-9B608B9D34E4}"/>
            </c:ext>
          </c:extLst>
        </c:ser>
        <c:ser>
          <c:idx val="2"/>
          <c:order val="2"/>
          <c:tx>
            <c:strRef>
              <c:f>'growth parameters'!$B$250</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parameters'!$C$250:$H$250</c:f>
              <c:numCache>
                <c:formatCode>General</c:formatCode>
                <c:ptCount val="6"/>
                <c:pt idx="0">
                  <c:v>10.039999999999999</c:v>
                </c:pt>
                <c:pt idx="1">
                  <c:v>6.27</c:v>
                </c:pt>
                <c:pt idx="2">
                  <c:v>6.22</c:v>
                </c:pt>
                <c:pt idx="3">
                  <c:v>2.82</c:v>
                </c:pt>
                <c:pt idx="4">
                  <c:v>0.9</c:v>
                </c:pt>
              </c:numCache>
            </c:numRef>
          </c:val>
          <c:smooth val="0"/>
          <c:extLst>
            <c:ext xmlns:c16="http://schemas.microsoft.com/office/drawing/2014/chart" uri="{C3380CC4-5D6E-409C-BE32-E72D297353CC}">
              <c16:uniqueId val="{00000002-169B-47F6-80E9-9B608B9D34E4}"/>
            </c:ext>
          </c:extLst>
        </c:ser>
        <c:ser>
          <c:idx val="3"/>
          <c:order val="3"/>
          <c:tx>
            <c:strRef>
              <c:f>'growth parameters'!$B$251</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parameters'!$C$251:$H$251</c:f>
              <c:numCache>
                <c:formatCode>General</c:formatCode>
                <c:ptCount val="6"/>
                <c:pt idx="0">
                  <c:v>9.2200000000000006</c:v>
                </c:pt>
                <c:pt idx="1">
                  <c:v>5.72</c:v>
                </c:pt>
                <c:pt idx="2">
                  <c:v>5.71</c:v>
                </c:pt>
                <c:pt idx="3">
                  <c:v>2.5499999999999998</c:v>
                </c:pt>
                <c:pt idx="4">
                  <c:v>0.52</c:v>
                </c:pt>
              </c:numCache>
            </c:numRef>
          </c:val>
          <c:smooth val="0"/>
          <c:extLst>
            <c:ext xmlns:c16="http://schemas.microsoft.com/office/drawing/2014/chart" uri="{C3380CC4-5D6E-409C-BE32-E72D297353CC}">
              <c16:uniqueId val="{00000003-169B-47F6-80E9-9B608B9D34E4}"/>
            </c:ext>
          </c:extLst>
        </c:ser>
        <c:ser>
          <c:idx val="4"/>
          <c:order val="4"/>
          <c:tx>
            <c:strRef>
              <c:f>'growth parameters'!$B$252</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parameters'!$C$252:$H$252</c:f>
              <c:numCache>
                <c:formatCode>General</c:formatCode>
                <c:ptCount val="6"/>
                <c:pt idx="0">
                  <c:v>9.11</c:v>
                </c:pt>
                <c:pt idx="1">
                  <c:v>5.66</c:v>
                </c:pt>
                <c:pt idx="2">
                  <c:v>5.66</c:v>
                </c:pt>
                <c:pt idx="3">
                  <c:v>2.5299999999999998</c:v>
                </c:pt>
                <c:pt idx="4">
                  <c:v>0.67</c:v>
                </c:pt>
              </c:numCache>
            </c:numRef>
          </c:val>
          <c:smooth val="0"/>
          <c:extLst>
            <c:ext xmlns:c16="http://schemas.microsoft.com/office/drawing/2014/chart" uri="{C3380CC4-5D6E-409C-BE32-E72D297353CC}">
              <c16:uniqueId val="{00000004-169B-47F6-80E9-9B608B9D34E4}"/>
            </c:ext>
          </c:extLst>
        </c:ser>
        <c:ser>
          <c:idx val="5"/>
          <c:order val="5"/>
          <c:tx>
            <c:strRef>
              <c:f>'growth parameters'!$B$253</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parameters'!$C$253:$H$253</c:f>
              <c:numCache>
                <c:formatCode>General</c:formatCode>
                <c:ptCount val="6"/>
                <c:pt idx="0">
                  <c:v>10.5</c:v>
                </c:pt>
                <c:pt idx="1">
                  <c:v>6.66</c:v>
                </c:pt>
                <c:pt idx="2">
                  <c:v>6.4</c:v>
                </c:pt>
                <c:pt idx="3">
                  <c:v>2.85</c:v>
                </c:pt>
                <c:pt idx="4">
                  <c:v>0.57999999999999996</c:v>
                </c:pt>
              </c:numCache>
            </c:numRef>
          </c:val>
          <c:smooth val="0"/>
          <c:extLst>
            <c:ext xmlns:c16="http://schemas.microsoft.com/office/drawing/2014/chart" uri="{C3380CC4-5D6E-409C-BE32-E72D297353CC}">
              <c16:uniqueId val="{00000005-169B-47F6-80E9-9B608B9D34E4}"/>
            </c:ext>
          </c:extLst>
        </c:ser>
        <c:ser>
          <c:idx val="6"/>
          <c:order val="6"/>
          <c:tx>
            <c:strRef>
              <c:f>'growth parameters'!$B$254</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parameters'!$C$254:$H$254</c:f>
              <c:numCache>
                <c:formatCode>General</c:formatCode>
                <c:ptCount val="6"/>
                <c:pt idx="0">
                  <c:v>9.41</c:v>
                </c:pt>
                <c:pt idx="1">
                  <c:v>5.86</c:v>
                </c:pt>
                <c:pt idx="2">
                  <c:v>5.6</c:v>
                </c:pt>
                <c:pt idx="3">
                  <c:v>2.74</c:v>
                </c:pt>
                <c:pt idx="4">
                  <c:v>0.83</c:v>
                </c:pt>
              </c:numCache>
            </c:numRef>
          </c:val>
          <c:smooth val="0"/>
          <c:extLst>
            <c:ext xmlns:c16="http://schemas.microsoft.com/office/drawing/2014/chart" uri="{C3380CC4-5D6E-409C-BE32-E72D297353CC}">
              <c16:uniqueId val="{00000006-169B-47F6-80E9-9B608B9D34E4}"/>
            </c:ext>
          </c:extLst>
        </c:ser>
        <c:ser>
          <c:idx val="7"/>
          <c:order val="7"/>
          <c:tx>
            <c:strRef>
              <c:f>'growth parameters'!$B$255</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parameters'!$C$247:$H$247</c:f>
              <c:strCache>
                <c:ptCount val="5"/>
                <c:pt idx="0">
                  <c:v>45-65 DAS</c:v>
                </c:pt>
                <c:pt idx="1">
                  <c:v>65-85 DAS</c:v>
                </c:pt>
                <c:pt idx="2">
                  <c:v>105-85 DAS</c:v>
                </c:pt>
                <c:pt idx="3">
                  <c:v>125-105 DAS</c:v>
                </c:pt>
                <c:pt idx="4">
                  <c:v>Harvest-125 DAS</c:v>
                </c:pt>
              </c:strCache>
            </c:strRef>
          </c:cat>
          <c:val>
            <c:numRef>
              <c:f>'growth parameters'!$C$255:$H$255</c:f>
              <c:numCache>
                <c:formatCode>General</c:formatCode>
                <c:ptCount val="6"/>
                <c:pt idx="0">
                  <c:v>9.31</c:v>
                </c:pt>
                <c:pt idx="1">
                  <c:v>5.83</c:v>
                </c:pt>
                <c:pt idx="2">
                  <c:v>5.52</c:v>
                </c:pt>
                <c:pt idx="3">
                  <c:v>2.65</c:v>
                </c:pt>
                <c:pt idx="4">
                  <c:v>0.82</c:v>
                </c:pt>
              </c:numCache>
            </c:numRef>
          </c:val>
          <c:smooth val="0"/>
          <c:extLst>
            <c:ext xmlns:c16="http://schemas.microsoft.com/office/drawing/2014/chart" uri="{C3380CC4-5D6E-409C-BE32-E72D297353CC}">
              <c16:uniqueId val="{00000007-169B-47F6-80E9-9B608B9D34E4}"/>
            </c:ext>
          </c:extLst>
        </c:ser>
        <c:dLbls>
          <c:showLegendKey val="0"/>
          <c:showVal val="0"/>
          <c:showCatName val="0"/>
          <c:showSerName val="0"/>
          <c:showPercent val="0"/>
          <c:showBubbleSize val="0"/>
        </c:dLbls>
        <c:marker val="1"/>
        <c:smooth val="0"/>
        <c:axId val="512775872"/>
        <c:axId val="512767712"/>
      </c:lineChart>
      <c:catAx>
        <c:axId val="512775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767712"/>
        <c:crosses val="autoZero"/>
        <c:auto val="1"/>
        <c:lblAlgn val="ctr"/>
        <c:lblOffset val="100"/>
        <c:noMultiLvlLbl val="0"/>
      </c:catAx>
      <c:valAx>
        <c:axId val="5127677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Net assimilation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775872"/>
        <c:crosses val="autoZero"/>
        <c:crossBetween val="between"/>
      </c:valAx>
      <c:spPr>
        <a:noFill/>
        <a:ln>
          <a:noFill/>
        </a:ln>
        <a:effectLst/>
      </c:spPr>
    </c:plotArea>
    <c:legend>
      <c:legendPos val="b"/>
      <c:layout>
        <c:manualLayout>
          <c:xMode val="edge"/>
          <c:yMode val="edge"/>
          <c:x val="0.11482120529329846"/>
          <c:y val="1.7386900374466458E-2"/>
          <c:w val="0.85188998948658978"/>
          <c:h val="0.127651457894728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75716123330144"/>
          <c:y val="0.18207516444267141"/>
          <c:w val="0.86467874349162333"/>
          <c:h val="0.57470208644674492"/>
        </c:manualLayout>
      </c:layout>
      <c:lineChart>
        <c:grouping val="standard"/>
        <c:varyColors val="0"/>
        <c:ser>
          <c:idx val="0"/>
          <c:order val="0"/>
          <c:tx>
            <c:strRef>
              <c:f>'growth parameters'!$W$248</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parameters'!$X$248:$AC$248</c:f>
              <c:numCache>
                <c:formatCode>General</c:formatCode>
                <c:ptCount val="6"/>
                <c:pt idx="0">
                  <c:v>6.73</c:v>
                </c:pt>
                <c:pt idx="1">
                  <c:v>4.28</c:v>
                </c:pt>
                <c:pt idx="2">
                  <c:v>3.69</c:v>
                </c:pt>
                <c:pt idx="3">
                  <c:v>3.17</c:v>
                </c:pt>
                <c:pt idx="4">
                  <c:v>0.55000000000000004</c:v>
                </c:pt>
              </c:numCache>
            </c:numRef>
          </c:val>
          <c:smooth val="0"/>
          <c:extLst>
            <c:ext xmlns:c16="http://schemas.microsoft.com/office/drawing/2014/chart" uri="{C3380CC4-5D6E-409C-BE32-E72D297353CC}">
              <c16:uniqueId val="{00000000-7B01-4CF8-B39C-5E268440899C}"/>
            </c:ext>
          </c:extLst>
        </c:ser>
        <c:ser>
          <c:idx val="1"/>
          <c:order val="1"/>
          <c:tx>
            <c:strRef>
              <c:f>'growth parameters'!$W$249</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parameters'!$X$249:$AC$249</c:f>
              <c:numCache>
                <c:formatCode>General</c:formatCode>
                <c:ptCount val="6"/>
                <c:pt idx="0">
                  <c:v>9.56</c:v>
                </c:pt>
                <c:pt idx="1">
                  <c:v>6.14</c:v>
                </c:pt>
                <c:pt idx="2">
                  <c:v>6.01</c:v>
                </c:pt>
                <c:pt idx="3">
                  <c:v>2.83</c:v>
                </c:pt>
                <c:pt idx="4">
                  <c:v>0.71</c:v>
                </c:pt>
              </c:numCache>
            </c:numRef>
          </c:val>
          <c:smooth val="0"/>
          <c:extLst>
            <c:ext xmlns:c16="http://schemas.microsoft.com/office/drawing/2014/chart" uri="{C3380CC4-5D6E-409C-BE32-E72D297353CC}">
              <c16:uniqueId val="{00000001-7B01-4CF8-B39C-5E268440899C}"/>
            </c:ext>
          </c:extLst>
        </c:ser>
        <c:ser>
          <c:idx val="2"/>
          <c:order val="2"/>
          <c:tx>
            <c:strRef>
              <c:f>'growth parameters'!$W$250</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parameters'!$X$250:$AC$250</c:f>
              <c:numCache>
                <c:formatCode>General</c:formatCode>
                <c:ptCount val="6"/>
                <c:pt idx="0">
                  <c:v>9.75</c:v>
                </c:pt>
                <c:pt idx="1">
                  <c:v>6.21</c:v>
                </c:pt>
                <c:pt idx="2">
                  <c:v>6.05</c:v>
                </c:pt>
                <c:pt idx="3">
                  <c:v>2.85</c:v>
                </c:pt>
                <c:pt idx="4">
                  <c:v>0.84</c:v>
                </c:pt>
              </c:numCache>
            </c:numRef>
          </c:val>
          <c:smooth val="0"/>
          <c:extLst>
            <c:ext xmlns:c16="http://schemas.microsoft.com/office/drawing/2014/chart" uri="{C3380CC4-5D6E-409C-BE32-E72D297353CC}">
              <c16:uniqueId val="{00000002-7B01-4CF8-B39C-5E268440899C}"/>
            </c:ext>
          </c:extLst>
        </c:ser>
        <c:ser>
          <c:idx val="3"/>
          <c:order val="3"/>
          <c:tx>
            <c:strRef>
              <c:f>'growth parameters'!$W$251</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parameters'!$X$251:$AC$251</c:f>
              <c:numCache>
                <c:formatCode>General</c:formatCode>
                <c:ptCount val="6"/>
                <c:pt idx="0">
                  <c:v>8.92</c:v>
                </c:pt>
                <c:pt idx="1">
                  <c:v>5.6</c:v>
                </c:pt>
                <c:pt idx="2">
                  <c:v>5.57</c:v>
                </c:pt>
                <c:pt idx="3">
                  <c:v>2.56</c:v>
                </c:pt>
                <c:pt idx="4">
                  <c:v>0.47</c:v>
                </c:pt>
              </c:numCache>
            </c:numRef>
          </c:val>
          <c:smooth val="0"/>
          <c:extLst>
            <c:ext xmlns:c16="http://schemas.microsoft.com/office/drawing/2014/chart" uri="{C3380CC4-5D6E-409C-BE32-E72D297353CC}">
              <c16:uniqueId val="{00000003-7B01-4CF8-B39C-5E268440899C}"/>
            </c:ext>
          </c:extLst>
        </c:ser>
        <c:ser>
          <c:idx val="4"/>
          <c:order val="4"/>
          <c:tx>
            <c:strRef>
              <c:f>'growth parameters'!$W$252</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parameters'!$X$252:$AC$252</c:f>
              <c:numCache>
                <c:formatCode>General</c:formatCode>
                <c:ptCount val="6"/>
                <c:pt idx="0">
                  <c:v>8.8000000000000007</c:v>
                </c:pt>
                <c:pt idx="1">
                  <c:v>5.53</c:v>
                </c:pt>
                <c:pt idx="2">
                  <c:v>5.51</c:v>
                </c:pt>
                <c:pt idx="3">
                  <c:v>2.54</c:v>
                </c:pt>
                <c:pt idx="4">
                  <c:v>0.62</c:v>
                </c:pt>
              </c:numCache>
            </c:numRef>
          </c:val>
          <c:smooth val="0"/>
          <c:extLst>
            <c:ext xmlns:c16="http://schemas.microsoft.com/office/drawing/2014/chart" uri="{C3380CC4-5D6E-409C-BE32-E72D297353CC}">
              <c16:uniqueId val="{00000004-7B01-4CF8-B39C-5E268440899C}"/>
            </c:ext>
          </c:extLst>
        </c:ser>
        <c:ser>
          <c:idx val="5"/>
          <c:order val="5"/>
          <c:tx>
            <c:strRef>
              <c:f>'growth parameters'!$W$253</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parameters'!$X$253:$AC$253</c:f>
              <c:numCache>
                <c:formatCode>General</c:formatCode>
                <c:ptCount val="6"/>
                <c:pt idx="0">
                  <c:v>10.37</c:v>
                </c:pt>
                <c:pt idx="1">
                  <c:v>6.57</c:v>
                </c:pt>
                <c:pt idx="2">
                  <c:v>6.2</c:v>
                </c:pt>
                <c:pt idx="3">
                  <c:v>2.91</c:v>
                </c:pt>
                <c:pt idx="4">
                  <c:v>0.69</c:v>
                </c:pt>
              </c:numCache>
            </c:numRef>
          </c:val>
          <c:smooth val="0"/>
          <c:extLst>
            <c:ext xmlns:c16="http://schemas.microsoft.com/office/drawing/2014/chart" uri="{C3380CC4-5D6E-409C-BE32-E72D297353CC}">
              <c16:uniqueId val="{00000005-7B01-4CF8-B39C-5E268440899C}"/>
            </c:ext>
          </c:extLst>
        </c:ser>
        <c:ser>
          <c:idx val="6"/>
          <c:order val="6"/>
          <c:tx>
            <c:strRef>
              <c:f>'growth parameters'!$W$254</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parameters'!$X$254:$AC$254</c:f>
              <c:numCache>
                <c:formatCode>General</c:formatCode>
                <c:ptCount val="6"/>
                <c:pt idx="0">
                  <c:v>9.1999999999999993</c:v>
                </c:pt>
                <c:pt idx="1">
                  <c:v>5.75</c:v>
                </c:pt>
                <c:pt idx="2">
                  <c:v>5.41</c:v>
                </c:pt>
                <c:pt idx="3">
                  <c:v>2.76</c:v>
                </c:pt>
                <c:pt idx="4">
                  <c:v>0.74</c:v>
                </c:pt>
              </c:numCache>
            </c:numRef>
          </c:val>
          <c:smooth val="0"/>
          <c:extLst>
            <c:ext xmlns:c16="http://schemas.microsoft.com/office/drawing/2014/chart" uri="{C3380CC4-5D6E-409C-BE32-E72D297353CC}">
              <c16:uniqueId val="{00000006-7B01-4CF8-B39C-5E268440899C}"/>
            </c:ext>
          </c:extLst>
        </c:ser>
        <c:ser>
          <c:idx val="7"/>
          <c:order val="7"/>
          <c:tx>
            <c:strRef>
              <c:f>'growth parameters'!$W$255</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parameters'!$X$247:$AC$247</c:f>
              <c:strCache>
                <c:ptCount val="5"/>
                <c:pt idx="0">
                  <c:v>45-65 DAS</c:v>
                </c:pt>
                <c:pt idx="1">
                  <c:v>65-85 DAS</c:v>
                </c:pt>
                <c:pt idx="2">
                  <c:v>105-85 DAS</c:v>
                </c:pt>
                <c:pt idx="3">
                  <c:v>125-105 DAS</c:v>
                </c:pt>
                <c:pt idx="4">
                  <c:v>Harvest-125 DAS</c:v>
                </c:pt>
              </c:strCache>
            </c:strRef>
          </c:cat>
          <c:val>
            <c:numRef>
              <c:f>'growth parameters'!$X$255:$AC$255</c:f>
              <c:numCache>
                <c:formatCode>General</c:formatCode>
                <c:ptCount val="6"/>
                <c:pt idx="0">
                  <c:v>9.0299999999999994</c:v>
                </c:pt>
                <c:pt idx="1">
                  <c:v>5.71</c:v>
                </c:pt>
                <c:pt idx="2">
                  <c:v>5.39</c:v>
                </c:pt>
                <c:pt idx="3">
                  <c:v>2.66</c:v>
                </c:pt>
                <c:pt idx="4">
                  <c:v>0.8</c:v>
                </c:pt>
              </c:numCache>
            </c:numRef>
          </c:val>
          <c:smooth val="0"/>
          <c:extLst>
            <c:ext xmlns:c16="http://schemas.microsoft.com/office/drawing/2014/chart" uri="{C3380CC4-5D6E-409C-BE32-E72D297353CC}">
              <c16:uniqueId val="{00000007-7B01-4CF8-B39C-5E268440899C}"/>
            </c:ext>
          </c:extLst>
        </c:ser>
        <c:dLbls>
          <c:showLegendKey val="0"/>
          <c:showVal val="0"/>
          <c:showCatName val="0"/>
          <c:showSerName val="0"/>
          <c:showPercent val="0"/>
          <c:showBubbleSize val="0"/>
        </c:dLbls>
        <c:marker val="1"/>
        <c:smooth val="0"/>
        <c:axId val="512791232"/>
        <c:axId val="512778752"/>
      </c:lineChart>
      <c:catAx>
        <c:axId val="512791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778752"/>
        <c:crosses val="autoZero"/>
        <c:auto val="1"/>
        <c:lblAlgn val="ctr"/>
        <c:lblOffset val="100"/>
        <c:noMultiLvlLbl val="0"/>
      </c:catAx>
      <c:valAx>
        <c:axId val="5127787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Net assimilation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2791232"/>
        <c:crosses val="autoZero"/>
        <c:crossBetween val="between"/>
      </c:valAx>
      <c:spPr>
        <a:noFill/>
        <a:ln>
          <a:noFill/>
        </a:ln>
        <a:effectLst/>
      </c:spPr>
    </c:plotArea>
    <c:legend>
      <c:legendPos val="b"/>
      <c:layout>
        <c:manualLayout>
          <c:xMode val="edge"/>
          <c:yMode val="edge"/>
          <c:x val="0.14816260103772225"/>
          <c:y val="9.4705888769590612E-3"/>
          <c:w val="0.81444399291128833"/>
          <c:h val="0.1276514578947286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33092738407699"/>
          <c:y val="0.19907407407407407"/>
          <c:w val="0.85211351706036742"/>
          <c:h val="0.58762321376494608"/>
        </c:manualLayout>
      </c:layout>
      <c:lineChart>
        <c:grouping val="standard"/>
        <c:varyColors val="0"/>
        <c:ser>
          <c:idx val="0"/>
          <c:order val="0"/>
          <c:tx>
            <c:strRef>
              <c:f>'growth parameters'!$X$123</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parameters'!$Y$122:$AC$122</c:f>
              <c:strCache>
                <c:ptCount val="5"/>
                <c:pt idx="0">
                  <c:v>45 DAS</c:v>
                </c:pt>
                <c:pt idx="1">
                  <c:v>65 DAS</c:v>
                </c:pt>
                <c:pt idx="2">
                  <c:v>85 DAS</c:v>
                </c:pt>
                <c:pt idx="3">
                  <c:v>105 DAS</c:v>
                </c:pt>
                <c:pt idx="4">
                  <c:v>125 DAS</c:v>
                </c:pt>
              </c:strCache>
            </c:strRef>
          </c:cat>
          <c:val>
            <c:numRef>
              <c:f>'growth parameters'!$Y$123:$AC$123</c:f>
              <c:numCache>
                <c:formatCode>General</c:formatCode>
                <c:ptCount val="5"/>
                <c:pt idx="0">
                  <c:v>2.33</c:v>
                </c:pt>
                <c:pt idx="1">
                  <c:v>3.04</c:v>
                </c:pt>
                <c:pt idx="2">
                  <c:v>4.1500000000000004</c:v>
                </c:pt>
                <c:pt idx="3">
                  <c:v>3.27</c:v>
                </c:pt>
                <c:pt idx="4">
                  <c:v>1.55</c:v>
                </c:pt>
              </c:numCache>
            </c:numRef>
          </c:val>
          <c:smooth val="0"/>
          <c:extLst>
            <c:ext xmlns:c16="http://schemas.microsoft.com/office/drawing/2014/chart" uri="{C3380CC4-5D6E-409C-BE32-E72D297353CC}">
              <c16:uniqueId val="{00000000-299A-467F-9535-FD7F8E524DD8}"/>
            </c:ext>
          </c:extLst>
        </c:ser>
        <c:ser>
          <c:idx val="1"/>
          <c:order val="1"/>
          <c:tx>
            <c:strRef>
              <c:f>'growth parameters'!$X$124</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parameters'!$Y$122:$AC$122</c:f>
              <c:strCache>
                <c:ptCount val="5"/>
                <c:pt idx="0">
                  <c:v>45 DAS</c:v>
                </c:pt>
                <c:pt idx="1">
                  <c:v>65 DAS</c:v>
                </c:pt>
                <c:pt idx="2">
                  <c:v>85 DAS</c:v>
                </c:pt>
                <c:pt idx="3">
                  <c:v>105 DAS</c:v>
                </c:pt>
                <c:pt idx="4">
                  <c:v>125 DAS</c:v>
                </c:pt>
              </c:strCache>
            </c:strRef>
          </c:cat>
          <c:val>
            <c:numRef>
              <c:f>'growth parameters'!$Y$124:$AC$124</c:f>
              <c:numCache>
                <c:formatCode>General</c:formatCode>
                <c:ptCount val="5"/>
                <c:pt idx="0">
                  <c:v>2.04</c:v>
                </c:pt>
                <c:pt idx="1">
                  <c:v>2.73</c:v>
                </c:pt>
                <c:pt idx="2">
                  <c:v>3.73</c:v>
                </c:pt>
                <c:pt idx="3">
                  <c:v>2.96</c:v>
                </c:pt>
                <c:pt idx="4">
                  <c:v>1.38</c:v>
                </c:pt>
              </c:numCache>
            </c:numRef>
          </c:val>
          <c:smooth val="0"/>
          <c:extLst>
            <c:ext xmlns:c16="http://schemas.microsoft.com/office/drawing/2014/chart" uri="{C3380CC4-5D6E-409C-BE32-E72D297353CC}">
              <c16:uniqueId val="{00000001-299A-467F-9535-FD7F8E524DD8}"/>
            </c:ext>
          </c:extLst>
        </c:ser>
        <c:dLbls>
          <c:showLegendKey val="0"/>
          <c:showVal val="0"/>
          <c:showCatName val="0"/>
          <c:showSerName val="0"/>
          <c:showPercent val="0"/>
          <c:showBubbleSize val="0"/>
        </c:dLbls>
        <c:marker val="1"/>
        <c:smooth val="0"/>
        <c:axId val="368343232"/>
        <c:axId val="368332672"/>
      </c:lineChart>
      <c:catAx>
        <c:axId val="368343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32672"/>
        <c:crosses val="autoZero"/>
        <c:auto val="1"/>
        <c:lblAlgn val="ctr"/>
        <c:lblOffset val="100"/>
        <c:noMultiLvlLbl val="0"/>
      </c:catAx>
      <c:valAx>
        <c:axId val="368332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Leaf area index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43232"/>
        <c:crosses val="autoZero"/>
        <c:crossBetween val="between"/>
      </c:valAx>
      <c:spPr>
        <a:noFill/>
        <a:ln>
          <a:noFill/>
        </a:ln>
        <a:effectLst/>
      </c:spPr>
    </c:plotArea>
    <c:legend>
      <c:legendPos val="b"/>
      <c:layout>
        <c:manualLayout>
          <c:xMode val="edge"/>
          <c:yMode val="edge"/>
          <c:x val="0.33191054243219598"/>
          <c:y val="3.7615193934091531E-2"/>
          <c:w val="0.375067585301837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33744104951372"/>
          <c:y val="0.17864581135427191"/>
          <c:w val="0.87204875258229597"/>
          <c:h val="0.59732321227158647"/>
        </c:manualLayout>
      </c:layout>
      <c:lineChart>
        <c:grouping val="standard"/>
        <c:varyColors val="0"/>
        <c:ser>
          <c:idx val="0"/>
          <c:order val="0"/>
          <c:tx>
            <c:strRef>
              <c:f>'growth parameters'!$B$145</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parameters'!$C$144:$G$144</c:f>
              <c:strCache>
                <c:ptCount val="5"/>
                <c:pt idx="0">
                  <c:v>45 DAS</c:v>
                </c:pt>
                <c:pt idx="1">
                  <c:v>65 DAS</c:v>
                </c:pt>
                <c:pt idx="2">
                  <c:v>85 DAS</c:v>
                </c:pt>
                <c:pt idx="3">
                  <c:v>105 DAS</c:v>
                </c:pt>
                <c:pt idx="4">
                  <c:v>125 DAS</c:v>
                </c:pt>
              </c:strCache>
            </c:strRef>
          </c:cat>
          <c:val>
            <c:numRef>
              <c:f>'growth parameters'!$C$145:$G$145</c:f>
              <c:numCache>
                <c:formatCode>General</c:formatCode>
                <c:ptCount val="5"/>
                <c:pt idx="0">
                  <c:v>1.17</c:v>
                </c:pt>
                <c:pt idx="1">
                  <c:v>1.94</c:v>
                </c:pt>
                <c:pt idx="2">
                  <c:v>2.79</c:v>
                </c:pt>
                <c:pt idx="3">
                  <c:v>2.0499999999999998</c:v>
                </c:pt>
                <c:pt idx="4">
                  <c:v>0.84</c:v>
                </c:pt>
              </c:numCache>
            </c:numRef>
          </c:val>
          <c:smooth val="0"/>
          <c:extLst>
            <c:ext xmlns:c16="http://schemas.microsoft.com/office/drawing/2014/chart" uri="{C3380CC4-5D6E-409C-BE32-E72D297353CC}">
              <c16:uniqueId val="{00000000-AE73-45EE-A23E-E7AC55B3D9BF}"/>
            </c:ext>
          </c:extLst>
        </c:ser>
        <c:ser>
          <c:idx val="1"/>
          <c:order val="1"/>
          <c:tx>
            <c:strRef>
              <c:f>'growth parameters'!$B$146</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parameters'!$C$144:$G$144</c:f>
              <c:strCache>
                <c:ptCount val="5"/>
                <c:pt idx="0">
                  <c:v>45 DAS</c:v>
                </c:pt>
                <c:pt idx="1">
                  <c:v>65 DAS</c:v>
                </c:pt>
                <c:pt idx="2">
                  <c:v>85 DAS</c:v>
                </c:pt>
                <c:pt idx="3">
                  <c:v>105 DAS</c:v>
                </c:pt>
                <c:pt idx="4">
                  <c:v>125 DAS</c:v>
                </c:pt>
              </c:strCache>
            </c:strRef>
          </c:cat>
          <c:val>
            <c:numRef>
              <c:f>'growth parameters'!$C$146:$G$146</c:f>
              <c:numCache>
                <c:formatCode>General</c:formatCode>
                <c:ptCount val="5"/>
                <c:pt idx="0">
                  <c:v>2.1</c:v>
                </c:pt>
                <c:pt idx="1">
                  <c:v>2.79</c:v>
                </c:pt>
                <c:pt idx="2">
                  <c:v>3.86</c:v>
                </c:pt>
                <c:pt idx="3">
                  <c:v>3.09</c:v>
                </c:pt>
                <c:pt idx="4">
                  <c:v>1.44</c:v>
                </c:pt>
              </c:numCache>
            </c:numRef>
          </c:val>
          <c:smooth val="0"/>
          <c:extLst>
            <c:ext xmlns:c16="http://schemas.microsoft.com/office/drawing/2014/chart" uri="{C3380CC4-5D6E-409C-BE32-E72D297353CC}">
              <c16:uniqueId val="{00000001-AE73-45EE-A23E-E7AC55B3D9BF}"/>
            </c:ext>
          </c:extLst>
        </c:ser>
        <c:ser>
          <c:idx val="2"/>
          <c:order val="2"/>
          <c:tx>
            <c:strRef>
              <c:f>'growth parameters'!$B$147</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parameters'!$C$144:$G$144</c:f>
              <c:strCache>
                <c:ptCount val="5"/>
                <c:pt idx="0">
                  <c:v>45 DAS</c:v>
                </c:pt>
                <c:pt idx="1">
                  <c:v>65 DAS</c:v>
                </c:pt>
                <c:pt idx="2">
                  <c:v>85 DAS</c:v>
                </c:pt>
                <c:pt idx="3">
                  <c:v>105 DAS</c:v>
                </c:pt>
                <c:pt idx="4">
                  <c:v>125 DAS</c:v>
                </c:pt>
              </c:strCache>
            </c:strRef>
          </c:cat>
          <c:val>
            <c:numRef>
              <c:f>'growth parameters'!$C$147:$G$147</c:f>
              <c:numCache>
                <c:formatCode>General</c:formatCode>
                <c:ptCount val="5"/>
                <c:pt idx="0">
                  <c:v>2.12</c:v>
                </c:pt>
                <c:pt idx="1">
                  <c:v>2.85</c:v>
                </c:pt>
                <c:pt idx="2">
                  <c:v>3.92</c:v>
                </c:pt>
                <c:pt idx="3">
                  <c:v>3.15</c:v>
                </c:pt>
                <c:pt idx="4">
                  <c:v>1.48</c:v>
                </c:pt>
              </c:numCache>
            </c:numRef>
          </c:val>
          <c:smooth val="0"/>
          <c:extLst>
            <c:ext xmlns:c16="http://schemas.microsoft.com/office/drawing/2014/chart" uri="{C3380CC4-5D6E-409C-BE32-E72D297353CC}">
              <c16:uniqueId val="{00000002-AE73-45EE-A23E-E7AC55B3D9BF}"/>
            </c:ext>
          </c:extLst>
        </c:ser>
        <c:ser>
          <c:idx val="3"/>
          <c:order val="3"/>
          <c:tx>
            <c:strRef>
              <c:f>'growth parameters'!$B$148</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parameters'!$C$144:$G$144</c:f>
              <c:strCache>
                <c:ptCount val="5"/>
                <c:pt idx="0">
                  <c:v>45 DAS</c:v>
                </c:pt>
                <c:pt idx="1">
                  <c:v>65 DAS</c:v>
                </c:pt>
                <c:pt idx="2">
                  <c:v>85 DAS</c:v>
                </c:pt>
                <c:pt idx="3">
                  <c:v>105 DAS</c:v>
                </c:pt>
                <c:pt idx="4">
                  <c:v>125 DAS</c:v>
                </c:pt>
              </c:strCache>
            </c:strRef>
          </c:cat>
          <c:val>
            <c:numRef>
              <c:f>'growth parameters'!$C$148:$G$148</c:f>
              <c:numCache>
                <c:formatCode>General</c:formatCode>
                <c:ptCount val="5"/>
                <c:pt idx="0">
                  <c:v>2.5299999999999998</c:v>
                </c:pt>
                <c:pt idx="1">
                  <c:v>3.13</c:v>
                </c:pt>
                <c:pt idx="2">
                  <c:v>4.2300000000000004</c:v>
                </c:pt>
                <c:pt idx="3">
                  <c:v>3.47</c:v>
                </c:pt>
                <c:pt idx="4">
                  <c:v>1.63</c:v>
                </c:pt>
              </c:numCache>
            </c:numRef>
          </c:val>
          <c:smooth val="0"/>
          <c:extLst>
            <c:ext xmlns:c16="http://schemas.microsoft.com/office/drawing/2014/chart" uri="{C3380CC4-5D6E-409C-BE32-E72D297353CC}">
              <c16:uniqueId val="{00000003-AE73-45EE-A23E-E7AC55B3D9BF}"/>
            </c:ext>
          </c:extLst>
        </c:ser>
        <c:ser>
          <c:idx val="4"/>
          <c:order val="4"/>
          <c:tx>
            <c:strRef>
              <c:f>'growth parameters'!$B$149</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parameters'!$C$144:$G$144</c:f>
              <c:strCache>
                <c:ptCount val="5"/>
                <c:pt idx="0">
                  <c:v>45 DAS</c:v>
                </c:pt>
                <c:pt idx="1">
                  <c:v>65 DAS</c:v>
                </c:pt>
                <c:pt idx="2">
                  <c:v>85 DAS</c:v>
                </c:pt>
                <c:pt idx="3">
                  <c:v>105 DAS</c:v>
                </c:pt>
                <c:pt idx="4">
                  <c:v>125 DAS</c:v>
                </c:pt>
              </c:strCache>
            </c:strRef>
          </c:cat>
          <c:val>
            <c:numRef>
              <c:f>'growth parameters'!$C$149:$G$149</c:f>
              <c:numCache>
                <c:formatCode>General</c:formatCode>
                <c:ptCount val="5"/>
                <c:pt idx="0">
                  <c:v>2.6</c:v>
                </c:pt>
                <c:pt idx="1">
                  <c:v>3.18</c:v>
                </c:pt>
                <c:pt idx="2">
                  <c:v>4.29</c:v>
                </c:pt>
                <c:pt idx="3">
                  <c:v>3.53</c:v>
                </c:pt>
                <c:pt idx="4">
                  <c:v>1.65</c:v>
                </c:pt>
              </c:numCache>
            </c:numRef>
          </c:val>
          <c:smooth val="0"/>
          <c:extLst>
            <c:ext xmlns:c16="http://schemas.microsoft.com/office/drawing/2014/chart" uri="{C3380CC4-5D6E-409C-BE32-E72D297353CC}">
              <c16:uniqueId val="{00000004-AE73-45EE-A23E-E7AC55B3D9BF}"/>
            </c:ext>
          </c:extLst>
        </c:ser>
        <c:ser>
          <c:idx val="5"/>
          <c:order val="5"/>
          <c:tx>
            <c:strRef>
              <c:f>'growth parameters'!$B$150</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parameters'!$C$144:$G$144</c:f>
              <c:strCache>
                <c:ptCount val="5"/>
                <c:pt idx="0">
                  <c:v>45 DAS</c:v>
                </c:pt>
                <c:pt idx="1">
                  <c:v>65 DAS</c:v>
                </c:pt>
                <c:pt idx="2">
                  <c:v>85 DAS</c:v>
                </c:pt>
                <c:pt idx="3">
                  <c:v>105 DAS</c:v>
                </c:pt>
                <c:pt idx="4">
                  <c:v>125 DAS</c:v>
                </c:pt>
              </c:strCache>
            </c:strRef>
          </c:cat>
          <c:val>
            <c:numRef>
              <c:f>'growth parameters'!$C$150:$G$150</c:f>
              <c:numCache>
                <c:formatCode>General</c:formatCode>
                <c:ptCount val="5"/>
                <c:pt idx="0">
                  <c:v>1.74</c:v>
                </c:pt>
                <c:pt idx="1">
                  <c:v>2.5</c:v>
                </c:pt>
                <c:pt idx="2">
                  <c:v>3.5</c:v>
                </c:pt>
                <c:pt idx="3">
                  <c:v>2.75</c:v>
                </c:pt>
                <c:pt idx="4">
                  <c:v>1.22</c:v>
                </c:pt>
              </c:numCache>
            </c:numRef>
          </c:val>
          <c:smooth val="0"/>
          <c:extLst>
            <c:ext xmlns:c16="http://schemas.microsoft.com/office/drawing/2014/chart" uri="{C3380CC4-5D6E-409C-BE32-E72D297353CC}">
              <c16:uniqueId val="{00000005-AE73-45EE-A23E-E7AC55B3D9BF}"/>
            </c:ext>
          </c:extLst>
        </c:ser>
        <c:ser>
          <c:idx val="6"/>
          <c:order val="6"/>
          <c:tx>
            <c:strRef>
              <c:f>'growth parameters'!$B$151</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parameters'!$C$144:$G$144</c:f>
              <c:strCache>
                <c:ptCount val="5"/>
                <c:pt idx="0">
                  <c:v>45 DAS</c:v>
                </c:pt>
                <c:pt idx="1">
                  <c:v>65 DAS</c:v>
                </c:pt>
                <c:pt idx="2">
                  <c:v>85 DAS</c:v>
                </c:pt>
                <c:pt idx="3">
                  <c:v>105 DAS</c:v>
                </c:pt>
                <c:pt idx="4">
                  <c:v>125 DAS</c:v>
                </c:pt>
              </c:strCache>
            </c:strRef>
          </c:cat>
          <c:val>
            <c:numRef>
              <c:f>'growth parameters'!$C$151:$G$151</c:f>
              <c:numCache>
                <c:formatCode>General</c:formatCode>
                <c:ptCount val="5"/>
                <c:pt idx="0">
                  <c:v>2.33</c:v>
                </c:pt>
                <c:pt idx="1">
                  <c:v>2.97</c:v>
                </c:pt>
                <c:pt idx="2">
                  <c:v>4.07</c:v>
                </c:pt>
                <c:pt idx="3">
                  <c:v>3.31</c:v>
                </c:pt>
                <c:pt idx="4">
                  <c:v>1.57</c:v>
                </c:pt>
              </c:numCache>
            </c:numRef>
          </c:val>
          <c:smooth val="0"/>
          <c:extLst>
            <c:ext xmlns:c16="http://schemas.microsoft.com/office/drawing/2014/chart" uri="{C3380CC4-5D6E-409C-BE32-E72D297353CC}">
              <c16:uniqueId val="{00000006-AE73-45EE-A23E-E7AC55B3D9BF}"/>
            </c:ext>
          </c:extLst>
        </c:ser>
        <c:ser>
          <c:idx val="7"/>
          <c:order val="7"/>
          <c:tx>
            <c:strRef>
              <c:f>'growth parameters'!$B$152</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parameters'!$C$144:$G$144</c:f>
              <c:strCache>
                <c:ptCount val="5"/>
                <c:pt idx="0">
                  <c:v>45 DAS</c:v>
                </c:pt>
                <c:pt idx="1">
                  <c:v>65 DAS</c:v>
                </c:pt>
                <c:pt idx="2">
                  <c:v>85 DAS</c:v>
                </c:pt>
                <c:pt idx="3">
                  <c:v>105 DAS</c:v>
                </c:pt>
                <c:pt idx="4">
                  <c:v>125 DAS</c:v>
                </c:pt>
              </c:strCache>
            </c:strRef>
          </c:cat>
          <c:val>
            <c:numRef>
              <c:f>'growth parameters'!$C$152:$G$152</c:f>
              <c:numCache>
                <c:formatCode>General</c:formatCode>
                <c:ptCount val="5"/>
                <c:pt idx="0">
                  <c:v>2.36</c:v>
                </c:pt>
                <c:pt idx="1">
                  <c:v>3.04</c:v>
                </c:pt>
                <c:pt idx="2">
                  <c:v>4.12</c:v>
                </c:pt>
                <c:pt idx="3">
                  <c:v>3.36</c:v>
                </c:pt>
                <c:pt idx="4">
                  <c:v>1.6</c:v>
                </c:pt>
              </c:numCache>
            </c:numRef>
          </c:val>
          <c:smooth val="0"/>
          <c:extLst>
            <c:ext xmlns:c16="http://schemas.microsoft.com/office/drawing/2014/chart" uri="{C3380CC4-5D6E-409C-BE32-E72D297353CC}">
              <c16:uniqueId val="{00000007-AE73-45EE-A23E-E7AC55B3D9BF}"/>
            </c:ext>
          </c:extLst>
        </c:ser>
        <c:dLbls>
          <c:showLegendKey val="0"/>
          <c:showVal val="0"/>
          <c:showCatName val="0"/>
          <c:showSerName val="0"/>
          <c:showPercent val="0"/>
          <c:showBubbleSize val="0"/>
        </c:dLbls>
        <c:marker val="1"/>
        <c:smooth val="0"/>
        <c:axId val="368284672"/>
        <c:axId val="368285152"/>
      </c:lineChart>
      <c:catAx>
        <c:axId val="368284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285152"/>
        <c:crosses val="autoZero"/>
        <c:auto val="1"/>
        <c:lblAlgn val="ctr"/>
        <c:lblOffset val="100"/>
        <c:noMultiLvlLbl val="0"/>
      </c:catAx>
      <c:valAx>
        <c:axId val="3682851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Leaf area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284672"/>
        <c:crosses val="autoZero"/>
        <c:crossBetween val="between"/>
      </c:valAx>
      <c:spPr>
        <a:noFill/>
        <a:ln>
          <a:noFill/>
        </a:ln>
        <a:effectLst/>
      </c:spPr>
    </c:plotArea>
    <c:legend>
      <c:legendPos val="b"/>
      <c:layout>
        <c:manualLayout>
          <c:xMode val="edge"/>
          <c:yMode val="edge"/>
          <c:x val="0.13710846306729982"/>
          <c:y val="1.4712801667552247E-2"/>
          <c:w val="0.81623829933816172"/>
          <c:h val="0.117578971754555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123329239761298E-2"/>
          <c:y val="0.19300482737212585"/>
          <c:w val="0.88547667024713916"/>
          <c:h val="0.58736817457902968"/>
        </c:manualLayout>
      </c:layout>
      <c:lineChart>
        <c:grouping val="standard"/>
        <c:varyColors val="0"/>
        <c:ser>
          <c:idx val="0"/>
          <c:order val="0"/>
          <c:tx>
            <c:strRef>
              <c:f>'growth parameters'!$V$145</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parameters'!$W$144:$AA$144</c:f>
              <c:strCache>
                <c:ptCount val="5"/>
                <c:pt idx="0">
                  <c:v>45 DAS</c:v>
                </c:pt>
                <c:pt idx="1">
                  <c:v>65 DAS</c:v>
                </c:pt>
                <c:pt idx="2">
                  <c:v>85 DAS</c:v>
                </c:pt>
                <c:pt idx="3">
                  <c:v>105 DAS</c:v>
                </c:pt>
                <c:pt idx="4">
                  <c:v>125 DAS</c:v>
                </c:pt>
              </c:strCache>
            </c:strRef>
          </c:cat>
          <c:val>
            <c:numRef>
              <c:f>'growth parameters'!$W$145:$AA$145</c:f>
              <c:numCache>
                <c:formatCode>General</c:formatCode>
                <c:ptCount val="5"/>
                <c:pt idx="0">
                  <c:v>1.25</c:v>
                </c:pt>
                <c:pt idx="1">
                  <c:v>2.04</c:v>
                </c:pt>
                <c:pt idx="2">
                  <c:v>2.9</c:v>
                </c:pt>
                <c:pt idx="3">
                  <c:v>2.11</c:v>
                </c:pt>
                <c:pt idx="4">
                  <c:v>0.87</c:v>
                </c:pt>
              </c:numCache>
            </c:numRef>
          </c:val>
          <c:smooth val="0"/>
          <c:extLst>
            <c:ext xmlns:c16="http://schemas.microsoft.com/office/drawing/2014/chart" uri="{C3380CC4-5D6E-409C-BE32-E72D297353CC}">
              <c16:uniqueId val="{00000000-2B2E-4CD6-B889-4F5178500193}"/>
            </c:ext>
          </c:extLst>
        </c:ser>
        <c:ser>
          <c:idx val="1"/>
          <c:order val="1"/>
          <c:tx>
            <c:strRef>
              <c:f>'growth parameters'!$V$146</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parameters'!$W$144:$AA$144</c:f>
              <c:strCache>
                <c:ptCount val="5"/>
                <c:pt idx="0">
                  <c:v>45 DAS</c:v>
                </c:pt>
                <c:pt idx="1">
                  <c:v>65 DAS</c:v>
                </c:pt>
                <c:pt idx="2">
                  <c:v>85 DAS</c:v>
                </c:pt>
                <c:pt idx="3">
                  <c:v>105 DAS</c:v>
                </c:pt>
                <c:pt idx="4">
                  <c:v>125 DAS</c:v>
                </c:pt>
              </c:strCache>
            </c:strRef>
          </c:cat>
          <c:val>
            <c:numRef>
              <c:f>'growth parameters'!$W$146:$AA$146</c:f>
              <c:numCache>
                <c:formatCode>General</c:formatCode>
                <c:ptCount val="5"/>
                <c:pt idx="0">
                  <c:v>2.16</c:v>
                </c:pt>
                <c:pt idx="1">
                  <c:v>2.88</c:v>
                </c:pt>
                <c:pt idx="2">
                  <c:v>3.96</c:v>
                </c:pt>
                <c:pt idx="3">
                  <c:v>3.11</c:v>
                </c:pt>
                <c:pt idx="4">
                  <c:v>1.45</c:v>
                </c:pt>
              </c:numCache>
            </c:numRef>
          </c:val>
          <c:smooth val="0"/>
          <c:extLst>
            <c:ext xmlns:c16="http://schemas.microsoft.com/office/drawing/2014/chart" uri="{C3380CC4-5D6E-409C-BE32-E72D297353CC}">
              <c16:uniqueId val="{00000001-2B2E-4CD6-B889-4F5178500193}"/>
            </c:ext>
          </c:extLst>
        </c:ser>
        <c:ser>
          <c:idx val="2"/>
          <c:order val="2"/>
          <c:tx>
            <c:strRef>
              <c:f>'growth parameters'!$V$147</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parameters'!$W$144:$AA$144</c:f>
              <c:strCache>
                <c:ptCount val="5"/>
                <c:pt idx="0">
                  <c:v>45 DAS</c:v>
                </c:pt>
                <c:pt idx="1">
                  <c:v>65 DAS</c:v>
                </c:pt>
                <c:pt idx="2">
                  <c:v>85 DAS</c:v>
                </c:pt>
                <c:pt idx="3">
                  <c:v>105 DAS</c:v>
                </c:pt>
                <c:pt idx="4">
                  <c:v>125 DAS</c:v>
                </c:pt>
              </c:strCache>
            </c:strRef>
          </c:cat>
          <c:val>
            <c:numRef>
              <c:f>'growth parameters'!$W$147:$AA$147</c:f>
              <c:numCache>
                <c:formatCode>General</c:formatCode>
                <c:ptCount val="5"/>
                <c:pt idx="0">
                  <c:v>2.17</c:v>
                </c:pt>
                <c:pt idx="1">
                  <c:v>2.92</c:v>
                </c:pt>
                <c:pt idx="2">
                  <c:v>3.99</c:v>
                </c:pt>
                <c:pt idx="3">
                  <c:v>3.13</c:v>
                </c:pt>
                <c:pt idx="4">
                  <c:v>1.49</c:v>
                </c:pt>
              </c:numCache>
            </c:numRef>
          </c:val>
          <c:smooth val="0"/>
          <c:extLst>
            <c:ext xmlns:c16="http://schemas.microsoft.com/office/drawing/2014/chart" uri="{C3380CC4-5D6E-409C-BE32-E72D297353CC}">
              <c16:uniqueId val="{00000002-2B2E-4CD6-B889-4F5178500193}"/>
            </c:ext>
          </c:extLst>
        </c:ser>
        <c:ser>
          <c:idx val="3"/>
          <c:order val="3"/>
          <c:tx>
            <c:strRef>
              <c:f>'growth parameters'!$V$148</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parameters'!$W$144:$AA$144</c:f>
              <c:strCache>
                <c:ptCount val="5"/>
                <c:pt idx="0">
                  <c:v>45 DAS</c:v>
                </c:pt>
                <c:pt idx="1">
                  <c:v>65 DAS</c:v>
                </c:pt>
                <c:pt idx="2">
                  <c:v>85 DAS</c:v>
                </c:pt>
                <c:pt idx="3">
                  <c:v>105 DAS</c:v>
                </c:pt>
                <c:pt idx="4">
                  <c:v>125 DAS</c:v>
                </c:pt>
              </c:strCache>
            </c:strRef>
          </c:cat>
          <c:val>
            <c:numRef>
              <c:f>'growth parameters'!$W$148:$AA$148</c:f>
              <c:numCache>
                <c:formatCode>General</c:formatCode>
                <c:ptCount val="5"/>
                <c:pt idx="0">
                  <c:v>2.62</c:v>
                </c:pt>
                <c:pt idx="1">
                  <c:v>3.21</c:v>
                </c:pt>
                <c:pt idx="2">
                  <c:v>4.37</c:v>
                </c:pt>
                <c:pt idx="3">
                  <c:v>3.53</c:v>
                </c:pt>
                <c:pt idx="4">
                  <c:v>1.67</c:v>
                </c:pt>
              </c:numCache>
            </c:numRef>
          </c:val>
          <c:smooth val="0"/>
          <c:extLst>
            <c:ext xmlns:c16="http://schemas.microsoft.com/office/drawing/2014/chart" uri="{C3380CC4-5D6E-409C-BE32-E72D297353CC}">
              <c16:uniqueId val="{00000003-2B2E-4CD6-B889-4F5178500193}"/>
            </c:ext>
          </c:extLst>
        </c:ser>
        <c:ser>
          <c:idx val="4"/>
          <c:order val="4"/>
          <c:tx>
            <c:strRef>
              <c:f>'growth parameters'!$V$149</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parameters'!$W$144:$AA$144</c:f>
              <c:strCache>
                <c:ptCount val="5"/>
                <c:pt idx="0">
                  <c:v>45 DAS</c:v>
                </c:pt>
                <c:pt idx="1">
                  <c:v>65 DAS</c:v>
                </c:pt>
                <c:pt idx="2">
                  <c:v>85 DAS</c:v>
                </c:pt>
                <c:pt idx="3">
                  <c:v>105 DAS</c:v>
                </c:pt>
                <c:pt idx="4">
                  <c:v>125 DAS</c:v>
                </c:pt>
              </c:strCache>
            </c:strRef>
          </c:cat>
          <c:val>
            <c:numRef>
              <c:f>'growth parameters'!$W$149:$AA$149</c:f>
              <c:numCache>
                <c:formatCode>General</c:formatCode>
                <c:ptCount val="5"/>
                <c:pt idx="0">
                  <c:v>2.71</c:v>
                </c:pt>
                <c:pt idx="1">
                  <c:v>3.28</c:v>
                </c:pt>
                <c:pt idx="2">
                  <c:v>4.42</c:v>
                </c:pt>
                <c:pt idx="3">
                  <c:v>3.59</c:v>
                </c:pt>
                <c:pt idx="4">
                  <c:v>1.71</c:v>
                </c:pt>
              </c:numCache>
            </c:numRef>
          </c:val>
          <c:smooth val="0"/>
          <c:extLst>
            <c:ext xmlns:c16="http://schemas.microsoft.com/office/drawing/2014/chart" uri="{C3380CC4-5D6E-409C-BE32-E72D297353CC}">
              <c16:uniqueId val="{00000004-2B2E-4CD6-B889-4F5178500193}"/>
            </c:ext>
          </c:extLst>
        </c:ser>
        <c:ser>
          <c:idx val="5"/>
          <c:order val="5"/>
          <c:tx>
            <c:strRef>
              <c:f>'growth parameters'!$V$150</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parameters'!$W$144:$AA$144</c:f>
              <c:strCache>
                <c:ptCount val="5"/>
                <c:pt idx="0">
                  <c:v>45 DAS</c:v>
                </c:pt>
                <c:pt idx="1">
                  <c:v>65 DAS</c:v>
                </c:pt>
                <c:pt idx="2">
                  <c:v>85 DAS</c:v>
                </c:pt>
                <c:pt idx="3">
                  <c:v>105 DAS</c:v>
                </c:pt>
                <c:pt idx="4">
                  <c:v>125 DAS</c:v>
                </c:pt>
              </c:strCache>
            </c:strRef>
          </c:cat>
          <c:val>
            <c:numRef>
              <c:f>'growth parameters'!$W$150:$AA$150</c:f>
              <c:numCache>
                <c:formatCode>General</c:formatCode>
                <c:ptCount val="5"/>
                <c:pt idx="0">
                  <c:v>1.78</c:v>
                </c:pt>
                <c:pt idx="1">
                  <c:v>2.5499999999999998</c:v>
                </c:pt>
                <c:pt idx="2">
                  <c:v>3.56</c:v>
                </c:pt>
                <c:pt idx="3">
                  <c:v>2.77</c:v>
                </c:pt>
                <c:pt idx="4">
                  <c:v>1.26</c:v>
                </c:pt>
              </c:numCache>
            </c:numRef>
          </c:val>
          <c:smooth val="0"/>
          <c:extLst>
            <c:ext xmlns:c16="http://schemas.microsoft.com/office/drawing/2014/chart" uri="{C3380CC4-5D6E-409C-BE32-E72D297353CC}">
              <c16:uniqueId val="{00000005-2B2E-4CD6-B889-4F5178500193}"/>
            </c:ext>
          </c:extLst>
        </c:ser>
        <c:ser>
          <c:idx val="6"/>
          <c:order val="6"/>
          <c:tx>
            <c:strRef>
              <c:f>'growth parameters'!$V$151</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parameters'!$W$144:$AA$144</c:f>
              <c:strCache>
                <c:ptCount val="5"/>
                <c:pt idx="0">
                  <c:v>45 DAS</c:v>
                </c:pt>
                <c:pt idx="1">
                  <c:v>65 DAS</c:v>
                </c:pt>
                <c:pt idx="2">
                  <c:v>85 DAS</c:v>
                </c:pt>
                <c:pt idx="3">
                  <c:v>105 DAS</c:v>
                </c:pt>
                <c:pt idx="4">
                  <c:v>125 DAS</c:v>
                </c:pt>
              </c:strCache>
            </c:strRef>
          </c:cat>
          <c:val>
            <c:numRef>
              <c:f>'growth parameters'!$W$151:$AA$151</c:f>
              <c:numCache>
                <c:formatCode>General</c:formatCode>
                <c:ptCount val="5"/>
                <c:pt idx="0">
                  <c:v>2.39</c:v>
                </c:pt>
                <c:pt idx="1">
                  <c:v>3.08</c:v>
                </c:pt>
                <c:pt idx="2">
                  <c:v>4.1500000000000004</c:v>
                </c:pt>
                <c:pt idx="3">
                  <c:v>3.33</c:v>
                </c:pt>
                <c:pt idx="4">
                  <c:v>1.61</c:v>
                </c:pt>
              </c:numCache>
            </c:numRef>
          </c:val>
          <c:smooth val="0"/>
          <c:extLst>
            <c:ext xmlns:c16="http://schemas.microsoft.com/office/drawing/2014/chart" uri="{C3380CC4-5D6E-409C-BE32-E72D297353CC}">
              <c16:uniqueId val="{00000006-2B2E-4CD6-B889-4F5178500193}"/>
            </c:ext>
          </c:extLst>
        </c:ser>
        <c:ser>
          <c:idx val="7"/>
          <c:order val="7"/>
          <c:tx>
            <c:strRef>
              <c:f>'growth parameters'!$V$152</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parameters'!$W$144:$AA$144</c:f>
              <c:strCache>
                <c:ptCount val="5"/>
                <c:pt idx="0">
                  <c:v>45 DAS</c:v>
                </c:pt>
                <c:pt idx="1">
                  <c:v>65 DAS</c:v>
                </c:pt>
                <c:pt idx="2">
                  <c:v>85 DAS</c:v>
                </c:pt>
                <c:pt idx="3">
                  <c:v>105 DAS</c:v>
                </c:pt>
                <c:pt idx="4">
                  <c:v>125 DAS</c:v>
                </c:pt>
              </c:strCache>
            </c:strRef>
          </c:cat>
          <c:val>
            <c:numRef>
              <c:f>'growth parameters'!$W$152:$AA$152</c:f>
              <c:numCache>
                <c:formatCode>General</c:formatCode>
                <c:ptCount val="5"/>
                <c:pt idx="0">
                  <c:v>2.44</c:v>
                </c:pt>
                <c:pt idx="1">
                  <c:v>3.13</c:v>
                </c:pt>
                <c:pt idx="2">
                  <c:v>4.21</c:v>
                </c:pt>
                <c:pt idx="3">
                  <c:v>3.39</c:v>
                </c:pt>
                <c:pt idx="4">
                  <c:v>1.63</c:v>
                </c:pt>
              </c:numCache>
            </c:numRef>
          </c:val>
          <c:smooth val="0"/>
          <c:extLst>
            <c:ext xmlns:c16="http://schemas.microsoft.com/office/drawing/2014/chart" uri="{C3380CC4-5D6E-409C-BE32-E72D297353CC}">
              <c16:uniqueId val="{00000007-2B2E-4CD6-B889-4F5178500193}"/>
            </c:ext>
          </c:extLst>
        </c:ser>
        <c:dLbls>
          <c:showLegendKey val="0"/>
          <c:showVal val="0"/>
          <c:showCatName val="0"/>
          <c:showSerName val="0"/>
          <c:showPercent val="0"/>
          <c:showBubbleSize val="0"/>
        </c:dLbls>
        <c:marker val="1"/>
        <c:smooth val="0"/>
        <c:axId val="368273152"/>
        <c:axId val="368280352"/>
      </c:lineChart>
      <c:catAx>
        <c:axId val="368273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280352"/>
        <c:crosses val="autoZero"/>
        <c:auto val="1"/>
        <c:lblAlgn val="ctr"/>
        <c:lblOffset val="100"/>
        <c:noMultiLvlLbl val="0"/>
      </c:catAx>
      <c:valAx>
        <c:axId val="3682803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Leaf area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273152"/>
        <c:crosses val="autoZero"/>
        <c:crossBetween val="between"/>
      </c:valAx>
      <c:spPr>
        <a:noFill/>
        <a:ln>
          <a:noFill/>
        </a:ln>
        <a:effectLst/>
      </c:spPr>
    </c:plotArea>
    <c:legend>
      <c:legendPos val="b"/>
      <c:layout>
        <c:manualLayout>
          <c:xMode val="edge"/>
          <c:yMode val="edge"/>
          <c:x val="0.10592121645631992"/>
          <c:y val="2.335898757176114E-2"/>
          <c:w val="0.80852104357385357"/>
          <c:h val="0.11526761619338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91426071741032"/>
          <c:y val="0.17592592592592593"/>
          <c:w val="0.81953018372703423"/>
          <c:h val="0.55991469816272954"/>
        </c:manualLayout>
      </c:layout>
      <c:lineChart>
        <c:grouping val="standard"/>
        <c:varyColors val="0"/>
        <c:ser>
          <c:idx val="0"/>
          <c:order val="0"/>
          <c:tx>
            <c:strRef>
              <c:f>'growth parameters'!$O$161</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parameters'!$P$160:$U$160</c:f>
              <c:strCache>
                <c:ptCount val="5"/>
                <c:pt idx="0">
                  <c:v>45-65 DAS</c:v>
                </c:pt>
                <c:pt idx="1">
                  <c:v>65-85 DAS</c:v>
                </c:pt>
                <c:pt idx="2">
                  <c:v>105-85 DAS</c:v>
                </c:pt>
                <c:pt idx="3">
                  <c:v>125-105 DAS</c:v>
                </c:pt>
                <c:pt idx="4">
                  <c:v>Harvest-125 DAS</c:v>
                </c:pt>
              </c:strCache>
            </c:strRef>
          </c:cat>
          <c:val>
            <c:numRef>
              <c:f>'growth parameters'!$P$161:$U$161</c:f>
              <c:numCache>
                <c:formatCode>General</c:formatCode>
                <c:ptCount val="6"/>
                <c:pt idx="0">
                  <c:v>15.36</c:v>
                </c:pt>
                <c:pt idx="1">
                  <c:v>27.54</c:v>
                </c:pt>
                <c:pt idx="2">
                  <c:v>23.53</c:v>
                </c:pt>
                <c:pt idx="3">
                  <c:v>8.6199999999999992</c:v>
                </c:pt>
                <c:pt idx="4">
                  <c:v>1.35</c:v>
                </c:pt>
              </c:numCache>
            </c:numRef>
          </c:val>
          <c:smooth val="0"/>
          <c:extLst>
            <c:ext xmlns:c16="http://schemas.microsoft.com/office/drawing/2014/chart" uri="{C3380CC4-5D6E-409C-BE32-E72D297353CC}">
              <c16:uniqueId val="{00000000-58C1-45DA-9652-60FFFB80B0D1}"/>
            </c:ext>
          </c:extLst>
        </c:ser>
        <c:ser>
          <c:idx val="1"/>
          <c:order val="1"/>
          <c:tx>
            <c:strRef>
              <c:f>'growth parameters'!$O$162</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parameters'!$P$160:$U$160</c:f>
              <c:strCache>
                <c:ptCount val="5"/>
                <c:pt idx="0">
                  <c:v>45-65 DAS</c:v>
                </c:pt>
                <c:pt idx="1">
                  <c:v>65-85 DAS</c:v>
                </c:pt>
                <c:pt idx="2">
                  <c:v>105-85 DAS</c:v>
                </c:pt>
                <c:pt idx="3">
                  <c:v>125-105 DAS</c:v>
                </c:pt>
                <c:pt idx="4">
                  <c:v>Harvest-125 DAS</c:v>
                </c:pt>
              </c:strCache>
            </c:strRef>
          </c:cat>
          <c:val>
            <c:numRef>
              <c:f>'growth parameters'!$P$162:$U$162</c:f>
              <c:numCache>
                <c:formatCode>General</c:formatCode>
                <c:ptCount val="6"/>
                <c:pt idx="0">
                  <c:v>9.0399999999999991</c:v>
                </c:pt>
                <c:pt idx="1">
                  <c:v>24.74</c:v>
                </c:pt>
                <c:pt idx="2">
                  <c:v>21.5</c:v>
                </c:pt>
                <c:pt idx="3">
                  <c:v>8.27</c:v>
                </c:pt>
                <c:pt idx="4">
                  <c:v>0.75</c:v>
                </c:pt>
              </c:numCache>
            </c:numRef>
          </c:val>
          <c:smooth val="0"/>
          <c:extLst>
            <c:ext xmlns:c16="http://schemas.microsoft.com/office/drawing/2014/chart" uri="{C3380CC4-5D6E-409C-BE32-E72D297353CC}">
              <c16:uniqueId val="{00000001-58C1-45DA-9652-60FFFB80B0D1}"/>
            </c:ext>
          </c:extLst>
        </c:ser>
        <c:dLbls>
          <c:showLegendKey val="0"/>
          <c:showVal val="0"/>
          <c:showCatName val="0"/>
          <c:showSerName val="0"/>
          <c:showPercent val="0"/>
          <c:showBubbleSize val="0"/>
        </c:dLbls>
        <c:marker val="1"/>
        <c:smooth val="0"/>
        <c:axId val="368329792"/>
        <c:axId val="368346592"/>
      </c:lineChart>
      <c:catAx>
        <c:axId val="3683297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46592"/>
        <c:crosses val="autoZero"/>
        <c:auto val="1"/>
        <c:lblAlgn val="ctr"/>
        <c:lblOffset val="100"/>
        <c:noMultiLvlLbl val="0"/>
      </c:catAx>
      <c:valAx>
        <c:axId val="36834659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Crop growth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29792"/>
        <c:crosses val="autoZero"/>
        <c:crossBetween val="between"/>
      </c:valAx>
      <c:spPr>
        <a:noFill/>
        <a:ln>
          <a:noFill/>
        </a:ln>
        <a:effectLst/>
      </c:spPr>
    </c:plotArea>
    <c:legend>
      <c:legendPos val="b"/>
      <c:layout>
        <c:manualLayout>
          <c:xMode val="edge"/>
          <c:yMode val="edge"/>
          <c:x val="0.32635498687664044"/>
          <c:y val="3.2985564304461902E-2"/>
          <c:w val="0.375067585301837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46981627296589"/>
          <c:y val="0.17129629629629628"/>
          <c:w val="0.83897462817147861"/>
          <c:h val="0.56454432779235919"/>
        </c:manualLayout>
      </c:layout>
      <c:lineChart>
        <c:grouping val="standard"/>
        <c:varyColors val="0"/>
        <c:ser>
          <c:idx val="0"/>
          <c:order val="0"/>
          <c:tx>
            <c:strRef>
              <c:f>'growth parameters'!$W$161</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parameters'!$X$160:$AC$160</c:f>
              <c:strCache>
                <c:ptCount val="5"/>
                <c:pt idx="0">
                  <c:v>45-65 DAS</c:v>
                </c:pt>
                <c:pt idx="1">
                  <c:v>65-85 DAS</c:v>
                </c:pt>
                <c:pt idx="2">
                  <c:v>105-85 DAS</c:v>
                </c:pt>
                <c:pt idx="3">
                  <c:v>125-105 DAS</c:v>
                </c:pt>
                <c:pt idx="4">
                  <c:v>Harvest-125 DAS</c:v>
                </c:pt>
              </c:strCache>
            </c:strRef>
          </c:cat>
          <c:val>
            <c:numRef>
              <c:f>'growth parameters'!$X$161:$AC$161</c:f>
              <c:numCache>
                <c:formatCode>General</c:formatCode>
                <c:ptCount val="6"/>
                <c:pt idx="0">
                  <c:v>15.48</c:v>
                </c:pt>
                <c:pt idx="1">
                  <c:v>27.59</c:v>
                </c:pt>
                <c:pt idx="2">
                  <c:v>23.7</c:v>
                </c:pt>
                <c:pt idx="3">
                  <c:v>8.75</c:v>
                </c:pt>
                <c:pt idx="4">
                  <c:v>1.33</c:v>
                </c:pt>
              </c:numCache>
            </c:numRef>
          </c:val>
          <c:smooth val="0"/>
          <c:extLst>
            <c:ext xmlns:c16="http://schemas.microsoft.com/office/drawing/2014/chart" uri="{C3380CC4-5D6E-409C-BE32-E72D297353CC}">
              <c16:uniqueId val="{00000000-1002-4C8A-A5C8-801D027438BE}"/>
            </c:ext>
          </c:extLst>
        </c:ser>
        <c:ser>
          <c:idx val="1"/>
          <c:order val="1"/>
          <c:tx>
            <c:strRef>
              <c:f>'growth parameters'!$W$162</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parameters'!$X$160:$AC$160</c:f>
              <c:strCache>
                <c:ptCount val="5"/>
                <c:pt idx="0">
                  <c:v>45-65 DAS</c:v>
                </c:pt>
                <c:pt idx="1">
                  <c:v>65-85 DAS</c:v>
                </c:pt>
                <c:pt idx="2">
                  <c:v>105-85 DAS</c:v>
                </c:pt>
                <c:pt idx="3">
                  <c:v>125-105 DAS</c:v>
                </c:pt>
                <c:pt idx="4">
                  <c:v>Harvest-125 DAS</c:v>
                </c:pt>
              </c:strCache>
            </c:strRef>
          </c:cat>
          <c:val>
            <c:numRef>
              <c:f>'growth parameters'!$X$162:$AC$162</c:f>
              <c:numCache>
                <c:formatCode>General</c:formatCode>
                <c:ptCount val="6"/>
                <c:pt idx="0">
                  <c:v>9.08</c:v>
                </c:pt>
                <c:pt idx="1">
                  <c:v>24.85</c:v>
                </c:pt>
                <c:pt idx="2">
                  <c:v>21.6</c:v>
                </c:pt>
                <c:pt idx="3">
                  <c:v>8.44</c:v>
                </c:pt>
                <c:pt idx="4">
                  <c:v>0.68</c:v>
                </c:pt>
              </c:numCache>
            </c:numRef>
          </c:val>
          <c:smooth val="0"/>
          <c:extLst>
            <c:ext xmlns:c16="http://schemas.microsoft.com/office/drawing/2014/chart" uri="{C3380CC4-5D6E-409C-BE32-E72D297353CC}">
              <c16:uniqueId val="{00000001-1002-4C8A-A5C8-801D027438BE}"/>
            </c:ext>
          </c:extLst>
        </c:ser>
        <c:dLbls>
          <c:showLegendKey val="0"/>
          <c:showVal val="0"/>
          <c:showCatName val="0"/>
          <c:showSerName val="0"/>
          <c:showPercent val="0"/>
          <c:showBubbleSize val="0"/>
        </c:dLbls>
        <c:marker val="1"/>
        <c:smooth val="0"/>
        <c:axId val="368356192"/>
        <c:axId val="368356672"/>
      </c:lineChart>
      <c:catAx>
        <c:axId val="368356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56672"/>
        <c:crosses val="autoZero"/>
        <c:auto val="1"/>
        <c:lblAlgn val="ctr"/>
        <c:lblOffset val="100"/>
        <c:noMultiLvlLbl val="0"/>
      </c:catAx>
      <c:valAx>
        <c:axId val="368356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Crop growth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56192"/>
        <c:crosses val="autoZero"/>
        <c:crossBetween val="between"/>
      </c:valAx>
      <c:spPr>
        <a:noFill/>
        <a:ln>
          <a:noFill/>
        </a:ln>
        <a:effectLst/>
      </c:spPr>
    </c:plotArea>
    <c:legend>
      <c:legendPos val="b"/>
      <c:layout>
        <c:manualLayout>
          <c:xMode val="edge"/>
          <c:yMode val="edge"/>
          <c:x val="0.34024387576552934"/>
          <c:y val="2.8355934674832269E-2"/>
          <c:w val="0.37506758530183726"/>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93776065582233"/>
          <c:y val="0.20231375940471805"/>
          <c:w val="0.84779939669807514"/>
          <c:h val="0.54443959481627036"/>
        </c:manualLayout>
      </c:layout>
      <c:lineChart>
        <c:grouping val="standard"/>
        <c:varyColors val="0"/>
        <c:ser>
          <c:idx val="0"/>
          <c:order val="0"/>
          <c:tx>
            <c:strRef>
              <c:f>'growth parameters'!$B$181</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parameters'!$C$181:$H$181</c:f>
              <c:numCache>
                <c:formatCode>General</c:formatCode>
                <c:ptCount val="6"/>
                <c:pt idx="0">
                  <c:v>5.0999999999999996</c:v>
                </c:pt>
                <c:pt idx="1">
                  <c:v>15.36</c:v>
                </c:pt>
                <c:pt idx="2">
                  <c:v>13.17</c:v>
                </c:pt>
                <c:pt idx="3">
                  <c:v>7.25</c:v>
                </c:pt>
                <c:pt idx="4">
                  <c:v>0.68</c:v>
                </c:pt>
              </c:numCache>
            </c:numRef>
          </c:val>
          <c:smooth val="0"/>
          <c:extLst>
            <c:ext xmlns:c16="http://schemas.microsoft.com/office/drawing/2014/chart" uri="{C3380CC4-5D6E-409C-BE32-E72D297353CC}">
              <c16:uniqueId val="{00000000-A46B-48D6-96EA-5985435DF1BC}"/>
            </c:ext>
          </c:extLst>
        </c:ser>
        <c:ser>
          <c:idx val="1"/>
          <c:order val="1"/>
          <c:tx>
            <c:strRef>
              <c:f>'growth parameters'!$B$182</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parameters'!$C$182:$H$182</c:f>
              <c:numCache>
                <c:formatCode>General</c:formatCode>
                <c:ptCount val="6"/>
                <c:pt idx="0">
                  <c:v>12.9</c:v>
                </c:pt>
                <c:pt idx="1">
                  <c:v>27.42</c:v>
                </c:pt>
                <c:pt idx="2">
                  <c:v>23.87</c:v>
                </c:pt>
                <c:pt idx="3">
                  <c:v>8.61</c:v>
                </c:pt>
                <c:pt idx="4">
                  <c:v>1.2</c:v>
                </c:pt>
              </c:numCache>
            </c:numRef>
          </c:val>
          <c:smooth val="0"/>
          <c:extLst>
            <c:ext xmlns:c16="http://schemas.microsoft.com/office/drawing/2014/chart" uri="{C3380CC4-5D6E-409C-BE32-E72D297353CC}">
              <c16:uniqueId val="{00000001-A46B-48D6-96EA-5985435DF1BC}"/>
            </c:ext>
          </c:extLst>
        </c:ser>
        <c:ser>
          <c:idx val="2"/>
          <c:order val="2"/>
          <c:tx>
            <c:strRef>
              <c:f>'growth parameters'!$B$183</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parameters'!$C$183:$H$183</c:f>
              <c:numCache>
                <c:formatCode>General</c:formatCode>
                <c:ptCount val="6"/>
                <c:pt idx="0">
                  <c:v>12.95</c:v>
                </c:pt>
                <c:pt idx="1">
                  <c:v>27.57</c:v>
                </c:pt>
                <c:pt idx="2">
                  <c:v>23.9</c:v>
                </c:pt>
                <c:pt idx="3">
                  <c:v>8.57</c:v>
                </c:pt>
                <c:pt idx="4">
                  <c:v>1.25</c:v>
                </c:pt>
              </c:numCache>
            </c:numRef>
          </c:val>
          <c:smooth val="0"/>
          <c:extLst>
            <c:ext xmlns:c16="http://schemas.microsoft.com/office/drawing/2014/chart" uri="{C3380CC4-5D6E-409C-BE32-E72D297353CC}">
              <c16:uniqueId val="{00000002-A46B-48D6-96EA-5985435DF1BC}"/>
            </c:ext>
          </c:extLst>
        </c:ser>
        <c:ser>
          <c:idx val="3"/>
          <c:order val="3"/>
          <c:tx>
            <c:strRef>
              <c:f>'growth parameters'!$B$184</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parameters'!$C$184:$H$184</c:f>
              <c:numCache>
                <c:formatCode>General</c:formatCode>
                <c:ptCount val="6"/>
                <c:pt idx="0">
                  <c:v>14.34</c:v>
                </c:pt>
                <c:pt idx="1">
                  <c:v>28.06</c:v>
                </c:pt>
                <c:pt idx="2">
                  <c:v>23.97</c:v>
                </c:pt>
                <c:pt idx="3">
                  <c:v>8.7100000000000009</c:v>
                </c:pt>
                <c:pt idx="4">
                  <c:v>0.86</c:v>
                </c:pt>
              </c:numCache>
            </c:numRef>
          </c:val>
          <c:smooth val="0"/>
          <c:extLst>
            <c:ext xmlns:c16="http://schemas.microsoft.com/office/drawing/2014/chart" uri="{C3380CC4-5D6E-409C-BE32-E72D297353CC}">
              <c16:uniqueId val="{00000003-A46B-48D6-96EA-5985435DF1BC}"/>
            </c:ext>
          </c:extLst>
        </c:ser>
        <c:ser>
          <c:idx val="4"/>
          <c:order val="4"/>
          <c:tx>
            <c:strRef>
              <c:f>'growth parameters'!$B$185</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parameters'!$C$185:$H$185</c:f>
              <c:numCache>
                <c:formatCode>General</c:formatCode>
                <c:ptCount val="6"/>
                <c:pt idx="0">
                  <c:v>14.48</c:v>
                </c:pt>
                <c:pt idx="1">
                  <c:v>28.18</c:v>
                </c:pt>
                <c:pt idx="2">
                  <c:v>23.98</c:v>
                </c:pt>
                <c:pt idx="3">
                  <c:v>8.76</c:v>
                </c:pt>
                <c:pt idx="4">
                  <c:v>1.0900000000000001</c:v>
                </c:pt>
              </c:numCache>
            </c:numRef>
          </c:val>
          <c:smooth val="0"/>
          <c:extLst>
            <c:ext xmlns:c16="http://schemas.microsoft.com/office/drawing/2014/chart" uri="{C3380CC4-5D6E-409C-BE32-E72D297353CC}">
              <c16:uniqueId val="{00000004-A46B-48D6-96EA-5985435DF1BC}"/>
            </c:ext>
          </c:extLst>
        </c:ser>
        <c:ser>
          <c:idx val="5"/>
          <c:order val="5"/>
          <c:tx>
            <c:strRef>
              <c:f>'growth parameters'!$B$186</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parameters'!$C$186:$H$186</c:f>
              <c:numCache>
                <c:formatCode>General</c:formatCode>
                <c:ptCount val="6"/>
                <c:pt idx="0">
                  <c:v>11.62</c:v>
                </c:pt>
                <c:pt idx="1">
                  <c:v>26.95</c:v>
                </c:pt>
                <c:pt idx="2">
                  <c:v>23.71</c:v>
                </c:pt>
                <c:pt idx="3">
                  <c:v>8.02</c:v>
                </c:pt>
                <c:pt idx="4">
                  <c:v>0.75</c:v>
                </c:pt>
              </c:numCache>
            </c:numRef>
          </c:val>
          <c:smooth val="0"/>
          <c:extLst>
            <c:ext xmlns:c16="http://schemas.microsoft.com/office/drawing/2014/chart" uri="{C3380CC4-5D6E-409C-BE32-E72D297353CC}">
              <c16:uniqueId val="{00000005-A46B-48D6-96EA-5985435DF1BC}"/>
            </c:ext>
          </c:extLst>
        </c:ser>
        <c:ser>
          <c:idx val="6"/>
          <c:order val="6"/>
          <c:tx>
            <c:strRef>
              <c:f>'growth parameters'!$B$187</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parameters'!$C$187:$H$187</c:f>
              <c:numCache>
                <c:formatCode>General</c:formatCode>
                <c:ptCount val="6"/>
                <c:pt idx="0">
                  <c:v>13.06</c:v>
                </c:pt>
                <c:pt idx="1">
                  <c:v>27.7</c:v>
                </c:pt>
                <c:pt idx="2">
                  <c:v>23.68</c:v>
                </c:pt>
                <c:pt idx="3">
                  <c:v>8.91</c:v>
                </c:pt>
                <c:pt idx="4">
                  <c:v>1.28</c:v>
                </c:pt>
              </c:numCache>
            </c:numRef>
          </c:val>
          <c:smooth val="0"/>
          <c:extLst>
            <c:ext xmlns:c16="http://schemas.microsoft.com/office/drawing/2014/chart" uri="{C3380CC4-5D6E-409C-BE32-E72D297353CC}">
              <c16:uniqueId val="{00000006-A46B-48D6-96EA-5985435DF1BC}"/>
            </c:ext>
          </c:extLst>
        </c:ser>
        <c:ser>
          <c:idx val="7"/>
          <c:order val="7"/>
          <c:tx>
            <c:strRef>
              <c:f>'growth parameters'!$B$188</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parameters'!$C$180:$H$180</c:f>
              <c:strCache>
                <c:ptCount val="5"/>
                <c:pt idx="0">
                  <c:v>45-65 DAS</c:v>
                </c:pt>
                <c:pt idx="1">
                  <c:v>65-85 DAS</c:v>
                </c:pt>
                <c:pt idx="2">
                  <c:v>105-85 DAS</c:v>
                </c:pt>
                <c:pt idx="3">
                  <c:v>125-105 DAS</c:v>
                </c:pt>
                <c:pt idx="4">
                  <c:v>Harvest-125 DAS</c:v>
                </c:pt>
              </c:strCache>
            </c:strRef>
          </c:cat>
          <c:val>
            <c:numRef>
              <c:f>'growth parameters'!$C$188:$H$188</c:f>
              <c:numCache>
                <c:formatCode>General</c:formatCode>
                <c:ptCount val="6"/>
                <c:pt idx="0">
                  <c:v>13.15</c:v>
                </c:pt>
                <c:pt idx="1">
                  <c:v>27.87</c:v>
                </c:pt>
                <c:pt idx="2">
                  <c:v>23.85</c:v>
                </c:pt>
                <c:pt idx="3">
                  <c:v>8.76</c:v>
                </c:pt>
                <c:pt idx="4">
                  <c:v>1.29</c:v>
                </c:pt>
              </c:numCache>
            </c:numRef>
          </c:val>
          <c:smooth val="0"/>
          <c:extLst>
            <c:ext xmlns:c16="http://schemas.microsoft.com/office/drawing/2014/chart" uri="{C3380CC4-5D6E-409C-BE32-E72D297353CC}">
              <c16:uniqueId val="{00000007-A46B-48D6-96EA-5985435DF1BC}"/>
            </c:ext>
          </c:extLst>
        </c:ser>
        <c:dLbls>
          <c:showLegendKey val="0"/>
          <c:showVal val="0"/>
          <c:showCatName val="0"/>
          <c:showSerName val="0"/>
          <c:showPercent val="0"/>
          <c:showBubbleSize val="0"/>
        </c:dLbls>
        <c:marker val="1"/>
        <c:smooth val="0"/>
        <c:axId val="368373472"/>
        <c:axId val="368362912"/>
      </c:lineChart>
      <c:catAx>
        <c:axId val="368373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62912"/>
        <c:crosses val="autoZero"/>
        <c:auto val="1"/>
        <c:lblAlgn val="ctr"/>
        <c:lblOffset val="100"/>
        <c:noMultiLvlLbl val="0"/>
      </c:catAx>
      <c:valAx>
        <c:axId val="36836291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Crop growth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8373472"/>
        <c:crosses val="autoZero"/>
        <c:crossBetween val="between"/>
      </c:valAx>
      <c:spPr>
        <a:noFill/>
        <a:ln>
          <a:noFill/>
        </a:ln>
        <a:effectLst/>
      </c:spPr>
    </c:plotArea>
    <c:legend>
      <c:legendPos val="b"/>
      <c:layout>
        <c:manualLayout>
          <c:xMode val="edge"/>
          <c:yMode val="edge"/>
          <c:x val="0.13303748281721847"/>
          <c:y val="2.2224746192275727E-2"/>
          <c:w val="0.83966506169149346"/>
          <c:h val="0.132912335128416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8195062714846"/>
          <c:y val="0.19905215891842487"/>
          <c:w val="0.87327276469631943"/>
          <c:h val="0.6001451786936437"/>
        </c:manualLayout>
      </c:layout>
      <c:lineChart>
        <c:grouping val="standard"/>
        <c:varyColors val="0"/>
        <c:ser>
          <c:idx val="0"/>
          <c:order val="0"/>
          <c:tx>
            <c:strRef>
              <c:f>'growth parameters'!$W$181</c:f>
              <c:strCache>
                <c:ptCount val="1"/>
                <c:pt idx="0">
                  <c:v>Control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parameters'!$X$181:$AC$181</c:f>
              <c:numCache>
                <c:formatCode>General</c:formatCode>
                <c:ptCount val="6"/>
                <c:pt idx="0">
                  <c:v>5.17</c:v>
                </c:pt>
                <c:pt idx="1">
                  <c:v>15.44</c:v>
                </c:pt>
                <c:pt idx="2">
                  <c:v>13.26</c:v>
                </c:pt>
                <c:pt idx="3">
                  <c:v>7.36</c:v>
                </c:pt>
                <c:pt idx="4">
                  <c:v>0.61</c:v>
                </c:pt>
              </c:numCache>
            </c:numRef>
          </c:val>
          <c:smooth val="0"/>
          <c:extLst>
            <c:ext xmlns:c16="http://schemas.microsoft.com/office/drawing/2014/chart" uri="{C3380CC4-5D6E-409C-BE32-E72D297353CC}">
              <c16:uniqueId val="{00000000-A505-403B-A587-C8CCF0DD811F}"/>
            </c:ext>
          </c:extLst>
        </c:ser>
        <c:ser>
          <c:idx val="1"/>
          <c:order val="1"/>
          <c:tx>
            <c:strRef>
              <c:f>'growth parameters'!$W$182</c:f>
              <c:strCache>
                <c:ptCount val="1"/>
                <c:pt idx="0">
                  <c:v>RDF (N120P60K30)</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parameters'!$X$182:$AC$182</c:f>
              <c:numCache>
                <c:formatCode>General</c:formatCode>
                <c:ptCount val="6"/>
                <c:pt idx="0">
                  <c:v>12.99</c:v>
                </c:pt>
                <c:pt idx="1">
                  <c:v>27.45</c:v>
                </c:pt>
                <c:pt idx="2">
                  <c:v>24.02</c:v>
                </c:pt>
                <c:pt idx="3">
                  <c:v>8.76</c:v>
                </c:pt>
                <c:pt idx="4">
                  <c:v>1.06</c:v>
                </c:pt>
              </c:numCache>
            </c:numRef>
          </c:val>
          <c:smooth val="0"/>
          <c:extLst>
            <c:ext xmlns:c16="http://schemas.microsoft.com/office/drawing/2014/chart" uri="{C3380CC4-5D6E-409C-BE32-E72D297353CC}">
              <c16:uniqueId val="{00000001-A505-403B-A587-C8CCF0DD811F}"/>
            </c:ext>
          </c:extLst>
        </c:ser>
        <c:ser>
          <c:idx val="2"/>
          <c:order val="2"/>
          <c:tx>
            <c:strRef>
              <c:f>'growth parameters'!$W$183</c:f>
              <c:strCache>
                <c:ptCount val="1"/>
                <c:pt idx="0">
                  <c:v>STCR (TY =75 q ha-1)</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parameters'!$X$183:$AC$183</c:f>
              <c:numCache>
                <c:formatCode>General</c:formatCode>
                <c:ptCount val="6"/>
                <c:pt idx="0">
                  <c:v>13.08</c:v>
                </c:pt>
                <c:pt idx="1">
                  <c:v>27.59</c:v>
                </c:pt>
                <c:pt idx="2">
                  <c:v>24.06</c:v>
                </c:pt>
                <c:pt idx="3">
                  <c:v>8.7100000000000009</c:v>
                </c:pt>
                <c:pt idx="4">
                  <c:v>1.19</c:v>
                </c:pt>
              </c:numCache>
            </c:numRef>
          </c:val>
          <c:smooth val="0"/>
          <c:extLst>
            <c:ext xmlns:c16="http://schemas.microsoft.com/office/drawing/2014/chart" uri="{C3380CC4-5D6E-409C-BE32-E72D297353CC}">
              <c16:uniqueId val="{00000002-A505-403B-A587-C8CCF0DD811F}"/>
            </c:ext>
          </c:extLst>
        </c:ser>
        <c:ser>
          <c:idx val="3"/>
          <c:order val="3"/>
          <c:tx>
            <c:strRef>
              <c:f>'growth parameters'!$W$184</c:f>
              <c:strCache>
                <c:ptCount val="1"/>
                <c:pt idx="0">
                  <c:v>STCR (TY =85 q ha-1)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parameters'!$X$184:$AC$184</c:f>
              <c:numCache>
                <c:formatCode>General</c:formatCode>
                <c:ptCount val="6"/>
                <c:pt idx="0">
                  <c:v>14.48</c:v>
                </c:pt>
                <c:pt idx="1">
                  <c:v>28.09</c:v>
                </c:pt>
                <c:pt idx="2">
                  <c:v>24.1</c:v>
                </c:pt>
                <c:pt idx="3">
                  <c:v>8.86</c:v>
                </c:pt>
                <c:pt idx="4">
                  <c:v>0.79</c:v>
                </c:pt>
              </c:numCache>
            </c:numRef>
          </c:val>
          <c:smooth val="0"/>
          <c:extLst>
            <c:ext xmlns:c16="http://schemas.microsoft.com/office/drawing/2014/chart" uri="{C3380CC4-5D6E-409C-BE32-E72D297353CC}">
              <c16:uniqueId val="{00000003-A505-403B-A587-C8CCF0DD811F}"/>
            </c:ext>
          </c:extLst>
        </c:ser>
        <c:ser>
          <c:idx val="4"/>
          <c:order val="4"/>
          <c:tx>
            <c:strRef>
              <c:f>'growth parameters'!$W$185</c:f>
              <c:strCache>
                <c:ptCount val="1"/>
                <c:pt idx="0">
                  <c:v>STCR (TY =95 q ha-1)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parameters'!$X$185:$AC$185</c:f>
              <c:numCache>
                <c:formatCode>General</c:formatCode>
                <c:ptCount val="6"/>
                <c:pt idx="0">
                  <c:v>14.62</c:v>
                </c:pt>
                <c:pt idx="1">
                  <c:v>28.24</c:v>
                </c:pt>
                <c:pt idx="2">
                  <c:v>24.1</c:v>
                </c:pt>
                <c:pt idx="3">
                  <c:v>8.92</c:v>
                </c:pt>
                <c:pt idx="4">
                  <c:v>1.05</c:v>
                </c:pt>
              </c:numCache>
            </c:numRef>
          </c:val>
          <c:smooth val="0"/>
          <c:extLst>
            <c:ext xmlns:c16="http://schemas.microsoft.com/office/drawing/2014/chart" uri="{C3380CC4-5D6E-409C-BE32-E72D297353CC}">
              <c16:uniqueId val="{00000004-A505-403B-A587-C8CCF0DD811F}"/>
            </c:ext>
          </c:extLst>
        </c:ser>
        <c:ser>
          <c:idx val="5"/>
          <c:order val="5"/>
          <c:tx>
            <c:strRef>
              <c:f>'growth parameters'!$W$186</c:f>
              <c:strCache>
                <c:ptCount val="1"/>
                <c:pt idx="0">
                  <c:v>NE (TY =75 q ha-1)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parameters'!$X$186:$AC$186</c:f>
              <c:numCache>
                <c:formatCode>General</c:formatCode>
                <c:ptCount val="6"/>
                <c:pt idx="0">
                  <c:v>11.53</c:v>
                </c:pt>
                <c:pt idx="1">
                  <c:v>27.19</c:v>
                </c:pt>
                <c:pt idx="2">
                  <c:v>23.81</c:v>
                </c:pt>
                <c:pt idx="3">
                  <c:v>8.17</c:v>
                </c:pt>
                <c:pt idx="4">
                  <c:v>0.9</c:v>
                </c:pt>
              </c:numCache>
            </c:numRef>
          </c:val>
          <c:smooth val="0"/>
          <c:extLst>
            <c:ext xmlns:c16="http://schemas.microsoft.com/office/drawing/2014/chart" uri="{C3380CC4-5D6E-409C-BE32-E72D297353CC}">
              <c16:uniqueId val="{00000005-A505-403B-A587-C8CCF0DD811F}"/>
            </c:ext>
          </c:extLst>
        </c:ser>
        <c:ser>
          <c:idx val="6"/>
          <c:order val="6"/>
          <c:tx>
            <c:strRef>
              <c:f>'growth parameters'!$W$187</c:f>
              <c:strCache>
                <c:ptCount val="1"/>
                <c:pt idx="0">
                  <c:v>NE (TY =85 q ha-1)</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parameters'!$X$187:$AC$187</c:f>
              <c:numCache>
                <c:formatCode>General</c:formatCode>
                <c:ptCount val="6"/>
                <c:pt idx="0">
                  <c:v>13.03</c:v>
                </c:pt>
                <c:pt idx="1">
                  <c:v>27.86</c:v>
                </c:pt>
                <c:pt idx="2">
                  <c:v>23.84</c:v>
                </c:pt>
                <c:pt idx="3">
                  <c:v>9.06</c:v>
                </c:pt>
                <c:pt idx="4">
                  <c:v>1.1599999999999999</c:v>
                </c:pt>
              </c:numCache>
            </c:numRef>
          </c:val>
          <c:smooth val="0"/>
          <c:extLst>
            <c:ext xmlns:c16="http://schemas.microsoft.com/office/drawing/2014/chart" uri="{C3380CC4-5D6E-409C-BE32-E72D297353CC}">
              <c16:uniqueId val="{00000006-A505-403B-A587-C8CCF0DD811F}"/>
            </c:ext>
          </c:extLst>
        </c:ser>
        <c:ser>
          <c:idx val="7"/>
          <c:order val="7"/>
          <c:tx>
            <c:strRef>
              <c:f>'growth parameters'!$W$188</c:f>
              <c:strCache>
                <c:ptCount val="1"/>
                <c:pt idx="0">
                  <c:v>NE (TY =95 q ha-1)</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'growth parameters'!$X$180:$AC$180</c:f>
              <c:strCache>
                <c:ptCount val="5"/>
                <c:pt idx="0">
                  <c:v>45-65 DAS</c:v>
                </c:pt>
                <c:pt idx="1">
                  <c:v>65-85 DAS</c:v>
                </c:pt>
                <c:pt idx="2">
                  <c:v>105-85 DAS</c:v>
                </c:pt>
                <c:pt idx="3">
                  <c:v>125-105 DAS</c:v>
                </c:pt>
                <c:pt idx="4">
                  <c:v>Harvest-125 DAS</c:v>
                </c:pt>
              </c:strCache>
            </c:strRef>
          </c:cat>
          <c:val>
            <c:numRef>
              <c:f>'growth parameters'!$X$188:$AC$188</c:f>
              <c:numCache>
                <c:formatCode>General</c:formatCode>
                <c:ptCount val="6"/>
                <c:pt idx="0">
                  <c:v>13.31</c:v>
                </c:pt>
                <c:pt idx="1">
                  <c:v>27.89</c:v>
                </c:pt>
                <c:pt idx="2">
                  <c:v>23.99</c:v>
                </c:pt>
                <c:pt idx="3">
                  <c:v>8.91</c:v>
                </c:pt>
                <c:pt idx="4">
                  <c:v>1.28</c:v>
                </c:pt>
              </c:numCache>
            </c:numRef>
          </c:val>
          <c:smooth val="0"/>
          <c:extLst>
            <c:ext xmlns:c16="http://schemas.microsoft.com/office/drawing/2014/chart" uri="{C3380CC4-5D6E-409C-BE32-E72D297353CC}">
              <c16:uniqueId val="{00000007-A505-403B-A587-C8CCF0DD811F}"/>
            </c:ext>
          </c:extLst>
        </c:ser>
        <c:dLbls>
          <c:showLegendKey val="0"/>
          <c:showVal val="0"/>
          <c:showCatName val="0"/>
          <c:showSerName val="0"/>
          <c:showPercent val="0"/>
          <c:showBubbleSize val="0"/>
        </c:dLbls>
        <c:marker val="1"/>
        <c:smooth val="0"/>
        <c:axId val="2011355120"/>
        <c:axId val="2011351280"/>
      </c:lineChart>
      <c:catAx>
        <c:axId val="20113551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a:t>
                </a:r>
                <a:r>
                  <a:rPr lang="en-US" baseline="0"/>
                  <a:t> </a:t>
                </a:r>
                <a:r>
                  <a:rPr lang="en-US"/>
                  <a:t>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51280"/>
        <c:crosses val="autoZero"/>
        <c:auto val="1"/>
        <c:lblAlgn val="ctr"/>
        <c:lblOffset val="100"/>
        <c:noMultiLvlLbl val="0"/>
      </c:catAx>
      <c:valAx>
        <c:axId val="20113512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Crop growth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1355120"/>
        <c:crosses val="autoZero"/>
        <c:crossBetween val="between"/>
      </c:valAx>
      <c:spPr>
        <a:noFill/>
        <a:ln>
          <a:noFill/>
        </a:ln>
        <a:effectLst/>
      </c:spPr>
    </c:plotArea>
    <c:legend>
      <c:legendPos val="b"/>
      <c:layout>
        <c:manualLayout>
          <c:xMode val="edge"/>
          <c:yMode val="edge"/>
          <c:x val="0.1142955838451761"/>
          <c:y val="2.3277455107238328E-2"/>
          <c:w val="0.83903131224707028"/>
          <c:h val="0.125872140104200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34419227008389"/>
          <c:y val="0.19596279462624891"/>
          <c:w val="0.87459049971694713"/>
          <c:h val="0.54769596352782379"/>
        </c:manualLayout>
      </c:layout>
      <c:lineChart>
        <c:grouping val="standard"/>
        <c:varyColors val="0"/>
        <c:ser>
          <c:idx val="0"/>
          <c:order val="0"/>
          <c:tx>
            <c:strRef>
              <c:f>'growth parameters'!$O$195</c:f>
              <c:strCache>
                <c:ptCount val="1"/>
                <c:pt idx="0">
                  <c:v>Transplanting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'growth parameters'!$P$194:$U$194</c:f>
              <c:strCache>
                <c:ptCount val="5"/>
                <c:pt idx="0">
                  <c:v>45-65 DAS</c:v>
                </c:pt>
                <c:pt idx="1">
                  <c:v>65-85 DAS</c:v>
                </c:pt>
                <c:pt idx="2">
                  <c:v>105-85 DAS</c:v>
                </c:pt>
                <c:pt idx="3">
                  <c:v>125-105 DAS</c:v>
                </c:pt>
                <c:pt idx="4">
                  <c:v>Harvest-125 DAS</c:v>
                </c:pt>
              </c:strCache>
            </c:strRef>
          </c:cat>
          <c:val>
            <c:numRef>
              <c:f>'growth parameters'!$P$195:$U$195</c:f>
              <c:numCache>
                <c:formatCode>General</c:formatCode>
                <c:ptCount val="6"/>
                <c:pt idx="0">
                  <c:v>78.650000000000006</c:v>
                </c:pt>
                <c:pt idx="1">
                  <c:v>45.18</c:v>
                </c:pt>
                <c:pt idx="2">
                  <c:v>20.45</c:v>
                </c:pt>
                <c:pt idx="3">
                  <c:v>5.93</c:v>
                </c:pt>
                <c:pt idx="4">
                  <c:v>0.84</c:v>
                </c:pt>
              </c:numCache>
            </c:numRef>
          </c:val>
          <c:smooth val="0"/>
          <c:extLst>
            <c:ext xmlns:c16="http://schemas.microsoft.com/office/drawing/2014/chart" uri="{C3380CC4-5D6E-409C-BE32-E72D297353CC}">
              <c16:uniqueId val="{00000000-E248-4408-BBF7-91B1C030CABD}"/>
            </c:ext>
          </c:extLst>
        </c:ser>
        <c:ser>
          <c:idx val="1"/>
          <c:order val="1"/>
          <c:tx>
            <c:strRef>
              <c:f>'growth parameters'!$O$196</c:f>
              <c:strCache>
                <c:ptCount val="1"/>
                <c:pt idx="0">
                  <c:v>DSR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'growth parameters'!$P$194:$U$194</c:f>
              <c:strCache>
                <c:ptCount val="5"/>
                <c:pt idx="0">
                  <c:v>45-65 DAS</c:v>
                </c:pt>
                <c:pt idx="1">
                  <c:v>65-85 DAS</c:v>
                </c:pt>
                <c:pt idx="2">
                  <c:v>105-85 DAS</c:v>
                </c:pt>
                <c:pt idx="3">
                  <c:v>125-105 DAS</c:v>
                </c:pt>
                <c:pt idx="4">
                  <c:v>Harvest-125 DAS</c:v>
                </c:pt>
              </c:strCache>
            </c:strRef>
          </c:cat>
          <c:val>
            <c:numRef>
              <c:f>'growth parameters'!$P$196:$U$196</c:f>
              <c:numCache>
                <c:formatCode>General</c:formatCode>
                <c:ptCount val="6"/>
                <c:pt idx="0">
                  <c:v>68.540000000000006</c:v>
                </c:pt>
                <c:pt idx="1">
                  <c:v>57.43</c:v>
                </c:pt>
                <c:pt idx="2">
                  <c:v>23.19</c:v>
                </c:pt>
                <c:pt idx="3">
                  <c:v>6.87</c:v>
                </c:pt>
                <c:pt idx="4">
                  <c:v>0.57999999999999996</c:v>
                </c:pt>
              </c:numCache>
            </c:numRef>
          </c:val>
          <c:smooth val="0"/>
          <c:extLst>
            <c:ext xmlns:c16="http://schemas.microsoft.com/office/drawing/2014/chart" uri="{C3380CC4-5D6E-409C-BE32-E72D297353CC}">
              <c16:uniqueId val="{00000001-E248-4408-BBF7-91B1C030CABD}"/>
            </c:ext>
          </c:extLst>
        </c:ser>
        <c:dLbls>
          <c:showLegendKey val="0"/>
          <c:showVal val="0"/>
          <c:showCatName val="0"/>
          <c:showSerName val="0"/>
          <c:showPercent val="0"/>
          <c:showBubbleSize val="0"/>
        </c:dLbls>
        <c:marker val="1"/>
        <c:smooth val="0"/>
        <c:axId val="1713046592"/>
        <c:axId val="1714736544"/>
      </c:lineChart>
      <c:catAx>
        <c:axId val="17130465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Days after sowing</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4736544"/>
        <c:crosses val="autoZero"/>
        <c:auto val="1"/>
        <c:lblAlgn val="ctr"/>
        <c:lblOffset val="100"/>
        <c:noMultiLvlLbl val="0"/>
      </c:catAx>
      <c:valAx>
        <c:axId val="171473654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 growth rate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3046592"/>
        <c:crosses val="autoZero"/>
        <c:crossBetween val="between"/>
      </c:valAx>
      <c:spPr>
        <a:noFill/>
        <a:ln>
          <a:noFill/>
        </a:ln>
        <a:effectLst/>
      </c:spPr>
    </c:plotArea>
    <c:legend>
      <c:legendPos val="b"/>
      <c:layout>
        <c:manualLayout>
          <c:xMode val="edge"/>
          <c:yMode val="edge"/>
          <c:x val="0.3234975039884721"/>
          <c:y val="3.2174172531635646E-2"/>
          <c:w val="0.3530047861664351"/>
          <c:h val="7.85672441085748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12</TotalTime>
  <Pages>28</Pages>
  <Words>6722</Words>
  <Characters>38322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Bilkees jamsheed</dc:creator>
  <cp:keywords/>
  <dc:description/>
  <cp:lastModifiedBy>SDI 1166</cp:lastModifiedBy>
  <cp:revision>8</cp:revision>
  <dcterms:created xsi:type="dcterms:W3CDTF">2026-07-08T14:39:00Z</dcterms:created>
  <dcterms:modified xsi:type="dcterms:W3CDTF">2026-07-09T11:16:00Z</dcterms:modified>
</cp:coreProperties>
</file>