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EC69" w14:textId="77777777" w:rsidR="001974F1" w:rsidRPr="001974F1" w:rsidRDefault="001974F1" w:rsidP="00667706">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en-IN"/>
        </w:rPr>
      </w:pPr>
      <w:r w:rsidRPr="001974F1">
        <w:rPr>
          <w:rFonts w:ascii="Times New Roman" w:eastAsia="Times New Roman" w:hAnsi="Times New Roman" w:cs="Times New Roman"/>
          <w:b/>
          <w:bCs/>
          <w:kern w:val="36"/>
          <w:sz w:val="24"/>
          <w:szCs w:val="24"/>
          <w:lang w:eastAsia="en-IN"/>
        </w:rPr>
        <w:t xml:space="preserve">LARVICIDAL POTENTIAL OF </w:t>
      </w:r>
      <w:r w:rsidRPr="001974F1">
        <w:rPr>
          <w:rFonts w:ascii="Times New Roman" w:eastAsia="Times New Roman" w:hAnsi="Times New Roman" w:cs="Times New Roman"/>
          <w:b/>
          <w:bCs/>
          <w:i/>
          <w:iCs/>
          <w:kern w:val="36"/>
          <w:sz w:val="24"/>
          <w:szCs w:val="24"/>
          <w:lang w:eastAsia="en-IN"/>
        </w:rPr>
        <w:t>VITEX NEGUNDO</w:t>
      </w:r>
      <w:r w:rsidRPr="001974F1">
        <w:rPr>
          <w:rFonts w:ascii="Times New Roman" w:eastAsia="Times New Roman" w:hAnsi="Times New Roman" w:cs="Times New Roman"/>
          <w:b/>
          <w:bCs/>
          <w:kern w:val="36"/>
          <w:sz w:val="24"/>
          <w:szCs w:val="24"/>
          <w:lang w:eastAsia="en-IN"/>
        </w:rPr>
        <w:t xml:space="preserve"> EXTRACTS AGAINST </w:t>
      </w:r>
      <w:r w:rsidRPr="001974F1">
        <w:rPr>
          <w:rFonts w:ascii="Times New Roman" w:eastAsia="Times New Roman" w:hAnsi="Times New Roman" w:cs="Times New Roman"/>
          <w:b/>
          <w:bCs/>
          <w:i/>
          <w:iCs/>
          <w:kern w:val="36"/>
          <w:sz w:val="24"/>
          <w:szCs w:val="24"/>
          <w:lang w:eastAsia="en-IN"/>
        </w:rPr>
        <w:t>AEDES AEGYPTI</w:t>
      </w:r>
      <w:r w:rsidRPr="001974F1">
        <w:rPr>
          <w:rFonts w:ascii="Times New Roman" w:eastAsia="Times New Roman" w:hAnsi="Times New Roman" w:cs="Times New Roman"/>
          <w:b/>
          <w:bCs/>
          <w:kern w:val="36"/>
          <w:sz w:val="24"/>
          <w:szCs w:val="24"/>
          <w:lang w:eastAsia="en-IN"/>
        </w:rPr>
        <w:t xml:space="preserve"> LARVAE</w:t>
      </w:r>
    </w:p>
    <w:p w14:paraId="3307EBF9" w14:textId="77777777" w:rsidR="009C058F" w:rsidRDefault="009C058F" w:rsidP="004F6F2B">
      <w:pPr>
        <w:spacing w:before="100" w:beforeAutospacing="1" w:after="100" w:afterAutospacing="1" w:line="240" w:lineRule="auto"/>
        <w:rPr>
          <w:rFonts w:ascii="Times New Roman" w:eastAsia="Times New Roman" w:hAnsi="Times New Roman" w:cs="Times New Roman"/>
          <w:b/>
          <w:bCs/>
          <w:sz w:val="24"/>
          <w:szCs w:val="24"/>
          <w:lang w:eastAsia="en-IN"/>
        </w:rPr>
      </w:pPr>
    </w:p>
    <w:p w14:paraId="41FE93FD" w14:textId="0EC83E3A" w:rsidR="004F6F2B" w:rsidRPr="000A6623" w:rsidRDefault="004F6F2B" w:rsidP="004F6F2B">
      <w:pPr>
        <w:spacing w:before="100" w:beforeAutospacing="1" w:after="100" w:afterAutospacing="1" w:line="240" w:lineRule="auto"/>
        <w:rPr>
          <w:rFonts w:ascii="Times New Roman" w:eastAsia="Times New Roman" w:hAnsi="Times New Roman" w:cs="Times New Roman"/>
          <w:sz w:val="24"/>
          <w:szCs w:val="24"/>
          <w:lang w:val="en-US" w:bidi="bn-IN"/>
        </w:rPr>
      </w:pPr>
      <w:r w:rsidRPr="000A6623">
        <w:rPr>
          <w:rFonts w:ascii="Times New Roman" w:eastAsia="Times New Roman" w:hAnsi="Times New Roman" w:cs="Times New Roman"/>
          <w:b/>
          <w:bCs/>
          <w:sz w:val="24"/>
          <w:szCs w:val="24"/>
          <w:lang w:val="en-US" w:bidi="bn-IN"/>
        </w:rPr>
        <w:t>Abstract</w:t>
      </w:r>
    </w:p>
    <w:p w14:paraId="5E8028E0" w14:textId="77777777" w:rsidR="004F6F2B" w:rsidRPr="000A6623" w:rsidRDefault="004F6F2B" w:rsidP="004F6F2B">
      <w:pPr>
        <w:spacing w:before="100" w:beforeAutospacing="1" w:after="100" w:afterAutospacing="1" w:line="240" w:lineRule="auto"/>
        <w:rPr>
          <w:rFonts w:ascii="Times New Roman" w:eastAsia="Times New Roman" w:hAnsi="Times New Roman" w:cs="Times New Roman"/>
          <w:sz w:val="24"/>
          <w:szCs w:val="24"/>
          <w:lang w:val="en-US" w:bidi="bn-IN"/>
        </w:rPr>
      </w:pPr>
      <w:r w:rsidRPr="000A6623">
        <w:rPr>
          <w:rFonts w:ascii="Times New Roman" w:eastAsia="Times New Roman" w:hAnsi="Times New Roman" w:cs="Times New Roman"/>
          <w:sz w:val="24"/>
          <w:szCs w:val="24"/>
          <w:lang w:val="en-US" w:bidi="bn-IN"/>
        </w:rPr>
        <w:t xml:space="preserve">This study evaluated the phytochemical composition and larvicidal activity of aqueous, ethanol, and isopropanol leaf extracts of </w:t>
      </w:r>
      <w:r w:rsidRPr="000A6623">
        <w:rPr>
          <w:rFonts w:ascii="Times New Roman" w:eastAsia="Times New Roman" w:hAnsi="Times New Roman" w:cs="Times New Roman"/>
          <w:i/>
          <w:iCs/>
          <w:sz w:val="24"/>
          <w:szCs w:val="24"/>
          <w:lang w:val="en-US" w:bidi="bn-IN"/>
        </w:rPr>
        <w:t>Vitex negundo</w:t>
      </w:r>
      <w:r w:rsidRPr="000A6623">
        <w:rPr>
          <w:rFonts w:ascii="Times New Roman" w:eastAsia="Times New Roman" w:hAnsi="Times New Roman" w:cs="Times New Roman"/>
          <w:sz w:val="24"/>
          <w:szCs w:val="24"/>
          <w:lang w:val="en-US" w:bidi="bn-IN"/>
        </w:rPr>
        <w:t xml:space="preserve"> against fourth-instar larvae of </w:t>
      </w:r>
      <w:r w:rsidRPr="000A6623">
        <w:rPr>
          <w:rFonts w:ascii="Times New Roman" w:eastAsia="Times New Roman" w:hAnsi="Times New Roman" w:cs="Times New Roman"/>
          <w:i/>
          <w:iCs/>
          <w:sz w:val="24"/>
          <w:szCs w:val="24"/>
          <w:lang w:val="en-US" w:bidi="bn-IN"/>
        </w:rPr>
        <w:t>Aedes aegypti</w:t>
      </w:r>
      <w:r w:rsidRPr="000A6623">
        <w:rPr>
          <w:rFonts w:ascii="Times New Roman" w:eastAsia="Times New Roman" w:hAnsi="Times New Roman" w:cs="Times New Roman"/>
          <w:sz w:val="24"/>
          <w:szCs w:val="24"/>
          <w:lang w:val="en-US" w:bidi="bn-IN"/>
        </w:rPr>
        <w:t xml:space="preserve"> under laboratory conditions. Leaf powder was extracted by cold maceration for 72 hours using water, ethanol, and isopropanol at a 1:10 (w/v) ratio. The resulting crude extracts were screened qualitatively for major phytochemical groups, including alkaloids, flavonoids, phenols, saponins, tannins, and terpenoids. Larvicidal activity was assessed by exposing batches of 50 larvae to 1,000 µg/mL of each extract, with mortality recorded at 12, 24, and 48 hours across three independent replicates. A DMSO vehicle control was maintained in parallel. The ethanol extract showed the broadest phytochemical profile, with detectable alkaloids, flavonoids, phenols, tannins, and terpenoids. Isopropanol extract contained flavonoids, phenols, tannins, terpenoids, and saponins, while the aqueous extract showed a more limited profile. Larval mortality increased with exposure time in all treated groups. At 48 hours, the ethanol extract produced the highest mortality (68.00% ± 4.62%), followed by isopropanol extract (52.00% ± 6.43%) and aqueous extract (16.67% ± 0.67%). No mortality was observed in the control group. Dose-response testing of the ethanol extract showed increasing mortality from 100 to 750 µg/mL, and Probit analysis estimated an LC50 of 520.0 µg/mL and an LC90 of 845.0 µg/mL at 48 hours. The findings indicate that ethanol leaf extract of </w:t>
      </w:r>
      <w:r w:rsidRPr="000A6623">
        <w:rPr>
          <w:rFonts w:ascii="Times New Roman" w:eastAsia="Times New Roman" w:hAnsi="Times New Roman" w:cs="Times New Roman"/>
          <w:i/>
          <w:iCs/>
          <w:sz w:val="24"/>
          <w:szCs w:val="24"/>
          <w:lang w:val="en-US" w:bidi="bn-IN"/>
        </w:rPr>
        <w:t>V. negundo</w:t>
      </w:r>
      <w:r w:rsidRPr="000A6623">
        <w:rPr>
          <w:rFonts w:ascii="Times New Roman" w:eastAsia="Times New Roman" w:hAnsi="Times New Roman" w:cs="Times New Roman"/>
          <w:sz w:val="24"/>
          <w:szCs w:val="24"/>
          <w:lang w:val="en-US" w:bidi="bn-IN"/>
        </w:rPr>
        <w:t xml:space="preserve"> has measurable larvicidal activity against </w:t>
      </w:r>
      <w:r w:rsidRPr="000A6623">
        <w:rPr>
          <w:rFonts w:ascii="Times New Roman" w:eastAsia="Times New Roman" w:hAnsi="Times New Roman" w:cs="Times New Roman"/>
          <w:i/>
          <w:iCs/>
          <w:sz w:val="24"/>
          <w:szCs w:val="24"/>
          <w:lang w:val="en-US" w:bidi="bn-IN"/>
        </w:rPr>
        <w:t>A. aegypti</w:t>
      </w:r>
      <w:r w:rsidRPr="000A6623">
        <w:rPr>
          <w:rFonts w:ascii="Times New Roman" w:eastAsia="Times New Roman" w:hAnsi="Times New Roman" w:cs="Times New Roman"/>
          <w:sz w:val="24"/>
          <w:szCs w:val="24"/>
          <w:lang w:val="en-US" w:bidi="bn-IN"/>
        </w:rPr>
        <w:t xml:space="preserve"> larvae under laboratory conditions and may merit further evaluation as a botanical larvicidal candidate.</w:t>
      </w:r>
    </w:p>
    <w:p w14:paraId="08DB7F89"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Keywords:</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Larvicidal activity, Phytochemical screening, Botanical insecticides, Veterinary vector control.</w:t>
      </w:r>
    </w:p>
    <w:p w14:paraId="67B8716D"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1. INTRODUCTION</w:t>
      </w:r>
    </w:p>
    <w:p w14:paraId="29E44774"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Global livestock production and public health infrastructure face unprecedented challenges from the geographic expansion of vector-borne diseases, a phenomenon heavily accelerated by climate change, unplanned urbanization, and globalized trade networks (Smith et al., 2022). Dipteran vectors, most notably mosquitoes belonging to the genera </w:t>
      </w:r>
      <w:r w:rsidRPr="001974F1">
        <w:rPr>
          <w:rFonts w:ascii="Times New Roman" w:eastAsia="Times New Roman" w:hAnsi="Times New Roman" w:cs="Times New Roman"/>
          <w:i/>
          <w:iCs/>
          <w:sz w:val="24"/>
          <w:szCs w:val="24"/>
          <w:lang w:eastAsia="en-IN"/>
        </w:rPr>
        <w:t>Aedes</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i/>
          <w:iCs/>
          <w:sz w:val="24"/>
          <w:szCs w:val="24"/>
          <w:lang w:eastAsia="en-IN"/>
        </w:rPr>
        <w:t>Anopheles</w:t>
      </w:r>
      <w:r w:rsidRPr="001974F1">
        <w:rPr>
          <w:rFonts w:ascii="Times New Roman" w:eastAsia="Times New Roman" w:hAnsi="Times New Roman" w:cs="Times New Roman"/>
          <w:sz w:val="24"/>
          <w:szCs w:val="24"/>
          <w:lang w:eastAsia="en-IN"/>
        </w:rPr>
        <w:t xml:space="preserve">, and </w:t>
      </w:r>
      <w:r w:rsidRPr="001974F1">
        <w:rPr>
          <w:rFonts w:ascii="Times New Roman" w:eastAsia="Times New Roman" w:hAnsi="Times New Roman" w:cs="Times New Roman"/>
          <w:i/>
          <w:iCs/>
          <w:sz w:val="24"/>
          <w:szCs w:val="24"/>
          <w:lang w:eastAsia="en-IN"/>
        </w:rPr>
        <w:t>Culex</w:t>
      </w:r>
      <w:r w:rsidRPr="001974F1">
        <w:rPr>
          <w:rFonts w:ascii="Times New Roman" w:eastAsia="Times New Roman" w:hAnsi="Times New Roman" w:cs="Times New Roman"/>
          <w:sz w:val="24"/>
          <w:szCs w:val="24"/>
          <w:lang w:eastAsia="en-IN"/>
        </w:rPr>
        <w:t xml:space="preserve">, are no longer confined to historical tropical boundaries. Among these,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stands out as an exceptionally adaptive, anthropophilic vector capable of breeding in minimal artificial water containers, making its control highly complex (Jones &amp; Davis, 2024). While </w:t>
      </w:r>
      <w:r w:rsidRPr="001974F1">
        <w:rPr>
          <w:rFonts w:ascii="Times New Roman" w:eastAsia="Times New Roman" w:hAnsi="Times New Roman" w:cs="Times New Roman"/>
          <w:i/>
          <w:iCs/>
          <w:sz w:val="24"/>
          <w:szCs w:val="24"/>
          <w:lang w:eastAsia="en-IN"/>
        </w:rPr>
        <w:t>A. aegypti</w:t>
      </w:r>
      <w:r w:rsidRPr="001974F1">
        <w:rPr>
          <w:rFonts w:ascii="Times New Roman" w:eastAsia="Times New Roman" w:hAnsi="Times New Roman" w:cs="Times New Roman"/>
          <w:sz w:val="24"/>
          <w:szCs w:val="24"/>
          <w:lang w:eastAsia="en-IN"/>
        </w:rPr>
        <w:t xml:space="preserve"> is widely recognized as the primary vector for human arboviruses such as dengue, Zika, chikungunya, and yellow fever, its role within the wider "One Health" framework—</w:t>
      </w:r>
      <w:r w:rsidRPr="001974F1">
        <w:rPr>
          <w:rFonts w:ascii="Times New Roman" w:eastAsia="Times New Roman" w:hAnsi="Times New Roman" w:cs="Times New Roman"/>
          <w:sz w:val="24"/>
          <w:szCs w:val="24"/>
          <w:lang w:eastAsia="en-IN"/>
        </w:rPr>
        <w:lastRenderedPageBreak/>
        <w:t>interconnecting human, animal, and environmental health—is frequently underappreciated in conventional vector literature (World Health Organization [WHO], 2023).</w:t>
      </w:r>
    </w:p>
    <w:p w14:paraId="3595F359"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Mosquito-borne pathogens inflict severe, multi-million-dollar economic damage on the global livestock industry annually. For instance, Rift Valley Fever (RVF), caused by a </w:t>
      </w:r>
      <w:proofErr w:type="spellStart"/>
      <w:r w:rsidRPr="001974F1">
        <w:rPr>
          <w:rFonts w:ascii="Times New Roman" w:eastAsia="Times New Roman" w:hAnsi="Times New Roman" w:cs="Times New Roman"/>
          <w:sz w:val="24"/>
          <w:szCs w:val="24"/>
          <w:lang w:eastAsia="en-IN"/>
        </w:rPr>
        <w:t>phlebovirus</w:t>
      </w:r>
      <w:proofErr w:type="spellEnd"/>
      <w:r w:rsidRPr="001974F1">
        <w:rPr>
          <w:rFonts w:ascii="Times New Roman" w:eastAsia="Times New Roman" w:hAnsi="Times New Roman" w:cs="Times New Roman"/>
          <w:sz w:val="24"/>
          <w:szCs w:val="24"/>
          <w:lang w:eastAsia="en-IN"/>
        </w:rPr>
        <w:t xml:space="preserve"> and transmitted by </w:t>
      </w:r>
      <w:r w:rsidRPr="001974F1">
        <w:rPr>
          <w:rFonts w:ascii="Times New Roman" w:eastAsia="Times New Roman" w:hAnsi="Times New Roman" w:cs="Times New Roman"/>
          <w:i/>
          <w:iCs/>
          <w:sz w:val="24"/>
          <w:szCs w:val="24"/>
          <w:lang w:eastAsia="en-IN"/>
        </w:rPr>
        <w:t>Aedes</w:t>
      </w:r>
      <w:r w:rsidRPr="001974F1">
        <w:rPr>
          <w:rFonts w:ascii="Times New Roman" w:eastAsia="Times New Roman" w:hAnsi="Times New Roman" w:cs="Times New Roman"/>
          <w:sz w:val="24"/>
          <w:szCs w:val="24"/>
          <w:lang w:eastAsia="en-IN"/>
        </w:rPr>
        <w:t xml:space="preserve"> and </w:t>
      </w:r>
      <w:r w:rsidRPr="001974F1">
        <w:rPr>
          <w:rFonts w:ascii="Times New Roman" w:eastAsia="Times New Roman" w:hAnsi="Times New Roman" w:cs="Times New Roman"/>
          <w:i/>
          <w:iCs/>
          <w:sz w:val="24"/>
          <w:szCs w:val="24"/>
          <w:lang w:eastAsia="en-IN"/>
        </w:rPr>
        <w:t>Culex</w:t>
      </w:r>
      <w:r w:rsidRPr="001974F1">
        <w:rPr>
          <w:rFonts w:ascii="Times New Roman" w:eastAsia="Times New Roman" w:hAnsi="Times New Roman" w:cs="Times New Roman"/>
          <w:sz w:val="24"/>
          <w:szCs w:val="24"/>
          <w:lang w:eastAsia="en-IN"/>
        </w:rPr>
        <w:t xml:space="preserve"> bridge vectors, is notorious for causing catastrophic "abortion storms" and near-total mortality rates among neonatal lambs, kids, and calves (Kumar et al., 2023). The sudden loss of an entire generation of livestock decimates the capital assets of smallholder farmers and destabilizes regional food security. Similarly, Bluetongue Virus (BTV), an </w:t>
      </w:r>
      <w:proofErr w:type="spellStart"/>
      <w:r w:rsidRPr="001974F1">
        <w:rPr>
          <w:rFonts w:ascii="Times New Roman" w:eastAsia="Times New Roman" w:hAnsi="Times New Roman" w:cs="Times New Roman"/>
          <w:sz w:val="24"/>
          <w:szCs w:val="24"/>
          <w:lang w:eastAsia="en-IN"/>
        </w:rPr>
        <w:t>orbivirus</w:t>
      </w:r>
      <w:proofErr w:type="spellEnd"/>
      <w:r w:rsidRPr="001974F1">
        <w:rPr>
          <w:rFonts w:ascii="Times New Roman" w:eastAsia="Times New Roman" w:hAnsi="Times New Roman" w:cs="Times New Roman"/>
          <w:sz w:val="24"/>
          <w:szCs w:val="24"/>
          <w:lang w:eastAsia="en-IN"/>
        </w:rPr>
        <w:t xml:space="preserve"> predominantly transmitted by </w:t>
      </w:r>
      <w:r w:rsidRPr="001974F1">
        <w:rPr>
          <w:rFonts w:ascii="Times New Roman" w:eastAsia="Times New Roman" w:hAnsi="Times New Roman" w:cs="Times New Roman"/>
          <w:i/>
          <w:iCs/>
          <w:sz w:val="24"/>
          <w:szCs w:val="24"/>
          <w:lang w:eastAsia="en-IN"/>
        </w:rPr>
        <w:t>Culicoides</w:t>
      </w:r>
      <w:r w:rsidRPr="001974F1">
        <w:rPr>
          <w:rFonts w:ascii="Times New Roman" w:eastAsia="Times New Roman" w:hAnsi="Times New Roman" w:cs="Times New Roman"/>
          <w:sz w:val="24"/>
          <w:szCs w:val="24"/>
          <w:lang w:eastAsia="en-IN"/>
        </w:rPr>
        <w:t xml:space="preserve"> biting midges but increasingly associated with mechanical or secondary transmission by dense mosquito populations in specific agro-ecological zones, manifests as a severe </w:t>
      </w:r>
      <w:proofErr w:type="spellStart"/>
      <w:r w:rsidRPr="001974F1">
        <w:rPr>
          <w:rFonts w:ascii="Times New Roman" w:eastAsia="Times New Roman" w:hAnsi="Times New Roman" w:cs="Times New Roman"/>
          <w:sz w:val="24"/>
          <w:szCs w:val="24"/>
          <w:lang w:eastAsia="en-IN"/>
        </w:rPr>
        <w:t>hemorrhagic</w:t>
      </w:r>
      <w:proofErr w:type="spellEnd"/>
      <w:r w:rsidRPr="001974F1">
        <w:rPr>
          <w:rFonts w:ascii="Times New Roman" w:eastAsia="Times New Roman" w:hAnsi="Times New Roman" w:cs="Times New Roman"/>
          <w:sz w:val="24"/>
          <w:szCs w:val="24"/>
          <w:lang w:eastAsia="en-IN"/>
        </w:rPr>
        <w:t xml:space="preserve"> syndrome in sheep (Patel &amp; Singh, 2025). Chronic manifestations of BTV include severe weight loss, wool tenderness, a drop in milk yield, and prolonged convalescence periods, all of which compromise herd productivity. Beyond these, other high-consequence veterinary arboviruses, such as West Nile Virus (WNV) and Eastern Equine Encephalitis (EEE), exploit avian reservoirs and mosquito vectors to cause fatal neurological disease in horses and valuable ratite populations (Garcia et al., 2024). The cumulative economic shocks of these veterinary vector-borne diseases are profound, encompassing not only direct animal mortality and reduced yields of meat, milk, and wool, but also prohibitive veterinary treatment bills, costly diagnostic surveillance, and severe international trade restrictions imposed on livestock exports from endemic zones (International Livestock Research Institute [ILRI], 2024).</w:t>
      </w:r>
    </w:p>
    <w:p w14:paraId="54A57EBD"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For over half a century, the global paradigm for suppressing mosquito populations has relied almost exclusively on the application of synthetic chemical insecticides, including organophosphates, organochlorines, carbamates, and synthetic pyrethroids (Martinez, 2023). However, this intensive chemical warfare has triggered severe biological and ecological backlashes. First, continuous selection pressure has led to the widespread evolution of knockdown resistance (</w:t>
      </w:r>
      <w:proofErr w:type="spellStart"/>
      <w:r w:rsidRPr="001974F1">
        <w:rPr>
          <w:rFonts w:ascii="Times New Roman" w:eastAsia="Times New Roman" w:hAnsi="Times New Roman" w:cs="Times New Roman"/>
          <w:sz w:val="24"/>
          <w:szCs w:val="24"/>
          <w:lang w:eastAsia="en-IN"/>
        </w:rPr>
        <w:t>kdr</w:t>
      </w:r>
      <w:proofErr w:type="spellEnd"/>
      <w:r w:rsidRPr="001974F1">
        <w:rPr>
          <w:rFonts w:ascii="Times New Roman" w:eastAsia="Times New Roman" w:hAnsi="Times New Roman" w:cs="Times New Roman"/>
          <w:sz w:val="24"/>
          <w:szCs w:val="24"/>
          <w:lang w:eastAsia="en-IN"/>
        </w:rPr>
        <w:t xml:space="preserve">) mutations and metabolic detoxification mechanisms in </w:t>
      </w:r>
      <w:r w:rsidRPr="001974F1">
        <w:rPr>
          <w:rFonts w:ascii="Times New Roman" w:eastAsia="Times New Roman" w:hAnsi="Times New Roman" w:cs="Times New Roman"/>
          <w:i/>
          <w:iCs/>
          <w:sz w:val="24"/>
          <w:szCs w:val="24"/>
          <w:lang w:eastAsia="en-IN"/>
        </w:rPr>
        <w:t>A. aegypti</w:t>
      </w:r>
      <w:r w:rsidRPr="001974F1">
        <w:rPr>
          <w:rFonts w:ascii="Times New Roman" w:eastAsia="Times New Roman" w:hAnsi="Times New Roman" w:cs="Times New Roman"/>
          <w:sz w:val="24"/>
          <w:szCs w:val="24"/>
          <w:lang w:eastAsia="en-IN"/>
        </w:rPr>
        <w:t xml:space="preserve">, rendering many commercially available synthetic formulations obsolete (Brown et al., 2024). Second, synthetic chemical residues are highly persistent, bioaccumulating across trophic levels and exerting acute toxicity on non-target beneficial organisms, including pollinators like </w:t>
      </w:r>
      <w:r w:rsidRPr="001974F1">
        <w:rPr>
          <w:rFonts w:ascii="Times New Roman" w:eastAsia="Times New Roman" w:hAnsi="Times New Roman" w:cs="Times New Roman"/>
          <w:i/>
          <w:iCs/>
          <w:sz w:val="24"/>
          <w:szCs w:val="24"/>
          <w:lang w:eastAsia="en-IN"/>
        </w:rPr>
        <w:t>Apis mellifera</w:t>
      </w:r>
      <w:r w:rsidRPr="001974F1">
        <w:rPr>
          <w:rFonts w:ascii="Times New Roman" w:eastAsia="Times New Roman" w:hAnsi="Times New Roman" w:cs="Times New Roman"/>
          <w:sz w:val="24"/>
          <w:szCs w:val="24"/>
          <w:lang w:eastAsia="en-IN"/>
        </w:rPr>
        <w:t xml:space="preserve"> and natural aquatic predators of mosquito larvae, such as </w:t>
      </w:r>
      <w:proofErr w:type="spellStart"/>
      <w:r w:rsidRPr="001974F1">
        <w:rPr>
          <w:rFonts w:ascii="Times New Roman" w:eastAsia="Times New Roman" w:hAnsi="Times New Roman" w:cs="Times New Roman"/>
          <w:sz w:val="24"/>
          <w:szCs w:val="24"/>
          <w:lang w:eastAsia="en-IN"/>
        </w:rPr>
        <w:t>odonate</w:t>
      </w:r>
      <w:proofErr w:type="spellEnd"/>
      <w:r w:rsidRPr="001974F1">
        <w:rPr>
          <w:rFonts w:ascii="Times New Roman" w:eastAsia="Times New Roman" w:hAnsi="Times New Roman" w:cs="Times New Roman"/>
          <w:sz w:val="24"/>
          <w:szCs w:val="24"/>
          <w:lang w:eastAsia="en-IN"/>
        </w:rPr>
        <w:t xml:space="preserve"> nymphs and </w:t>
      </w:r>
      <w:proofErr w:type="spellStart"/>
      <w:r w:rsidRPr="001974F1">
        <w:rPr>
          <w:rFonts w:ascii="Times New Roman" w:eastAsia="Times New Roman" w:hAnsi="Times New Roman" w:cs="Times New Roman"/>
          <w:sz w:val="24"/>
          <w:szCs w:val="24"/>
          <w:lang w:eastAsia="en-IN"/>
        </w:rPr>
        <w:t>larvivorous</w:t>
      </w:r>
      <w:proofErr w:type="spellEnd"/>
      <w:r w:rsidRPr="001974F1">
        <w:rPr>
          <w:rFonts w:ascii="Times New Roman" w:eastAsia="Times New Roman" w:hAnsi="Times New Roman" w:cs="Times New Roman"/>
          <w:sz w:val="24"/>
          <w:szCs w:val="24"/>
          <w:lang w:eastAsia="en-IN"/>
        </w:rPr>
        <w:t xml:space="preserve"> fish (Taylor &amp; White, 2025). Furthermore, from a veterinary perspective, the </w:t>
      </w:r>
      <w:r w:rsidRPr="001974F1">
        <w:rPr>
          <w:rFonts w:ascii="Times New Roman" w:eastAsia="Times New Roman" w:hAnsi="Times New Roman" w:cs="Times New Roman"/>
          <w:sz w:val="24"/>
          <w:szCs w:val="24"/>
          <w:lang w:eastAsia="en-IN"/>
        </w:rPr>
        <w:lastRenderedPageBreak/>
        <w:t>systemic use of synthetic pesticides around livestock sheds introduces a dangerous risk of chemical residues contaminating milk, meat, and fat deposits, thereby posing a direct threat to consumer food safety and violating strict maximum residue limits (MRLs) required for international trade.</w:t>
      </w:r>
    </w:p>
    <w:p w14:paraId="6BFBF798"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Faced with the twin crises of widespread insecticide resistance and environmental degradation, the scientific community is urgently pivoting toward green chemistry and botanical insecticides as alternative pillars of Integrated Vector Management (IVM). Plant-derived secondary metabolites offer a highly sustainable pathway forward because they are typically biodegradable, exhibit low mammalian toxicity, and present a complex mixture of active compounds that work synergistically, making the development of resistance in target pests exceedingly rare (Nguyen et al., 2024).</w:t>
      </w:r>
    </w:p>
    <w:p w14:paraId="3C566161"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Within the rich repertoire of ethnomedicinal flora,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Linn. (Family: </w:t>
      </w:r>
      <w:proofErr w:type="spellStart"/>
      <w:r w:rsidRPr="001974F1">
        <w:rPr>
          <w:rFonts w:ascii="Times New Roman" w:eastAsia="Times New Roman" w:hAnsi="Times New Roman" w:cs="Times New Roman"/>
          <w:sz w:val="24"/>
          <w:szCs w:val="24"/>
          <w:lang w:eastAsia="en-IN"/>
        </w:rPr>
        <w:t>Lamiaceae</w:t>
      </w:r>
      <w:proofErr w:type="spellEnd"/>
      <w:r w:rsidRPr="001974F1">
        <w:rPr>
          <w:rFonts w:ascii="Times New Roman" w:eastAsia="Times New Roman" w:hAnsi="Times New Roman" w:cs="Times New Roman"/>
          <w:sz w:val="24"/>
          <w:szCs w:val="24"/>
          <w:lang w:eastAsia="en-IN"/>
        </w:rPr>
        <w:t xml:space="preserve">), commonly known as </w:t>
      </w:r>
      <w:proofErr w:type="spellStart"/>
      <w:r w:rsidRPr="001974F1">
        <w:rPr>
          <w:rFonts w:ascii="Times New Roman" w:eastAsia="Times New Roman" w:hAnsi="Times New Roman" w:cs="Times New Roman"/>
          <w:sz w:val="24"/>
          <w:szCs w:val="24"/>
          <w:lang w:eastAsia="en-IN"/>
        </w:rPr>
        <w:t>Notchi</w:t>
      </w:r>
      <w:proofErr w:type="spellEnd"/>
      <w:r w:rsidRPr="001974F1">
        <w:rPr>
          <w:rFonts w:ascii="Times New Roman" w:eastAsia="Times New Roman" w:hAnsi="Times New Roman" w:cs="Times New Roman"/>
          <w:sz w:val="24"/>
          <w:szCs w:val="24"/>
          <w:lang w:eastAsia="en-IN"/>
        </w:rPr>
        <w:t xml:space="preserve"> or the five-leaved chaste tree, stands out as a premier candidate for bio-pesticide synthesis. Historically utilized in traditional Ayurvedic and Siddha medicine for its potent anti-inflammatory, analgesic, and antimicrobial properties,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is naturally enriched with a diverse array of defensive secondary metabolites. Previous preliminary investigations have noted that the leaves of this hardy, drought-resistant shrub possess natural insecticidal, repellent, and insect growth-regulating properties against agricultural and public health pests (Sharma &amp; Gupta, 2023). The defensive chemistry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is believed to be driven by its unique profile of volatile monoterpenes, sesquiterpenes, iridoid glycosides, and polyphenolic flavonoids, which can disrupt the endocrine and nervous systems of immature dipterans.</w:t>
      </w:r>
    </w:p>
    <w:p w14:paraId="58E29416"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Despite its known potential, a critical gap remains in systematically optimizing the extraction efficiency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leaves using solvent systems of varying polarities, specifically tailored to target the highly resilient larval stages of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within a veterinary-centric vector management context. Targeting mosquitoes at the larval stage is widely considered the most effective control strategy, as larvae are confined to distinct, accessible aquatic habitats before they can disperse as highly mobile, disease-vectoring adults.</w:t>
      </w:r>
    </w:p>
    <w:p w14:paraId="075805A2"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Therefore, the objective of this study was to conduct a rigorous, comparative evaluation of the qualitative phytochemical profiles and quantitative larvicidal efficacies of aqueous, ethanol, and isopropanol leaf extracts of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against fourth-instar larvae of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sz w:val="24"/>
          <w:szCs w:val="24"/>
          <w:lang w:eastAsia="en-IN"/>
        </w:rPr>
        <w:lastRenderedPageBreak/>
        <w:t>By defining the median lethal concentration (LC50​) values and studying the statistical variations in mortality over time, this research seeks to validate a scalable, cost-effective, and ecologically benign botanical formula. Ultimately, this work aims to provide livestock management systems with an actionable alternative to synthetic chemicals, safeguarding animal health, protecting smallholder livelihoods, and advancing the core principles of sustainable animal agriculture.</w:t>
      </w:r>
    </w:p>
    <w:p w14:paraId="56DCD212" w14:textId="77777777" w:rsid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p>
    <w:p w14:paraId="7073DB8C"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 MATERIALS AND METHODS</w:t>
      </w:r>
    </w:p>
    <w:p w14:paraId="27BA6FFD"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2.1 Plant Material and Extract Preparation</w:t>
      </w:r>
    </w:p>
    <w:p w14:paraId="36670691"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leaves were collected from a local farm in Theni, Tamil Nadu, India, and authenticated by a botanist. The leaves were washed thoroughly to remove any surface impurities, air-dried under shade at room temperature, and ground into a uniform, fine powder. Extracts were prepared by macerating 50 grams of the powdered leaves in 500 mL of three distinct solvents representing different polarities: aqueous, absolute ethanol, and isopropanol at a fixed 1:10 (w/v) ratio. The cold maceration extraction process was carried out over 72 hours with occasional mechanical agitation. After the extraction window, each mixture was filtered through Whatman No. 1 filter paper, and the solvent phases were evaporated under reduced pressure using a rotary evaporator. The concentrated crude extracts were weighed and stored in airtight amber vials at 4°C for subsequent bioassays.</w:t>
      </w:r>
    </w:p>
    <w:p w14:paraId="2973B15C"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2.2 Phytochemical Screening</w:t>
      </w:r>
    </w:p>
    <w:p w14:paraId="5667D13D"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Phytochemical screening of the aqueous, ethanol, and isopropanol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extracts was conducted using standard, qualitative diagnostic reagent procedures described by Harborne (1998). The assays targeted the identification of fundamental secondary metabolites including alkaloids (Mayer’s and Wagner’s tests), flavonoids (alkaline reagent and Shinoda tests), phenols (ferric chloride test), saponins (froth test), tannins (</w:t>
      </w:r>
      <w:proofErr w:type="spellStart"/>
      <w:r w:rsidRPr="001974F1">
        <w:rPr>
          <w:rFonts w:ascii="Times New Roman" w:eastAsia="Times New Roman" w:hAnsi="Times New Roman" w:cs="Times New Roman"/>
          <w:sz w:val="24"/>
          <w:szCs w:val="24"/>
          <w:lang w:eastAsia="en-IN"/>
        </w:rPr>
        <w:t>gelatin</w:t>
      </w:r>
      <w:proofErr w:type="spellEnd"/>
      <w:r w:rsidRPr="001974F1">
        <w:rPr>
          <w:rFonts w:ascii="Times New Roman" w:eastAsia="Times New Roman" w:hAnsi="Times New Roman" w:cs="Times New Roman"/>
          <w:sz w:val="24"/>
          <w:szCs w:val="24"/>
          <w:lang w:eastAsia="en-IN"/>
        </w:rPr>
        <w:t xml:space="preserve"> test), and terpenoids (Salkowski test). Positive indicators were established based on immediate </w:t>
      </w:r>
      <w:proofErr w:type="spellStart"/>
      <w:r w:rsidRPr="001974F1">
        <w:rPr>
          <w:rFonts w:ascii="Times New Roman" w:eastAsia="Times New Roman" w:hAnsi="Times New Roman" w:cs="Times New Roman"/>
          <w:sz w:val="24"/>
          <w:szCs w:val="24"/>
          <w:lang w:eastAsia="en-IN"/>
        </w:rPr>
        <w:t>color</w:t>
      </w:r>
      <w:proofErr w:type="spellEnd"/>
      <w:r w:rsidRPr="001974F1">
        <w:rPr>
          <w:rFonts w:ascii="Times New Roman" w:eastAsia="Times New Roman" w:hAnsi="Times New Roman" w:cs="Times New Roman"/>
          <w:sz w:val="24"/>
          <w:szCs w:val="24"/>
          <w:lang w:eastAsia="en-IN"/>
        </w:rPr>
        <w:t xml:space="preserve"> transitions or the formation of distinct precipitates.</w:t>
      </w:r>
    </w:p>
    <w:p w14:paraId="67D3018D"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2.3 Larvicidal Bioassay</w:t>
      </w:r>
    </w:p>
    <w:p w14:paraId="24EF69BF"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lastRenderedPageBreak/>
        <w:t xml:space="preserve">The larvicidal activity of the extracts was evaluated against fourth-instar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larvae following modified world health protocols (WHO, 2005). Wild-type larvae were sourced from active breeding sites around livestock installations in Theni, Tamil Nadu, and acclimatized to laboratory conditions. Bioassays were performed in 250 mL glass beakers containing 100 mL of distilled water. Batches of 50 healthy fourth-instar larvae were transferred safely into each beaker. The larvae were treated with a primary screening concentration of 1,000 µg/mL of each respective extract, homogenized using a dimethyl sulfoxide (DMSO) carrier system (≤1% v/v). Negative control groups were run in parallel containing only the DMSO vehicle in distilled water. The experimental setups were maintained under controlled environmental conditions (27±2</w:t>
      </w:r>
      <w:r w:rsidRPr="001974F1">
        <w:rPr>
          <w:rFonts w:ascii="Cambria Math" w:eastAsia="Times New Roman" w:hAnsi="Cambria Math" w:cs="Cambria Math"/>
          <w:sz w:val="24"/>
          <w:szCs w:val="24"/>
          <w:lang w:eastAsia="en-IN"/>
        </w:rPr>
        <w:t>∘</w:t>
      </w:r>
      <w:r w:rsidRPr="001974F1">
        <w:rPr>
          <w:rFonts w:ascii="Times New Roman" w:eastAsia="Times New Roman" w:hAnsi="Times New Roman" w:cs="Times New Roman"/>
          <w:sz w:val="24"/>
          <w:szCs w:val="24"/>
          <w:lang w:eastAsia="en-IN"/>
        </w:rPr>
        <w:t>C; 75%–85% Relative Humidity). Cumulative larval mortality counts were systematically monitored and documented at 12, 24, and 48 hours post-treatment. Larvae were considered dead if they showed no signs of movement after gentle prodding with a macroscopic needle. The bioassays were conducted across three independent, synchronized replicates.</w:t>
      </w:r>
    </w:p>
    <w:p w14:paraId="0FB890F7"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2.4 Lethal Concentration (LC50​) Determination</w:t>
      </w:r>
    </w:p>
    <w:p w14:paraId="369E1FA2"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To chart the detailed dose-response toxicological profile, the most active extraction system (ethanol extract) was subjected to multi-dose testing. Fresh batches of 50 fourth-instar larvae were exposed to graded concentrations of 100, 250, 500, and 750 µg/</w:t>
      </w:r>
      <w:proofErr w:type="spellStart"/>
      <w:r w:rsidRPr="001974F1">
        <w:rPr>
          <w:rFonts w:ascii="Times New Roman" w:eastAsia="Times New Roman" w:hAnsi="Times New Roman" w:cs="Times New Roman"/>
          <w:sz w:val="24"/>
          <w:szCs w:val="24"/>
          <w:lang w:eastAsia="en-IN"/>
        </w:rPr>
        <w:t>mL.</w:t>
      </w:r>
      <w:proofErr w:type="spellEnd"/>
      <w:r w:rsidRPr="001974F1">
        <w:rPr>
          <w:rFonts w:ascii="Times New Roman" w:eastAsia="Times New Roman" w:hAnsi="Times New Roman" w:cs="Times New Roman"/>
          <w:sz w:val="24"/>
          <w:szCs w:val="24"/>
          <w:lang w:eastAsia="en-IN"/>
        </w:rPr>
        <w:t xml:space="preserve"> Larval mortality percentages were captured at 24 and 48 hours. The median lethal concentration (LC50​) and 90% lethal concentration (LC90​) values, together with their corresponding 95% confidence intervals (CI) and chi-square (χ2) metrics, were calculated via Probit regression analysis using GraphPad Prism software (Version 8.0.2).</w:t>
      </w:r>
    </w:p>
    <w:p w14:paraId="6B3063C3"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2.5 Statistical Analysis</w:t>
      </w:r>
    </w:p>
    <w:p w14:paraId="3A702ED8"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Raw larval mortality counts were converted to percentage values. Data were analyzed via one-way Analysis of Variance (ANOVA) using SPSS Software (Version 21.0) to evaluate differences in mortality across different extraction treatments and exposure time windows. Means were separated using Tukey’s Honestly Significant Difference (HSD) post-hoc test. Absolute statistical significance was set at a threshold of P&lt;.05.</w:t>
      </w:r>
    </w:p>
    <w:p w14:paraId="7CC1E9CF"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 RESULTS AND DISCUSSION</w:t>
      </w:r>
    </w:p>
    <w:p w14:paraId="3633A622"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 xml:space="preserve">3.1 Phytochemical Screening of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w:t>
      </w:r>
    </w:p>
    <w:p w14:paraId="76792A9C"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lastRenderedPageBreak/>
        <w:t>Phytochemical analysis revealed the presence of key bioactive compounds across the three extraction media. The qualitative composition is presented in Table 1. The evaluation of primary and secondary metabolites confirmed that the organic ethanol and isopropanol solvent systems extracted a higher density of flavonoids, terpenoids, and alkaloids than water. The ethanol extract contained alkaloids, flavonoids, phenols, saponins, tannins, and terpenoids, suggesting its high potential for insecticidal activity. The isopropanol extract had a closely related composition but lacked detectable alkaloids, while the aqueous extract only tested positive for carbohydrates, phenols, saponins, and tannins.</w:t>
      </w:r>
    </w:p>
    <w:p w14:paraId="21648EB8"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These classes of secondary metabolites are well-documented for their insecticidal properties, and their rich distribution in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confirms its potential as a functional botanical pesticide. These qualitative outcomes align with historical screenings by Harborne (1998) and recent confirmations by Sharma and Gupta (2023), who noted that the extraction of non-polar and mid-polar defensive compounds—such as iridoid glycosides and specific terpenoids—is significantly improved when moving away from purely aqueous phases.</w:t>
      </w:r>
    </w:p>
    <w:p w14:paraId="29C3FFFD"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1. Phytochemical Composition of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 (Aqueous, Ethanol, and Isopropanol)</w:t>
      </w:r>
    </w:p>
    <w:tbl>
      <w:tblPr>
        <w:tblStyle w:val="TableGrid"/>
        <w:tblW w:w="0" w:type="auto"/>
        <w:tblLook w:val="04A0" w:firstRow="1" w:lastRow="0" w:firstColumn="1" w:lastColumn="0" w:noHBand="0" w:noVBand="1"/>
      </w:tblPr>
      <w:tblGrid>
        <w:gridCol w:w="2343"/>
        <w:gridCol w:w="1943"/>
        <w:gridCol w:w="1863"/>
        <w:gridCol w:w="2290"/>
      </w:tblGrid>
      <w:tr w:rsidR="001974F1" w:rsidRPr="001974F1" w14:paraId="0D5B8C63" w14:textId="77777777" w:rsidTr="001974F1">
        <w:tc>
          <w:tcPr>
            <w:tcW w:w="0" w:type="auto"/>
            <w:hideMark/>
          </w:tcPr>
          <w:p w14:paraId="5F4049E6"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Extract Components</w:t>
            </w:r>
          </w:p>
        </w:tc>
        <w:tc>
          <w:tcPr>
            <w:tcW w:w="0" w:type="auto"/>
            <w:hideMark/>
          </w:tcPr>
          <w:p w14:paraId="405FF736"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Aqueous Extract</w:t>
            </w:r>
          </w:p>
        </w:tc>
        <w:tc>
          <w:tcPr>
            <w:tcW w:w="0" w:type="auto"/>
            <w:hideMark/>
          </w:tcPr>
          <w:p w14:paraId="3C9BB9B8"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Ethanol Extract</w:t>
            </w:r>
          </w:p>
        </w:tc>
        <w:tc>
          <w:tcPr>
            <w:tcW w:w="0" w:type="auto"/>
            <w:hideMark/>
          </w:tcPr>
          <w:p w14:paraId="3D309F49"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Isopropanol Extract</w:t>
            </w:r>
          </w:p>
        </w:tc>
      </w:tr>
      <w:tr w:rsidR="001974F1" w:rsidRPr="001974F1" w14:paraId="3A43FD65" w14:textId="77777777" w:rsidTr="001974F1">
        <w:tc>
          <w:tcPr>
            <w:tcW w:w="0" w:type="auto"/>
            <w:hideMark/>
          </w:tcPr>
          <w:p w14:paraId="0C2575C7"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Carbohydrates</w:t>
            </w:r>
          </w:p>
        </w:tc>
        <w:tc>
          <w:tcPr>
            <w:tcW w:w="0" w:type="auto"/>
            <w:hideMark/>
          </w:tcPr>
          <w:p w14:paraId="14241588"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475ACBC3"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147CB0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6BFF0383" w14:textId="77777777" w:rsidTr="001974F1">
        <w:tc>
          <w:tcPr>
            <w:tcW w:w="0" w:type="auto"/>
            <w:hideMark/>
          </w:tcPr>
          <w:p w14:paraId="5D5CD43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Alkaloids</w:t>
            </w:r>
          </w:p>
        </w:tc>
        <w:tc>
          <w:tcPr>
            <w:tcW w:w="0" w:type="auto"/>
            <w:hideMark/>
          </w:tcPr>
          <w:p w14:paraId="4D466D6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1E06C2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9A0E1B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6BCAFD54" w14:textId="77777777" w:rsidTr="001974F1">
        <w:tc>
          <w:tcPr>
            <w:tcW w:w="0" w:type="auto"/>
            <w:hideMark/>
          </w:tcPr>
          <w:p w14:paraId="3136ABF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Saponins</w:t>
            </w:r>
          </w:p>
        </w:tc>
        <w:tc>
          <w:tcPr>
            <w:tcW w:w="0" w:type="auto"/>
            <w:hideMark/>
          </w:tcPr>
          <w:p w14:paraId="19708B8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DA5C7F6"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BF4DCE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7F089271" w14:textId="77777777" w:rsidTr="001974F1">
        <w:tc>
          <w:tcPr>
            <w:tcW w:w="0" w:type="auto"/>
            <w:hideMark/>
          </w:tcPr>
          <w:p w14:paraId="65656BEF"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Flavonoids</w:t>
            </w:r>
          </w:p>
        </w:tc>
        <w:tc>
          <w:tcPr>
            <w:tcW w:w="0" w:type="auto"/>
            <w:hideMark/>
          </w:tcPr>
          <w:p w14:paraId="7EEAA9B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B7E591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92C2EB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4A92CA65" w14:textId="77777777" w:rsidTr="001974F1">
        <w:tc>
          <w:tcPr>
            <w:tcW w:w="0" w:type="auto"/>
            <w:hideMark/>
          </w:tcPr>
          <w:p w14:paraId="06E6FE3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Phenols</w:t>
            </w:r>
          </w:p>
        </w:tc>
        <w:tc>
          <w:tcPr>
            <w:tcW w:w="0" w:type="auto"/>
            <w:hideMark/>
          </w:tcPr>
          <w:p w14:paraId="66B2BBD3"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71DC6A9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FF0F92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5E23EB62" w14:textId="77777777" w:rsidTr="001974F1">
        <w:tc>
          <w:tcPr>
            <w:tcW w:w="0" w:type="auto"/>
            <w:hideMark/>
          </w:tcPr>
          <w:p w14:paraId="7C6B693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Tannins</w:t>
            </w:r>
          </w:p>
        </w:tc>
        <w:tc>
          <w:tcPr>
            <w:tcW w:w="0" w:type="auto"/>
            <w:hideMark/>
          </w:tcPr>
          <w:p w14:paraId="3FB16696"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13B9541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47DC011F"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3F5B2210" w14:textId="77777777" w:rsidTr="001974F1">
        <w:tc>
          <w:tcPr>
            <w:tcW w:w="0" w:type="auto"/>
            <w:hideMark/>
          </w:tcPr>
          <w:p w14:paraId="230A08BD"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Terpenoids</w:t>
            </w:r>
          </w:p>
        </w:tc>
        <w:tc>
          <w:tcPr>
            <w:tcW w:w="0" w:type="auto"/>
            <w:hideMark/>
          </w:tcPr>
          <w:p w14:paraId="52FDF0F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7312C178"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1951533"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199177BF" w14:textId="77777777" w:rsidTr="007C0FD7">
        <w:tc>
          <w:tcPr>
            <w:tcW w:w="0" w:type="auto"/>
            <w:gridSpan w:val="4"/>
            <w:hideMark/>
          </w:tcPr>
          <w:p w14:paraId="2636A62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Note:</w:t>
            </w:r>
            <w:r w:rsidRPr="001974F1">
              <w:rPr>
                <w:rFonts w:ascii="Times New Roman" w:eastAsia="Times New Roman" w:hAnsi="Times New Roman" w:cs="Times New Roman"/>
                <w:sz w:val="24"/>
                <w:szCs w:val="24"/>
                <w:lang w:eastAsia="en-IN"/>
              </w:rPr>
              <w:t xml:space="preserve"> (+) denotes presence; (−) denotes absence.</w:t>
            </w:r>
          </w:p>
        </w:tc>
      </w:tr>
    </w:tbl>
    <w:p w14:paraId="7CAB8FBB" w14:textId="77777777" w:rsidR="001974F1" w:rsidRPr="001974F1" w:rsidRDefault="001974F1" w:rsidP="00231125">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3.2 Larvicidal Bioassay</w:t>
      </w:r>
    </w:p>
    <w:p w14:paraId="5CB605B9"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The quantitative larvicidal activity of the extracts was assessed at a fixed primary concentration of 1,000 µg/mL across 12, 24, and 48 hours of exposure (Table 2). Larval mortality rates increased significantly over time for all experimental groups, whereas the negative control group maintained 0.0% mortality throughout the study. At 1,000 µg/mL, one-way ANOVA </w:t>
      </w:r>
      <w:r w:rsidRPr="001974F1">
        <w:rPr>
          <w:rFonts w:ascii="Times New Roman" w:eastAsia="Times New Roman" w:hAnsi="Times New Roman" w:cs="Times New Roman"/>
          <w:sz w:val="24"/>
          <w:szCs w:val="24"/>
          <w:lang w:eastAsia="en-IN"/>
        </w:rPr>
        <w:lastRenderedPageBreak/>
        <w:t>confirmed highly significant differences in larvicidal activity across the extracts (F=42.6; P=.012). The ethanol extract achieved the highest absolute efficacy, yielding a cumulative mortality rate of 68.00% ± 4.62% at 48 hours, which was significantly higher than the aqueous extract (16.67% ± 0.67%). The isopropanol extract demonstrated intermediate efficacy, finishing at 52.00% ± 6.43% at the 48-hour mark.</w:t>
      </w:r>
    </w:p>
    <w:p w14:paraId="4E066FBC"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This trend of superior alcoholic or organic extract performance over water is widely supported in recent botanical vector literature. For instance, Anitha and Geethapriya (2012) and Rajasekaran and </w:t>
      </w:r>
      <w:proofErr w:type="spellStart"/>
      <w:r w:rsidRPr="001974F1">
        <w:rPr>
          <w:rFonts w:ascii="Times New Roman" w:eastAsia="Times New Roman" w:hAnsi="Times New Roman" w:cs="Times New Roman"/>
          <w:sz w:val="24"/>
          <w:szCs w:val="24"/>
          <w:lang w:eastAsia="en-IN"/>
        </w:rPr>
        <w:t>Duraikannan</w:t>
      </w:r>
      <w:proofErr w:type="spellEnd"/>
      <w:r w:rsidRPr="001974F1">
        <w:rPr>
          <w:rFonts w:ascii="Times New Roman" w:eastAsia="Times New Roman" w:hAnsi="Times New Roman" w:cs="Times New Roman"/>
          <w:sz w:val="24"/>
          <w:szCs w:val="24"/>
          <w:lang w:eastAsia="en-IN"/>
        </w:rPr>
        <w:t xml:space="preserve"> (2012) noted a similar drop-off in larvicidal potential when utilizing crude water extractions of </w:t>
      </w:r>
      <w:proofErr w:type="spellStart"/>
      <w:r w:rsidRPr="001974F1">
        <w:rPr>
          <w:rFonts w:ascii="Times New Roman" w:eastAsia="Times New Roman" w:hAnsi="Times New Roman" w:cs="Times New Roman"/>
          <w:sz w:val="24"/>
          <w:szCs w:val="24"/>
          <w:lang w:eastAsia="en-IN"/>
        </w:rPr>
        <w:t>Lamiaceae</w:t>
      </w:r>
      <w:proofErr w:type="spellEnd"/>
      <w:r w:rsidRPr="001974F1">
        <w:rPr>
          <w:rFonts w:ascii="Times New Roman" w:eastAsia="Times New Roman" w:hAnsi="Times New Roman" w:cs="Times New Roman"/>
          <w:sz w:val="24"/>
          <w:szCs w:val="24"/>
          <w:lang w:eastAsia="en-IN"/>
        </w:rPr>
        <w:t xml:space="preserve"> species, attributing it to the incomplete extraction of hydrophobic terpenoids. Furthermore, </w:t>
      </w:r>
      <w:proofErr w:type="spellStart"/>
      <w:r w:rsidRPr="001974F1">
        <w:rPr>
          <w:rFonts w:ascii="Times New Roman" w:eastAsia="Times New Roman" w:hAnsi="Times New Roman" w:cs="Times New Roman"/>
          <w:sz w:val="24"/>
          <w:szCs w:val="24"/>
          <w:lang w:eastAsia="en-IN"/>
        </w:rPr>
        <w:t>Khandagle</w:t>
      </w:r>
      <w:proofErr w:type="spellEnd"/>
      <w:r w:rsidRPr="001974F1">
        <w:rPr>
          <w:rFonts w:ascii="Times New Roman" w:eastAsia="Times New Roman" w:hAnsi="Times New Roman" w:cs="Times New Roman"/>
          <w:sz w:val="24"/>
          <w:szCs w:val="24"/>
          <w:lang w:eastAsia="en-IN"/>
        </w:rPr>
        <w:t xml:space="preserve"> and Tare (2009) recorded comparable moderate-to-high mortality windows for organic leaf extractions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against urban culicids, indicating that the active fractions consistently require polar or non-polar organic carriers for optimal tissue penetration in dipteran larvae. The physical setup, showing larval grouping and distribution within the clear test environments during screening, is documented in Figure 1.</w:t>
      </w:r>
    </w:p>
    <w:p w14:paraId="67F95DDB"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2. Mortality Rates of </w:t>
      </w:r>
      <w:r w:rsidRPr="001974F1">
        <w:rPr>
          <w:rFonts w:ascii="Times New Roman" w:eastAsia="Times New Roman" w:hAnsi="Times New Roman" w:cs="Times New Roman"/>
          <w:b/>
          <w:bCs/>
          <w:i/>
          <w:iCs/>
          <w:sz w:val="24"/>
          <w:szCs w:val="24"/>
          <w:lang w:eastAsia="en-IN"/>
        </w:rPr>
        <w:t>Aedes aegypti</w:t>
      </w:r>
      <w:r w:rsidRPr="001974F1">
        <w:rPr>
          <w:rFonts w:ascii="Times New Roman" w:eastAsia="Times New Roman" w:hAnsi="Times New Roman" w:cs="Times New Roman"/>
          <w:b/>
          <w:bCs/>
          <w:sz w:val="24"/>
          <w:szCs w:val="24"/>
          <w:lang w:eastAsia="en-IN"/>
        </w:rPr>
        <w:t xml:space="preserve"> Larvae Exposed to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 (1,000 µg/mL) over Time</w:t>
      </w:r>
      <w:r w:rsidR="00814517">
        <w:rPr>
          <w:rFonts w:ascii="Times New Roman" w:eastAsia="Times New Roman" w:hAnsi="Times New Roman" w:cs="Times New Roman"/>
          <w:b/>
          <w:bCs/>
          <w:sz w:val="24"/>
          <w:szCs w:val="24"/>
          <w:lang w:eastAsia="en-IN"/>
        </w:rPr>
        <w:t xml:space="preserve"> </w:t>
      </w:r>
    </w:p>
    <w:tbl>
      <w:tblPr>
        <w:tblStyle w:val="TableGrid"/>
        <w:tblW w:w="0" w:type="auto"/>
        <w:tblLook w:val="04A0" w:firstRow="1" w:lastRow="0" w:firstColumn="1" w:lastColumn="0" w:noHBand="0" w:noVBand="1"/>
      </w:tblPr>
      <w:tblGrid>
        <w:gridCol w:w="1481"/>
        <w:gridCol w:w="1846"/>
        <w:gridCol w:w="1806"/>
        <w:gridCol w:w="2092"/>
        <w:gridCol w:w="1791"/>
      </w:tblGrid>
      <w:tr w:rsidR="001974F1" w:rsidRPr="001974F1" w14:paraId="4F93B1D1" w14:textId="77777777" w:rsidTr="001974F1">
        <w:tc>
          <w:tcPr>
            <w:tcW w:w="0" w:type="auto"/>
            <w:hideMark/>
          </w:tcPr>
          <w:p w14:paraId="64927D3D"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Exposure Time</w:t>
            </w:r>
          </w:p>
        </w:tc>
        <w:tc>
          <w:tcPr>
            <w:tcW w:w="0" w:type="auto"/>
            <w:hideMark/>
          </w:tcPr>
          <w:p w14:paraId="62DB6F77"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Aqueous Extract (%)</w:t>
            </w:r>
          </w:p>
          <w:p w14:paraId="17500E10"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75382984"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Ethanol Extract (%)</w:t>
            </w:r>
          </w:p>
          <w:p w14:paraId="069DA584"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68E37678"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Isopropanol Extract (%)</w:t>
            </w:r>
          </w:p>
          <w:p w14:paraId="7944B84D"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5C5F5297"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Control (DMSO) (%)</w:t>
            </w:r>
          </w:p>
          <w:p w14:paraId="4FF044FE"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r>
      <w:tr w:rsidR="001974F1" w:rsidRPr="001974F1" w14:paraId="151771B4" w14:textId="77777777" w:rsidTr="001974F1">
        <w:tc>
          <w:tcPr>
            <w:tcW w:w="0" w:type="auto"/>
            <w:hideMark/>
          </w:tcPr>
          <w:p w14:paraId="70198E3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12 hours</w:t>
            </w:r>
          </w:p>
        </w:tc>
        <w:tc>
          <w:tcPr>
            <w:tcW w:w="0" w:type="auto"/>
            <w:hideMark/>
          </w:tcPr>
          <w:p w14:paraId="1F70E3E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c>
          <w:tcPr>
            <w:tcW w:w="0" w:type="auto"/>
            <w:hideMark/>
          </w:tcPr>
          <w:p w14:paraId="48E35F7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6.00±1.33</w:t>
            </w:r>
          </w:p>
        </w:tc>
        <w:tc>
          <w:tcPr>
            <w:tcW w:w="0" w:type="auto"/>
            <w:hideMark/>
          </w:tcPr>
          <w:p w14:paraId="55D3516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2.00±0.67</w:t>
            </w:r>
          </w:p>
        </w:tc>
        <w:tc>
          <w:tcPr>
            <w:tcW w:w="0" w:type="auto"/>
            <w:hideMark/>
          </w:tcPr>
          <w:p w14:paraId="26E75E4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4F63EC6B" w14:textId="77777777" w:rsidTr="001974F1">
        <w:tc>
          <w:tcPr>
            <w:tcW w:w="0" w:type="auto"/>
            <w:hideMark/>
          </w:tcPr>
          <w:p w14:paraId="3F71BF9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24 hours</w:t>
            </w:r>
          </w:p>
        </w:tc>
        <w:tc>
          <w:tcPr>
            <w:tcW w:w="0" w:type="auto"/>
            <w:hideMark/>
          </w:tcPr>
          <w:p w14:paraId="09CEC17F"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12.00±0.67</w:t>
            </w:r>
          </w:p>
        </w:tc>
        <w:tc>
          <w:tcPr>
            <w:tcW w:w="0" w:type="auto"/>
            <w:hideMark/>
          </w:tcPr>
          <w:p w14:paraId="5BE1D1D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24.67±5.24</w:t>
            </w:r>
          </w:p>
        </w:tc>
        <w:tc>
          <w:tcPr>
            <w:tcW w:w="0" w:type="auto"/>
            <w:hideMark/>
          </w:tcPr>
          <w:p w14:paraId="013D1C5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16.67±4.18</w:t>
            </w:r>
          </w:p>
        </w:tc>
        <w:tc>
          <w:tcPr>
            <w:tcW w:w="0" w:type="auto"/>
            <w:hideMark/>
          </w:tcPr>
          <w:p w14:paraId="20754EFC"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1D236244" w14:textId="77777777" w:rsidTr="001974F1">
        <w:tc>
          <w:tcPr>
            <w:tcW w:w="0" w:type="auto"/>
            <w:hideMark/>
          </w:tcPr>
          <w:p w14:paraId="4771A62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48 hours</w:t>
            </w:r>
          </w:p>
        </w:tc>
        <w:tc>
          <w:tcPr>
            <w:tcW w:w="0" w:type="auto"/>
            <w:hideMark/>
          </w:tcPr>
          <w:p w14:paraId="6E0080F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16.67±0.67</w:t>
            </w:r>
          </w:p>
        </w:tc>
        <w:tc>
          <w:tcPr>
            <w:tcW w:w="0" w:type="auto"/>
            <w:hideMark/>
          </w:tcPr>
          <w:p w14:paraId="24601FD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68.00±4.62</w:t>
            </w:r>
          </w:p>
        </w:tc>
        <w:tc>
          <w:tcPr>
            <w:tcW w:w="0" w:type="auto"/>
            <w:hideMark/>
          </w:tcPr>
          <w:p w14:paraId="16B1E65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52.00±6.43</w:t>
            </w:r>
          </w:p>
        </w:tc>
        <w:tc>
          <w:tcPr>
            <w:tcW w:w="0" w:type="auto"/>
            <w:hideMark/>
          </w:tcPr>
          <w:p w14:paraId="41DED87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77FF49A1" w14:textId="77777777" w:rsidTr="001974F1">
        <w:tc>
          <w:tcPr>
            <w:tcW w:w="0" w:type="auto"/>
            <w:gridSpan w:val="5"/>
            <w:hideMark/>
          </w:tcPr>
          <w:p w14:paraId="717D890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Note:</w:t>
            </w:r>
            <w:r w:rsidRPr="001974F1">
              <w:rPr>
                <w:rFonts w:ascii="Times New Roman" w:eastAsia="Times New Roman" w:hAnsi="Times New Roman" w:cs="Times New Roman"/>
                <w:sz w:val="24"/>
                <w:szCs w:val="24"/>
                <w:lang w:eastAsia="en-IN"/>
              </w:rPr>
              <w:t xml:space="preserve"> Values are expressed as Mean ± Standard Error (SE) from three independent replicates (N=50 larvae per batch).</w:t>
            </w:r>
          </w:p>
        </w:tc>
      </w:tr>
    </w:tbl>
    <w:p w14:paraId="17B88F37"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3.3 Lethal Concentration (LC50​) of Ethanol Extract</w:t>
      </w:r>
    </w:p>
    <w:p w14:paraId="1E5AEFD9"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Because the ethanol extract yielded the most potent larvicidal effect, it was subjected to detailed dose-response screening at concentrations ranging from 100 to 750 µg/mL (Table 3). The mortality profile showed a clear dose-dependent relationship, with toxicity escalating parallel to increasing concentrations. Probit analysis established that the median lethal concentration </w:t>
      </w:r>
      <w:r w:rsidRPr="001974F1">
        <w:rPr>
          <w:rFonts w:ascii="Times New Roman" w:eastAsia="Times New Roman" w:hAnsi="Times New Roman" w:cs="Times New Roman"/>
          <w:sz w:val="24"/>
          <w:szCs w:val="24"/>
          <w:lang w:eastAsia="en-IN"/>
        </w:rPr>
        <w:lastRenderedPageBreak/>
        <w:t xml:space="preserve">(LC50​) of the ethanol extract against fourth-instar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larvae was 520.0 µg/mL at 48 hours (95% Confidence Interval: 485.4–556.8 µg/mL; χ2=3.12; P=.024). The calculated LC90​ value was found to be 845.0 µg/</w:t>
      </w:r>
      <w:proofErr w:type="spellStart"/>
      <w:r w:rsidRPr="001974F1">
        <w:rPr>
          <w:rFonts w:ascii="Times New Roman" w:eastAsia="Times New Roman" w:hAnsi="Times New Roman" w:cs="Times New Roman"/>
          <w:sz w:val="24"/>
          <w:szCs w:val="24"/>
          <w:lang w:eastAsia="en-IN"/>
        </w:rPr>
        <w:t>mL.</w:t>
      </w:r>
      <w:proofErr w:type="spellEnd"/>
    </w:p>
    <w:p w14:paraId="21B01A85"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This LC50​ value matches baseline trends observed in green larvicidal trials. Previous literature profiling methanolic and polar solvent leaf extractions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against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reported comparable, strong median lethality thresholds (Chandrasekaran et al., 2019). Minor variances in absolute concentrations reported across legacy studies are typically attributed to regional variations in plant chemotypes, microclimatic collection factors, and the specific metabolic resistance profiles of targeted local vector strains (Nguyen et al., 2024). The relatively low chi-square value (χ2=3.12) indicates that the observed mortality trends conform tightly to the Probit regression model, confirming a highly reliable and predictable dose-response curve.</w:t>
      </w:r>
    </w:p>
    <w:p w14:paraId="7BF62D1D"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3. Dose-Response Larvicidal Mortality and Probit Values of Ethanol Extract of </w:t>
      </w:r>
      <w:r w:rsidRPr="001974F1">
        <w:rPr>
          <w:rFonts w:ascii="Times New Roman" w:eastAsia="Times New Roman" w:hAnsi="Times New Roman" w:cs="Times New Roman"/>
          <w:b/>
          <w:bCs/>
          <w:i/>
          <w:iCs/>
          <w:sz w:val="24"/>
          <w:szCs w:val="24"/>
          <w:lang w:eastAsia="en-IN"/>
        </w:rPr>
        <w:t>Vitex negundo</w:t>
      </w:r>
    </w:p>
    <w:tbl>
      <w:tblPr>
        <w:tblStyle w:val="TableGrid"/>
        <w:tblW w:w="0" w:type="auto"/>
        <w:tblLook w:val="04A0" w:firstRow="1" w:lastRow="0" w:firstColumn="1" w:lastColumn="0" w:noHBand="0" w:noVBand="1"/>
      </w:tblPr>
      <w:tblGrid>
        <w:gridCol w:w="2225"/>
        <w:gridCol w:w="2026"/>
        <w:gridCol w:w="2026"/>
        <w:gridCol w:w="2739"/>
      </w:tblGrid>
      <w:tr w:rsidR="001974F1" w:rsidRPr="001974F1" w14:paraId="6CB3B250" w14:textId="77777777" w:rsidTr="001974F1">
        <w:tc>
          <w:tcPr>
            <w:tcW w:w="0" w:type="auto"/>
            <w:hideMark/>
          </w:tcPr>
          <w:p w14:paraId="2E2DB8B5"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Concentration (µg/mL)</w:t>
            </w:r>
          </w:p>
        </w:tc>
        <w:tc>
          <w:tcPr>
            <w:tcW w:w="0" w:type="auto"/>
            <w:hideMark/>
          </w:tcPr>
          <w:p w14:paraId="2B13C54E"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24-hour Mortality (%)</w:t>
            </w:r>
          </w:p>
        </w:tc>
        <w:tc>
          <w:tcPr>
            <w:tcW w:w="0" w:type="auto"/>
            <w:hideMark/>
          </w:tcPr>
          <w:p w14:paraId="30851B1A"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48-hour Mortality (%)</w:t>
            </w:r>
          </w:p>
        </w:tc>
        <w:tc>
          <w:tcPr>
            <w:tcW w:w="0" w:type="auto"/>
            <w:hideMark/>
          </w:tcPr>
          <w:p w14:paraId="7D6D7F25"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Regression Parameters (48 hours)</w:t>
            </w:r>
          </w:p>
        </w:tc>
      </w:tr>
      <w:tr w:rsidR="001974F1" w:rsidRPr="001974F1" w14:paraId="6C00AE1E" w14:textId="77777777" w:rsidTr="001974F1">
        <w:tc>
          <w:tcPr>
            <w:tcW w:w="0" w:type="auto"/>
            <w:hideMark/>
          </w:tcPr>
          <w:p w14:paraId="44CC9B47"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100</w:t>
            </w:r>
          </w:p>
        </w:tc>
        <w:tc>
          <w:tcPr>
            <w:tcW w:w="0" w:type="auto"/>
            <w:hideMark/>
          </w:tcPr>
          <w:p w14:paraId="786DC22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6.00±0.82</w:t>
            </w:r>
          </w:p>
        </w:tc>
        <w:tc>
          <w:tcPr>
            <w:tcW w:w="0" w:type="auto"/>
            <w:hideMark/>
          </w:tcPr>
          <w:p w14:paraId="25BDC6A2"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14.00±1.25</w:t>
            </w:r>
          </w:p>
        </w:tc>
        <w:tc>
          <w:tcPr>
            <w:tcW w:w="0" w:type="auto"/>
            <w:hideMark/>
          </w:tcPr>
          <w:p w14:paraId="7C79E986"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LC50​:</w:t>
            </w:r>
            <w:r w:rsidRPr="001974F1">
              <w:rPr>
                <w:rFonts w:ascii="Times New Roman" w:eastAsia="Times New Roman" w:hAnsi="Times New Roman" w:cs="Times New Roman"/>
                <w:sz w:val="24"/>
                <w:szCs w:val="24"/>
                <w:lang w:eastAsia="en-IN"/>
              </w:rPr>
              <w:t xml:space="preserve"> 520.0 µg/mL (485.4–556.8)</w:t>
            </w:r>
          </w:p>
        </w:tc>
      </w:tr>
      <w:tr w:rsidR="001974F1" w:rsidRPr="001974F1" w14:paraId="344363C1" w14:textId="77777777" w:rsidTr="001974F1">
        <w:tc>
          <w:tcPr>
            <w:tcW w:w="0" w:type="auto"/>
            <w:hideMark/>
          </w:tcPr>
          <w:p w14:paraId="7124993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250</w:t>
            </w:r>
          </w:p>
        </w:tc>
        <w:tc>
          <w:tcPr>
            <w:tcW w:w="0" w:type="auto"/>
            <w:hideMark/>
          </w:tcPr>
          <w:p w14:paraId="2417284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16.00±1.47</w:t>
            </w:r>
          </w:p>
        </w:tc>
        <w:tc>
          <w:tcPr>
            <w:tcW w:w="0" w:type="auto"/>
            <w:hideMark/>
          </w:tcPr>
          <w:p w14:paraId="2771F0E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32.00±2.04</w:t>
            </w:r>
          </w:p>
        </w:tc>
        <w:tc>
          <w:tcPr>
            <w:tcW w:w="0" w:type="auto"/>
            <w:hideMark/>
          </w:tcPr>
          <w:p w14:paraId="5933D37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LC90​:</w:t>
            </w:r>
            <w:r w:rsidRPr="001974F1">
              <w:rPr>
                <w:rFonts w:ascii="Times New Roman" w:eastAsia="Times New Roman" w:hAnsi="Times New Roman" w:cs="Times New Roman"/>
                <w:sz w:val="24"/>
                <w:szCs w:val="24"/>
                <w:lang w:eastAsia="en-IN"/>
              </w:rPr>
              <w:t xml:space="preserve"> 845.0 µg/mL</w:t>
            </w:r>
          </w:p>
        </w:tc>
      </w:tr>
      <w:tr w:rsidR="001974F1" w:rsidRPr="001974F1" w14:paraId="6637A43D" w14:textId="77777777" w:rsidTr="001974F1">
        <w:tc>
          <w:tcPr>
            <w:tcW w:w="0" w:type="auto"/>
            <w:hideMark/>
          </w:tcPr>
          <w:p w14:paraId="1856A47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500</w:t>
            </w:r>
          </w:p>
        </w:tc>
        <w:tc>
          <w:tcPr>
            <w:tcW w:w="0" w:type="auto"/>
            <w:hideMark/>
          </w:tcPr>
          <w:p w14:paraId="4EEFB89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22.00±1.89</w:t>
            </w:r>
          </w:p>
        </w:tc>
        <w:tc>
          <w:tcPr>
            <w:tcW w:w="0" w:type="auto"/>
            <w:hideMark/>
          </w:tcPr>
          <w:p w14:paraId="5D89CA3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50.00±2.81</w:t>
            </w:r>
          </w:p>
        </w:tc>
        <w:tc>
          <w:tcPr>
            <w:tcW w:w="0" w:type="auto"/>
            <w:hideMark/>
          </w:tcPr>
          <w:p w14:paraId="0A1F1A1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χ2:</w:t>
            </w:r>
            <w:r w:rsidRPr="001974F1">
              <w:rPr>
                <w:rFonts w:ascii="Times New Roman" w:eastAsia="Times New Roman" w:hAnsi="Times New Roman" w:cs="Times New Roman"/>
                <w:sz w:val="24"/>
                <w:szCs w:val="24"/>
                <w:lang w:eastAsia="en-IN"/>
              </w:rPr>
              <w:t xml:space="preserve"> 3.12</w:t>
            </w:r>
          </w:p>
        </w:tc>
      </w:tr>
      <w:tr w:rsidR="001974F1" w:rsidRPr="001974F1" w14:paraId="48F01C23" w14:textId="77777777" w:rsidTr="001974F1">
        <w:tc>
          <w:tcPr>
            <w:tcW w:w="0" w:type="auto"/>
            <w:hideMark/>
          </w:tcPr>
          <w:p w14:paraId="7FA49C7C"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750</w:t>
            </w:r>
          </w:p>
        </w:tc>
        <w:tc>
          <w:tcPr>
            <w:tcW w:w="0" w:type="auto"/>
            <w:hideMark/>
          </w:tcPr>
          <w:p w14:paraId="6914499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28.00±2.16</w:t>
            </w:r>
          </w:p>
        </w:tc>
        <w:tc>
          <w:tcPr>
            <w:tcW w:w="0" w:type="auto"/>
            <w:hideMark/>
          </w:tcPr>
          <w:p w14:paraId="4A5717B7"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62.00±3.42</w:t>
            </w:r>
          </w:p>
        </w:tc>
        <w:tc>
          <w:tcPr>
            <w:tcW w:w="0" w:type="auto"/>
            <w:hideMark/>
          </w:tcPr>
          <w:p w14:paraId="0A35B1B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P-value:</w:t>
            </w:r>
            <w:r w:rsidRPr="001974F1">
              <w:rPr>
                <w:rFonts w:ascii="Times New Roman" w:eastAsia="Times New Roman" w:hAnsi="Times New Roman" w:cs="Times New Roman"/>
                <w:sz w:val="24"/>
                <w:szCs w:val="24"/>
                <w:lang w:eastAsia="en-IN"/>
              </w:rPr>
              <w:t xml:space="preserve"> .024</w:t>
            </w:r>
          </w:p>
        </w:tc>
      </w:tr>
    </w:tbl>
    <w:p w14:paraId="3E745650" w14:textId="77777777" w:rsidR="001974F1" w:rsidRPr="001974F1" w:rsidRDefault="001974F1" w:rsidP="00231125">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3.4 Effect of Exposure Time on Larvicidal Activity</w:t>
      </w:r>
    </w:p>
    <w:p w14:paraId="10200E9C"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The length of exposure time significantly impacted the toxicological profile and final insecticidal performance of all tested systems. The isopropanol extract showed regular, moderate increases in mortality over time, progressing from 2.00% at 12 hours to 52.00% at 48 hours. In comparison, the ethanol extract demonstrated a more pronounced response, accelerating sharply after 24 hours to achieve its peak efficacy of 68.00% at 48 hours. Conversely, the aqueous extract showed poor performance, failing to exceed 16.67% mortality even at the maximum 48-hour exposure interval.</w:t>
      </w:r>
    </w:p>
    <w:p w14:paraId="38DD3E74"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lastRenderedPageBreak/>
        <w:t xml:space="preserve">This latency in peak mortality (arriving closer to the 48-hour threshold rather than the immediate 12-hour window) suggests that the active botanical molecules act primarily as slow-acting stomach poisons or endocrine-disrupting agents rather than instant neurotoxins. This pattern mimics the findings of Raju (2005) on related </w:t>
      </w:r>
      <w:r w:rsidRPr="001974F1">
        <w:rPr>
          <w:rFonts w:ascii="Times New Roman" w:eastAsia="Times New Roman" w:hAnsi="Times New Roman" w:cs="Times New Roman"/>
          <w:i/>
          <w:iCs/>
          <w:sz w:val="24"/>
          <w:szCs w:val="24"/>
          <w:lang w:eastAsia="en-IN"/>
        </w:rPr>
        <w:t>Vitex</w:t>
      </w:r>
      <w:r w:rsidRPr="001974F1">
        <w:rPr>
          <w:rFonts w:ascii="Times New Roman" w:eastAsia="Times New Roman" w:hAnsi="Times New Roman" w:cs="Times New Roman"/>
          <w:sz w:val="24"/>
          <w:szCs w:val="24"/>
          <w:lang w:eastAsia="en-IN"/>
        </w:rPr>
        <w:t xml:space="preserve"> essential oils, which required sustained exposure intervals to systematically disrupt larval cuticle development, respiration, and hormone-driven </w:t>
      </w:r>
      <w:proofErr w:type="spellStart"/>
      <w:r w:rsidRPr="001974F1">
        <w:rPr>
          <w:rFonts w:ascii="Times New Roman" w:eastAsia="Times New Roman" w:hAnsi="Times New Roman" w:cs="Times New Roman"/>
          <w:sz w:val="24"/>
          <w:szCs w:val="24"/>
          <w:lang w:eastAsia="en-IN"/>
        </w:rPr>
        <w:t>molting</w:t>
      </w:r>
      <w:proofErr w:type="spellEnd"/>
      <w:r w:rsidRPr="001974F1">
        <w:rPr>
          <w:rFonts w:ascii="Times New Roman" w:eastAsia="Times New Roman" w:hAnsi="Times New Roman" w:cs="Times New Roman"/>
          <w:sz w:val="24"/>
          <w:szCs w:val="24"/>
          <w:lang w:eastAsia="en-IN"/>
        </w:rPr>
        <w:t xml:space="preserve"> transitions.</w:t>
      </w:r>
    </w:p>
    <w:p w14:paraId="1AB1C26F"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 xml:space="preserve">3.5 </w:t>
      </w:r>
      <w:r>
        <w:rPr>
          <w:rFonts w:ascii="Times New Roman" w:eastAsia="Times New Roman" w:hAnsi="Times New Roman" w:cs="Times New Roman"/>
          <w:b/>
          <w:bCs/>
          <w:sz w:val="24"/>
          <w:szCs w:val="24"/>
          <w:lang w:eastAsia="en-IN"/>
        </w:rPr>
        <w:t>Outcome of the research work</w:t>
      </w:r>
    </w:p>
    <w:p w14:paraId="307CCB15"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While the larvicidal nature of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has been explored in generalized public health contexts, this investigation introduces several highly distinct, unique aspects that set it apart from existing literature:</w:t>
      </w:r>
    </w:p>
    <w:p w14:paraId="3E87A54B" w14:textId="77777777" w:rsidR="001974F1" w:rsidRPr="001974F1" w:rsidRDefault="001974F1" w:rsidP="001974F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Veterinary-Centric Vector Orientation:</w:t>
      </w:r>
      <w:r w:rsidRPr="001974F1">
        <w:rPr>
          <w:rFonts w:ascii="Times New Roman" w:eastAsia="Times New Roman" w:hAnsi="Times New Roman" w:cs="Times New Roman"/>
          <w:sz w:val="24"/>
          <w:szCs w:val="24"/>
          <w:lang w:eastAsia="en-IN"/>
        </w:rPr>
        <w:t xml:space="preserve"> Rather than viewing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strictly as an urban human health hazard, this study specifically establishes its importance within livestock micro-environments. By focusing on how these botanical extracts can disrupt vector propagation inside and around livestock production systems, this paper fills a critical gap in veterinary integrated vector management (IVM).</w:t>
      </w:r>
    </w:p>
    <w:p w14:paraId="74DCFEB7" w14:textId="77777777" w:rsidR="001974F1" w:rsidRPr="001974F1" w:rsidRDefault="001974F1" w:rsidP="001974F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Isopropanol Extraction Profiling:</w:t>
      </w:r>
      <w:r w:rsidRPr="001974F1">
        <w:rPr>
          <w:rFonts w:ascii="Times New Roman" w:eastAsia="Times New Roman" w:hAnsi="Times New Roman" w:cs="Times New Roman"/>
          <w:sz w:val="24"/>
          <w:szCs w:val="24"/>
          <w:lang w:eastAsia="en-IN"/>
        </w:rPr>
        <w:t xml:space="preserve"> While conventional literature predominantly focuses on simple water, methanol, or ethanol extractions, this study includes a systematic validation of an </w:t>
      </w:r>
      <w:r w:rsidRPr="001974F1">
        <w:rPr>
          <w:rFonts w:ascii="Times New Roman" w:eastAsia="Times New Roman" w:hAnsi="Times New Roman" w:cs="Times New Roman"/>
          <w:b/>
          <w:bCs/>
          <w:sz w:val="24"/>
          <w:szCs w:val="24"/>
          <w:lang w:eastAsia="en-IN"/>
        </w:rPr>
        <w:t>isopropanol</w:t>
      </w:r>
      <w:r w:rsidRPr="001974F1">
        <w:rPr>
          <w:rFonts w:ascii="Times New Roman" w:eastAsia="Times New Roman" w:hAnsi="Times New Roman" w:cs="Times New Roman"/>
          <w:sz w:val="24"/>
          <w:szCs w:val="24"/>
          <w:lang w:eastAsia="en-IN"/>
        </w:rPr>
        <w:t xml:space="preserve"> extraction system. Documenting its specific phytochemical yield (e.g., maintaining high flavonoids and terpenoids while naturally leaving behind alkaloids) provides a novel extraction blueprint for targeted bio-pesticide formulation.</w:t>
      </w:r>
    </w:p>
    <w:p w14:paraId="5D24B5D4" w14:textId="77777777" w:rsidR="001974F1" w:rsidRPr="001974F1" w:rsidRDefault="001974F1" w:rsidP="001974F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One Health Stabilization Framework:</w:t>
      </w:r>
      <w:r w:rsidRPr="001974F1">
        <w:rPr>
          <w:rFonts w:ascii="Times New Roman" w:eastAsia="Times New Roman" w:hAnsi="Times New Roman" w:cs="Times New Roman"/>
          <w:sz w:val="24"/>
          <w:szCs w:val="24"/>
          <w:lang w:eastAsia="en-IN"/>
        </w:rPr>
        <w:t xml:space="preserve"> This work contextualizes botanical insecticides as an active tool to break the transmission cycles of devastating animal arboviruses (such as Rift Valley Fever and Bluetongue Virus variants). It provides a concrete framework for mitigating smallholder economic shocks and preventing synthetic chemical residue accumulation in meat and dairy products, directly aligning with contemporary One Health and green chemistry initiatives.</w:t>
      </w:r>
    </w:p>
    <w:p w14:paraId="51B80B69"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b/>
          <w:bCs/>
          <w:sz w:val="24"/>
          <w:szCs w:val="24"/>
          <w:lang w:val="en-US" w:bidi="bn-IN"/>
        </w:rPr>
        <w:t>Conclusions</w:t>
      </w:r>
    </w:p>
    <w:p w14:paraId="1C9A919D"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sz w:val="24"/>
          <w:szCs w:val="24"/>
          <w:lang w:val="en-US" w:bidi="bn-IN"/>
        </w:rPr>
        <w:t xml:space="preserve">The present laboratory study showed that leaf extracts of </w:t>
      </w:r>
      <w:r w:rsidRPr="004F6F2B">
        <w:rPr>
          <w:rFonts w:ascii="Times New Roman" w:eastAsia="Times New Roman" w:hAnsi="Times New Roman" w:cs="Times New Roman"/>
          <w:i/>
          <w:iCs/>
          <w:sz w:val="24"/>
          <w:szCs w:val="24"/>
          <w:lang w:val="en-US" w:bidi="bn-IN"/>
        </w:rPr>
        <w:t>Vitex negundo</w:t>
      </w:r>
      <w:r w:rsidRPr="004F6F2B">
        <w:rPr>
          <w:rFonts w:ascii="Times New Roman" w:eastAsia="Times New Roman" w:hAnsi="Times New Roman" w:cs="Times New Roman"/>
          <w:sz w:val="24"/>
          <w:szCs w:val="24"/>
          <w:lang w:val="en-US" w:bidi="bn-IN"/>
        </w:rPr>
        <w:t xml:space="preserve"> possess larvicidal activity against fourth-instar larvae of </w:t>
      </w:r>
      <w:r w:rsidRPr="004F6F2B">
        <w:rPr>
          <w:rFonts w:ascii="Times New Roman" w:eastAsia="Times New Roman" w:hAnsi="Times New Roman" w:cs="Times New Roman"/>
          <w:i/>
          <w:iCs/>
          <w:sz w:val="24"/>
          <w:szCs w:val="24"/>
          <w:lang w:val="en-US" w:bidi="bn-IN"/>
        </w:rPr>
        <w:t>Aedes aegypti</w:t>
      </w:r>
      <w:r w:rsidRPr="004F6F2B">
        <w:rPr>
          <w:rFonts w:ascii="Times New Roman" w:eastAsia="Times New Roman" w:hAnsi="Times New Roman" w:cs="Times New Roman"/>
          <w:sz w:val="24"/>
          <w:szCs w:val="24"/>
          <w:lang w:val="en-US" w:bidi="bn-IN"/>
        </w:rPr>
        <w:t>, with efficacy varying according to the extraction solvent and exposure duration. Among the three extracts tested, the ethanol extract demonstrated the strongest activity, producing 68.00% ± 4.62% mortality at 48 hours at 1,000 µg/</w:t>
      </w:r>
      <w:proofErr w:type="spellStart"/>
      <w:r w:rsidRPr="004F6F2B">
        <w:rPr>
          <w:rFonts w:ascii="Times New Roman" w:eastAsia="Times New Roman" w:hAnsi="Times New Roman" w:cs="Times New Roman"/>
          <w:sz w:val="24"/>
          <w:szCs w:val="24"/>
          <w:lang w:val="en-US" w:bidi="bn-IN"/>
        </w:rPr>
        <w:t>mL.</w:t>
      </w:r>
      <w:proofErr w:type="spellEnd"/>
      <w:r w:rsidRPr="004F6F2B">
        <w:rPr>
          <w:rFonts w:ascii="Times New Roman" w:eastAsia="Times New Roman" w:hAnsi="Times New Roman" w:cs="Times New Roman"/>
          <w:sz w:val="24"/>
          <w:szCs w:val="24"/>
          <w:lang w:val="en-US" w:bidi="bn-IN"/>
        </w:rPr>
        <w:t xml:space="preserve"> The isopropanol extract showed </w:t>
      </w:r>
      <w:r w:rsidRPr="004F6F2B">
        <w:rPr>
          <w:rFonts w:ascii="Times New Roman" w:eastAsia="Times New Roman" w:hAnsi="Times New Roman" w:cs="Times New Roman"/>
          <w:sz w:val="24"/>
          <w:szCs w:val="24"/>
          <w:lang w:val="en-US" w:bidi="bn-IN"/>
        </w:rPr>
        <w:lastRenderedPageBreak/>
        <w:t xml:space="preserve">moderate activity, while the aqueous extract produced comparatively low mortality. The phytochemical screening results suggest that the stronger activity of the ethanol extract may be associated with its broader recovery of secondary metabolites, including alkaloids, flavonoids, phenols, tannins, and terpenoids. Dose-response analysis further indicated that the ethanol extract produced concentration-dependent larval mortality, with an estimated LC50 of 520.0 µg/mL at 48 hours. These results support the potential of </w:t>
      </w:r>
      <w:r w:rsidRPr="004F6F2B">
        <w:rPr>
          <w:rFonts w:ascii="Times New Roman" w:eastAsia="Times New Roman" w:hAnsi="Times New Roman" w:cs="Times New Roman"/>
          <w:i/>
          <w:iCs/>
          <w:sz w:val="24"/>
          <w:szCs w:val="24"/>
          <w:lang w:val="en-US" w:bidi="bn-IN"/>
        </w:rPr>
        <w:t>V. negundo</w:t>
      </w:r>
      <w:r w:rsidRPr="004F6F2B">
        <w:rPr>
          <w:rFonts w:ascii="Times New Roman" w:eastAsia="Times New Roman" w:hAnsi="Times New Roman" w:cs="Times New Roman"/>
          <w:sz w:val="24"/>
          <w:szCs w:val="24"/>
          <w:lang w:val="en-US" w:bidi="bn-IN"/>
        </w:rPr>
        <w:t xml:space="preserve"> ethanol extract as a botanical larvicidal candidate under controlled laboratory conditions. However, further studies are necessary to identify the active compounds, confirm reproducibility, assess non-target safety, evaluate environmental stability, and determine field-level effectiveness before any practical application in vector management programs.</w:t>
      </w:r>
    </w:p>
    <w:p w14:paraId="70D0FF09"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b/>
          <w:bCs/>
          <w:sz w:val="24"/>
          <w:szCs w:val="24"/>
          <w:lang w:val="en-US" w:bidi="bn-IN"/>
        </w:rPr>
        <w:t>Limitations</w:t>
      </w:r>
    </w:p>
    <w:p w14:paraId="1CD4F5A8"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sz w:val="24"/>
          <w:szCs w:val="24"/>
          <w:lang w:val="en-US" w:bidi="bn-IN"/>
        </w:rPr>
        <w:t xml:space="preserve">This study was limited to controlled laboratory bioassays and did not evaluate the performance of </w:t>
      </w:r>
      <w:r w:rsidRPr="004F6F2B">
        <w:rPr>
          <w:rFonts w:ascii="Times New Roman" w:eastAsia="Times New Roman" w:hAnsi="Times New Roman" w:cs="Times New Roman"/>
          <w:i/>
          <w:iCs/>
          <w:sz w:val="24"/>
          <w:szCs w:val="24"/>
          <w:lang w:val="en-US" w:bidi="bn-IN"/>
        </w:rPr>
        <w:t>Vitex negundo</w:t>
      </w:r>
      <w:r w:rsidRPr="004F6F2B">
        <w:rPr>
          <w:rFonts w:ascii="Times New Roman" w:eastAsia="Times New Roman" w:hAnsi="Times New Roman" w:cs="Times New Roman"/>
          <w:sz w:val="24"/>
          <w:szCs w:val="24"/>
          <w:lang w:val="en-US" w:bidi="bn-IN"/>
        </w:rPr>
        <w:t xml:space="preserve"> extracts under natural field conditions. The larvicidal tests were conducted against fourth-instar </w:t>
      </w:r>
      <w:r w:rsidRPr="004F6F2B">
        <w:rPr>
          <w:rFonts w:ascii="Times New Roman" w:eastAsia="Times New Roman" w:hAnsi="Times New Roman" w:cs="Times New Roman"/>
          <w:i/>
          <w:iCs/>
          <w:sz w:val="24"/>
          <w:szCs w:val="24"/>
          <w:lang w:val="en-US" w:bidi="bn-IN"/>
        </w:rPr>
        <w:t>Aedes aegypti</w:t>
      </w:r>
      <w:r w:rsidRPr="004F6F2B">
        <w:rPr>
          <w:rFonts w:ascii="Times New Roman" w:eastAsia="Times New Roman" w:hAnsi="Times New Roman" w:cs="Times New Roman"/>
          <w:sz w:val="24"/>
          <w:szCs w:val="24"/>
          <w:lang w:val="en-US" w:bidi="bn-IN"/>
        </w:rPr>
        <w:t xml:space="preserve"> larvae only, and the findings may not directly apply to other mosquito species, larval stages, or ecological settings. The study used crude extracts, and the specific active compounds responsible for the observed mortality were not isolated or quantified. Although the ethanol extract showed the highest activity, its environmental stability, residual activity, and safety to non-target aquatic organisms were not assessed. The work also did not examine formulation properties, degradation rate, or operational feasibility for large-scale use. Larvae were sourced from local breeding sites, but detailed species confirmation procedures were not described. Therefore, the results should be interpreted as preliminary laboratory evidence and should be validated through additional toxicological, chemical, and field-based studies.</w:t>
      </w:r>
    </w:p>
    <w:p w14:paraId="1E3E3E46"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REFERENCES</w:t>
      </w:r>
    </w:p>
    <w:p w14:paraId="54E7B674"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Anitha, R., &amp; Geethapriya, D. (2012). Larvicidal activity of plant extracts on Aedes aegypti L. Asian Pacific Journal of Tropical Biomedicine, 2(3, Supplement), S1578–S1582. https://doi.org/10.1016/S2221-1691(12)60456-O</w:t>
      </w:r>
    </w:p>
    <w:p w14:paraId="584F74BA"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Brown, A. L., Team, R. C., &amp; Lopez, M. J. (2024). Mechanisms of pyrethroid and organophosphate resistance in urban strains of Aedes aegypti. Journal of Medical Entomology, 61(2), 145–156. https://doi.org/10.1093/jme/tjad112</w:t>
      </w:r>
    </w:p>
    <w:p w14:paraId="7B3DF5AF"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 xml:space="preserve">Chandrasekaran, T., Thyagarajan, A., Santhakumari, P. G., Pillai, A. K. B., &amp; Krishnan, U. M. (2019). Larvicidal activity of essential oil from Vitex negundo and Vitex </w:t>
      </w:r>
      <w:proofErr w:type="spellStart"/>
      <w:r w:rsidRPr="00814517">
        <w:rPr>
          <w:rFonts w:ascii="Times New Roman" w:hAnsi="Times New Roman" w:cs="Times New Roman"/>
          <w:sz w:val="24"/>
          <w:szCs w:val="24"/>
        </w:rPr>
        <w:t>trifolia</w:t>
      </w:r>
      <w:proofErr w:type="spellEnd"/>
      <w:r w:rsidRPr="00814517">
        <w:rPr>
          <w:rFonts w:ascii="Times New Roman" w:hAnsi="Times New Roman" w:cs="Times New Roman"/>
          <w:sz w:val="24"/>
          <w:szCs w:val="24"/>
        </w:rPr>
        <w:t xml:space="preserve"> on dengue vector mosquito Aedes aegypti. Revista da </w:t>
      </w:r>
      <w:proofErr w:type="spellStart"/>
      <w:r w:rsidRPr="00814517">
        <w:rPr>
          <w:rFonts w:ascii="Times New Roman" w:hAnsi="Times New Roman" w:cs="Times New Roman"/>
          <w:sz w:val="24"/>
          <w:szCs w:val="24"/>
        </w:rPr>
        <w:t>Sociedade</w:t>
      </w:r>
      <w:proofErr w:type="spellEnd"/>
      <w:r w:rsidRPr="00814517">
        <w:rPr>
          <w:rFonts w:ascii="Times New Roman" w:hAnsi="Times New Roman" w:cs="Times New Roman"/>
          <w:sz w:val="24"/>
          <w:szCs w:val="24"/>
        </w:rPr>
        <w:t xml:space="preserve"> Brasileira de Medicina Tropical, 52, e20180459. https://doi.org/10.1590/0037-8682-0459-2018</w:t>
      </w:r>
    </w:p>
    <w:p w14:paraId="13072CE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 xml:space="preserve">Garcia, F. E., Rivera, H. G., &amp; Thomas, S. (2024). Equine </w:t>
      </w:r>
      <w:proofErr w:type="spellStart"/>
      <w:r w:rsidRPr="00814517">
        <w:rPr>
          <w:rFonts w:ascii="Times New Roman" w:hAnsi="Times New Roman" w:cs="Times New Roman"/>
          <w:sz w:val="24"/>
          <w:szCs w:val="24"/>
        </w:rPr>
        <w:t>encephalitides</w:t>
      </w:r>
      <w:proofErr w:type="spellEnd"/>
      <w:r w:rsidRPr="00814517">
        <w:rPr>
          <w:rFonts w:ascii="Times New Roman" w:hAnsi="Times New Roman" w:cs="Times New Roman"/>
          <w:sz w:val="24"/>
          <w:szCs w:val="24"/>
        </w:rPr>
        <w:t xml:space="preserve"> and West Nile virus dynamics at the human-animal interface. Veterinary Parasitology, 315, Article 109890. https://doi.org/10.1016/j.vetpar.2024.109890</w:t>
      </w:r>
    </w:p>
    <w:p w14:paraId="1552EE0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lastRenderedPageBreak/>
        <w:t>Harborne, J. B. (1998). Phytochemical Methods: A Guide to Modern Techniques of Plant Analysis (3rd ed.). Chapman &amp; Hall.</w:t>
      </w:r>
    </w:p>
    <w:p w14:paraId="2982D817"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International Livestock Research Institute [ILRI]. (2024). Economic assessments of vector-borne diseases on smallholder livestock production systems in developing economies (ILRI Research Report No. 42). ILRI Communications.</w:t>
      </w:r>
    </w:p>
    <w:p w14:paraId="1BA8B7C2"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Jones, R. P., &amp; Davis, K. L. (2024). Climate change and the micro-spatial expansion of Aedes vectors in subtropical zones. Acta Tropica, 250, Article 107080. https://doi.org/10.1016/j.actatropica.2023.107080</w:t>
      </w:r>
    </w:p>
    <w:p w14:paraId="329E594E" w14:textId="77777777" w:rsidR="00814517" w:rsidRPr="00814517" w:rsidRDefault="00814517" w:rsidP="00814517">
      <w:pPr>
        <w:spacing w:line="360" w:lineRule="auto"/>
        <w:jc w:val="both"/>
        <w:rPr>
          <w:rFonts w:ascii="Times New Roman" w:hAnsi="Times New Roman" w:cs="Times New Roman"/>
          <w:sz w:val="24"/>
          <w:szCs w:val="24"/>
        </w:rPr>
      </w:pPr>
      <w:proofErr w:type="spellStart"/>
      <w:r w:rsidRPr="00814517">
        <w:rPr>
          <w:rFonts w:ascii="Times New Roman" w:hAnsi="Times New Roman" w:cs="Times New Roman"/>
          <w:sz w:val="24"/>
          <w:szCs w:val="24"/>
        </w:rPr>
        <w:t>Khandagle</w:t>
      </w:r>
      <w:proofErr w:type="spellEnd"/>
      <w:r w:rsidRPr="00814517">
        <w:rPr>
          <w:rFonts w:ascii="Times New Roman" w:hAnsi="Times New Roman" w:cs="Times New Roman"/>
          <w:sz w:val="24"/>
          <w:szCs w:val="24"/>
        </w:rPr>
        <w:t>, A. J., &amp; Tare, V. (2009). Insecticidal activity of Vitex negundo leaf extracts against urban mosquito vectors. Parasitology Research, 105(4), 1035–1041. https://doi.org/10.1007/s00436-009-1492-y</w:t>
      </w:r>
    </w:p>
    <w:p w14:paraId="7FD4D847"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Kumar, S., Reddy, M. V., &amp; Benson, D. (2023). Rift Valley fever virus: Epidemiology, vector dynamics, and mitigation strategies in domestic ruminants. Transboundary and Emerging Diseases, 2023, Article 8841235. https://doi.org/10.1155/2023/8841235</w:t>
      </w:r>
    </w:p>
    <w:p w14:paraId="237A1EE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Martinez, J. A. (2023). Synthetic insecticides in livestock farming: Environmental costs, residue limits, and the search for alternatives. Environmental Research, 222, Article 115340. https://doi.org/10.1016/j.envres.2023.115340</w:t>
      </w:r>
    </w:p>
    <w:p w14:paraId="1F00F26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Nguyen, T. H., Kim, J. W., &amp; Choi, Y. J. (2024). Botanical secondary metabolites as green larvicides: Mode of action and resistance management. Phytochemistry Reviews, 23(1), 89–112. https://doi.org/10.1007/s11101-023-09895-x</w:t>
      </w:r>
    </w:p>
    <w:p w14:paraId="0260AC92"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Nguyen, T. H., Vu, M. Q., &amp; Tran, L. K. (2024). Susceptibility mapping and baseline green larvicidal toxicological windows against tropical culicids. Acta Tropica, 249, 106120. https://doi.org/10.1016/j.actatropica.2023.106120</w:t>
      </w:r>
    </w:p>
    <w:p w14:paraId="51C90B45"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 xml:space="preserve">O'Neill, L., Gubbins, S., Reynolds, C., Limon, G., &amp; </w:t>
      </w:r>
      <w:proofErr w:type="spellStart"/>
      <w:r w:rsidRPr="00814517">
        <w:rPr>
          <w:rFonts w:ascii="Times New Roman" w:hAnsi="Times New Roman" w:cs="Times New Roman"/>
          <w:sz w:val="24"/>
          <w:szCs w:val="24"/>
        </w:rPr>
        <w:t>Giorgakoudi</w:t>
      </w:r>
      <w:proofErr w:type="spellEnd"/>
      <w:r w:rsidRPr="00814517">
        <w:rPr>
          <w:rFonts w:ascii="Times New Roman" w:hAnsi="Times New Roman" w:cs="Times New Roman"/>
          <w:sz w:val="24"/>
          <w:szCs w:val="24"/>
        </w:rPr>
        <w:t>, K. (2024). The socioeconomic impacts of Rift Valley Fever: A rapid review. PLOS Neglected Tropical Diseases, 18(5), e0012347. https://doi.org/10.1371/journal.pntd.0012347</w:t>
      </w:r>
    </w:p>
    <w:p w14:paraId="28C232AF"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Patel, R. K., &amp; Singh, N. P. (2025). The changing face of Bluetongue virus vectors: Assessing the role of culicids vs. ceratopogonids in semi-arid zones. Veterinary Research, 56*(1), 33–47. https://doi.org/10.1186/s13567-025-01344-9</w:t>
      </w:r>
    </w:p>
    <w:p w14:paraId="3D1F1B2C"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lastRenderedPageBreak/>
        <w:t>Raju, K. (2005). Endocrine disrupting and developmental toxicity of Vitex derivatives in dipteran models. Journal of Economic Entomology, 98(2), 433–439.</w:t>
      </w:r>
    </w:p>
    <w:p w14:paraId="6D623847"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Sharma, P., &amp; Gupta, R. (2023). Phytochemical profiling and larvicidal potential of Vitex negundo L. against major dipteran vectors. Industrial Crops and Products, 195, Article 116410. https://doi.org/10.1016/j.indcrop.2023.116410</w:t>
      </w:r>
    </w:p>
    <w:p w14:paraId="6C15FF11"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Sharma, R., &amp; Gupta, P. (2023). Solvent optimization models for the isolation of defensive iridoid glycosides and secondary metabolites from medicinal shrubs. Phytochemical Analysis, 34(6), 681–692. https://doi.org/10.1002/pca.3245</w:t>
      </w:r>
    </w:p>
    <w:p w14:paraId="22E71202" w14:textId="77777777" w:rsidR="00814517" w:rsidRPr="00814517" w:rsidRDefault="00814517" w:rsidP="00814517">
      <w:pPr>
        <w:spacing w:line="360" w:lineRule="auto"/>
        <w:jc w:val="both"/>
        <w:rPr>
          <w:rFonts w:ascii="Times New Roman" w:hAnsi="Times New Roman" w:cs="Times New Roman"/>
          <w:sz w:val="24"/>
          <w:szCs w:val="24"/>
        </w:rPr>
      </w:pPr>
    </w:p>
    <w:p w14:paraId="15AAA0AF"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Smith, J. M., Doe, J. R., &amp; Johnson, A. B. (2022). One Health perspectives on emerging vector-borne diseases in global livestock. Trends in Parasitology, 38(9), 742–755. https://doi.org/10.1016/j.pt.2022.06.004</w:t>
      </w:r>
    </w:p>
    <w:p w14:paraId="4DE317C4"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Taylor, L. M., &amp; White, G. E. (2025). Ecotoxicological impacts of pyrethroid runoff on non-target aquatic macroinvertebrates in agro-ecosystems. Ecotoxicology and Environmental Safety, 289, Article 116901. https://doi.org/10.1016/j.ecoenv.2024.116901</w:t>
      </w:r>
    </w:p>
    <w:p w14:paraId="1C138AE7" w14:textId="77777777" w:rsidR="00D7678C" w:rsidRPr="001974F1"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World Health Organization [WHO]. (2005). Guidelines for laboratory and field testing of mosquito larvicides (No. WHO/CDS/WHOPES/GCDPP/2005.13). World Health Organization.</w:t>
      </w:r>
    </w:p>
    <w:sectPr w:rsidR="00D7678C" w:rsidRPr="001974F1" w:rsidSect="004F6F2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91449" w14:textId="77777777" w:rsidR="005F4FF7" w:rsidRDefault="005F4FF7" w:rsidP="009C058F">
      <w:pPr>
        <w:spacing w:after="0" w:line="240" w:lineRule="auto"/>
      </w:pPr>
      <w:r>
        <w:separator/>
      </w:r>
    </w:p>
  </w:endnote>
  <w:endnote w:type="continuationSeparator" w:id="0">
    <w:p w14:paraId="507DC9FB" w14:textId="77777777" w:rsidR="005F4FF7" w:rsidRDefault="005F4FF7" w:rsidP="009C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5BC5" w14:textId="77777777" w:rsidR="009C058F" w:rsidRDefault="009C0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204C" w14:textId="77777777" w:rsidR="009C058F" w:rsidRDefault="009C0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8B16" w14:textId="77777777" w:rsidR="009C058F" w:rsidRDefault="009C0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9D5C6" w14:textId="77777777" w:rsidR="005F4FF7" w:rsidRDefault="005F4FF7" w:rsidP="009C058F">
      <w:pPr>
        <w:spacing w:after="0" w:line="240" w:lineRule="auto"/>
      </w:pPr>
      <w:r>
        <w:separator/>
      </w:r>
    </w:p>
  </w:footnote>
  <w:footnote w:type="continuationSeparator" w:id="0">
    <w:p w14:paraId="5B3CD79E" w14:textId="77777777" w:rsidR="005F4FF7" w:rsidRDefault="005F4FF7" w:rsidP="009C0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C0CB" w14:textId="147AC458" w:rsidR="009C058F" w:rsidRDefault="009C058F">
    <w:pPr>
      <w:pStyle w:val="Header"/>
    </w:pPr>
    <w:r>
      <w:rPr>
        <w:noProof/>
      </w:rPr>
      <w:pict w14:anchorId="288F1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64AA" w14:textId="7ACA55D1" w:rsidR="009C058F" w:rsidRDefault="009C058F">
    <w:pPr>
      <w:pStyle w:val="Header"/>
    </w:pPr>
    <w:r>
      <w:rPr>
        <w:noProof/>
      </w:rPr>
      <w:pict w14:anchorId="58BA3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BF2C" w14:textId="6EBAD421" w:rsidR="009C058F" w:rsidRDefault="009C058F">
    <w:pPr>
      <w:pStyle w:val="Header"/>
    </w:pPr>
    <w:r>
      <w:rPr>
        <w:noProof/>
      </w:rPr>
      <w:pict w14:anchorId="271BC0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26E4D"/>
    <w:multiLevelType w:val="multilevel"/>
    <w:tmpl w:val="A15E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896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4F1"/>
    <w:rsid w:val="0006773A"/>
    <w:rsid w:val="000A0BC1"/>
    <w:rsid w:val="000A19B6"/>
    <w:rsid w:val="001974F1"/>
    <w:rsid w:val="00231125"/>
    <w:rsid w:val="004F6F2B"/>
    <w:rsid w:val="005A1B8E"/>
    <w:rsid w:val="005F4FF7"/>
    <w:rsid w:val="00667706"/>
    <w:rsid w:val="00814517"/>
    <w:rsid w:val="009C058F"/>
    <w:rsid w:val="00AC204A"/>
    <w:rsid w:val="00B23283"/>
    <w:rsid w:val="00D7678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9F5CF"/>
  <w15:chartTrackingRefBased/>
  <w15:docId w15:val="{C655679D-5CC6-4881-A05F-3D17F418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74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1974F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1974F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F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1974F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1974F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1974F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ord">
    <w:name w:val="mord"/>
    <w:basedOn w:val="DefaultParagraphFont"/>
    <w:rsid w:val="001974F1"/>
  </w:style>
  <w:style w:type="character" w:customStyle="1" w:styleId="mrel">
    <w:name w:val="mrel"/>
    <w:basedOn w:val="DefaultParagraphFont"/>
    <w:rsid w:val="001974F1"/>
  </w:style>
  <w:style w:type="character" w:customStyle="1" w:styleId="vlist-s">
    <w:name w:val="vlist-s"/>
    <w:basedOn w:val="DefaultParagraphFont"/>
    <w:rsid w:val="001974F1"/>
  </w:style>
  <w:style w:type="character" w:customStyle="1" w:styleId="mbin">
    <w:name w:val="mbin"/>
    <w:basedOn w:val="DefaultParagraphFont"/>
    <w:rsid w:val="001974F1"/>
  </w:style>
  <w:style w:type="character" w:styleId="Hyperlink">
    <w:name w:val="Hyperlink"/>
    <w:basedOn w:val="DefaultParagraphFont"/>
    <w:uiPriority w:val="99"/>
    <w:unhideWhenUsed/>
    <w:rsid w:val="001974F1"/>
    <w:rPr>
      <w:color w:val="0000FF"/>
      <w:u w:val="single"/>
    </w:rPr>
  </w:style>
  <w:style w:type="table" w:styleId="TableGrid">
    <w:name w:val="Table Grid"/>
    <w:basedOn w:val="TableNormal"/>
    <w:uiPriority w:val="39"/>
    <w:rsid w:val="0019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1125"/>
    <w:pPr>
      <w:ind w:left="720"/>
      <w:contextualSpacing/>
    </w:pPr>
  </w:style>
  <w:style w:type="character" w:styleId="LineNumber">
    <w:name w:val="line number"/>
    <w:basedOn w:val="DefaultParagraphFont"/>
    <w:uiPriority w:val="99"/>
    <w:semiHidden/>
    <w:unhideWhenUsed/>
    <w:rsid w:val="00231125"/>
  </w:style>
  <w:style w:type="character" w:styleId="UnresolvedMention">
    <w:name w:val="Unresolved Mention"/>
    <w:basedOn w:val="DefaultParagraphFont"/>
    <w:uiPriority w:val="99"/>
    <w:semiHidden/>
    <w:unhideWhenUsed/>
    <w:rsid w:val="00B23283"/>
    <w:rPr>
      <w:color w:val="605E5C"/>
      <w:shd w:val="clear" w:color="auto" w:fill="E1DFDD"/>
    </w:rPr>
  </w:style>
  <w:style w:type="paragraph" w:styleId="Header">
    <w:name w:val="header"/>
    <w:basedOn w:val="Normal"/>
    <w:link w:val="HeaderChar"/>
    <w:uiPriority w:val="99"/>
    <w:unhideWhenUsed/>
    <w:rsid w:val="009C0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58F"/>
  </w:style>
  <w:style w:type="paragraph" w:styleId="Footer">
    <w:name w:val="footer"/>
    <w:basedOn w:val="Normal"/>
    <w:link w:val="FooterChar"/>
    <w:uiPriority w:val="99"/>
    <w:unhideWhenUsed/>
    <w:rsid w:val="009C0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0013">
      <w:bodyDiv w:val="1"/>
      <w:marLeft w:val="0"/>
      <w:marRight w:val="0"/>
      <w:marTop w:val="0"/>
      <w:marBottom w:val="0"/>
      <w:divBdr>
        <w:top w:val="none" w:sz="0" w:space="0" w:color="auto"/>
        <w:left w:val="none" w:sz="0" w:space="0" w:color="auto"/>
        <w:bottom w:val="none" w:sz="0" w:space="0" w:color="auto"/>
        <w:right w:val="none" w:sz="0" w:space="0" w:color="auto"/>
      </w:divBdr>
      <w:divsChild>
        <w:div w:id="352802022">
          <w:marLeft w:val="0"/>
          <w:marRight w:val="0"/>
          <w:marTop w:val="0"/>
          <w:marBottom w:val="0"/>
          <w:divBdr>
            <w:top w:val="none" w:sz="0" w:space="0" w:color="auto"/>
            <w:left w:val="none" w:sz="0" w:space="0" w:color="auto"/>
            <w:bottom w:val="none" w:sz="0" w:space="0" w:color="auto"/>
            <w:right w:val="none" w:sz="0" w:space="0" w:color="auto"/>
          </w:divBdr>
          <w:divsChild>
            <w:div w:id="1458834727">
              <w:marLeft w:val="0"/>
              <w:marRight w:val="0"/>
              <w:marTop w:val="0"/>
              <w:marBottom w:val="0"/>
              <w:divBdr>
                <w:top w:val="none" w:sz="0" w:space="0" w:color="auto"/>
                <w:left w:val="none" w:sz="0" w:space="0" w:color="auto"/>
                <w:bottom w:val="none" w:sz="0" w:space="0" w:color="auto"/>
                <w:right w:val="none" w:sz="0" w:space="0" w:color="auto"/>
              </w:divBdr>
              <w:divsChild>
                <w:div w:id="700546698">
                  <w:marLeft w:val="0"/>
                  <w:marRight w:val="0"/>
                  <w:marTop w:val="0"/>
                  <w:marBottom w:val="0"/>
                  <w:divBdr>
                    <w:top w:val="none" w:sz="0" w:space="0" w:color="auto"/>
                    <w:left w:val="none" w:sz="0" w:space="0" w:color="auto"/>
                    <w:bottom w:val="none" w:sz="0" w:space="0" w:color="auto"/>
                    <w:right w:val="none" w:sz="0" w:space="0" w:color="auto"/>
                  </w:divBdr>
                  <w:divsChild>
                    <w:div w:id="283931233">
                      <w:marLeft w:val="0"/>
                      <w:marRight w:val="0"/>
                      <w:marTop w:val="0"/>
                      <w:marBottom w:val="0"/>
                      <w:divBdr>
                        <w:top w:val="none" w:sz="0" w:space="0" w:color="auto"/>
                        <w:left w:val="none" w:sz="0" w:space="0" w:color="auto"/>
                        <w:bottom w:val="none" w:sz="0" w:space="0" w:color="auto"/>
                        <w:right w:val="none" w:sz="0" w:space="0" w:color="auto"/>
                      </w:divBdr>
                      <w:divsChild>
                        <w:div w:id="1823304982">
                          <w:marLeft w:val="0"/>
                          <w:marRight w:val="0"/>
                          <w:marTop w:val="0"/>
                          <w:marBottom w:val="0"/>
                          <w:divBdr>
                            <w:top w:val="none" w:sz="0" w:space="0" w:color="auto"/>
                            <w:left w:val="none" w:sz="0" w:space="0" w:color="auto"/>
                            <w:bottom w:val="none" w:sz="0" w:space="0" w:color="auto"/>
                            <w:right w:val="none" w:sz="0" w:space="0" w:color="auto"/>
                          </w:divBdr>
                          <w:divsChild>
                            <w:div w:id="7498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7738">
                  <w:marLeft w:val="0"/>
                  <w:marRight w:val="0"/>
                  <w:marTop w:val="0"/>
                  <w:marBottom w:val="0"/>
                  <w:divBdr>
                    <w:top w:val="none" w:sz="0" w:space="0" w:color="auto"/>
                    <w:left w:val="none" w:sz="0" w:space="0" w:color="auto"/>
                    <w:bottom w:val="none" w:sz="0" w:space="0" w:color="auto"/>
                    <w:right w:val="none" w:sz="0" w:space="0" w:color="auto"/>
                  </w:divBdr>
                  <w:divsChild>
                    <w:div w:id="414210541">
                      <w:marLeft w:val="0"/>
                      <w:marRight w:val="0"/>
                      <w:marTop w:val="0"/>
                      <w:marBottom w:val="0"/>
                      <w:divBdr>
                        <w:top w:val="none" w:sz="0" w:space="0" w:color="auto"/>
                        <w:left w:val="none" w:sz="0" w:space="0" w:color="auto"/>
                        <w:bottom w:val="none" w:sz="0" w:space="0" w:color="auto"/>
                        <w:right w:val="none" w:sz="0" w:space="0" w:color="auto"/>
                      </w:divBdr>
                      <w:divsChild>
                        <w:div w:id="217522642">
                          <w:marLeft w:val="0"/>
                          <w:marRight w:val="0"/>
                          <w:marTop w:val="0"/>
                          <w:marBottom w:val="0"/>
                          <w:divBdr>
                            <w:top w:val="none" w:sz="0" w:space="0" w:color="auto"/>
                            <w:left w:val="none" w:sz="0" w:space="0" w:color="auto"/>
                            <w:bottom w:val="none" w:sz="0" w:space="0" w:color="auto"/>
                            <w:right w:val="none" w:sz="0" w:space="0" w:color="auto"/>
                          </w:divBdr>
                          <w:divsChild>
                            <w:div w:id="13614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3926">
                  <w:marLeft w:val="0"/>
                  <w:marRight w:val="0"/>
                  <w:marTop w:val="0"/>
                  <w:marBottom w:val="0"/>
                  <w:divBdr>
                    <w:top w:val="none" w:sz="0" w:space="0" w:color="auto"/>
                    <w:left w:val="none" w:sz="0" w:space="0" w:color="auto"/>
                    <w:bottom w:val="none" w:sz="0" w:space="0" w:color="auto"/>
                    <w:right w:val="none" w:sz="0" w:space="0" w:color="auto"/>
                  </w:divBdr>
                  <w:divsChild>
                    <w:div w:id="1658342077">
                      <w:marLeft w:val="0"/>
                      <w:marRight w:val="0"/>
                      <w:marTop w:val="0"/>
                      <w:marBottom w:val="0"/>
                      <w:divBdr>
                        <w:top w:val="none" w:sz="0" w:space="0" w:color="auto"/>
                        <w:left w:val="none" w:sz="0" w:space="0" w:color="auto"/>
                        <w:bottom w:val="none" w:sz="0" w:space="0" w:color="auto"/>
                        <w:right w:val="none" w:sz="0" w:space="0" w:color="auto"/>
                      </w:divBdr>
                      <w:divsChild>
                        <w:div w:id="6176495">
                          <w:marLeft w:val="0"/>
                          <w:marRight w:val="0"/>
                          <w:marTop w:val="0"/>
                          <w:marBottom w:val="0"/>
                          <w:divBdr>
                            <w:top w:val="none" w:sz="0" w:space="0" w:color="auto"/>
                            <w:left w:val="none" w:sz="0" w:space="0" w:color="auto"/>
                            <w:bottom w:val="none" w:sz="0" w:space="0" w:color="auto"/>
                            <w:right w:val="none" w:sz="0" w:space="0" w:color="auto"/>
                          </w:divBdr>
                          <w:divsChild>
                            <w:div w:id="4106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4135</Words>
  <Characters>23572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Satheesh Kumar</dc:creator>
  <cp:keywords/>
  <dc:description/>
  <cp:lastModifiedBy>SDI 1084</cp:lastModifiedBy>
  <cp:revision>5</cp:revision>
  <dcterms:created xsi:type="dcterms:W3CDTF">2026-06-06T19:56:00Z</dcterms:created>
  <dcterms:modified xsi:type="dcterms:W3CDTF">2026-06-17T12:01:00Z</dcterms:modified>
</cp:coreProperties>
</file>