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86D29" w14:textId="77777777" w:rsidR="00DF7E66" w:rsidRPr="00DF7E66" w:rsidRDefault="00DF7E66" w:rsidP="00DF7E66">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DF7E66">
        <w:rPr>
          <w:rFonts w:ascii="Times New Roman" w:eastAsia="Times New Roman" w:hAnsi="Times New Roman" w:cs="Times New Roman"/>
          <w:b/>
          <w:bCs/>
          <w:i/>
          <w:iCs/>
          <w:sz w:val="36"/>
          <w:szCs w:val="36"/>
          <w:u w:val="single"/>
          <w:lang w:val="en-US" w:eastAsia="en-GB"/>
        </w:rPr>
        <w:t>Review Article</w:t>
      </w:r>
    </w:p>
    <w:p w14:paraId="5CDD00EB" w14:textId="77777777" w:rsidR="00F62F58" w:rsidRPr="00F62F58" w:rsidRDefault="00F62F58" w:rsidP="00F62F5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62F58">
        <w:rPr>
          <w:rFonts w:ascii="Times New Roman" w:eastAsia="Times New Roman" w:hAnsi="Times New Roman" w:cs="Times New Roman"/>
          <w:b/>
          <w:bCs/>
          <w:sz w:val="36"/>
          <w:szCs w:val="36"/>
          <w:lang w:eastAsia="en-GB"/>
        </w:rPr>
        <w:t>The Emerging Role of Nutraceuticals in Health Promotion, Disease Prevention and Modern Healthcare</w:t>
      </w:r>
    </w:p>
    <w:p w14:paraId="25793148"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Abstract</w:t>
      </w:r>
    </w:p>
    <w:p w14:paraId="35645EF0"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Nutraceuticals, defined broadly as food-derived products that deliver physiological benefits beyond basic nutrition, have moved from a niche wellness category into a central pillar of preventive medicine. Rising rates of cardiovascular disease, type 2 diabetes, obesity and certain cancers, combined with an ageing global population, have driven sustained interest in dietary bioactives such as polyphenols, omega-3 fatty acids, curcuminoids, probiotics, prebiotics and vitamin D as adjuncts to conventional pharmacotherapy. This review synthesises contemporary evidence on the mechanisms through which nutraceuticals act, the clinical settings in which they show measurable benefit, and the regulatory, technological and safety considerations that shape their responsible use. Particular attention is given to antioxidant and anti-inflammatory pathways, gut microbiome modulation, immune regulation and glycaemic control, alongside emerging delivery technologies such as nanoencapsulation that address the poor bioavailability of many plant-derived compounds. The regulatory patchwork spanning the United States, the European Union, India and other jurisdictions is examined as a major barrier to harmonised quality assurance and consumer protection. The review also considers the trajectory toward personalised and precision nutrition, in which genetic, metabolic and microbiome data are used to tailor nutraceutical recommendations to the individual. Taken together, the evidence indicates that nutraceuticals occupy a genuine, if carefully bounded, role in health promotion and chronic disease prevention, provided that product quality, dosing and regulatory oversight keep pace with scientific advancement.</w:t>
      </w:r>
    </w:p>
    <w:p w14:paraId="669AF779"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Keywords:</w:t>
      </w:r>
      <w:r w:rsidRPr="00F62F58">
        <w:rPr>
          <w:rFonts w:ascii="Times New Roman" w:eastAsia="Times New Roman" w:hAnsi="Times New Roman" w:cs="Times New Roman"/>
          <w:sz w:val="24"/>
          <w:szCs w:val="24"/>
          <w:lang w:eastAsia="en-GB"/>
        </w:rPr>
        <w:t xml:space="preserve"> nutraceuticals; functional foods; disease prevention; bioactive compounds; dietary supplements; personalised nutrition</w:t>
      </w:r>
    </w:p>
    <w:p w14:paraId="6214D870"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 Introduction</w:t>
      </w:r>
    </w:p>
    <w:p w14:paraId="54C027B7"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1.1 Historical background and conceptual foundations</w:t>
      </w:r>
    </w:p>
    <w:p w14:paraId="6AC067F3"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term nutraceutical was introduced by Stephen DeFelice in 1989 to describe a food or part of a food that provides medical or health benefits, including the prevention or treatment of disease (Santini et al., 2018). The word is a portmanteau of "nutrition" and "pharmaceutical", and it captures a deliberate blurring of the boundary between what is eaten for sustenance and what is consumed for therapeutic effect. Long before the term existed, the underlying idea was already ancient: traditional systems of medicine across India, China and the Mediterranean basin routinely prescribed specific foods, spices and herbal preparations for the management of illness, and many of the compounds studied today, curcumin, resveratrol, allicin, catechins, were first identified as active constituents of foods used in folk healing traditions. What has changed over the past three decades is not the intuition that food can heal, but the capacity to isolate, characterise, standardise and test these compounds with the tools of modern pharmacology and clinical trial methodology.</w:t>
      </w:r>
    </w:p>
    <w:p w14:paraId="7260D8A0"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1.2 Classification and scope of the nutraceutical category</w:t>
      </w:r>
    </w:p>
    <w:p w14:paraId="08635BED"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Nutraceuticals are conventionally grouped by source and chemical nature: dietary fibres and prebiotics, probiotics and other microbial preparations, polyphenols and flavonoids, carotenoids, omega-3 and omega-6 polyunsaturated fatty acids, vitamins and minerals used at supra-nutritional doses, and herbal or botanical extracts each constitute a recognised subclass (Kaur et al., 2024; Li &amp; Luo, 2025). Functional foods, a closely related but distinct category, refers to conventional foods that have been fortified or naturally contain bioactive constituents at levels sufficient to confer a health benefit when consumed as part of a normal diet, whereas nutraceuticals are more often isolated, concentrated and delivered in pharmaceutical-like formats such as capsules, tablets or standardised extracts (Obayomi et al., 2024). This distinction matters for regulation, dosing and safety monitoring, since a concentrated extract can deliver a bioactive compound at doses many times higher than would ever be obtained from the whole food, altering both its therapeutic potential and its risk profile.</w:t>
      </w:r>
    </w:p>
    <w:p w14:paraId="66CA58DB"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1.3 Scope, research gap and objectives</w:t>
      </w:r>
    </w:p>
    <w:p w14:paraId="7BBFA784"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Despite an expanding body of mechanistic and clinical research, the nutraceutical literature remains fragmented across disciplines including food science, pharmacology, clinical nutrition and public health policy, and no single account integrates the biological mechanisms, the clinical evidence across major chronic disease categories, the delivery technologies addressing bioavailability limitations, and the regulatory frameworks that determine market access and consumer safety. Existing reviews tend to focus narrowly on a single compound class or disease outcome, leaving readers without a coherent view of how these threads interact in practice. This review addresses that gap by drawing together evidence spanning cardiovascular, metabolic, oncological, immunological and gastrointestinal applications of nutraceuticals, situating this evidence within the regulatory landscape of the principal global markets, and considering how advances in nanotechnology and nutrigenomics are reshaping the field. The specific objectives are threefold: first, to critically appraise the mechanistic and clinical evidence underpinning the use of major nutraceutical classes in the prevention and management of chronic disease; second, to evaluate the technological innovations addressing the bioavailability and stability limitations that have historically constrained clinical efficacy; and third, to examine the regulatory and safety considerations that must be resolved for nutraceuticals to be integrated responsibly into mainstream healthcare.</w:t>
      </w:r>
    </w:p>
    <w:p w14:paraId="028A6A9E"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2. Methods for Literature Selection</w:t>
      </w:r>
    </w:p>
    <w:p w14:paraId="1328E606"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2.1 Databases and search strategy</w:t>
      </w:r>
    </w:p>
    <w:p w14:paraId="230D379F"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Literature was identified through systematic searches of Web of Science, Scopus, Google Scholar and PubMed, supplemented by six field-specific indexing resources selected for their relevance to food science, pharmacology and clinical nutrition: CAB Abstracts, FSTA (Food Science and Technology Abstracts), AGRICOLA, EMBASE, the Cochrane Library, and the WHO Global Index Medicus. Search strings combined the core term "nutraceutical*" with Boolean operators and disease- or mechanism-specific terms, for example ("nutraceutical*" OR "functional food*" OR "bioactive compound*") AND ("cardiovascular disease" OR "diabetes" OR "cancer prevention" OR "gut microbiome" OR "immune function"), together with technology-specific strings such as ("nanoencapsulation" OR "bioavailability") AND "nutraceutical*". Searches were restricted to literature published between 1 January 2015 and </w:t>
      </w:r>
      <w:r w:rsidRPr="00F62F58">
        <w:rPr>
          <w:rFonts w:ascii="Times New Roman" w:eastAsia="Times New Roman" w:hAnsi="Times New Roman" w:cs="Times New Roman"/>
          <w:sz w:val="24"/>
          <w:szCs w:val="24"/>
          <w:lang w:eastAsia="en-GB"/>
        </w:rPr>
        <w:lastRenderedPageBreak/>
        <w:t>2 April 2026, with earlier landmark studies retained where they remained the primary methodological or mechanistic reference for a given finding.</w:t>
      </w:r>
    </w:p>
    <w:p w14:paraId="4D1B8529"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2.2 Inclusion and exclusion criteria</w:t>
      </w:r>
    </w:p>
    <w:p w14:paraId="33D04ACA"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Eligible sources comprised peer-reviewed original research, systematic reviews, meta-analyses and editorials published in indexed journals, together with authoritative institutional reports from bodies such as the World Health Organization, the Food and Agriculture Organization and equivalent regional regulatory authorities where no peer-reviewed equivalent existed. Books, grey literature, conference proceedings, trade publications, pre-prints, patents and non-peer-reviewed sources were excluded, as were studies with unclear methodology or those published in predatory or non-indexed venues. Articles were limited to those published in English, reflecting a practical constraint on translation resources rather than a judgement on the quality of non-English scholarship; this restriction is acknowledged as a limitation.</w:t>
      </w:r>
    </w:p>
    <w:p w14:paraId="58D1F981"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2.3 Rationale for a narrative approach</w:t>
      </w:r>
    </w:p>
    <w:p w14:paraId="0A5DA6B4"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 narrative rather than systematic review methodology was adopted because the objective was to synthesise evidence across multiple disease domains, mechanistic pathways and regulatory jurisdictions in a manner that a single systematic review protocol, with its necessarily narrow research question, could not accommodate. Narrative reviews suit this kind of broad, interpretive synthesis well, allowing the reviewer to draw connections across disparate bodies of evidence while still adhering to a transparent and reproducible search strategy (Ferrari, 2015; Sukhera, 2022). This approach also permitted the inclusion of regulatory and policy material alongside clinical and mechanistic studies, which a systematic review restricted to randomised controlled trials would exclude by design.</w:t>
      </w:r>
    </w:p>
    <w:p w14:paraId="45D0FCE4"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2.4 Screening workflow and selection of influential studies</w:t>
      </w:r>
    </w:p>
    <w:p w14:paraId="7D8284D3"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Titles and abstracts identified through the search strategy were screened for relevance to the stated objectives, with full texts retrieved for records judged potentially eligible. Duplicate records arising from overlapping database coverage were identified and removed through reference management software prior to full-text screening. Where multiple studies addressed the same compound and outcome, preference was given to the most recent systematic reviews and meta-analyses, on the grounds that these typically aggregate and contextualise earlier primary studies, supplemented by recent primary trials not yet captured in existing syntheses. Influential studies that shaped the conceptual development of the field, including early regulatory analyses and foundational mechanistic papers, were retained irrespective of publication date where they continued to inform current understanding.</w:t>
      </w:r>
    </w:p>
    <w:p w14:paraId="132E963B"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3. Mechanistic Basis of Nutraceutical Action</w:t>
      </w:r>
    </w:p>
    <w:p w14:paraId="7D460768"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The biological plausibility of nutraceutical efficacy rests on a relatively small number of convergent mechanisms recurring across compound classes and disease states. Oxidative stress, an imbalance between reactive oxygen species and endogenous antioxidant defences, is implicated in the pathogenesis of atherosclerosis, carcinogenesis and neurodegeneration, and polyphenolic compounds such as quercetin, catechins and resveratrol act as direct free radical scavengers while also upregulating endogenous antioxidant enzyme systems (Iqbal et al., 2023). Chronic low-grade inflammation is a second unifying pathway, with curcumin, </w:t>
      </w:r>
      <w:r w:rsidRPr="00F62F58">
        <w:rPr>
          <w:rFonts w:ascii="Times New Roman" w:eastAsia="Times New Roman" w:hAnsi="Times New Roman" w:cs="Times New Roman"/>
          <w:sz w:val="24"/>
          <w:szCs w:val="24"/>
          <w:lang w:eastAsia="en-GB"/>
        </w:rPr>
        <w:lastRenderedPageBreak/>
        <w:t>omega-3 fatty acids and specific probiotic strains modulating nuclear factor kappa B signalling and downstream cytokine production (Kaur et al., 2024). A third mechanism operates through the gut microbiome, whereby prebiotic fibres and probiotic organisms alter the composition and metabolic output of the intestinal microbiota, generating short-chain fatty acids that influence systemic metabolism, immune tone and even neurological signalling via the gut-brain axis (Obayomi et al., 2024). Epigenetic modulation, including effects on DNA methylation and histone acetylation, has more recently been identified as a route through which resveratrol, sulforaphane and curcumin may influence gene expression relevant to cardiovascular and metabolic disease (</w:t>
      </w:r>
      <w:r w:rsidRPr="00F62F58">
        <w:rPr>
          <w:rFonts w:ascii="Times New Roman" w:eastAsia="Times New Roman" w:hAnsi="Times New Roman" w:cs="Times New Roman"/>
          <w:b/>
          <w:bCs/>
          <w:sz w:val="24"/>
          <w:szCs w:val="24"/>
          <w:lang w:eastAsia="en-GB"/>
        </w:rPr>
        <w:t>Arshad et al., 2025</w:t>
      </w:r>
      <w:r w:rsidRPr="00F62F58">
        <w:rPr>
          <w:rFonts w:ascii="Times New Roman" w:eastAsia="Times New Roman" w:hAnsi="Times New Roman" w:cs="Times New Roman"/>
          <w:sz w:val="24"/>
          <w:szCs w:val="24"/>
          <w:lang w:eastAsia="en-GB"/>
        </w:rPr>
        <w:t>). These mechanisms are seldom mutually exclusive; most nutraceuticals of clinical interest act through several overlapping pathways at once, which complicates the attribution of any single clinical outcome to a single mechanism but also offers a plausible explanation for the pleiotropic health effects frequently reported in observational studies.</w:t>
      </w:r>
    </w:p>
    <w:p w14:paraId="029726E8"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4. Nutraceuticals in Cardiovascular Disease Prevention</w:t>
      </w:r>
    </w:p>
    <w:p w14:paraId="7BBC4B26"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Cardiovascular disease remains the leading cause of mortality worldwide, and dietary polyphenols have attracted particular attention for their capacity to influence multiple risk factors simultaneously. A systematic review and meta-analysis of randomised controlled trials involving more than seventeen thousand participants found that polyphenol supplementation produced modest but statistically significant reductions in systolic and diastolic blood pressure with catechin supplementation, improvements in lipid profiles with anthocyanin supplementation, and favourable changes in glucose metabolism with curcumin supplementation (Wan et al., 2024). Mechanistically, flavonoids and related polyphenols inhibit angiotensin-converting enzyme activity, attenuating renin-angiotensin-aldosterone system overactivation, a pathway implicated in hypertension and vascular remodelling (</w:t>
      </w:r>
      <w:r w:rsidRPr="00F62F58">
        <w:rPr>
          <w:rFonts w:ascii="Times New Roman" w:eastAsia="Times New Roman" w:hAnsi="Times New Roman" w:cs="Times New Roman"/>
          <w:b/>
          <w:bCs/>
          <w:sz w:val="24"/>
          <w:szCs w:val="24"/>
          <w:lang w:eastAsia="en-GB"/>
        </w:rPr>
        <w:t>Arshad et al., 2025</w:t>
      </w:r>
      <w:r w:rsidRPr="00F62F58">
        <w:rPr>
          <w:rFonts w:ascii="Times New Roman" w:eastAsia="Times New Roman" w:hAnsi="Times New Roman" w:cs="Times New Roman"/>
          <w:sz w:val="24"/>
          <w:szCs w:val="24"/>
          <w:lang w:eastAsia="en-GB"/>
        </w:rPr>
        <w:t>). Kaempferol, quercetin and resveratrol additionally protect cardiac tissue by regulating proteins involved in oxidative injury, and their bioavailability and safety profile at dietary and moderate supplemental doses have been characterised across numerous intervention trials (Iqbal et al., 2023).</w:t>
      </w:r>
    </w:p>
    <w:p w14:paraId="019BEBD8"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Omega-3 polyunsaturated fatty acids, principally eicosapentaenoic acid and docosahexaenoic acid derived from marine sources, form a second major cardioprotective nutraceutical class, with evidence supporting favourable effects on triglyceride concentrations, endothelial function and arrhythmic risk (Elagizi et al., 2021; Patted et al., 2024). It should be noted, however, that recent commentary has highlighted inconsistencies in the omega-3 evidence base, driven partly by variability in product quality, dosing and baseline omega-3 status across studied populations, underscoring that clinical benefit is not uniform across all supplementation contexts (Djuricic &amp; Calder, 2021). Short-chain fatty acids generated through fibre fermentation, particularly butyrate, further contribute to cardiovascular protection by improving endothelial function and modestly lowering blood pressure, illustrating the interconnection between gut microbial metabolism and cardiovascular outcomes (</w:t>
      </w:r>
      <w:r w:rsidRPr="00F62F58">
        <w:rPr>
          <w:rFonts w:ascii="Times New Roman" w:eastAsia="Times New Roman" w:hAnsi="Times New Roman" w:cs="Times New Roman"/>
          <w:b/>
          <w:bCs/>
          <w:sz w:val="24"/>
          <w:szCs w:val="24"/>
          <w:lang w:eastAsia="en-GB"/>
        </w:rPr>
        <w:t>Arshad et al., 2025</w:t>
      </w:r>
      <w:r w:rsidRPr="00F62F58">
        <w:rPr>
          <w:rFonts w:ascii="Times New Roman" w:eastAsia="Times New Roman" w:hAnsi="Times New Roman" w:cs="Times New Roman"/>
          <w:sz w:val="24"/>
          <w:szCs w:val="24"/>
          <w:lang w:eastAsia="en-GB"/>
        </w:rPr>
        <w:t>). The mechanisms, sources and reported outcomes for these compound classes, together with berberine's cardiometabolic role discussed in the following section, are consolidated in Table 1.</w:t>
      </w:r>
    </w:p>
    <w:p w14:paraId="55B36B66"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1. Selected nutraceutical classes and their principal cardiometabolic mechanisms</w:t>
      </w:r>
    </w:p>
    <w:tbl>
      <w:tblPr>
        <w:tblStyle w:val="TableGridLight"/>
        <w:tblW w:w="0" w:type="auto"/>
        <w:tblLook w:val="04A0" w:firstRow="1" w:lastRow="0" w:firstColumn="1" w:lastColumn="0" w:noHBand="0" w:noVBand="1"/>
      </w:tblPr>
      <w:tblGrid>
        <w:gridCol w:w="1689"/>
        <w:gridCol w:w="1949"/>
        <w:gridCol w:w="2157"/>
        <w:gridCol w:w="2039"/>
        <w:gridCol w:w="1408"/>
      </w:tblGrid>
      <w:tr w:rsidR="00F62F58" w:rsidRPr="00F62F58" w14:paraId="3DF8DBE8" w14:textId="77777777" w:rsidTr="00F62F58">
        <w:tc>
          <w:tcPr>
            <w:tcW w:w="0" w:type="auto"/>
            <w:hideMark/>
          </w:tcPr>
          <w:p w14:paraId="5F2C0F28"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Nutraceutical class</w:t>
            </w:r>
          </w:p>
        </w:tc>
        <w:tc>
          <w:tcPr>
            <w:tcW w:w="0" w:type="auto"/>
            <w:hideMark/>
          </w:tcPr>
          <w:p w14:paraId="384E5470"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Representative compounds</w:t>
            </w:r>
          </w:p>
        </w:tc>
        <w:tc>
          <w:tcPr>
            <w:tcW w:w="0" w:type="auto"/>
            <w:hideMark/>
          </w:tcPr>
          <w:p w14:paraId="300A1D89"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 xml:space="preserve">Principal proposed </w:t>
            </w:r>
            <w:r w:rsidRPr="00F62F58">
              <w:rPr>
                <w:rFonts w:ascii="Times New Roman" w:eastAsia="Times New Roman" w:hAnsi="Times New Roman" w:cs="Times New Roman"/>
                <w:b/>
                <w:bCs/>
                <w:sz w:val="24"/>
                <w:szCs w:val="24"/>
                <w:lang w:eastAsia="en-GB"/>
              </w:rPr>
              <w:lastRenderedPageBreak/>
              <w:t>mechanism</w:t>
            </w:r>
          </w:p>
        </w:tc>
        <w:tc>
          <w:tcPr>
            <w:tcW w:w="0" w:type="auto"/>
            <w:hideMark/>
          </w:tcPr>
          <w:p w14:paraId="0F1BEA3D"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lastRenderedPageBreak/>
              <w:t>Reported clinical outcome</w:t>
            </w:r>
          </w:p>
        </w:tc>
        <w:tc>
          <w:tcPr>
            <w:tcW w:w="0" w:type="auto"/>
            <w:hideMark/>
          </w:tcPr>
          <w:p w14:paraId="3CF5D4FE"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76F88A8B" w14:textId="77777777" w:rsidTr="00F62F58">
        <w:tc>
          <w:tcPr>
            <w:tcW w:w="0" w:type="auto"/>
            <w:hideMark/>
          </w:tcPr>
          <w:p w14:paraId="0F191FA3"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Polyphenols</w:t>
            </w:r>
          </w:p>
        </w:tc>
        <w:tc>
          <w:tcPr>
            <w:tcW w:w="0" w:type="auto"/>
            <w:hideMark/>
          </w:tcPr>
          <w:p w14:paraId="51DF673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Quercetin, catechins, anthocyanins</w:t>
            </w:r>
          </w:p>
        </w:tc>
        <w:tc>
          <w:tcPr>
            <w:tcW w:w="0" w:type="auto"/>
            <w:hideMark/>
          </w:tcPr>
          <w:p w14:paraId="028768E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Antioxidant activity; ACE inhibition; endothelial modulation</w:t>
            </w:r>
          </w:p>
        </w:tc>
        <w:tc>
          <w:tcPr>
            <w:tcW w:w="0" w:type="auto"/>
            <w:hideMark/>
          </w:tcPr>
          <w:p w14:paraId="1FCFF0B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Reduced blood pressure and improved lipid profile</w:t>
            </w:r>
          </w:p>
        </w:tc>
        <w:tc>
          <w:tcPr>
            <w:tcW w:w="0" w:type="auto"/>
            <w:hideMark/>
          </w:tcPr>
          <w:p w14:paraId="07522F9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Wan et al. (2024); </w:t>
            </w:r>
            <w:r w:rsidRPr="00F62F58">
              <w:rPr>
                <w:rFonts w:ascii="Times New Roman" w:eastAsia="Times New Roman" w:hAnsi="Times New Roman" w:cs="Times New Roman"/>
                <w:b/>
                <w:bCs/>
                <w:sz w:val="24"/>
                <w:szCs w:val="24"/>
                <w:lang w:eastAsia="en-GB"/>
              </w:rPr>
              <w:t>Arshad et al. (2025)</w:t>
            </w:r>
          </w:p>
        </w:tc>
      </w:tr>
      <w:tr w:rsidR="00F62F58" w:rsidRPr="00F62F58" w14:paraId="014ED817" w14:textId="77777777" w:rsidTr="00F62F58">
        <w:tc>
          <w:tcPr>
            <w:tcW w:w="0" w:type="auto"/>
            <w:hideMark/>
          </w:tcPr>
          <w:p w14:paraId="37E7FCC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Omega-3 fatty acids</w:t>
            </w:r>
          </w:p>
        </w:tc>
        <w:tc>
          <w:tcPr>
            <w:tcW w:w="0" w:type="auto"/>
            <w:hideMark/>
          </w:tcPr>
          <w:p w14:paraId="59D8D83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EPA, DHA</w:t>
            </w:r>
          </w:p>
        </w:tc>
        <w:tc>
          <w:tcPr>
            <w:tcW w:w="0" w:type="auto"/>
            <w:hideMark/>
          </w:tcPr>
          <w:p w14:paraId="6EEBE78F"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Anti-inflammatory eicosanoid production; membrane fluidity modulation</w:t>
            </w:r>
          </w:p>
        </w:tc>
        <w:tc>
          <w:tcPr>
            <w:tcW w:w="0" w:type="auto"/>
            <w:hideMark/>
          </w:tcPr>
          <w:p w14:paraId="6B1F458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Reduced triglycerides; improved endothelial function</w:t>
            </w:r>
          </w:p>
        </w:tc>
        <w:tc>
          <w:tcPr>
            <w:tcW w:w="0" w:type="auto"/>
            <w:hideMark/>
          </w:tcPr>
          <w:p w14:paraId="29BAE0C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Elagizi et al. (2021); Djuricic &amp; Calder (2021)</w:t>
            </w:r>
          </w:p>
        </w:tc>
      </w:tr>
      <w:tr w:rsidR="00F62F58" w:rsidRPr="00F62F58" w14:paraId="473CAAC3" w14:textId="77777777" w:rsidTr="00F62F58">
        <w:tc>
          <w:tcPr>
            <w:tcW w:w="0" w:type="auto"/>
            <w:hideMark/>
          </w:tcPr>
          <w:p w14:paraId="48C4A60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Curcuminoids</w:t>
            </w:r>
          </w:p>
        </w:tc>
        <w:tc>
          <w:tcPr>
            <w:tcW w:w="0" w:type="auto"/>
            <w:hideMark/>
          </w:tcPr>
          <w:p w14:paraId="3B2117F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w:t>
            </w:r>
          </w:p>
        </w:tc>
        <w:tc>
          <w:tcPr>
            <w:tcW w:w="0" w:type="auto"/>
            <w:hideMark/>
          </w:tcPr>
          <w:p w14:paraId="7FA0DBA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NF-κB inhibition; antioxidant activity</w:t>
            </w:r>
          </w:p>
        </w:tc>
        <w:tc>
          <w:tcPr>
            <w:tcW w:w="0" w:type="auto"/>
            <w:hideMark/>
          </w:tcPr>
          <w:p w14:paraId="5917AB13"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Improved glucose metabolism; reduced inflammatory markers</w:t>
            </w:r>
          </w:p>
        </w:tc>
        <w:tc>
          <w:tcPr>
            <w:tcW w:w="0" w:type="auto"/>
            <w:hideMark/>
          </w:tcPr>
          <w:p w14:paraId="7C0AD93B"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Wan et al. (2024); Kaur et al. (2024)</w:t>
            </w:r>
          </w:p>
        </w:tc>
      </w:tr>
      <w:tr w:rsidR="00F62F58" w:rsidRPr="00F62F58" w14:paraId="1411B686" w14:textId="77777777" w:rsidTr="00F62F58">
        <w:tc>
          <w:tcPr>
            <w:tcW w:w="0" w:type="auto"/>
            <w:hideMark/>
          </w:tcPr>
          <w:p w14:paraId="7D6FDE4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Fibre-derived SCFAs</w:t>
            </w:r>
          </w:p>
        </w:tc>
        <w:tc>
          <w:tcPr>
            <w:tcW w:w="0" w:type="auto"/>
            <w:hideMark/>
          </w:tcPr>
          <w:p w14:paraId="47AED85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Butyrate, propionate</w:t>
            </w:r>
          </w:p>
        </w:tc>
        <w:tc>
          <w:tcPr>
            <w:tcW w:w="0" w:type="auto"/>
            <w:hideMark/>
          </w:tcPr>
          <w:p w14:paraId="19ADF1A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Gut microbiota fermentation product; endothelial signalling</w:t>
            </w:r>
          </w:p>
        </w:tc>
        <w:tc>
          <w:tcPr>
            <w:tcW w:w="0" w:type="auto"/>
            <w:hideMark/>
          </w:tcPr>
          <w:p w14:paraId="411C2CB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Improved endothelial function; modest BP reduction</w:t>
            </w:r>
          </w:p>
        </w:tc>
        <w:tc>
          <w:tcPr>
            <w:tcW w:w="0" w:type="auto"/>
            <w:hideMark/>
          </w:tcPr>
          <w:p w14:paraId="70EB75C3"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Arshad et al. (2025)</w:t>
            </w:r>
          </w:p>
        </w:tc>
      </w:tr>
      <w:tr w:rsidR="00F62F58" w:rsidRPr="00F62F58" w14:paraId="49E545F3" w14:textId="77777777" w:rsidTr="00F62F58">
        <w:tc>
          <w:tcPr>
            <w:tcW w:w="0" w:type="auto"/>
            <w:hideMark/>
          </w:tcPr>
          <w:p w14:paraId="0693EFC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Berberine</w:t>
            </w:r>
          </w:p>
        </w:tc>
        <w:tc>
          <w:tcPr>
            <w:tcW w:w="0" w:type="auto"/>
            <w:hideMark/>
          </w:tcPr>
          <w:p w14:paraId="74614DA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Isoquinoline alkaloid</w:t>
            </w:r>
          </w:p>
        </w:tc>
        <w:tc>
          <w:tcPr>
            <w:tcW w:w="0" w:type="auto"/>
            <w:hideMark/>
          </w:tcPr>
          <w:p w14:paraId="53ECBC4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AMPK activation; insulin sensitisation</w:t>
            </w:r>
          </w:p>
        </w:tc>
        <w:tc>
          <w:tcPr>
            <w:tcW w:w="0" w:type="auto"/>
            <w:hideMark/>
          </w:tcPr>
          <w:p w14:paraId="3C00146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Improved glycaemic and lipid parameters</w:t>
            </w:r>
          </w:p>
        </w:tc>
        <w:tc>
          <w:tcPr>
            <w:tcW w:w="0" w:type="auto"/>
            <w:hideMark/>
          </w:tcPr>
          <w:p w14:paraId="6A1BDC7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Liu et al. (2025)</w:t>
            </w:r>
          </w:p>
        </w:tc>
      </w:tr>
    </w:tbl>
    <w:p w14:paraId="7BB9661F"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5. Nutraceuticals in Metabolic Disease and Diabetes Management</w:t>
      </w:r>
    </w:p>
    <w:p w14:paraId="128FB437"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The global prevalence of type 2 diabetes mellitus continues to rise, and several plant-derived compounds have accumulated a substantial evidence base as adjunctive metabolic agents. Berberine, an isoquinoline alkaloid derived from several plant genera including </w:t>
      </w:r>
      <w:r w:rsidRPr="00F62F58">
        <w:rPr>
          <w:rFonts w:ascii="Times New Roman" w:eastAsia="Times New Roman" w:hAnsi="Times New Roman" w:cs="Times New Roman"/>
          <w:i/>
          <w:iCs/>
          <w:sz w:val="24"/>
          <w:szCs w:val="24"/>
          <w:lang w:eastAsia="en-GB"/>
        </w:rPr>
        <w:t>Berberis</w:t>
      </w:r>
      <w:r w:rsidRPr="00F62F58">
        <w:rPr>
          <w:rFonts w:ascii="Times New Roman" w:eastAsia="Times New Roman" w:hAnsi="Times New Roman" w:cs="Times New Roman"/>
          <w:sz w:val="24"/>
          <w:szCs w:val="24"/>
          <w:lang w:eastAsia="en-GB"/>
        </w:rPr>
        <w:t xml:space="preserve">, shares mechanistic overlap with metformin, activating adenosine monophosphate-activated protein kinase, inhibiting hepatic gluconeogenesis and modulating gut microbial composition (Liu et al., 2025; see Table 1). Clinical trials have demonstrated reductions in fasting glucose and glycated haemoglobin with berberine supplementation, alongside anti-inflammatory and antioxidant effects that may confer benefit beyond glycaemic control alone, although its lack of formal regulatory approval as a diabetes therapy in most jurisdictions means it remains classified as a complementary rather than first-line intervention. Cinnamon extract has likewise demonstrated statistically significant, if modest, reductions in fasting blood glucose, glycated haemoglobin and insulin resistance indices in meta-analytic pooling of randomised controlled trials (Cortez-Navarrete et al., 2023). Fenugreek, </w:t>
      </w:r>
      <w:r w:rsidRPr="00F62F58">
        <w:rPr>
          <w:rFonts w:ascii="Times New Roman" w:eastAsia="Times New Roman" w:hAnsi="Times New Roman" w:cs="Times New Roman"/>
          <w:i/>
          <w:iCs/>
          <w:sz w:val="24"/>
          <w:szCs w:val="24"/>
          <w:lang w:eastAsia="en-GB"/>
        </w:rPr>
        <w:t>Curcuma longa</w:t>
      </w:r>
      <w:r w:rsidRPr="00F62F58">
        <w:rPr>
          <w:rFonts w:ascii="Times New Roman" w:eastAsia="Times New Roman" w:hAnsi="Times New Roman" w:cs="Times New Roman"/>
          <w:sz w:val="24"/>
          <w:szCs w:val="24"/>
          <w:lang w:eastAsia="en-GB"/>
        </w:rPr>
        <w:t xml:space="preserve"> and </w:t>
      </w:r>
      <w:r w:rsidRPr="00F62F58">
        <w:rPr>
          <w:rFonts w:ascii="Times New Roman" w:eastAsia="Times New Roman" w:hAnsi="Times New Roman" w:cs="Times New Roman"/>
          <w:i/>
          <w:iCs/>
          <w:sz w:val="24"/>
          <w:szCs w:val="24"/>
          <w:lang w:eastAsia="en-GB"/>
        </w:rPr>
        <w:t>Momordica charantia</w:t>
      </w:r>
      <w:r w:rsidRPr="00F62F58">
        <w:rPr>
          <w:rFonts w:ascii="Times New Roman" w:eastAsia="Times New Roman" w:hAnsi="Times New Roman" w:cs="Times New Roman"/>
          <w:sz w:val="24"/>
          <w:szCs w:val="24"/>
          <w:lang w:eastAsia="en-GB"/>
        </w:rPr>
        <w:t xml:space="preserve"> (bitter melon) have each shown hypoglycaemic activity in controlled trials, acting through mechanisms including delayed carbohydrate absorption, enhanced insulin receptor expression and modulation of hepatic glucose output (Cortez-Navarrete et al., 2023). These effects should be interpreted cautiously, since most trials are of modest sample size and duration, and the magnitude of glycaemic improvement, while statistically robust, is generally smaller than that achieved with established pharmacological agents. Combination approaches, such as co-administering berberine with cinnamon, have been investigated as a means of achieving additive metabolic benefit while permitting lower doses of each agent, with early trial data suggesting improved tolerability alongside preserved efficacy (Mansour et al., 2025).</w:t>
      </w:r>
    </w:p>
    <w:p w14:paraId="2E016CAF"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lastRenderedPageBreak/>
        <w:t>6. Nutraceuticals in Cancer Chemoprevention</w:t>
      </w:r>
    </w:p>
    <w:p w14:paraId="07B35317"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 the principal curcuminoid of turmeric, has attracted the most extensive investigation among nutraceuticals studied for cancer chemoprevention, owing to its capacity to induce apoptosis, arrest the cell cycle, inhibit angiogenesis and suppress multiple inflammatory signalling cascades in preclinical models (Nocito et al., 2021). Clinical translation of these preclinical findings has, however, been substantially constrained by curcumin's inherently poor oral bioavailability, arising from low aqueous solubility, rapid hepatic and intestinal metabolism, and swift systemic elimination (Nocito et al., 2021). Systematic review of curcumin-enriched dietary approaches in colorectal cancer patients has highlighted encouraging anti-inflammatory and antioxidant signals, while also underscoring that dosing, formulation and duration of exposure remain insufficiently standardised across the available trial literature to support firm clinical recommendations (Neira et al., 2025). Novel curcumin analogues, incorporating structural modifications to the diketone moiety or methylation pattern, have shown enhanced antitumour and anti-inflammatory activity relative to native curcumin in laboratory models, illustrating one strategy for overcoming the bioavailability barrier through medicinal chemistry rather than delivery technology alone (Kaur et al., 2024). Beyond curcumin, dietary polyphenols more broadly are understood to exert chemopreventive effects through antioxidant scavenging and modulation of carcinogen-metabolising enzyme systems, although the epidemiological evidence linking habitual polyphenol intake to reduced cancer incidence remains predominantly observational and subject to confounding by broader dietary and lifestyle patterns (Iqbal et al., 2023).</w:t>
      </w:r>
    </w:p>
    <w:p w14:paraId="058740D9"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7. Gut Microbiome, Probiotics, Prebiotics and Functional Foods</w:t>
      </w:r>
    </w:p>
    <w:p w14:paraId="30CF6DBE"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gut microbiome has emerged as a central mediator of the health effects attributed to a wide range of nutraceuticals, and probiotics and prebiotics together form one of the fastest-growing nutraceutical subcategories. Probiotics, defined as live microorganisms that confer a health benefit on the host when administered in adequate amounts, exert effects on immune modulation, metabolic regulation and pathogen exclusion through mechanisms including competitive exclusion of pathogenic bacteria, production of antimicrobial metabolites, and modulation of host immune signalling (</w:t>
      </w:r>
      <w:r w:rsidRPr="00F62F58">
        <w:rPr>
          <w:rFonts w:ascii="Times New Roman" w:eastAsia="Times New Roman" w:hAnsi="Times New Roman" w:cs="Times New Roman"/>
          <w:b/>
          <w:bCs/>
          <w:sz w:val="24"/>
          <w:szCs w:val="24"/>
          <w:lang w:eastAsia="en-GB"/>
        </w:rPr>
        <w:t>Pérez Guerra, 2025</w:t>
      </w:r>
      <w:r w:rsidRPr="00F62F58">
        <w:rPr>
          <w:rFonts w:ascii="Times New Roman" w:eastAsia="Times New Roman" w:hAnsi="Times New Roman" w:cs="Times New Roman"/>
          <w:sz w:val="24"/>
          <w:szCs w:val="24"/>
          <w:lang w:eastAsia="en-GB"/>
        </w:rPr>
        <w:t>). Prebiotics, comprising indigestible oligosaccharides and fibres such as inulin, fructo-oligosaccharides, galacto-oligosaccharides and xylo-oligosaccharides, selectively stimulate the growth and activity of beneficial colonic bacteria, and their fermentation generates short-chain fatty acids that lower colonic pH, creating conditions unfavourable to pathogenic organisms while simultaneously supplying an energy substrate to colonocytes (Obayomi et al., 2024). Synbiotic formulations, which combine probiotics with a compatible prebiotic substrate, and the more recently characterised postbiotics and paraprobiotics, comprising inactivated microbial cells or their metabolic by-products, extend this framework further by offering mechanisms of benefit that do not depend on the viability of the administered organism, a property with practical advantages for product stability and shelf life (Li &amp; Luo, 2025). Clinical applications span gastrointestinal disorders, metabolic syndrome, allergic disease and, increasingly, neuropsychiatric conditions studied through the gut-brain axis, although the strain-specificity of probiotic effects means findings cannot be generalised across different microbial species or even different strains within the same species (Ayyash &amp; Liu, 2023). Functional foods incorporating these bioactives, including fortified dairy products, fermented beverages and fibre-enriched staples, provide a practical vehicle for population-level delivery of prebiotic and probiotic benefits outside the clinical supplement context (</w:t>
      </w:r>
      <w:r w:rsidRPr="00F62F58">
        <w:rPr>
          <w:rFonts w:ascii="Times New Roman" w:eastAsia="Times New Roman" w:hAnsi="Times New Roman" w:cs="Times New Roman"/>
          <w:b/>
          <w:bCs/>
          <w:sz w:val="24"/>
          <w:szCs w:val="24"/>
          <w:lang w:eastAsia="en-GB"/>
        </w:rPr>
        <w:t>Kumari et al., 2024</w:t>
      </w:r>
      <w:r w:rsidRPr="00F62F58">
        <w:rPr>
          <w:rFonts w:ascii="Times New Roman" w:eastAsia="Times New Roman" w:hAnsi="Times New Roman" w:cs="Times New Roman"/>
          <w:sz w:val="24"/>
          <w:szCs w:val="24"/>
          <w:lang w:eastAsia="en-GB"/>
        </w:rPr>
        <w:t>). The principal categories and their mechanisms of action are summarised in Table 2.</w:t>
      </w:r>
    </w:p>
    <w:p w14:paraId="20B1F29C"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lastRenderedPageBreak/>
        <w:t>Table 2. Functional roles of probiotics, prebiotics and related microbiome-modulating nutraceuticals</w:t>
      </w:r>
    </w:p>
    <w:tbl>
      <w:tblPr>
        <w:tblStyle w:val="TableGridLight"/>
        <w:tblW w:w="0" w:type="auto"/>
        <w:tblLook w:val="04A0" w:firstRow="1" w:lastRow="0" w:firstColumn="1" w:lastColumn="0" w:noHBand="0" w:noVBand="1"/>
      </w:tblPr>
      <w:tblGrid>
        <w:gridCol w:w="2740"/>
        <w:gridCol w:w="1848"/>
        <w:gridCol w:w="1620"/>
        <w:gridCol w:w="1831"/>
        <w:gridCol w:w="1203"/>
      </w:tblGrid>
      <w:tr w:rsidR="00F62F58" w:rsidRPr="00F62F58" w14:paraId="34800283" w14:textId="77777777" w:rsidTr="00F62F58">
        <w:tc>
          <w:tcPr>
            <w:tcW w:w="0" w:type="auto"/>
            <w:hideMark/>
          </w:tcPr>
          <w:p w14:paraId="65B50351"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Category</w:t>
            </w:r>
          </w:p>
        </w:tc>
        <w:tc>
          <w:tcPr>
            <w:tcW w:w="0" w:type="auto"/>
            <w:hideMark/>
          </w:tcPr>
          <w:p w14:paraId="6C4D208D"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Examples</w:t>
            </w:r>
          </w:p>
        </w:tc>
        <w:tc>
          <w:tcPr>
            <w:tcW w:w="0" w:type="auto"/>
            <w:hideMark/>
          </w:tcPr>
          <w:p w14:paraId="65E6B12A"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Primary mechanism</w:t>
            </w:r>
          </w:p>
        </w:tc>
        <w:tc>
          <w:tcPr>
            <w:tcW w:w="0" w:type="auto"/>
            <w:hideMark/>
          </w:tcPr>
          <w:p w14:paraId="5E27807B"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Health domain affected</w:t>
            </w:r>
          </w:p>
        </w:tc>
        <w:tc>
          <w:tcPr>
            <w:tcW w:w="0" w:type="auto"/>
            <w:hideMark/>
          </w:tcPr>
          <w:p w14:paraId="2C78E1ED"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4108CB43" w14:textId="77777777" w:rsidTr="00F62F58">
        <w:tc>
          <w:tcPr>
            <w:tcW w:w="0" w:type="auto"/>
            <w:hideMark/>
          </w:tcPr>
          <w:p w14:paraId="2DED250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Probiotics</w:t>
            </w:r>
          </w:p>
        </w:tc>
        <w:tc>
          <w:tcPr>
            <w:tcW w:w="0" w:type="auto"/>
            <w:hideMark/>
          </w:tcPr>
          <w:p w14:paraId="7DB20AF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i/>
                <w:iCs/>
                <w:sz w:val="24"/>
                <w:szCs w:val="24"/>
                <w:lang w:eastAsia="en-GB"/>
              </w:rPr>
              <w:t>Lactobacillus</w:t>
            </w:r>
            <w:r w:rsidRPr="00F62F58">
              <w:rPr>
                <w:rFonts w:ascii="Times New Roman" w:eastAsia="Times New Roman" w:hAnsi="Times New Roman" w:cs="Times New Roman"/>
                <w:sz w:val="24"/>
                <w:szCs w:val="24"/>
                <w:lang w:eastAsia="en-GB"/>
              </w:rPr>
              <w:t xml:space="preserve">, </w:t>
            </w:r>
            <w:r w:rsidRPr="00F62F58">
              <w:rPr>
                <w:rFonts w:ascii="Times New Roman" w:eastAsia="Times New Roman" w:hAnsi="Times New Roman" w:cs="Times New Roman"/>
                <w:i/>
                <w:iCs/>
                <w:sz w:val="24"/>
                <w:szCs w:val="24"/>
                <w:lang w:eastAsia="en-GB"/>
              </w:rPr>
              <w:t>Bifidobacterium</w:t>
            </w:r>
            <w:r w:rsidRPr="00F62F58">
              <w:rPr>
                <w:rFonts w:ascii="Times New Roman" w:eastAsia="Times New Roman" w:hAnsi="Times New Roman" w:cs="Times New Roman"/>
                <w:sz w:val="24"/>
                <w:szCs w:val="24"/>
                <w:lang w:eastAsia="en-GB"/>
              </w:rPr>
              <w:t xml:space="preserve"> species</w:t>
            </w:r>
          </w:p>
        </w:tc>
        <w:tc>
          <w:tcPr>
            <w:tcW w:w="0" w:type="auto"/>
            <w:hideMark/>
          </w:tcPr>
          <w:p w14:paraId="325B203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Competitive exclusion; immune modulation</w:t>
            </w:r>
          </w:p>
        </w:tc>
        <w:tc>
          <w:tcPr>
            <w:tcW w:w="0" w:type="auto"/>
            <w:hideMark/>
          </w:tcPr>
          <w:p w14:paraId="6CEE9A7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Gastrointestinal and immune health</w:t>
            </w:r>
          </w:p>
        </w:tc>
        <w:tc>
          <w:tcPr>
            <w:tcW w:w="0" w:type="auto"/>
            <w:hideMark/>
          </w:tcPr>
          <w:p w14:paraId="18A9B17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Pérez Guerra (2025)</w:t>
            </w:r>
            <w:r w:rsidRPr="00F62F58">
              <w:rPr>
                <w:rFonts w:ascii="Times New Roman" w:eastAsia="Times New Roman" w:hAnsi="Times New Roman" w:cs="Times New Roman"/>
                <w:sz w:val="24"/>
                <w:szCs w:val="24"/>
                <w:lang w:eastAsia="en-GB"/>
              </w:rPr>
              <w:t>; Ayyash &amp; Liu (2023)</w:t>
            </w:r>
          </w:p>
        </w:tc>
      </w:tr>
      <w:tr w:rsidR="00F62F58" w:rsidRPr="00F62F58" w14:paraId="1A37D1AD" w14:textId="77777777" w:rsidTr="00F62F58">
        <w:tc>
          <w:tcPr>
            <w:tcW w:w="0" w:type="auto"/>
            <w:hideMark/>
          </w:tcPr>
          <w:p w14:paraId="096A9E5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Prebiotics</w:t>
            </w:r>
          </w:p>
        </w:tc>
        <w:tc>
          <w:tcPr>
            <w:tcW w:w="0" w:type="auto"/>
            <w:hideMark/>
          </w:tcPr>
          <w:p w14:paraId="5A4815C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Inulin, FOS, GOS, XOS</w:t>
            </w:r>
          </w:p>
        </w:tc>
        <w:tc>
          <w:tcPr>
            <w:tcW w:w="0" w:type="auto"/>
            <w:hideMark/>
          </w:tcPr>
          <w:p w14:paraId="1A78BF1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Selective fermentation; SCFA production</w:t>
            </w:r>
          </w:p>
        </w:tc>
        <w:tc>
          <w:tcPr>
            <w:tcW w:w="0" w:type="auto"/>
            <w:hideMark/>
          </w:tcPr>
          <w:p w14:paraId="2547FE5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Gut barrier integrity; metabolic regulation</w:t>
            </w:r>
          </w:p>
        </w:tc>
        <w:tc>
          <w:tcPr>
            <w:tcW w:w="0" w:type="auto"/>
            <w:hideMark/>
          </w:tcPr>
          <w:p w14:paraId="55F45A4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Obayomi et al. (2024)</w:t>
            </w:r>
          </w:p>
        </w:tc>
      </w:tr>
      <w:tr w:rsidR="00F62F58" w:rsidRPr="00F62F58" w14:paraId="2E17C108" w14:textId="77777777" w:rsidTr="00F62F58">
        <w:tc>
          <w:tcPr>
            <w:tcW w:w="0" w:type="auto"/>
            <w:hideMark/>
          </w:tcPr>
          <w:p w14:paraId="6A738DB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Synbiotics</w:t>
            </w:r>
          </w:p>
        </w:tc>
        <w:tc>
          <w:tcPr>
            <w:tcW w:w="0" w:type="auto"/>
            <w:hideMark/>
          </w:tcPr>
          <w:p w14:paraId="6E0FDA2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Combined probiotic–prebiotic formulations</w:t>
            </w:r>
          </w:p>
        </w:tc>
        <w:tc>
          <w:tcPr>
            <w:tcW w:w="0" w:type="auto"/>
            <w:hideMark/>
          </w:tcPr>
          <w:p w14:paraId="7131DB7E"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Synergistic microbiota modulation</w:t>
            </w:r>
          </w:p>
        </w:tc>
        <w:tc>
          <w:tcPr>
            <w:tcW w:w="0" w:type="auto"/>
            <w:hideMark/>
          </w:tcPr>
          <w:p w14:paraId="20BE6763"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Broad gastrointestinal and metabolic benefit</w:t>
            </w:r>
          </w:p>
        </w:tc>
        <w:tc>
          <w:tcPr>
            <w:tcW w:w="0" w:type="auto"/>
            <w:hideMark/>
          </w:tcPr>
          <w:p w14:paraId="4391091F"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 &amp; Luo (2025)</w:t>
            </w:r>
          </w:p>
        </w:tc>
      </w:tr>
      <w:tr w:rsidR="00F62F58" w:rsidRPr="00F62F58" w14:paraId="5EA98873" w14:textId="77777777" w:rsidTr="00F62F58">
        <w:tc>
          <w:tcPr>
            <w:tcW w:w="0" w:type="auto"/>
            <w:hideMark/>
          </w:tcPr>
          <w:p w14:paraId="6055106B"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Postbiotics/paraprobiotics</w:t>
            </w:r>
          </w:p>
        </w:tc>
        <w:tc>
          <w:tcPr>
            <w:tcW w:w="0" w:type="auto"/>
            <w:hideMark/>
          </w:tcPr>
          <w:p w14:paraId="3A63C1C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Inactivated cells, microbial metabolites</w:t>
            </w:r>
          </w:p>
        </w:tc>
        <w:tc>
          <w:tcPr>
            <w:tcW w:w="0" w:type="auto"/>
            <w:hideMark/>
          </w:tcPr>
          <w:p w14:paraId="200D87CC"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Metabolite-mediated signalling independent of viability</w:t>
            </w:r>
          </w:p>
        </w:tc>
        <w:tc>
          <w:tcPr>
            <w:tcW w:w="0" w:type="auto"/>
            <w:hideMark/>
          </w:tcPr>
          <w:p w14:paraId="421F5FCC"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Stability-dependent applications; immune signalling</w:t>
            </w:r>
          </w:p>
        </w:tc>
        <w:tc>
          <w:tcPr>
            <w:tcW w:w="0" w:type="auto"/>
            <w:hideMark/>
          </w:tcPr>
          <w:p w14:paraId="48AAE1E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 &amp; Luo (2025)</w:t>
            </w:r>
          </w:p>
        </w:tc>
      </w:tr>
      <w:tr w:rsidR="00F62F58" w:rsidRPr="00F62F58" w14:paraId="6F8B3BB8" w14:textId="77777777" w:rsidTr="00F62F58">
        <w:tc>
          <w:tcPr>
            <w:tcW w:w="0" w:type="auto"/>
            <w:hideMark/>
          </w:tcPr>
          <w:p w14:paraId="28E497B1"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Functional dairy and fermented foods</w:t>
            </w:r>
          </w:p>
        </w:tc>
        <w:tc>
          <w:tcPr>
            <w:tcW w:w="0" w:type="auto"/>
            <w:hideMark/>
          </w:tcPr>
          <w:p w14:paraId="649C3B1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Fortified yoghurt, kefir</w:t>
            </w:r>
          </w:p>
        </w:tc>
        <w:tc>
          <w:tcPr>
            <w:tcW w:w="0" w:type="auto"/>
            <w:hideMark/>
          </w:tcPr>
          <w:p w14:paraId="5892C5E1"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Delivery vehicle for live cultures and bioactives</w:t>
            </w:r>
          </w:p>
        </w:tc>
        <w:tc>
          <w:tcPr>
            <w:tcW w:w="0" w:type="auto"/>
            <w:hideMark/>
          </w:tcPr>
          <w:p w14:paraId="11BE264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Population-level gut and immune health</w:t>
            </w:r>
          </w:p>
        </w:tc>
        <w:tc>
          <w:tcPr>
            <w:tcW w:w="0" w:type="auto"/>
            <w:hideMark/>
          </w:tcPr>
          <w:p w14:paraId="46CE331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Kumari et al. (2024)</w:t>
            </w:r>
          </w:p>
        </w:tc>
      </w:tr>
    </w:tbl>
    <w:p w14:paraId="4B7EE26D"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8. Nutraceuticals and Immune Function</w:t>
      </w:r>
    </w:p>
    <w:p w14:paraId="5DC14EAE"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Vitamin D occupies a distinctive position among nutraceuticals in that it functions both as a classical nutrient, essential for calcium and phosphate homeostasis, and as a potent immunomodulator acting through nuclear vitamin D receptors expressed across nearly all cells of the innate and adaptive immune system. Systematic review evidence indicates that adequate vitamin D status supports innate antimicrobial defence, partly through upregulation of cathelicidin and defensin production, while also reducing the risk of autoimmune phenomena associated with vitamin D deficiency (Wimalawansa, 2023). Vitamin D additionally influences T-lymphocyte differentiation, favouring regulatory T-cell populations over pro-inflammatory T-helper 17 responses, a mechanism with relevance to autoimmune and allergic disease (Aribi et al., 2023). Despite this substantial mechanistic evidence base, clinical trial data on vitamin D supplementation for the prevention of acute infections and autoimmune disease onset have yielded mixed results, likely reflecting variability in baseline vitamin D status across study populations, since supplementation appears most beneficial in individuals who are frankly deficient rather than those with sufficient circulating 25-hydroxyvitamin D concentrations. Beyond vitamin D, several probiotic strains and dietary polyphenols exert immunomodulatory effects through gut-associated lymphoid tissue signalling, again illustrating the interconnected nature of the mechanisms discussed throughout this review; the gut microbiome functions as a critical intermediary linking dietary nutraceutical intake to systemic immune competence.</w:t>
      </w:r>
    </w:p>
    <w:p w14:paraId="5BF4564E"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lastRenderedPageBreak/>
        <w:t>9. Bioavailability Challenges and Novel Delivery Technologies</w:t>
      </w:r>
    </w:p>
    <w:p w14:paraId="479FDA28"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 recurring limitation across nearly every nutraceutical class discussed in this review is poor oral bioavailability, arising from low aqueous solubility, extensive first-pass metabolism, and rapid systemic clearance. Curcumin exemplifies this problem acutely, with unmodified curcumin undergoing near-complete hepatic glucuronidation and sulfation before reaching meaningful systemic concentrations (Nocito et al., 2021). Nanoencapsulation technologies have emerged as the principal engineering response, employing nanoscale carriers including liposomes, solid lipid nanoparticles, polymeric nanoparticles and nanoemulsions to protect sensitive bioactives from gastrointestinal degradation while enhancing their absorption across the intestinal epithelium (Prieto &amp; Lagaron, 2024). Liposomal and lipid-based nanocarriers have demonstrated improved stability and bioaccessibility for lipophilic compounds including curcumin and certain carotenoids, while biopolymer-based nanoparticles have shown utility in the targeted delivery of peptides and other larger bioactive molecules (Sridhar &amp; Sharma, 2023). Commercial adoption of these technologies has accelerated markedly, with more than eighty nanotechnology-enabled nutraceutical products introduced to market within a single recent year, reflecting genuine industrial confidence in the approach even as independent clinical validation of many specific formulations remains limited (Tan &amp; Abd El-Aty, 2024). Alongside nanoencapsulation, structural modification through medicinal chemistry, as seen with curcumin analogues, and simple co-administration strategies, such as combining curcumin with piperine to inhibit its hepatic glucuronidation, represent complementary approaches to the bioavailability problem that do not require nanotechnology infrastructure. The choice among these strategies in practice depends on cost, regulatory classification and the intended route and setting of administration, and no single technology has yet emerged as universally superior across all nutraceutical classes. Table 3 summarises the principal delivery technologies and the compounds for which they have shown the clearest benefit.</w:t>
      </w:r>
    </w:p>
    <w:p w14:paraId="5A8118FB"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3. Delivery technologies addressing nutraceutical bioavailability limitations</w:t>
      </w:r>
    </w:p>
    <w:tbl>
      <w:tblPr>
        <w:tblStyle w:val="TableGridLight"/>
        <w:tblW w:w="0" w:type="auto"/>
        <w:tblLook w:val="04A0" w:firstRow="1" w:lastRow="0" w:firstColumn="1" w:lastColumn="0" w:noHBand="0" w:noVBand="1"/>
      </w:tblPr>
      <w:tblGrid>
        <w:gridCol w:w="1963"/>
        <w:gridCol w:w="2501"/>
        <w:gridCol w:w="1651"/>
        <w:gridCol w:w="1947"/>
        <w:gridCol w:w="1180"/>
      </w:tblGrid>
      <w:tr w:rsidR="00F62F58" w:rsidRPr="00F62F58" w14:paraId="33095962" w14:textId="77777777" w:rsidTr="00F62F58">
        <w:tc>
          <w:tcPr>
            <w:tcW w:w="0" w:type="auto"/>
            <w:hideMark/>
          </w:tcPr>
          <w:p w14:paraId="25A836F8"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Technology</w:t>
            </w:r>
          </w:p>
        </w:tc>
        <w:tc>
          <w:tcPr>
            <w:tcW w:w="0" w:type="auto"/>
            <w:hideMark/>
          </w:tcPr>
          <w:p w14:paraId="41517D25"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Mechanism of benefit</w:t>
            </w:r>
          </w:p>
        </w:tc>
        <w:tc>
          <w:tcPr>
            <w:tcW w:w="0" w:type="auto"/>
            <w:hideMark/>
          </w:tcPr>
          <w:p w14:paraId="6E3ABEFE"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Compounds most improved</w:t>
            </w:r>
          </w:p>
        </w:tc>
        <w:tc>
          <w:tcPr>
            <w:tcW w:w="0" w:type="auto"/>
            <w:hideMark/>
          </w:tcPr>
          <w:p w14:paraId="5EBE0C36"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Key limitation</w:t>
            </w:r>
          </w:p>
        </w:tc>
        <w:tc>
          <w:tcPr>
            <w:tcW w:w="0" w:type="auto"/>
            <w:hideMark/>
          </w:tcPr>
          <w:p w14:paraId="3BE749DC"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77A6A0BB" w14:textId="77777777" w:rsidTr="00F62F58">
        <w:tc>
          <w:tcPr>
            <w:tcW w:w="0" w:type="auto"/>
            <w:hideMark/>
          </w:tcPr>
          <w:p w14:paraId="08B6E3F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Liposomal encapsulation</w:t>
            </w:r>
          </w:p>
        </w:tc>
        <w:tc>
          <w:tcPr>
            <w:tcW w:w="0" w:type="auto"/>
            <w:hideMark/>
          </w:tcPr>
          <w:p w14:paraId="6B551D2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Protects lipophilic compounds from degradation; enhances membrane permeation</w:t>
            </w:r>
          </w:p>
        </w:tc>
        <w:tc>
          <w:tcPr>
            <w:tcW w:w="0" w:type="auto"/>
            <w:hideMark/>
          </w:tcPr>
          <w:p w14:paraId="3B4C3C8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 carotenoids</w:t>
            </w:r>
          </w:p>
        </w:tc>
        <w:tc>
          <w:tcPr>
            <w:tcW w:w="0" w:type="auto"/>
            <w:hideMark/>
          </w:tcPr>
          <w:p w14:paraId="76BA0AE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Manufacturing cost and scale-up complexity</w:t>
            </w:r>
          </w:p>
        </w:tc>
        <w:tc>
          <w:tcPr>
            <w:tcW w:w="0" w:type="auto"/>
            <w:hideMark/>
          </w:tcPr>
          <w:p w14:paraId="5A40812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Prieto &amp; Lagaron (2024)</w:t>
            </w:r>
          </w:p>
        </w:tc>
      </w:tr>
      <w:tr w:rsidR="00F62F58" w:rsidRPr="00F62F58" w14:paraId="0AEA6302" w14:textId="77777777" w:rsidTr="00F62F58">
        <w:tc>
          <w:tcPr>
            <w:tcW w:w="0" w:type="auto"/>
            <w:hideMark/>
          </w:tcPr>
          <w:p w14:paraId="4E712CA7"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Solid lipid nanoparticles</w:t>
            </w:r>
          </w:p>
        </w:tc>
        <w:tc>
          <w:tcPr>
            <w:tcW w:w="0" w:type="auto"/>
            <w:hideMark/>
          </w:tcPr>
          <w:p w14:paraId="66CAF34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Controlled release; improved gastrointestinal stability</w:t>
            </w:r>
          </w:p>
        </w:tc>
        <w:tc>
          <w:tcPr>
            <w:tcW w:w="0" w:type="auto"/>
            <w:hideMark/>
          </w:tcPr>
          <w:p w14:paraId="12E4119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Fat-soluble vitamins, polyphenols</w:t>
            </w:r>
          </w:p>
        </w:tc>
        <w:tc>
          <w:tcPr>
            <w:tcW w:w="0" w:type="auto"/>
            <w:hideMark/>
          </w:tcPr>
          <w:p w14:paraId="528367B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Variable encapsulation efficiency</w:t>
            </w:r>
          </w:p>
        </w:tc>
        <w:tc>
          <w:tcPr>
            <w:tcW w:w="0" w:type="auto"/>
            <w:hideMark/>
          </w:tcPr>
          <w:p w14:paraId="162E57C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Sridhar &amp; Sharma (2023)</w:t>
            </w:r>
          </w:p>
        </w:tc>
      </w:tr>
      <w:tr w:rsidR="00F62F58" w:rsidRPr="00F62F58" w14:paraId="7D50D405" w14:textId="77777777" w:rsidTr="00F62F58">
        <w:tc>
          <w:tcPr>
            <w:tcW w:w="0" w:type="auto"/>
            <w:hideMark/>
          </w:tcPr>
          <w:p w14:paraId="5CE504E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Nanoemulsions</w:t>
            </w:r>
          </w:p>
        </w:tc>
        <w:tc>
          <w:tcPr>
            <w:tcW w:w="0" w:type="auto"/>
            <w:hideMark/>
          </w:tcPr>
          <w:p w14:paraId="58FA5FE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Increased surface area and solubilisation</w:t>
            </w:r>
          </w:p>
        </w:tc>
        <w:tc>
          <w:tcPr>
            <w:tcW w:w="0" w:type="auto"/>
            <w:hideMark/>
          </w:tcPr>
          <w:p w14:paraId="183DBAB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Quercetin, essential oils</w:t>
            </w:r>
          </w:p>
        </w:tc>
        <w:tc>
          <w:tcPr>
            <w:tcW w:w="0" w:type="auto"/>
            <w:hideMark/>
          </w:tcPr>
          <w:p w14:paraId="133004B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Long-term physical stability concerns</w:t>
            </w:r>
          </w:p>
        </w:tc>
        <w:tc>
          <w:tcPr>
            <w:tcW w:w="0" w:type="auto"/>
            <w:hideMark/>
          </w:tcPr>
          <w:p w14:paraId="343200AE"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Tan &amp; Abd El-Aty (2024)</w:t>
            </w:r>
          </w:p>
        </w:tc>
      </w:tr>
      <w:tr w:rsidR="00F62F58" w:rsidRPr="00F62F58" w14:paraId="18030AEE" w14:textId="77777777" w:rsidTr="00F62F58">
        <w:tc>
          <w:tcPr>
            <w:tcW w:w="0" w:type="auto"/>
            <w:hideMark/>
          </w:tcPr>
          <w:p w14:paraId="20E2C897"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Biopolymer nanoparticles</w:t>
            </w:r>
          </w:p>
        </w:tc>
        <w:tc>
          <w:tcPr>
            <w:tcW w:w="0" w:type="auto"/>
            <w:hideMark/>
          </w:tcPr>
          <w:p w14:paraId="37361D9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Targeted and sustained release</w:t>
            </w:r>
          </w:p>
        </w:tc>
        <w:tc>
          <w:tcPr>
            <w:tcW w:w="0" w:type="auto"/>
            <w:hideMark/>
          </w:tcPr>
          <w:p w14:paraId="321A612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Peptides, probiotics</w:t>
            </w:r>
          </w:p>
        </w:tc>
        <w:tc>
          <w:tcPr>
            <w:tcW w:w="0" w:type="auto"/>
            <w:hideMark/>
          </w:tcPr>
          <w:p w14:paraId="390D1411"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Regulatory classification uncertainty</w:t>
            </w:r>
          </w:p>
        </w:tc>
        <w:tc>
          <w:tcPr>
            <w:tcW w:w="0" w:type="auto"/>
            <w:hideMark/>
          </w:tcPr>
          <w:p w14:paraId="45C7AB4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Prieto &amp; Lagaron (2024)</w:t>
            </w:r>
          </w:p>
        </w:tc>
      </w:tr>
      <w:tr w:rsidR="00F62F58" w:rsidRPr="00F62F58" w14:paraId="52D2E2F7" w14:textId="77777777" w:rsidTr="00F62F58">
        <w:tc>
          <w:tcPr>
            <w:tcW w:w="0" w:type="auto"/>
            <w:hideMark/>
          </w:tcPr>
          <w:p w14:paraId="47C7062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Structural analogues </w:t>
            </w:r>
            <w:r w:rsidRPr="00F62F58">
              <w:rPr>
                <w:rFonts w:ascii="Times New Roman" w:eastAsia="Times New Roman" w:hAnsi="Times New Roman" w:cs="Times New Roman"/>
                <w:sz w:val="24"/>
                <w:szCs w:val="24"/>
                <w:lang w:eastAsia="en-GB"/>
              </w:rPr>
              <w:lastRenderedPageBreak/>
              <w:t>(medicinal chemistry)</w:t>
            </w:r>
          </w:p>
        </w:tc>
        <w:tc>
          <w:tcPr>
            <w:tcW w:w="0" w:type="auto"/>
            <w:hideMark/>
          </w:tcPr>
          <w:p w14:paraId="3944012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 xml:space="preserve">Alters pharmacokinetics at the </w:t>
            </w:r>
            <w:r w:rsidRPr="00F62F58">
              <w:rPr>
                <w:rFonts w:ascii="Times New Roman" w:eastAsia="Times New Roman" w:hAnsi="Times New Roman" w:cs="Times New Roman"/>
                <w:sz w:val="24"/>
                <w:szCs w:val="24"/>
                <w:lang w:eastAsia="en-GB"/>
              </w:rPr>
              <w:lastRenderedPageBreak/>
              <w:t>molecular level</w:t>
            </w:r>
          </w:p>
        </w:tc>
        <w:tc>
          <w:tcPr>
            <w:tcW w:w="0" w:type="auto"/>
            <w:hideMark/>
          </w:tcPr>
          <w:p w14:paraId="00EC053E"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Curcumin derivatives</w:t>
            </w:r>
          </w:p>
        </w:tc>
        <w:tc>
          <w:tcPr>
            <w:tcW w:w="0" w:type="auto"/>
            <w:hideMark/>
          </w:tcPr>
          <w:p w14:paraId="7991BC1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Requires separate safety and </w:t>
            </w:r>
            <w:r w:rsidRPr="00F62F58">
              <w:rPr>
                <w:rFonts w:ascii="Times New Roman" w:eastAsia="Times New Roman" w:hAnsi="Times New Roman" w:cs="Times New Roman"/>
                <w:sz w:val="24"/>
                <w:szCs w:val="24"/>
                <w:lang w:eastAsia="en-GB"/>
              </w:rPr>
              <w:lastRenderedPageBreak/>
              <w:t>efficacy validation</w:t>
            </w:r>
          </w:p>
        </w:tc>
        <w:tc>
          <w:tcPr>
            <w:tcW w:w="0" w:type="auto"/>
            <w:hideMark/>
          </w:tcPr>
          <w:p w14:paraId="66EAA543"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Kaur et al. (2024)</w:t>
            </w:r>
          </w:p>
        </w:tc>
      </w:tr>
    </w:tbl>
    <w:p w14:paraId="7F59FF95"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10. Regulatory Frameworks Governing Nutraceuticals</w:t>
      </w:r>
    </w:p>
    <w:p w14:paraId="3AAEFFE0"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regulatory treatment of nutraceuticals varies substantially across major markets, producing a fragmented global landscape that complicates both international trade and consumer protection. In the United States, nutraceuticals are regulated as dietary supplements under the Dietary Supplement Health and Education Act of 1994, which places the burden of safety demonstration on manufacturers rather than requiring pre-market approval analogous to that required for pharmaceuticals, with the Food and Drug Administration relying predominantly on post-market surveillance (</w:t>
      </w:r>
      <w:r w:rsidRPr="00F62F58">
        <w:rPr>
          <w:rFonts w:ascii="Times New Roman" w:eastAsia="Times New Roman" w:hAnsi="Times New Roman" w:cs="Times New Roman"/>
          <w:b/>
          <w:bCs/>
          <w:sz w:val="24"/>
          <w:szCs w:val="24"/>
          <w:lang w:eastAsia="en-GB"/>
        </w:rPr>
        <w:t>Blaze, 2021</w:t>
      </w:r>
      <w:r w:rsidRPr="00F62F58">
        <w:rPr>
          <w:rFonts w:ascii="Times New Roman" w:eastAsia="Times New Roman" w:hAnsi="Times New Roman" w:cs="Times New Roman"/>
          <w:sz w:val="24"/>
          <w:szCs w:val="24"/>
          <w:lang w:eastAsia="en-GB"/>
        </w:rPr>
        <w:t>). In the European Union, the equivalent products are termed food supplements and fall under the regulatory purview of the European Food Safety Authority, which since 2002 has operated a more centralised system requiring scientific substantiation of health claims prior to their use on product labelling, an approach generally regarded as more stringent than the American model but also criticised for potentially constraining innovation (Santini et al., 2018). India retains the specific term nutraceuticals within its regulatory vocabulary, with the Food Safety and Standards Authority of India overseeing a registration process characterised as comparatively simpler than either the American or European systems (Shan et al., 2025). Beyond these three major jurisdictions, countries including China, Japan, South Korea, Australia and various African nations maintain distinct frameworks reflecting differing traditions of complementary and traditional medicine, with faith-based certification systems such as Kosher and Halal standards adding a further layer of quality assurance relevant to specific consumer populations (Shan et al., 2025). This heterogeneity has direct consequences for consumer safety, since a compound permitted at a given dose in one jurisdiction may be restricted or unregulated elsewhere, and manufacturers seeking multi-market distribution must navigate substantially divergent evidentiary and labelling requirements. Calls for harmonisation have recurred throughout the academic literature for more than a decade, with proposals ranging from mutual recognition agreements to the establishment of an internationally recognised nutraceutical category distinct from both food and pharmaceutical classifications, yet meaningful convergence has thus far proved elusive (Santini et al., 2018). Table 4 compares the principal features of these frameworks.</w:t>
      </w:r>
    </w:p>
    <w:p w14:paraId="669AFAE1"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4. Comparative regulatory frameworks for nutraceuticals across selected jurisdictions</w:t>
      </w:r>
    </w:p>
    <w:tbl>
      <w:tblPr>
        <w:tblStyle w:val="TableGridLight"/>
        <w:tblW w:w="0" w:type="auto"/>
        <w:tblLook w:val="04A0" w:firstRow="1" w:lastRow="0" w:firstColumn="1" w:lastColumn="0" w:noHBand="0" w:noVBand="1"/>
      </w:tblPr>
      <w:tblGrid>
        <w:gridCol w:w="1514"/>
        <w:gridCol w:w="1949"/>
        <w:gridCol w:w="2252"/>
        <w:gridCol w:w="2366"/>
        <w:gridCol w:w="1161"/>
      </w:tblGrid>
      <w:tr w:rsidR="00F62F58" w:rsidRPr="00F62F58" w14:paraId="583053A3" w14:textId="77777777" w:rsidTr="00F62F58">
        <w:tc>
          <w:tcPr>
            <w:tcW w:w="0" w:type="auto"/>
            <w:hideMark/>
          </w:tcPr>
          <w:p w14:paraId="62978704"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Jurisdiction</w:t>
            </w:r>
          </w:p>
        </w:tc>
        <w:tc>
          <w:tcPr>
            <w:tcW w:w="0" w:type="auto"/>
            <w:hideMark/>
          </w:tcPr>
          <w:p w14:paraId="6A239944"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Regulatory term used</w:t>
            </w:r>
          </w:p>
        </w:tc>
        <w:tc>
          <w:tcPr>
            <w:tcW w:w="0" w:type="auto"/>
            <w:hideMark/>
          </w:tcPr>
          <w:p w14:paraId="72BBA65C"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Governing authority</w:t>
            </w:r>
          </w:p>
        </w:tc>
        <w:tc>
          <w:tcPr>
            <w:tcW w:w="0" w:type="auto"/>
            <w:hideMark/>
          </w:tcPr>
          <w:p w14:paraId="23E9FD67"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Pre-market requirement</w:t>
            </w:r>
          </w:p>
        </w:tc>
        <w:tc>
          <w:tcPr>
            <w:tcW w:w="0" w:type="auto"/>
            <w:hideMark/>
          </w:tcPr>
          <w:p w14:paraId="62AB1422"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1AE01FBC" w14:textId="77777777" w:rsidTr="00F62F58">
        <w:tc>
          <w:tcPr>
            <w:tcW w:w="0" w:type="auto"/>
            <w:hideMark/>
          </w:tcPr>
          <w:p w14:paraId="510574A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United States</w:t>
            </w:r>
          </w:p>
        </w:tc>
        <w:tc>
          <w:tcPr>
            <w:tcW w:w="0" w:type="auto"/>
            <w:hideMark/>
          </w:tcPr>
          <w:p w14:paraId="5958D56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Dietary supplement</w:t>
            </w:r>
          </w:p>
        </w:tc>
        <w:tc>
          <w:tcPr>
            <w:tcW w:w="0" w:type="auto"/>
            <w:hideMark/>
          </w:tcPr>
          <w:p w14:paraId="3FFEB23F"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Food and Drug Administration</w:t>
            </w:r>
          </w:p>
        </w:tc>
        <w:tc>
          <w:tcPr>
            <w:tcW w:w="0" w:type="auto"/>
            <w:hideMark/>
          </w:tcPr>
          <w:p w14:paraId="2908E3B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Manufacturer self-certification; post-market surveillance</w:t>
            </w:r>
          </w:p>
        </w:tc>
        <w:tc>
          <w:tcPr>
            <w:tcW w:w="0" w:type="auto"/>
            <w:hideMark/>
          </w:tcPr>
          <w:p w14:paraId="5514D29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Blaze (2021)</w:t>
            </w:r>
          </w:p>
        </w:tc>
      </w:tr>
      <w:tr w:rsidR="00F62F58" w:rsidRPr="00F62F58" w14:paraId="4B73D94B" w14:textId="77777777" w:rsidTr="00F62F58">
        <w:tc>
          <w:tcPr>
            <w:tcW w:w="0" w:type="auto"/>
            <w:hideMark/>
          </w:tcPr>
          <w:p w14:paraId="232E353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European Union</w:t>
            </w:r>
          </w:p>
        </w:tc>
        <w:tc>
          <w:tcPr>
            <w:tcW w:w="0" w:type="auto"/>
            <w:hideMark/>
          </w:tcPr>
          <w:p w14:paraId="3EBBF7C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Food supplement</w:t>
            </w:r>
          </w:p>
        </w:tc>
        <w:tc>
          <w:tcPr>
            <w:tcW w:w="0" w:type="auto"/>
            <w:hideMark/>
          </w:tcPr>
          <w:p w14:paraId="4C1DC97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European Food Safety Authority</w:t>
            </w:r>
          </w:p>
        </w:tc>
        <w:tc>
          <w:tcPr>
            <w:tcW w:w="0" w:type="auto"/>
            <w:hideMark/>
          </w:tcPr>
          <w:p w14:paraId="2DC5AB5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Scientific substantiation of health claims required</w:t>
            </w:r>
          </w:p>
        </w:tc>
        <w:tc>
          <w:tcPr>
            <w:tcW w:w="0" w:type="auto"/>
            <w:hideMark/>
          </w:tcPr>
          <w:p w14:paraId="134B511F"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Santini et al. (2018)</w:t>
            </w:r>
          </w:p>
        </w:tc>
      </w:tr>
      <w:tr w:rsidR="00F62F58" w:rsidRPr="00F62F58" w14:paraId="6E23D003" w14:textId="77777777" w:rsidTr="00F62F58">
        <w:tc>
          <w:tcPr>
            <w:tcW w:w="0" w:type="auto"/>
            <w:hideMark/>
          </w:tcPr>
          <w:p w14:paraId="3663F39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India</w:t>
            </w:r>
          </w:p>
        </w:tc>
        <w:tc>
          <w:tcPr>
            <w:tcW w:w="0" w:type="auto"/>
            <w:hideMark/>
          </w:tcPr>
          <w:p w14:paraId="33844CBC"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Nutraceutical</w:t>
            </w:r>
          </w:p>
        </w:tc>
        <w:tc>
          <w:tcPr>
            <w:tcW w:w="0" w:type="auto"/>
            <w:hideMark/>
          </w:tcPr>
          <w:p w14:paraId="7580853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Food Safety and Standards Authority of India</w:t>
            </w:r>
          </w:p>
        </w:tc>
        <w:tc>
          <w:tcPr>
            <w:tcW w:w="0" w:type="auto"/>
            <w:hideMark/>
          </w:tcPr>
          <w:p w14:paraId="5E835C4E"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Simplified registration process</w:t>
            </w:r>
          </w:p>
        </w:tc>
        <w:tc>
          <w:tcPr>
            <w:tcW w:w="0" w:type="auto"/>
            <w:hideMark/>
          </w:tcPr>
          <w:p w14:paraId="7079078E"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Shan et al. (2025)</w:t>
            </w:r>
          </w:p>
        </w:tc>
      </w:tr>
      <w:tr w:rsidR="00F62F58" w:rsidRPr="00F62F58" w14:paraId="5442A5A4" w14:textId="77777777" w:rsidTr="00F62F58">
        <w:tc>
          <w:tcPr>
            <w:tcW w:w="0" w:type="auto"/>
            <w:hideMark/>
          </w:tcPr>
          <w:p w14:paraId="6EF005F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China</w:t>
            </w:r>
          </w:p>
        </w:tc>
        <w:tc>
          <w:tcPr>
            <w:tcW w:w="0" w:type="auto"/>
            <w:hideMark/>
          </w:tcPr>
          <w:p w14:paraId="0922A157"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Health food</w:t>
            </w:r>
          </w:p>
        </w:tc>
        <w:tc>
          <w:tcPr>
            <w:tcW w:w="0" w:type="auto"/>
            <w:hideMark/>
          </w:tcPr>
          <w:p w14:paraId="109445C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National Medical Products </w:t>
            </w:r>
            <w:r w:rsidRPr="00F62F58">
              <w:rPr>
                <w:rFonts w:ascii="Times New Roman" w:eastAsia="Times New Roman" w:hAnsi="Times New Roman" w:cs="Times New Roman"/>
                <w:sz w:val="24"/>
                <w:szCs w:val="24"/>
                <w:lang w:eastAsia="en-GB"/>
              </w:rPr>
              <w:lastRenderedPageBreak/>
              <w:t>Administration</w:t>
            </w:r>
          </w:p>
        </w:tc>
        <w:tc>
          <w:tcPr>
            <w:tcW w:w="0" w:type="auto"/>
            <w:hideMark/>
          </w:tcPr>
          <w:p w14:paraId="23457521"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 xml:space="preserve">Product registration or filing, depending </w:t>
            </w:r>
            <w:r w:rsidRPr="00F62F58">
              <w:rPr>
                <w:rFonts w:ascii="Times New Roman" w:eastAsia="Times New Roman" w:hAnsi="Times New Roman" w:cs="Times New Roman"/>
                <w:sz w:val="24"/>
                <w:szCs w:val="24"/>
                <w:lang w:eastAsia="en-GB"/>
              </w:rPr>
              <w:lastRenderedPageBreak/>
              <w:t>on category</w:t>
            </w:r>
          </w:p>
        </w:tc>
        <w:tc>
          <w:tcPr>
            <w:tcW w:w="0" w:type="auto"/>
            <w:hideMark/>
          </w:tcPr>
          <w:p w14:paraId="3AAB2F4E"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Shan et al. (2025)</w:t>
            </w:r>
          </w:p>
        </w:tc>
      </w:tr>
      <w:tr w:rsidR="00F62F58" w:rsidRPr="00F62F58" w14:paraId="4CD92CFC" w14:textId="77777777" w:rsidTr="00F62F58">
        <w:tc>
          <w:tcPr>
            <w:tcW w:w="0" w:type="auto"/>
            <w:hideMark/>
          </w:tcPr>
          <w:p w14:paraId="1BD96A6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Australia</w:t>
            </w:r>
          </w:p>
        </w:tc>
        <w:tc>
          <w:tcPr>
            <w:tcW w:w="0" w:type="auto"/>
            <w:hideMark/>
          </w:tcPr>
          <w:p w14:paraId="7ED3EBD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Complementary medicine</w:t>
            </w:r>
          </w:p>
        </w:tc>
        <w:tc>
          <w:tcPr>
            <w:tcW w:w="0" w:type="auto"/>
            <w:hideMark/>
          </w:tcPr>
          <w:p w14:paraId="230BDC6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Therapeutic Goods Administration</w:t>
            </w:r>
          </w:p>
        </w:tc>
        <w:tc>
          <w:tcPr>
            <w:tcW w:w="0" w:type="auto"/>
            <w:hideMark/>
          </w:tcPr>
          <w:p w14:paraId="1912CC3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Listed or registered pathway depending on risk</w:t>
            </w:r>
          </w:p>
        </w:tc>
        <w:tc>
          <w:tcPr>
            <w:tcW w:w="0" w:type="auto"/>
            <w:hideMark/>
          </w:tcPr>
          <w:p w14:paraId="0130EBF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Blaze (2021)</w:t>
            </w:r>
          </w:p>
        </w:tc>
      </w:tr>
    </w:tbl>
    <w:p w14:paraId="429F999D"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11. Safety, Quality Control and Adverse Event Reporting</w:t>
      </w:r>
    </w:p>
    <w:p w14:paraId="7FD4E7B6"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comparatively permissive regulatory posture adopted in several major markets has direct implications for product safety, since dietary supplements and nutraceuticals are not subject to the pre-market efficacy and safety trials required of pharmaceuticals. Adulteration of dietary supplement products with undeclared pharmaceutical agents or prohibited substances has been documented across multiple analytical studies, with reported prevalence estimates varying widely by product category and testing methodology, and weight-loss and sexual-enhancement products appearing disproportionately affected (Jagim et al., 2023). Adverse event reporting systems, such as the United States Food and Drug Administration's Center for Food Safety and Applied Nutrition Adverse Event Reporting System, have identified associations between specific dietary supplement ingredients and serious adverse outcomes including cardiac arrhythmia, hepatotoxicity and acute renal injury, although underreporting is widely acknowledged to limit the completeness of these datasets (Costello et al., 2023). Structural weaknesses in the post-market surveillance model, including the absence of mandatory pre-market safety testing and reliance on voluntary reporting by consumers and clinicians, have been identified as contributing factors to the persistence of preventable adverse events (Li &amp; Wertheimer, 2023). These safety considerations are not uniform across nutraceutical classes: well-characterised compounds such as vitamin D and omega-3 fatty acids, administered at physiologically appropriate doses, carry a favourable safety profile supported by decades of clinical use, whereas concentrated botanical extracts with less extensive human safety data warrant greater caution, particularly in populations receiving concurrent pharmacological therapy, given the potential for herb-drug interactions affecting hepatic metabolising enzymes. Clinicians and pharmacists are therefore positioned as important intermediaries in guiding safe nutraceutical use, particularly since patients frequently initiate supplement use without medical consultation despite the availability of professional guidance.</w:t>
      </w:r>
    </w:p>
    <w:p w14:paraId="25CA1C7E"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12. Personalised and Precision Nutrition</w:t>
      </w:r>
    </w:p>
    <w:p w14:paraId="55B3CC7D"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trajectory of nutraceutical science is increasingly oriented toward individualisation, reflecting recognition that genetic, metabolic and microbiome variation among individuals substantially modifies the response to any given dietary bioactive. Personalised nutrition applies genomic, metabolomic and microbiome data to tailor dietary and nutraceutical recommendations to the individual, moving beyond the population-level guidance that has historically characterised nutritional science (Bremer, 2025). The International Society of Nutrigenetics and Nutrigenomics has articulated a tiered framework distinguishing stratified nutrition, which targets defined population subgroups; individualised nutrition, which incorporates lifestyle and biochemical markers; and genotype-directed nutrition, which integrates an individual's genetic profile to generate fully personalised recommendations (</w:t>
      </w:r>
      <w:r w:rsidRPr="00F62F58">
        <w:rPr>
          <w:rFonts w:ascii="Times New Roman" w:eastAsia="Times New Roman" w:hAnsi="Times New Roman" w:cs="Times New Roman"/>
          <w:b/>
          <w:bCs/>
          <w:sz w:val="24"/>
          <w:szCs w:val="24"/>
          <w:lang w:eastAsia="en-GB"/>
        </w:rPr>
        <w:t>Yoon et al., 2024</w:t>
      </w:r>
      <w:r w:rsidRPr="00F62F58">
        <w:rPr>
          <w:rFonts w:ascii="Times New Roman" w:eastAsia="Times New Roman" w:hAnsi="Times New Roman" w:cs="Times New Roman"/>
          <w:sz w:val="24"/>
          <w:szCs w:val="24"/>
          <w:lang w:eastAsia="en-GB"/>
        </w:rPr>
        <w:t>). Gene-diet interaction studies have identified specific genetic variants that modify individual responses to dietary fatty acid composition and polygenic obesity risk, providing a mechanistic foundation for genotype-informed dietary customisation, although the translation of these findings into validated, clinically actionable recommendations remains at an early stage (</w:t>
      </w:r>
      <w:r w:rsidRPr="00F62F58">
        <w:rPr>
          <w:rFonts w:ascii="Times New Roman" w:eastAsia="Times New Roman" w:hAnsi="Times New Roman" w:cs="Times New Roman"/>
          <w:b/>
          <w:bCs/>
          <w:sz w:val="24"/>
          <w:szCs w:val="24"/>
          <w:lang w:eastAsia="en-GB"/>
        </w:rPr>
        <w:t>Yoon et al., 2024</w:t>
      </w:r>
      <w:r w:rsidRPr="00F62F58">
        <w:rPr>
          <w:rFonts w:ascii="Times New Roman" w:eastAsia="Times New Roman" w:hAnsi="Times New Roman" w:cs="Times New Roman"/>
          <w:sz w:val="24"/>
          <w:szCs w:val="24"/>
          <w:lang w:eastAsia="en-GB"/>
        </w:rPr>
        <w:t xml:space="preserve">). The regulatory framework for personalised </w:t>
      </w:r>
      <w:r w:rsidRPr="00F62F58">
        <w:rPr>
          <w:rFonts w:ascii="Times New Roman" w:eastAsia="Times New Roman" w:hAnsi="Times New Roman" w:cs="Times New Roman"/>
          <w:sz w:val="24"/>
          <w:szCs w:val="24"/>
          <w:lang w:eastAsia="en-GB"/>
        </w:rPr>
        <w:lastRenderedPageBreak/>
        <w:t>nutrition products remains underdeveloped relative to the pace of scientific advancement, with existing dietary supplement and food regulations not fully anticipating products whose formulation is contingent on an individual's genetic or microbiome profile, a gap that regulatory bodies including the National Institutes of Health have begun to address through dedicated research initiatives (Bremer, 2025). The convergence of personalised nutrition with the nanoencapsulation and delivery technologies discussed in Section 9 suggests a plausible future direction in which individually tailored nutraceutical formulations, optimised for both genetic responsiveness and pharmacokinetic delivery, become technically feasible, even if their economic and regulatory viability at population scale remains uncertain. Table 5 outlines the recognised tiers of personalisation and their implications for nutraceutical practice.</w:t>
      </w:r>
    </w:p>
    <w:p w14:paraId="6DB8B285" w14:textId="77777777" w:rsidR="00F62F58" w:rsidRPr="00F62F58" w:rsidRDefault="00F62F58" w:rsidP="00F62F58">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5. Tiers of personalised and precision nutrition and their nutraceutical implications</w:t>
      </w:r>
    </w:p>
    <w:tbl>
      <w:tblPr>
        <w:tblStyle w:val="TableGridLight"/>
        <w:tblW w:w="0" w:type="auto"/>
        <w:tblLook w:val="04A0" w:firstRow="1" w:lastRow="0" w:firstColumn="1" w:lastColumn="0" w:noHBand="0" w:noVBand="1"/>
      </w:tblPr>
      <w:tblGrid>
        <w:gridCol w:w="1767"/>
        <w:gridCol w:w="2451"/>
        <w:gridCol w:w="2370"/>
        <w:gridCol w:w="1606"/>
        <w:gridCol w:w="1048"/>
      </w:tblGrid>
      <w:tr w:rsidR="00F62F58" w:rsidRPr="00F62F58" w14:paraId="3C21F17E" w14:textId="77777777" w:rsidTr="00F62F58">
        <w:tc>
          <w:tcPr>
            <w:tcW w:w="0" w:type="auto"/>
            <w:hideMark/>
          </w:tcPr>
          <w:p w14:paraId="61A593B9"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Tier</w:t>
            </w:r>
          </w:p>
        </w:tc>
        <w:tc>
          <w:tcPr>
            <w:tcW w:w="0" w:type="auto"/>
            <w:hideMark/>
          </w:tcPr>
          <w:p w14:paraId="28210058"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Basis for recommendation</w:t>
            </w:r>
          </w:p>
        </w:tc>
        <w:tc>
          <w:tcPr>
            <w:tcW w:w="0" w:type="auto"/>
            <w:hideMark/>
          </w:tcPr>
          <w:p w14:paraId="1516E52C"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Example application</w:t>
            </w:r>
          </w:p>
        </w:tc>
        <w:tc>
          <w:tcPr>
            <w:tcW w:w="0" w:type="auto"/>
            <w:hideMark/>
          </w:tcPr>
          <w:p w14:paraId="2A627B1D"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Current maturity</w:t>
            </w:r>
          </w:p>
        </w:tc>
        <w:tc>
          <w:tcPr>
            <w:tcW w:w="0" w:type="auto"/>
            <w:hideMark/>
          </w:tcPr>
          <w:p w14:paraId="1F19CEDF" w14:textId="77777777" w:rsidR="00F62F58" w:rsidRPr="00F62F58" w:rsidRDefault="00F62F58" w:rsidP="00F62F58">
            <w:pPr>
              <w:jc w:val="center"/>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0AC8C27B" w14:textId="77777777" w:rsidTr="00F62F58">
        <w:tc>
          <w:tcPr>
            <w:tcW w:w="0" w:type="auto"/>
            <w:hideMark/>
          </w:tcPr>
          <w:p w14:paraId="7D3A364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Stratified nutrition</w:t>
            </w:r>
          </w:p>
        </w:tc>
        <w:tc>
          <w:tcPr>
            <w:tcW w:w="0" w:type="auto"/>
            <w:hideMark/>
          </w:tcPr>
          <w:p w14:paraId="3D40406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Population subgroup characteristics (age, sex, socioeconomic status)</w:t>
            </w:r>
          </w:p>
        </w:tc>
        <w:tc>
          <w:tcPr>
            <w:tcW w:w="0" w:type="auto"/>
            <w:hideMark/>
          </w:tcPr>
          <w:p w14:paraId="64F32201"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Age-specific vitamin D dosing guidance</w:t>
            </w:r>
          </w:p>
        </w:tc>
        <w:tc>
          <w:tcPr>
            <w:tcW w:w="0" w:type="auto"/>
            <w:hideMark/>
          </w:tcPr>
          <w:p w14:paraId="5E6C6CDC"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Well established</w:t>
            </w:r>
          </w:p>
        </w:tc>
        <w:tc>
          <w:tcPr>
            <w:tcW w:w="0" w:type="auto"/>
            <w:hideMark/>
          </w:tcPr>
          <w:p w14:paraId="00990E5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Yoon et al. (2024)</w:t>
            </w:r>
          </w:p>
        </w:tc>
      </w:tr>
      <w:tr w:rsidR="00F62F58" w:rsidRPr="00F62F58" w14:paraId="51F8561F" w14:textId="77777777" w:rsidTr="00F62F58">
        <w:tc>
          <w:tcPr>
            <w:tcW w:w="0" w:type="auto"/>
            <w:hideMark/>
          </w:tcPr>
          <w:p w14:paraId="52D9A11B"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Individualised nutrition</w:t>
            </w:r>
          </w:p>
        </w:tc>
        <w:tc>
          <w:tcPr>
            <w:tcW w:w="0" w:type="auto"/>
            <w:hideMark/>
          </w:tcPr>
          <w:p w14:paraId="0206658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Lifestyle, biochemical and metabolic markers</w:t>
            </w:r>
          </w:p>
        </w:tc>
        <w:tc>
          <w:tcPr>
            <w:tcW w:w="0" w:type="auto"/>
            <w:hideMark/>
          </w:tcPr>
          <w:p w14:paraId="4A71F6F6"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Tailoring omega-3 dose to baseline omega-3 index</w:t>
            </w:r>
          </w:p>
        </w:tc>
        <w:tc>
          <w:tcPr>
            <w:tcW w:w="0" w:type="auto"/>
            <w:hideMark/>
          </w:tcPr>
          <w:p w14:paraId="111C0C12"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Moderately established</w:t>
            </w:r>
          </w:p>
        </w:tc>
        <w:tc>
          <w:tcPr>
            <w:tcW w:w="0" w:type="auto"/>
            <w:hideMark/>
          </w:tcPr>
          <w:p w14:paraId="7C07CAB4"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Bremer (2025)</w:t>
            </w:r>
          </w:p>
        </w:tc>
      </w:tr>
      <w:tr w:rsidR="00F62F58" w:rsidRPr="00F62F58" w14:paraId="25594021" w14:textId="77777777" w:rsidTr="00F62F58">
        <w:tc>
          <w:tcPr>
            <w:tcW w:w="0" w:type="auto"/>
            <w:hideMark/>
          </w:tcPr>
          <w:p w14:paraId="3F0CD17B"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Genotype-directed nutrition</w:t>
            </w:r>
          </w:p>
        </w:tc>
        <w:tc>
          <w:tcPr>
            <w:tcW w:w="0" w:type="auto"/>
            <w:hideMark/>
          </w:tcPr>
          <w:p w14:paraId="69CD3CF0"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Genetic variant profiling</w:t>
            </w:r>
          </w:p>
        </w:tc>
        <w:tc>
          <w:tcPr>
            <w:tcW w:w="0" w:type="auto"/>
            <w:hideMark/>
          </w:tcPr>
          <w:p w14:paraId="01A7BA8D"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FADS1/ELOVL2-informed omega-3 recommendations</w:t>
            </w:r>
          </w:p>
        </w:tc>
        <w:tc>
          <w:tcPr>
            <w:tcW w:w="0" w:type="auto"/>
            <w:hideMark/>
          </w:tcPr>
          <w:p w14:paraId="1AAC7443"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Emerging</w:t>
            </w:r>
          </w:p>
        </w:tc>
        <w:tc>
          <w:tcPr>
            <w:tcW w:w="0" w:type="auto"/>
            <w:hideMark/>
          </w:tcPr>
          <w:p w14:paraId="64F4FB4A"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Yoon et al. (2024)</w:t>
            </w:r>
          </w:p>
        </w:tc>
      </w:tr>
      <w:tr w:rsidR="00F62F58" w:rsidRPr="00F62F58" w14:paraId="721242DD" w14:textId="77777777" w:rsidTr="00F62F58">
        <w:tc>
          <w:tcPr>
            <w:tcW w:w="0" w:type="auto"/>
            <w:hideMark/>
          </w:tcPr>
          <w:p w14:paraId="6BFE05E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Multi-omics integrated nutrition</w:t>
            </w:r>
          </w:p>
        </w:tc>
        <w:tc>
          <w:tcPr>
            <w:tcW w:w="0" w:type="auto"/>
            <w:hideMark/>
          </w:tcPr>
          <w:p w14:paraId="0B357FE8"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Combined genomic, metabolomic and microbiome data</w:t>
            </w:r>
          </w:p>
        </w:tc>
        <w:tc>
          <w:tcPr>
            <w:tcW w:w="0" w:type="auto"/>
            <w:hideMark/>
          </w:tcPr>
          <w:p w14:paraId="1E78AD0B"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Machine learning-based dietary response prediction</w:t>
            </w:r>
          </w:p>
        </w:tc>
        <w:tc>
          <w:tcPr>
            <w:tcW w:w="0" w:type="auto"/>
            <w:hideMark/>
          </w:tcPr>
          <w:p w14:paraId="16933699"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Experimental</w:t>
            </w:r>
          </w:p>
        </w:tc>
        <w:tc>
          <w:tcPr>
            <w:tcW w:w="0" w:type="auto"/>
            <w:hideMark/>
          </w:tcPr>
          <w:p w14:paraId="28A23685" w14:textId="77777777" w:rsidR="00F62F58" w:rsidRPr="00F62F58" w:rsidRDefault="00F62F58" w:rsidP="00F62F58">
            <w:pPr>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Bremer (2025)</w:t>
            </w:r>
          </w:p>
        </w:tc>
      </w:tr>
    </w:tbl>
    <w:p w14:paraId="419BFB1E"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13. Future Directions</w:t>
      </w:r>
    </w:p>
    <w:p w14:paraId="17FD77DB"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Several trajectories are likely to shape the next phase of nutraceutical research and application. Advances in nanotechnology-enabled delivery are expected to continue addressing the bioavailability limitations that have constrained the clinical translation of otherwise promising compounds such as curcumin and specific polyphenols, with lipid- and biopolymer-based carriers moving from laboratory demonstration toward validated commercial formulations supported by rigorous pharmacokinetic and clinical trial data. Integration of multi-omics technologies, encompassing genomics, metabolomics and microbiome sequencing, into personalised nutrition platforms is likely to accelerate, provided that computational models achieve sufficient predictive validity and regulatory frameworks evolve to accommodate individually tailored products. Harmonisation of international regulatory standards, while repeatedly called for over more than a decade, will require sustained diplomatic and scientific coordination among major regulatory bodies, and near-term progress is more plausible through mutual recognition arrangements between individual jurisdictions than through a single unified global framework. Greater methodological rigour in clinical trials of nutraceuticals, including larger sample sizes, longer follow-up durations, and standardised reporting of formulation, dose and bioavailability characteristics, would substantially strengthen the evidentiary basis for clinical recommendations and reduce the </w:t>
      </w:r>
      <w:r w:rsidRPr="00F62F58">
        <w:rPr>
          <w:rFonts w:ascii="Times New Roman" w:eastAsia="Times New Roman" w:hAnsi="Times New Roman" w:cs="Times New Roman"/>
          <w:sz w:val="24"/>
          <w:szCs w:val="24"/>
          <w:lang w:eastAsia="en-GB"/>
        </w:rPr>
        <w:lastRenderedPageBreak/>
        <w:t>heterogeneity currently limiting meta-analytic synthesis. Finally, closer integration between nutraceutical research and mainstream clinical pharmacology, including systematic characterisation of herb-drug and supplement-drug interactions, would better equip prescribing clinicians to counsel patients on the safe and effective combination of nutraceuticals with conventional pharmacotherapy.</w:t>
      </w:r>
    </w:p>
    <w:p w14:paraId="71EBCABF"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14. Conclusions</w:t>
      </w:r>
    </w:p>
    <w:p w14:paraId="7DCDF872" w14:textId="7777777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Nutraceuticals have progressed from a loosely defined wellness category into an area of substantive scientific and clinical interest, supported by a growing body of mechanistic and, in some cases, clinical trial evidence spanning cardiovascular, metabolic, oncological, immunological and gastrointestinal health domains. Polyphenols, omega-3 fatty acids, curcuminoids, berberine, probiotics, prebiotics and vitamin D each demonstrate biologically plausible and, for several compounds, clinically measurable benefit when used appropriately, most often as adjuncts to rather than replacements for conventional medical therapy. Persistent challenges remain, particularly the poor oral bioavailability of many plant-derived bioactives, the regulatory fragmentation that produces inconsistent quality and safety standards across global markets, and the comparative scarcity of large, well-controlled clinical trials relative to the volume of preclinical and observational evidence. Emerging nanoencapsulation technologies and the developing field of personalised nutrition offer credible pathways toward addressing these limitations, though their full clinical and commercial maturation will require continued investment in rigorous trial methodology and coordinated regulatory reform. On balance, the evidence supports a measured but genuine role for nutraceuticals within modern preventive and integrative healthcare, contingent on continued scientific scrutiny, transparent product quality assurance, and informed clinical guidance for consumers.</w:t>
      </w:r>
    </w:p>
    <w:p w14:paraId="61C11F61"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15. Limitations</w:t>
      </w:r>
    </w:p>
    <w:p w14:paraId="48DDB0B8" w14:textId="77777777" w:rsid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This review is subject to several limitations inherent to its narrative rather than systematic methodology, including the potential for selection bias in the studies chosen for discussion and the absence of a formal risk-of-bias assessment applied uniformly across the cited literature. The restriction to English-language sources may have excluded relevant evidence published in other languages, particularly research emerging from traditional medicine systems in non-English-speaking regions. The rapidly evolving nature of the regulatory landscape means that specific regulatory details, particularly those relating to personalised nutrition products and novel nanotechnology-based formulations, may change subsequent to publication. Finally, the heterogeneity of dosing, formulation and outcome measures across the clinical studies discussed constrains direct comparison between compounds and disease contexts, and readers should interpret the synthesised conclusions as indicative of general trends in the evidence base rather than as precise, universally applicable clinical guidance.</w:t>
      </w:r>
    </w:p>
    <w:p w14:paraId="3920F4D4" w14:textId="77777777" w:rsidR="004B0DFA" w:rsidRPr="000839CE" w:rsidRDefault="004B0DFA" w:rsidP="004B0DF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05D4195" w14:textId="77777777" w:rsidR="004B0DFA" w:rsidRPr="000839CE" w:rsidRDefault="004B0DFA" w:rsidP="004B0DFA">
      <w:pPr>
        <w:spacing w:after="0" w:line="240" w:lineRule="auto"/>
        <w:rPr>
          <w:rFonts w:ascii="Times New Roman" w:hAnsi="Times New Roman" w:cs="Times New Roman"/>
        </w:rPr>
      </w:pPr>
    </w:p>
    <w:p w14:paraId="54A9BF6E" w14:textId="77777777" w:rsidR="004B0DFA" w:rsidRPr="000839CE" w:rsidRDefault="004B0DFA" w:rsidP="004B0DFA">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w:t>
      </w:r>
      <w:r w:rsidRPr="00C56790">
        <w:rPr>
          <w:rFonts w:ascii="Times New Roman" w:hAnsi="Times New Roman" w:cs="Times New Roman"/>
        </w:rPr>
        <w:lastRenderedPageBreak/>
        <w:t>revised, verified, and approved by the author(s). The author(s) accept full responsibility for the accuracy, integrity, and final content of the manuscript.</w:t>
      </w:r>
    </w:p>
    <w:p w14:paraId="06F9D304" w14:textId="77777777" w:rsidR="004B0DFA" w:rsidRPr="00F62F58" w:rsidRDefault="004B0DFA" w:rsidP="00F62F58">
      <w:pPr>
        <w:spacing w:before="100" w:beforeAutospacing="1" w:after="100" w:afterAutospacing="1" w:line="240" w:lineRule="auto"/>
        <w:rPr>
          <w:rFonts w:ascii="Times New Roman" w:eastAsia="Times New Roman" w:hAnsi="Times New Roman" w:cs="Times New Roman"/>
          <w:sz w:val="24"/>
          <w:szCs w:val="24"/>
          <w:lang w:eastAsia="en-GB"/>
        </w:rPr>
      </w:pPr>
    </w:p>
    <w:p w14:paraId="7BD14C92" w14:textId="77777777" w:rsidR="00F62F58" w:rsidRPr="00F62F58" w:rsidRDefault="00F62F58" w:rsidP="00F62F5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References</w:t>
      </w:r>
    </w:p>
    <w:p w14:paraId="2773730E" w14:textId="08989BB5"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Aribi, M., Mennechet, F. J. D., &amp; Touil-Boukoffa, C. (2023). Editorial: The role of vitamin D as an immunomodulator. </w:t>
      </w:r>
      <w:r w:rsidRPr="00F62F58">
        <w:rPr>
          <w:rFonts w:ascii="Times New Roman" w:eastAsia="Times New Roman" w:hAnsi="Times New Roman" w:cs="Times New Roman"/>
          <w:i/>
          <w:iCs/>
          <w:sz w:val="24"/>
          <w:szCs w:val="24"/>
          <w:lang w:eastAsia="en-GB"/>
        </w:rPr>
        <w:t>Frontiers in Immunology, 14</w:t>
      </w:r>
      <w:r w:rsidRPr="00F62F58">
        <w:rPr>
          <w:rFonts w:ascii="Times New Roman" w:eastAsia="Times New Roman" w:hAnsi="Times New Roman" w:cs="Times New Roman"/>
          <w:sz w:val="24"/>
          <w:szCs w:val="24"/>
          <w:lang w:eastAsia="en-GB"/>
        </w:rPr>
        <w:t xml:space="preserve">, 1186635. </w:t>
      </w:r>
      <w:r w:rsidRPr="00F62F58">
        <w:rPr>
          <w:rFonts w:ascii="Times New Roman" w:eastAsia="Times New Roman" w:hAnsi="Times New Roman" w:cs="Times New Roman"/>
          <w:color w:val="0000FF"/>
          <w:sz w:val="24"/>
          <w:szCs w:val="24"/>
          <w:u w:val="single"/>
          <w:lang w:eastAsia="en-GB"/>
        </w:rPr>
        <w:t>https://doi.org/10.3389/fimmu.2023.1186635</w:t>
      </w:r>
    </w:p>
    <w:p w14:paraId="131196DD" w14:textId="114D31B6"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Arshad, M. T., Ali, M. K. M., Maqsood, S., Ikram, A., Hossain, M. S., Aljameel, A. I., Al-Farga, A., &amp; Gnedeka, K. T. (2025). Dietary phytochemicals in cardiovascular disease prevention and management: A comprehensive review. </w:t>
      </w:r>
      <w:r w:rsidRPr="00F62F58">
        <w:rPr>
          <w:rFonts w:ascii="Times New Roman" w:eastAsia="Times New Roman" w:hAnsi="Times New Roman" w:cs="Times New Roman"/>
          <w:i/>
          <w:iCs/>
          <w:sz w:val="24"/>
          <w:szCs w:val="24"/>
          <w:lang w:eastAsia="en-GB"/>
        </w:rPr>
        <w:t>Food Science &amp; Nutrition, 13</w:t>
      </w:r>
      <w:r w:rsidRPr="00F62F58">
        <w:rPr>
          <w:rFonts w:ascii="Times New Roman" w:eastAsia="Times New Roman" w:hAnsi="Times New Roman" w:cs="Times New Roman"/>
          <w:sz w:val="24"/>
          <w:szCs w:val="24"/>
          <w:lang w:eastAsia="en-GB"/>
        </w:rPr>
        <w:t xml:space="preserve">(9), e70872. </w:t>
      </w:r>
      <w:r w:rsidRPr="00F62F58">
        <w:rPr>
          <w:rFonts w:ascii="Times New Roman" w:eastAsia="Times New Roman" w:hAnsi="Times New Roman" w:cs="Times New Roman"/>
          <w:color w:val="0000FF"/>
          <w:sz w:val="24"/>
          <w:szCs w:val="24"/>
          <w:u w:val="single"/>
          <w:lang w:eastAsia="en-GB"/>
        </w:rPr>
        <w:t>https://doi.org/10.1002/fsn3.70872</w:t>
      </w:r>
    </w:p>
    <w:p w14:paraId="24D5474C" w14:textId="0CE32203"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Ayyash, M., &amp; Liu, S.-Q. (2023). Special issue "Probiotics, prebiotics and functional foods: Health benefits and biosafety." </w:t>
      </w:r>
      <w:r w:rsidRPr="00F62F58">
        <w:rPr>
          <w:rFonts w:ascii="Times New Roman" w:eastAsia="Times New Roman" w:hAnsi="Times New Roman" w:cs="Times New Roman"/>
          <w:i/>
          <w:iCs/>
          <w:sz w:val="24"/>
          <w:szCs w:val="24"/>
          <w:lang w:eastAsia="en-GB"/>
        </w:rPr>
        <w:t>Microorganisms, 11</w:t>
      </w:r>
      <w:r w:rsidRPr="00F62F58">
        <w:rPr>
          <w:rFonts w:ascii="Times New Roman" w:eastAsia="Times New Roman" w:hAnsi="Times New Roman" w:cs="Times New Roman"/>
          <w:sz w:val="24"/>
          <w:szCs w:val="24"/>
          <w:lang w:eastAsia="en-GB"/>
        </w:rPr>
        <w:t xml:space="preserve">(5), 1218. </w:t>
      </w:r>
      <w:r w:rsidRPr="00F62F58">
        <w:rPr>
          <w:rFonts w:ascii="Times New Roman" w:eastAsia="Times New Roman" w:hAnsi="Times New Roman" w:cs="Times New Roman"/>
          <w:color w:val="0000FF"/>
          <w:sz w:val="24"/>
          <w:szCs w:val="24"/>
          <w:u w:val="single"/>
          <w:lang w:eastAsia="en-GB"/>
        </w:rPr>
        <w:t>https://doi.org/10.3390/microorganisms11051218</w:t>
      </w:r>
    </w:p>
    <w:p w14:paraId="251CEC21" w14:textId="56D2C35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Blaze, J. (2021). A comparison of current regulatory frameworks for nutraceuticals in Australia, Canada, Japan, and the United States. </w:t>
      </w:r>
      <w:r w:rsidRPr="00F62F58">
        <w:rPr>
          <w:rFonts w:ascii="Times New Roman" w:eastAsia="Times New Roman" w:hAnsi="Times New Roman" w:cs="Times New Roman"/>
          <w:i/>
          <w:iCs/>
          <w:sz w:val="24"/>
          <w:szCs w:val="24"/>
          <w:lang w:eastAsia="en-GB"/>
        </w:rPr>
        <w:t>Innovations in Pharmacy, 12</w:t>
      </w:r>
      <w:r w:rsidRPr="00F62F58">
        <w:rPr>
          <w:rFonts w:ascii="Times New Roman" w:eastAsia="Times New Roman" w:hAnsi="Times New Roman" w:cs="Times New Roman"/>
          <w:sz w:val="24"/>
          <w:szCs w:val="24"/>
          <w:lang w:eastAsia="en-GB"/>
        </w:rPr>
        <w:t xml:space="preserve">(2). </w:t>
      </w:r>
      <w:r w:rsidRPr="00F62F58">
        <w:rPr>
          <w:rFonts w:ascii="Times New Roman" w:eastAsia="Times New Roman" w:hAnsi="Times New Roman" w:cs="Times New Roman"/>
          <w:color w:val="0000FF"/>
          <w:sz w:val="24"/>
          <w:szCs w:val="24"/>
          <w:u w:val="single"/>
          <w:lang w:eastAsia="en-GB"/>
        </w:rPr>
        <w:t>https://doi.org/10.24926/iip.v12i2.3694</w:t>
      </w:r>
    </w:p>
    <w:p w14:paraId="619B6655" w14:textId="0CE4F7F8"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Bremer, A. A. (2025). Personalized nutrition and the regulatory framework – moving forward. </w:t>
      </w:r>
      <w:r w:rsidRPr="00F62F58">
        <w:rPr>
          <w:rFonts w:ascii="Times New Roman" w:eastAsia="Times New Roman" w:hAnsi="Times New Roman" w:cs="Times New Roman"/>
          <w:i/>
          <w:iCs/>
          <w:sz w:val="24"/>
          <w:szCs w:val="24"/>
          <w:lang w:eastAsia="en-GB"/>
        </w:rPr>
        <w:t>Advances in Nutrition, 16</w:t>
      </w:r>
      <w:r w:rsidRPr="00F62F58">
        <w:rPr>
          <w:rFonts w:ascii="Times New Roman" w:eastAsia="Times New Roman" w:hAnsi="Times New Roman" w:cs="Times New Roman"/>
          <w:sz w:val="24"/>
          <w:szCs w:val="24"/>
          <w:lang w:eastAsia="en-GB"/>
        </w:rPr>
        <w:t xml:space="preserve">(3), 100383. </w:t>
      </w:r>
      <w:r w:rsidRPr="00F62F58">
        <w:rPr>
          <w:rFonts w:ascii="Times New Roman" w:eastAsia="Times New Roman" w:hAnsi="Times New Roman" w:cs="Times New Roman"/>
          <w:color w:val="0000FF"/>
          <w:sz w:val="24"/>
          <w:szCs w:val="24"/>
          <w:u w:val="single"/>
          <w:lang w:eastAsia="en-GB"/>
        </w:rPr>
        <w:t>https://doi.org/10.1016/j.advnut.2025.100383</w:t>
      </w:r>
    </w:p>
    <w:p w14:paraId="21B1BB80" w14:textId="71F70932"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Cortez-Navarrete, M., Pérez-Rubio, K. G., &amp; Escobedo-Gutiérrez, M. de J. (2023). Role of fenugreek, cinnamon, </w:t>
      </w:r>
      <w:r w:rsidRPr="00F62F58">
        <w:rPr>
          <w:rFonts w:ascii="Times New Roman" w:eastAsia="Times New Roman" w:hAnsi="Times New Roman" w:cs="Times New Roman"/>
          <w:i/>
          <w:iCs/>
          <w:sz w:val="24"/>
          <w:szCs w:val="24"/>
          <w:lang w:eastAsia="en-GB"/>
        </w:rPr>
        <w:t>Curcuma longa</w:t>
      </w:r>
      <w:r w:rsidRPr="00F62F58">
        <w:rPr>
          <w:rFonts w:ascii="Times New Roman" w:eastAsia="Times New Roman" w:hAnsi="Times New Roman" w:cs="Times New Roman"/>
          <w:sz w:val="24"/>
          <w:szCs w:val="24"/>
          <w:lang w:eastAsia="en-GB"/>
        </w:rPr>
        <w:t xml:space="preserve">, berberine and </w:t>
      </w:r>
      <w:r w:rsidRPr="00F62F58">
        <w:rPr>
          <w:rFonts w:ascii="Times New Roman" w:eastAsia="Times New Roman" w:hAnsi="Times New Roman" w:cs="Times New Roman"/>
          <w:i/>
          <w:iCs/>
          <w:sz w:val="24"/>
          <w:szCs w:val="24"/>
          <w:lang w:eastAsia="en-GB"/>
        </w:rPr>
        <w:t>Momordica charantia</w:t>
      </w:r>
      <w:r w:rsidRPr="00F62F58">
        <w:rPr>
          <w:rFonts w:ascii="Times New Roman" w:eastAsia="Times New Roman" w:hAnsi="Times New Roman" w:cs="Times New Roman"/>
          <w:sz w:val="24"/>
          <w:szCs w:val="24"/>
          <w:lang w:eastAsia="en-GB"/>
        </w:rPr>
        <w:t xml:space="preserve"> in type 2 diabetes mellitus treatment: A review. </w:t>
      </w:r>
      <w:r w:rsidRPr="00F62F58">
        <w:rPr>
          <w:rFonts w:ascii="Times New Roman" w:eastAsia="Times New Roman" w:hAnsi="Times New Roman" w:cs="Times New Roman"/>
          <w:i/>
          <w:iCs/>
          <w:sz w:val="24"/>
          <w:szCs w:val="24"/>
          <w:lang w:eastAsia="en-GB"/>
        </w:rPr>
        <w:t>Pharmaceuticals, 16</w:t>
      </w:r>
      <w:r w:rsidRPr="00F62F58">
        <w:rPr>
          <w:rFonts w:ascii="Times New Roman" w:eastAsia="Times New Roman" w:hAnsi="Times New Roman" w:cs="Times New Roman"/>
          <w:sz w:val="24"/>
          <w:szCs w:val="24"/>
          <w:lang w:eastAsia="en-GB"/>
        </w:rPr>
        <w:t xml:space="preserve">(4), 515. </w:t>
      </w:r>
      <w:r w:rsidRPr="00F62F58">
        <w:rPr>
          <w:rFonts w:ascii="Times New Roman" w:eastAsia="Times New Roman" w:hAnsi="Times New Roman" w:cs="Times New Roman"/>
          <w:color w:val="0000FF"/>
          <w:sz w:val="24"/>
          <w:szCs w:val="24"/>
          <w:u w:val="single"/>
          <w:lang w:eastAsia="en-GB"/>
        </w:rPr>
        <w:t>https://doi.org/10.3390/ph16040515</w:t>
      </w:r>
    </w:p>
    <w:p w14:paraId="3A72D134" w14:textId="59F40BE3"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Costello, R. B., Lindsey, A. T., &amp; Deuster, P. (2023). Challenges in reporting adverse events from dietary supplements. </w:t>
      </w:r>
      <w:r w:rsidRPr="00F62F58">
        <w:rPr>
          <w:rFonts w:ascii="Times New Roman" w:eastAsia="Times New Roman" w:hAnsi="Times New Roman" w:cs="Times New Roman"/>
          <w:i/>
          <w:iCs/>
          <w:sz w:val="24"/>
          <w:szCs w:val="24"/>
          <w:lang w:eastAsia="en-GB"/>
        </w:rPr>
        <w:t>Nutrition Today, 58</w:t>
      </w:r>
      <w:r w:rsidRPr="00F62F58">
        <w:rPr>
          <w:rFonts w:ascii="Times New Roman" w:eastAsia="Times New Roman" w:hAnsi="Times New Roman" w:cs="Times New Roman"/>
          <w:sz w:val="24"/>
          <w:szCs w:val="24"/>
          <w:lang w:eastAsia="en-GB"/>
        </w:rPr>
        <w:t xml:space="preserve">(1), 34–38. </w:t>
      </w:r>
      <w:r w:rsidRPr="00F62F58">
        <w:rPr>
          <w:rFonts w:ascii="Times New Roman" w:eastAsia="Times New Roman" w:hAnsi="Times New Roman" w:cs="Times New Roman"/>
          <w:color w:val="0000FF"/>
          <w:sz w:val="24"/>
          <w:szCs w:val="24"/>
          <w:u w:val="single"/>
          <w:lang w:eastAsia="en-GB"/>
        </w:rPr>
        <w:t>https://doi.org/10.1097/nt.0000000000000587</w:t>
      </w:r>
    </w:p>
    <w:p w14:paraId="61D0781A" w14:textId="51002F79"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Djuricic, I., &amp; Calder, P. C. (2021). Beneficial outcomes of omega-6 and omega-3 polyunsaturated fatty acids on human health: An update for 2021. </w:t>
      </w:r>
      <w:r w:rsidRPr="00F62F58">
        <w:rPr>
          <w:rFonts w:ascii="Times New Roman" w:eastAsia="Times New Roman" w:hAnsi="Times New Roman" w:cs="Times New Roman"/>
          <w:i/>
          <w:iCs/>
          <w:sz w:val="24"/>
          <w:szCs w:val="24"/>
          <w:lang w:eastAsia="en-GB"/>
        </w:rPr>
        <w:t>Nutrients, 13</w:t>
      </w:r>
      <w:r w:rsidRPr="00F62F58">
        <w:rPr>
          <w:rFonts w:ascii="Times New Roman" w:eastAsia="Times New Roman" w:hAnsi="Times New Roman" w:cs="Times New Roman"/>
          <w:sz w:val="24"/>
          <w:szCs w:val="24"/>
          <w:lang w:eastAsia="en-GB"/>
        </w:rPr>
        <w:t xml:space="preserve">(7), 2421. </w:t>
      </w:r>
      <w:r w:rsidRPr="00F62F58">
        <w:rPr>
          <w:rFonts w:ascii="Times New Roman" w:eastAsia="Times New Roman" w:hAnsi="Times New Roman" w:cs="Times New Roman"/>
          <w:color w:val="0000FF"/>
          <w:sz w:val="24"/>
          <w:szCs w:val="24"/>
          <w:u w:val="single"/>
          <w:lang w:eastAsia="en-GB"/>
        </w:rPr>
        <w:t>https://doi.org/10.3390/nu13072421</w:t>
      </w:r>
    </w:p>
    <w:p w14:paraId="159C70D6" w14:textId="211D1552"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Elagizi, A., Lavie, C. J., O'Keefe, E., Marshall, K., O'Keefe, J. H., &amp; Milani, R. V. (2021). An update on omega-3 polyunsaturated fatty acids and cardiovascular health. </w:t>
      </w:r>
      <w:r w:rsidRPr="00F62F58">
        <w:rPr>
          <w:rFonts w:ascii="Times New Roman" w:eastAsia="Times New Roman" w:hAnsi="Times New Roman" w:cs="Times New Roman"/>
          <w:i/>
          <w:iCs/>
          <w:sz w:val="24"/>
          <w:szCs w:val="24"/>
          <w:lang w:eastAsia="en-GB"/>
        </w:rPr>
        <w:t>Nutrients, 13</w:t>
      </w:r>
      <w:r w:rsidRPr="00F62F58">
        <w:rPr>
          <w:rFonts w:ascii="Times New Roman" w:eastAsia="Times New Roman" w:hAnsi="Times New Roman" w:cs="Times New Roman"/>
          <w:sz w:val="24"/>
          <w:szCs w:val="24"/>
          <w:lang w:eastAsia="en-GB"/>
        </w:rPr>
        <w:t xml:space="preserve">(1), 204. </w:t>
      </w:r>
      <w:r w:rsidRPr="00F62F58">
        <w:rPr>
          <w:rFonts w:ascii="Times New Roman" w:eastAsia="Times New Roman" w:hAnsi="Times New Roman" w:cs="Times New Roman"/>
          <w:color w:val="0000FF"/>
          <w:sz w:val="24"/>
          <w:szCs w:val="24"/>
          <w:u w:val="single"/>
          <w:lang w:eastAsia="en-GB"/>
        </w:rPr>
        <w:t>https://doi.org/10.3390/nu13010204</w:t>
      </w:r>
    </w:p>
    <w:p w14:paraId="2DA19118" w14:textId="3C88E5C1"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Ferrari, R. (2015). Writing narrative style literature reviews. </w:t>
      </w:r>
      <w:r w:rsidRPr="00F62F58">
        <w:rPr>
          <w:rFonts w:ascii="Times New Roman" w:eastAsia="Times New Roman" w:hAnsi="Times New Roman" w:cs="Times New Roman"/>
          <w:i/>
          <w:iCs/>
          <w:sz w:val="24"/>
          <w:szCs w:val="24"/>
          <w:lang w:eastAsia="en-GB"/>
        </w:rPr>
        <w:t>Medical Writing, 24</w:t>
      </w:r>
      <w:r w:rsidRPr="00F62F58">
        <w:rPr>
          <w:rFonts w:ascii="Times New Roman" w:eastAsia="Times New Roman" w:hAnsi="Times New Roman" w:cs="Times New Roman"/>
          <w:sz w:val="24"/>
          <w:szCs w:val="24"/>
          <w:lang w:eastAsia="en-GB"/>
        </w:rPr>
        <w:t xml:space="preserve">(4), 230–235. </w:t>
      </w:r>
      <w:r w:rsidRPr="00F62F58">
        <w:rPr>
          <w:rFonts w:ascii="Times New Roman" w:eastAsia="Times New Roman" w:hAnsi="Times New Roman" w:cs="Times New Roman"/>
          <w:color w:val="0000FF"/>
          <w:sz w:val="24"/>
          <w:szCs w:val="24"/>
          <w:u w:val="single"/>
          <w:lang w:eastAsia="en-GB"/>
        </w:rPr>
        <w:t>https://doi.org/10.1179/2047480615Z.000000000329</w:t>
      </w:r>
    </w:p>
    <w:p w14:paraId="2A4806E8" w14:textId="75321C42"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Jagim, A. R., Harty, P. S., Erickson, J. L., Tinsley, G. M., Garner, D., &amp; Galpin, A. J. (2023). Prevalence of adulteration in dietary supplements and recommendations for safe supplement </w:t>
      </w:r>
      <w:r w:rsidRPr="00F62F58">
        <w:rPr>
          <w:rFonts w:ascii="Times New Roman" w:eastAsia="Times New Roman" w:hAnsi="Times New Roman" w:cs="Times New Roman"/>
          <w:sz w:val="24"/>
          <w:szCs w:val="24"/>
          <w:lang w:eastAsia="en-GB"/>
        </w:rPr>
        <w:lastRenderedPageBreak/>
        <w:t xml:space="preserve">practices in sport. </w:t>
      </w:r>
      <w:r w:rsidRPr="00F62F58">
        <w:rPr>
          <w:rFonts w:ascii="Times New Roman" w:eastAsia="Times New Roman" w:hAnsi="Times New Roman" w:cs="Times New Roman"/>
          <w:i/>
          <w:iCs/>
          <w:sz w:val="24"/>
          <w:szCs w:val="24"/>
          <w:lang w:eastAsia="en-GB"/>
        </w:rPr>
        <w:t>Frontiers in Sports and Active Living, 5</w:t>
      </w:r>
      <w:r w:rsidRPr="00F62F58">
        <w:rPr>
          <w:rFonts w:ascii="Times New Roman" w:eastAsia="Times New Roman" w:hAnsi="Times New Roman" w:cs="Times New Roman"/>
          <w:sz w:val="24"/>
          <w:szCs w:val="24"/>
          <w:lang w:eastAsia="en-GB"/>
        </w:rPr>
        <w:t xml:space="preserve">, 1239121. </w:t>
      </w:r>
      <w:r w:rsidRPr="00F62F58">
        <w:rPr>
          <w:rFonts w:ascii="Times New Roman" w:eastAsia="Times New Roman" w:hAnsi="Times New Roman" w:cs="Times New Roman"/>
          <w:color w:val="0000FF"/>
          <w:sz w:val="24"/>
          <w:szCs w:val="24"/>
          <w:u w:val="single"/>
          <w:lang w:eastAsia="en-GB"/>
        </w:rPr>
        <w:t>https://doi.org/10.3389/fspor.2023.1239121</w:t>
      </w:r>
    </w:p>
    <w:p w14:paraId="283DCD2C" w14:textId="4EA0F69C"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Kaur, K., Al-Khazaleh, A. K., Bhuyan, D. J., Li, F., &amp; Li, C. G. (2024). A review of recent curcumin analogues and their antioxidant, anti-inflammatory, and anticancer activities. </w:t>
      </w:r>
      <w:r w:rsidRPr="00F62F58">
        <w:rPr>
          <w:rFonts w:ascii="Times New Roman" w:eastAsia="Times New Roman" w:hAnsi="Times New Roman" w:cs="Times New Roman"/>
          <w:i/>
          <w:iCs/>
          <w:sz w:val="24"/>
          <w:szCs w:val="24"/>
          <w:lang w:eastAsia="en-GB"/>
        </w:rPr>
        <w:t>Antioxidants, 13</w:t>
      </w:r>
      <w:r w:rsidRPr="00F62F58">
        <w:rPr>
          <w:rFonts w:ascii="Times New Roman" w:eastAsia="Times New Roman" w:hAnsi="Times New Roman" w:cs="Times New Roman"/>
          <w:sz w:val="24"/>
          <w:szCs w:val="24"/>
          <w:lang w:eastAsia="en-GB"/>
        </w:rPr>
        <w:t xml:space="preserve">(9), 1092. </w:t>
      </w:r>
      <w:r w:rsidRPr="00F62F58">
        <w:rPr>
          <w:rFonts w:ascii="Times New Roman" w:eastAsia="Times New Roman" w:hAnsi="Times New Roman" w:cs="Times New Roman"/>
          <w:color w:val="0000FF"/>
          <w:sz w:val="24"/>
          <w:szCs w:val="24"/>
          <w:u w:val="single"/>
          <w:lang w:eastAsia="en-GB"/>
        </w:rPr>
        <w:t>https://doi.org/10.3390/antiox13091092</w:t>
      </w:r>
    </w:p>
    <w:p w14:paraId="65F4D11F" w14:textId="3C920A06"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Kumari, T., Bag, K. K., Das, A. B., &amp; Deka, S. C. (2024). Synergistic role of prebiotics and probiotics in gut microbiome health: Mechanisms and clinical applications. </w:t>
      </w:r>
      <w:r w:rsidRPr="00F62F58">
        <w:rPr>
          <w:rFonts w:ascii="Times New Roman" w:eastAsia="Times New Roman" w:hAnsi="Times New Roman" w:cs="Times New Roman"/>
          <w:i/>
          <w:iCs/>
          <w:sz w:val="24"/>
          <w:szCs w:val="24"/>
          <w:lang w:eastAsia="en-GB"/>
        </w:rPr>
        <w:t>Food Bioengineering, 3</w:t>
      </w:r>
      <w:r w:rsidRPr="00F62F58">
        <w:rPr>
          <w:rFonts w:ascii="Times New Roman" w:eastAsia="Times New Roman" w:hAnsi="Times New Roman" w:cs="Times New Roman"/>
          <w:sz w:val="24"/>
          <w:szCs w:val="24"/>
          <w:lang w:eastAsia="en-GB"/>
        </w:rPr>
        <w:t xml:space="preserve">(4), 407–424. </w:t>
      </w:r>
      <w:r w:rsidRPr="00F62F58">
        <w:rPr>
          <w:rFonts w:ascii="Times New Roman" w:eastAsia="Times New Roman" w:hAnsi="Times New Roman" w:cs="Times New Roman"/>
          <w:color w:val="0000FF"/>
          <w:sz w:val="24"/>
          <w:szCs w:val="24"/>
          <w:u w:val="single"/>
          <w:lang w:eastAsia="en-GB"/>
        </w:rPr>
        <w:t>https://doi.org/10.1002/fbe2.12107</w:t>
      </w:r>
    </w:p>
    <w:p w14:paraId="7C077EAE" w14:textId="11A04FD5"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Li, W., &amp; Wertheimer, A. (2023). Narrative review: The FDA's perfunctory approach of dietary supplement regulations giving rise to copious reports of adverse events. </w:t>
      </w:r>
      <w:r w:rsidRPr="00F62F58">
        <w:rPr>
          <w:rFonts w:ascii="Times New Roman" w:eastAsia="Times New Roman" w:hAnsi="Times New Roman" w:cs="Times New Roman"/>
          <w:i/>
          <w:iCs/>
          <w:sz w:val="24"/>
          <w:szCs w:val="24"/>
          <w:lang w:eastAsia="en-GB"/>
        </w:rPr>
        <w:t>Innovations in Pharmacy, 14</w:t>
      </w:r>
      <w:r w:rsidRPr="00F62F58">
        <w:rPr>
          <w:rFonts w:ascii="Times New Roman" w:eastAsia="Times New Roman" w:hAnsi="Times New Roman" w:cs="Times New Roman"/>
          <w:sz w:val="24"/>
          <w:szCs w:val="24"/>
          <w:lang w:eastAsia="en-GB"/>
        </w:rPr>
        <w:t xml:space="preserve">(1). </w:t>
      </w:r>
      <w:r w:rsidRPr="00F62F58">
        <w:rPr>
          <w:rFonts w:ascii="Times New Roman" w:eastAsia="Times New Roman" w:hAnsi="Times New Roman" w:cs="Times New Roman"/>
          <w:color w:val="0000FF"/>
          <w:sz w:val="24"/>
          <w:szCs w:val="24"/>
          <w:u w:val="single"/>
          <w:lang w:eastAsia="en-GB"/>
        </w:rPr>
        <w:t>https://doi.org/10.24926/iip.v14i1.4989</w:t>
      </w:r>
    </w:p>
    <w:p w14:paraId="4693D30B" w14:textId="525DB49F"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Li, Z., &amp; Luo, X. (2025). Probiotics, prebiotics, synbiotics, postbiotics, and paraprobiotics—new perspectives on functional foods and nutraceuticals. </w:t>
      </w:r>
      <w:r w:rsidRPr="00F62F58">
        <w:rPr>
          <w:rFonts w:ascii="Times New Roman" w:eastAsia="Times New Roman" w:hAnsi="Times New Roman" w:cs="Times New Roman"/>
          <w:i/>
          <w:iCs/>
          <w:sz w:val="24"/>
          <w:szCs w:val="24"/>
          <w:lang w:eastAsia="en-GB"/>
        </w:rPr>
        <w:t>Foods, 14</w:t>
      </w:r>
      <w:r w:rsidRPr="00F62F58">
        <w:rPr>
          <w:rFonts w:ascii="Times New Roman" w:eastAsia="Times New Roman" w:hAnsi="Times New Roman" w:cs="Times New Roman"/>
          <w:sz w:val="24"/>
          <w:szCs w:val="24"/>
          <w:lang w:eastAsia="en-GB"/>
        </w:rPr>
        <w:t xml:space="preserve">(15), 2613. </w:t>
      </w:r>
      <w:r w:rsidRPr="00F62F58">
        <w:rPr>
          <w:rFonts w:ascii="Times New Roman" w:eastAsia="Times New Roman" w:hAnsi="Times New Roman" w:cs="Times New Roman"/>
          <w:color w:val="0000FF"/>
          <w:sz w:val="24"/>
          <w:szCs w:val="24"/>
          <w:u w:val="single"/>
          <w:lang w:eastAsia="en-GB"/>
        </w:rPr>
        <w:t>https://doi.org/10.3390/foods14152613</w:t>
      </w:r>
    </w:p>
    <w:p w14:paraId="30143453" w14:textId="34C0291B"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Liu, D., Zhao, L., Wang, Y., Wang, L., Wu, D., &amp; Liu, Y. (2025). Berberine: A rising star in the management of type 2 diabetes—novel insights into its anti-inflammatory, metabolic, and epigenetic mechanisms. </w:t>
      </w:r>
      <w:r w:rsidRPr="00F62F58">
        <w:rPr>
          <w:rFonts w:ascii="Times New Roman" w:eastAsia="Times New Roman" w:hAnsi="Times New Roman" w:cs="Times New Roman"/>
          <w:i/>
          <w:iCs/>
          <w:sz w:val="24"/>
          <w:szCs w:val="24"/>
          <w:lang w:eastAsia="en-GB"/>
        </w:rPr>
        <w:t>Pharmaceuticals, 18</w:t>
      </w:r>
      <w:r w:rsidRPr="00F62F58">
        <w:rPr>
          <w:rFonts w:ascii="Times New Roman" w:eastAsia="Times New Roman" w:hAnsi="Times New Roman" w:cs="Times New Roman"/>
          <w:sz w:val="24"/>
          <w:szCs w:val="24"/>
          <w:lang w:eastAsia="en-GB"/>
        </w:rPr>
        <w:t xml:space="preserve">(12), 1890. </w:t>
      </w:r>
      <w:r w:rsidRPr="00F62F58">
        <w:rPr>
          <w:rFonts w:ascii="Times New Roman" w:eastAsia="Times New Roman" w:hAnsi="Times New Roman" w:cs="Times New Roman"/>
          <w:color w:val="0000FF"/>
          <w:sz w:val="24"/>
          <w:szCs w:val="24"/>
          <w:u w:val="single"/>
          <w:lang w:eastAsia="en-GB"/>
        </w:rPr>
        <w:t>https://doi.org/10.3390/ph18121890</w:t>
      </w:r>
    </w:p>
    <w:p w14:paraId="12281A23" w14:textId="738C2E3B"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Mansour, A., Sajjadi-Jazi, S. M., Gerami, H., Khorasanian, A. S., Moalemzadeh, B., Karimi, S., Mohamadi Afrakoti, N., Mofid, V., Mohajeri-Tehrani, M. R., &amp; Hekmatdoost, A. (2025). The efficacy and safety of berberine in combination with cinnamon supplementation in patients with type 2 diabetes: A randomized clinical trial. </w:t>
      </w:r>
      <w:r w:rsidRPr="00F62F58">
        <w:rPr>
          <w:rFonts w:ascii="Times New Roman" w:eastAsia="Times New Roman" w:hAnsi="Times New Roman" w:cs="Times New Roman"/>
          <w:i/>
          <w:iCs/>
          <w:sz w:val="24"/>
          <w:szCs w:val="24"/>
          <w:lang w:eastAsia="en-GB"/>
        </w:rPr>
        <w:t>European Journal of Nutrition, 64</w:t>
      </w:r>
      <w:r w:rsidRPr="00F62F58">
        <w:rPr>
          <w:rFonts w:ascii="Times New Roman" w:eastAsia="Times New Roman" w:hAnsi="Times New Roman" w:cs="Times New Roman"/>
          <w:sz w:val="24"/>
          <w:szCs w:val="24"/>
          <w:lang w:eastAsia="en-GB"/>
        </w:rPr>
        <w:t xml:space="preserve">(2), 102. </w:t>
      </w:r>
      <w:r w:rsidRPr="00F62F58">
        <w:rPr>
          <w:rFonts w:ascii="Times New Roman" w:eastAsia="Times New Roman" w:hAnsi="Times New Roman" w:cs="Times New Roman"/>
          <w:color w:val="0000FF"/>
          <w:sz w:val="24"/>
          <w:szCs w:val="24"/>
          <w:u w:val="single"/>
          <w:lang w:eastAsia="en-GB"/>
        </w:rPr>
        <w:t>https://doi.org/10.1007/s00394-025-03618-9</w:t>
      </w:r>
    </w:p>
    <w:p w14:paraId="277F7D38" w14:textId="4C64BF91"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Neira, M., Mena, C., Torres, K., &amp; Simón, L. (2025). The potential benefits of curcumin-enriched diets for adults with colorectal cancer: A systematic review. </w:t>
      </w:r>
      <w:r w:rsidRPr="00F62F58">
        <w:rPr>
          <w:rFonts w:ascii="Times New Roman" w:eastAsia="Times New Roman" w:hAnsi="Times New Roman" w:cs="Times New Roman"/>
          <w:i/>
          <w:iCs/>
          <w:sz w:val="24"/>
          <w:szCs w:val="24"/>
          <w:lang w:eastAsia="en-GB"/>
        </w:rPr>
        <w:t>Antioxidants, 14</w:t>
      </w:r>
      <w:r w:rsidRPr="00F62F58">
        <w:rPr>
          <w:rFonts w:ascii="Times New Roman" w:eastAsia="Times New Roman" w:hAnsi="Times New Roman" w:cs="Times New Roman"/>
          <w:sz w:val="24"/>
          <w:szCs w:val="24"/>
          <w:lang w:eastAsia="en-GB"/>
        </w:rPr>
        <w:t xml:space="preserve">(4), 388. </w:t>
      </w:r>
      <w:r w:rsidRPr="00F62F58">
        <w:rPr>
          <w:rFonts w:ascii="Times New Roman" w:eastAsia="Times New Roman" w:hAnsi="Times New Roman" w:cs="Times New Roman"/>
          <w:color w:val="0000FF"/>
          <w:sz w:val="24"/>
          <w:szCs w:val="24"/>
          <w:u w:val="single"/>
          <w:lang w:eastAsia="en-GB"/>
        </w:rPr>
        <w:t>https://doi.org/10.3390/antiox14040388</w:t>
      </w:r>
    </w:p>
    <w:p w14:paraId="60F39247" w14:textId="1D245ECD"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Nocito, M. C., De Luca, A., Prestia, F., Avena, P., La Padula, D., Zavaglia, L., Sirianni, R., Casaburi, I., Puoci, F., Chimento, A., &amp; Pezzi, V. (2021). Antitumoral activities of curcumin and recent advances to improve its oral bioavailability. </w:t>
      </w:r>
      <w:r w:rsidRPr="00F62F58">
        <w:rPr>
          <w:rFonts w:ascii="Times New Roman" w:eastAsia="Times New Roman" w:hAnsi="Times New Roman" w:cs="Times New Roman"/>
          <w:i/>
          <w:iCs/>
          <w:sz w:val="24"/>
          <w:szCs w:val="24"/>
          <w:lang w:eastAsia="en-GB"/>
        </w:rPr>
        <w:t>Biomedicines, 9</w:t>
      </w:r>
      <w:r w:rsidRPr="00F62F58">
        <w:rPr>
          <w:rFonts w:ascii="Times New Roman" w:eastAsia="Times New Roman" w:hAnsi="Times New Roman" w:cs="Times New Roman"/>
          <w:sz w:val="24"/>
          <w:szCs w:val="24"/>
          <w:lang w:eastAsia="en-GB"/>
        </w:rPr>
        <w:t xml:space="preserve">(10), 1476. </w:t>
      </w:r>
      <w:r w:rsidRPr="00F62F58">
        <w:rPr>
          <w:rFonts w:ascii="Times New Roman" w:eastAsia="Times New Roman" w:hAnsi="Times New Roman" w:cs="Times New Roman"/>
          <w:color w:val="0000FF"/>
          <w:sz w:val="24"/>
          <w:szCs w:val="24"/>
          <w:u w:val="single"/>
          <w:lang w:eastAsia="en-GB"/>
        </w:rPr>
        <w:t>https://doi.org/10.3390/biomedicines9101476</w:t>
      </w:r>
    </w:p>
    <w:p w14:paraId="7B3F8BD3" w14:textId="50EF42EE"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Obayomi, O. V., Olaniran, A. F., &amp; Owa, S. O. (2024). Unveiling the role of functional foods with emphasis on prebiotics and probiotics in human health: A review. </w:t>
      </w:r>
      <w:r w:rsidRPr="00F62F58">
        <w:rPr>
          <w:rFonts w:ascii="Times New Roman" w:eastAsia="Times New Roman" w:hAnsi="Times New Roman" w:cs="Times New Roman"/>
          <w:i/>
          <w:iCs/>
          <w:sz w:val="24"/>
          <w:szCs w:val="24"/>
          <w:lang w:eastAsia="en-GB"/>
        </w:rPr>
        <w:t>Journal of Functional Foods, 119</w:t>
      </w:r>
      <w:r w:rsidRPr="00F62F58">
        <w:rPr>
          <w:rFonts w:ascii="Times New Roman" w:eastAsia="Times New Roman" w:hAnsi="Times New Roman" w:cs="Times New Roman"/>
          <w:sz w:val="24"/>
          <w:szCs w:val="24"/>
          <w:lang w:eastAsia="en-GB"/>
        </w:rPr>
        <w:t xml:space="preserve">, 106337. </w:t>
      </w:r>
      <w:r w:rsidRPr="00F62F58">
        <w:rPr>
          <w:rFonts w:ascii="Times New Roman" w:eastAsia="Times New Roman" w:hAnsi="Times New Roman" w:cs="Times New Roman"/>
          <w:color w:val="0000FF"/>
          <w:sz w:val="24"/>
          <w:szCs w:val="24"/>
          <w:u w:val="single"/>
          <w:lang w:eastAsia="en-GB"/>
        </w:rPr>
        <w:t>https://doi.org/10.1016/j.jff.2024.106337</w:t>
      </w:r>
    </w:p>
    <w:p w14:paraId="4FE41C48" w14:textId="0BB5C35F"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Patted, P. G., Masareddy, R. S., Patil, A. S., Kanabargi, R. R., &amp; Bhat, C. T. (2024). Omega-3 fatty acids: A comprehensive scientific review of their sources, functions and health benefits. </w:t>
      </w:r>
      <w:r w:rsidRPr="00F62F58">
        <w:rPr>
          <w:rFonts w:ascii="Times New Roman" w:eastAsia="Times New Roman" w:hAnsi="Times New Roman" w:cs="Times New Roman"/>
          <w:i/>
          <w:iCs/>
          <w:sz w:val="24"/>
          <w:szCs w:val="24"/>
          <w:lang w:eastAsia="en-GB"/>
        </w:rPr>
        <w:t>Future Journal of Pharmaceutical Sciences, 10</w:t>
      </w:r>
      <w:r w:rsidRPr="00F62F58">
        <w:rPr>
          <w:rFonts w:ascii="Times New Roman" w:eastAsia="Times New Roman" w:hAnsi="Times New Roman" w:cs="Times New Roman"/>
          <w:sz w:val="24"/>
          <w:szCs w:val="24"/>
          <w:lang w:eastAsia="en-GB"/>
        </w:rPr>
        <w:t xml:space="preserve">, 94. </w:t>
      </w:r>
      <w:r w:rsidRPr="00F62F58">
        <w:rPr>
          <w:rFonts w:ascii="Times New Roman" w:eastAsia="Times New Roman" w:hAnsi="Times New Roman" w:cs="Times New Roman"/>
          <w:color w:val="0000FF"/>
          <w:sz w:val="24"/>
          <w:szCs w:val="24"/>
          <w:u w:val="single"/>
          <w:lang w:eastAsia="en-GB"/>
        </w:rPr>
        <w:t>https://doi.org/10.1186/s43094-024-00667-5</w:t>
      </w:r>
    </w:p>
    <w:p w14:paraId="7D1DCF18" w14:textId="2889419F"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Pérez Guerra, N. (2025). The impact of probiotics, prebiotics, and functional foods on human health. </w:t>
      </w:r>
      <w:r w:rsidRPr="00F62F58">
        <w:rPr>
          <w:rFonts w:ascii="Times New Roman" w:eastAsia="Times New Roman" w:hAnsi="Times New Roman" w:cs="Times New Roman"/>
          <w:i/>
          <w:iCs/>
          <w:sz w:val="24"/>
          <w:szCs w:val="24"/>
          <w:lang w:eastAsia="en-GB"/>
        </w:rPr>
        <w:t>Nutrients, 17</w:t>
      </w:r>
      <w:r w:rsidRPr="00F62F58">
        <w:rPr>
          <w:rFonts w:ascii="Times New Roman" w:eastAsia="Times New Roman" w:hAnsi="Times New Roman" w:cs="Times New Roman"/>
          <w:sz w:val="24"/>
          <w:szCs w:val="24"/>
          <w:lang w:eastAsia="en-GB"/>
        </w:rPr>
        <w:t xml:space="preserve">(9), 1529. </w:t>
      </w:r>
      <w:r w:rsidRPr="00F62F58">
        <w:rPr>
          <w:rFonts w:ascii="Times New Roman" w:eastAsia="Times New Roman" w:hAnsi="Times New Roman" w:cs="Times New Roman"/>
          <w:color w:val="0000FF"/>
          <w:sz w:val="24"/>
          <w:szCs w:val="24"/>
          <w:u w:val="single"/>
          <w:lang w:eastAsia="en-GB"/>
        </w:rPr>
        <w:t>https://doi.org/10.3390/nu17091529</w:t>
      </w:r>
    </w:p>
    <w:p w14:paraId="7B9EBCDB" w14:textId="430CDD7C"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Prieto, C., &amp; Lagaron, J. M. (2024). Nanoencapsulation and nanocoating of bioactives of application interest in food, nutraceuticals and pharma. </w:t>
      </w:r>
      <w:r w:rsidRPr="00F62F58">
        <w:rPr>
          <w:rFonts w:ascii="Times New Roman" w:eastAsia="Times New Roman" w:hAnsi="Times New Roman" w:cs="Times New Roman"/>
          <w:i/>
          <w:iCs/>
          <w:sz w:val="24"/>
          <w:szCs w:val="24"/>
          <w:lang w:eastAsia="en-GB"/>
        </w:rPr>
        <w:t>Nanomaterials, 14</w:t>
      </w:r>
      <w:r w:rsidRPr="00F62F58">
        <w:rPr>
          <w:rFonts w:ascii="Times New Roman" w:eastAsia="Times New Roman" w:hAnsi="Times New Roman" w:cs="Times New Roman"/>
          <w:sz w:val="24"/>
          <w:szCs w:val="24"/>
          <w:lang w:eastAsia="en-GB"/>
        </w:rPr>
        <w:t xml:space="preserve">(3), 313. </w:t>
      </w:r>
      <w:r w:rsidRPr="00F62F58">
        <w:rPr>
          <w:rFonts w:ascii="Times New Roman" w:eastAsia="Times New Roman" w:hAnsi="Times New Roman" w:cs="Times New Roman"/>
          <w:color w:val="0000FF"/>
          <w:sz w:val="24"/>
          <w:szCs w:val="24"/>
          <w:u w:val="single"/>
          <w:lang w:eastAsia="en-GB"/>
        </w:rPr>
        <w:t>https://doi.org/10.3390/nano14030313</w:t>
      </w:r>
    </w:p>
    <w:p w14:paraId="13C0288E" w14:textId="30B6DFBF"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Santini, A., Cammarata, S. M., Capone, G., Ianaro, A., Tenore, G. C., Pani, L., &amp; Novellino, E. (2018). Nutraceuticals: Opening the debate for a regulatory framework. </w:t>
      </w:r>
      <w:r w:rsidRPr="00F62F58">
        <w:rPr>
          <w:rFonts w:ascii="Times New Roman" w:eastAsia="Times New Roman" w:hAnsi="Times New Roman" w:cs="Times New Roman"/>
          <w:i/>
          <w:iCs/>
          <w:sz w:val="24"/>
          <w:szCs w:val="24"/>
          <w:lang w:eastAsia="en-GB"/>
        </w:rPr>
        <w:t>British Journal of Clinical Pharmacology, 84</w:t>
      </w:r>
      <w:r w:rsidRPr="00F62F58">
        <w:rPr>
          <w:rFonts w:ascii="Times New Roman" w:eastAsia="Times New Roman" w:hAnsi="Times New Roman" w:cs="Times New Roman"/>
          <w:sz w:val="24"/>
          <w:szCs w:val="24"/>
          <w:lang w:eastAsia="en-GB"/>
        </w:rPr>
        <w:t xml:space="preserve">(4), 659–672. </w:t>
      </w:r>
      <w:r w:rsidRPr="00F62F58">
        <w:rPr>
          <w:rFonts w:ascii="Times New Roman" w:eastAsia="Times New Roman" w:hAnsi="Times New Roman" w:cs="Times New Roman"/>
          <w:color w:val="0000FF"/>
          <w:sz w:val="24"/>
          <w:szCs w:val="24"/>
          <w:u w:val="single"/>
          <w:lang w:eastAsia="en-GB"/>
        </w:rPr>
        <w:t>https://doi.org/10.1111/bcp.13496</w:t>
      </w:r>
    </w:p>
    <w:p w14:paraId="4DE080F7" w14:textId="19AA78C1"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Shan, F., Liu, L., Li, L., Wang, W., Bi, Y., &amp; Li, M. (2025). Management, safety, and efficacy evaluation of nutraceutical and functional food: A global perspective. </w:t>
      </w:r>
      <w:r w:rsidRPr="00F62F58">
        <w:rPr>
          <w:rFonts w:ascii="Times New Roman" w:eastAsia="Times New Roman" w:hAnsi="Times New Roman" w:cs="Times New Roman"/>
          <w:i/>
          <w:iCs/>
          <w:sz w:val="24"/>
          <w:szCs w:val="24"/>
          <w:lang w:eastAsia="en-GB"/>
        </w:rPr>
        <w:t>Comprehensive Reviews in Food Science and Food Safety, 24</w:t>
      </w:r>
      <w:r w:rsidRPr="00F62F58">
        <w:rPr>
          <w:rFonts w:ascii="Times New Roman" w:eastAsia="Times New Roman" w:hAnsi="Times New Roman" w:cs="Times New Roman"/>
          <w:sz w:val="24"/>
          <w:szCs w:val="24"/>
          <w:lang w:eastAsia="en-GB"/>
        </w:rPr>
        <w:t xml:space="preserve">(4), e70222. </w:t>
      </w:r>
      <w:r w:rsidRPr="00F62F58">
        <w:rPr>
          <w:rFonts w:ascii="Times New Roman" w:eastAsia="Times New Roman" w:hAnsi="Times New Roman" w:cs="Times New Roman"/>
          <w:color w:val="0000FF"/>
          <w:sz w:val="24"/>
          <w:szCs w:val="24"/>
          <w:u w:val="single"/>
          <w:lang w:eastAsia="en-GB"/>
        </w:rPr>
        <w:t>https://doi.org/10.1111/1541-4337.70222</w:t>
      </w:r>
    </w:p>
    <w:p w14:paraId="38C0521B" w14:textId="24F9158E"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 xml:space="preserve">Sridhar, K., &amp; Sharma, M. (2023). Editorial: Recent advances in nanofabricated delivery systems of bioactive components for food applications. </w:t>
      </w:r>
      <w:r w:rsidRPr="00F62F58">
        <w:rPr>
          <w:rFonts w:ascii="Times New Roman" w:eastAsia="Times New Roman" w:hAnsi="Times New Roman" w:cs="Times New Roman"/>
          <w:i/>
          <w:iCs/>
          <w:sz w:val="24"/>
          <w:szCs w:val="24"/>
          <w:lang w:eastAsia="en-GB"/>
        </w:rPr>
        <w:t>Frontiers in Nutrition, 9</w:t>
      </w:r>
      <w:r w:rsidRPr="00F62F58">
        <w:rPr>
          <w:rFonts w:ascii="Times New Roman" w:eastAsia="Times New Roman" w:hAnsi="Times New Roman" w:cs="Times New Roman"/>
          <w:sz w:val="24"/>
          <w:szCs w:val="24"/>
          <w:lang w:eastAsia="en-GB"/>
        </w:rPr>
        <w:t xml:space="preserve">, 1124487. </w:t>
      </w:r>
      <w:r w:rsidRPr="00F62F58">
        <w:rPr>
          <w:rFonts w:ascii="Times New Roman" w:eastAsia="Times New Roman" w:hAnsi="Times New Roman" w:cs="Times New Roman"/>
          <w:color w:val="0000FF"/>
          <w:sz w:val="24"/>
          <w:szCs w:val="24"/>
          <w:u w:val="single"/>
          <w:lang w:eastAsia="en-GB"/>
        </w:rPr>
        <w:t>https://doi.org/10.3389/fnut.2022.1124487</w:t>
      </w:r>
    </w:p>
    <w:p w14:paraId="451AAF7F" w14:textId="1F6399B2"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Sukhera, J. (2022). Narrative reviews: Flexible, rigorous, and practical. </w:t>
      </w:r>
      <w:r w:rsidRPr="00F62F58">
        <w:rPr>
          <w:rFonts w:ascii="Times New Roman" w:eastAsia="Times New Roman" w:hAnsi="Times New Roman" w:cs="Times New Roman"/>
          <w:i/>
          <w:iCs/>
          <w:sz w:val="24"/>
          <w:szCs w:val="24"/>
          <w:lang w:eastAsia="en-GB"/>
        </w:rPr>
        <w:t>Journal of Graduate Medical Education, 14</w:t>
      </w:r>
      <w:r w:rsidRPr="00F62F58">
        <w:rPr>
          <w:rFonts w:ascii="Times New Roman" w:eastAsia="Times New Roman" w:hAnsi="Times New Roman" w:cs="Times New Roman"/>
          <w:sz w:val="24"/>
          <w:szCs w:val="24"/>
          <w:lang w:eastAsia="en-GB"/>
        </w:rPr>
        <w:t xml:space="preserve">(4), 414–417. </w:t>
      </w:r>
      <w:r w:rsidRPr="00F62F58">
        <w:rPr>
          <w:rFonts w:ascii="Times New Roman" w:eastAsia="Times New Roman" w:hAnsi="Times New Roman" w:cs="Times New Roman"/>
          <w:color w:val="0000FF"/>
          <w:sz w:val="24"/>
          <w:szCs w:val="24"/>
          <w:u w:val="single"/>
          <w:lang w:eastAsia="en-GB"/>
        </w:rPr>
        <w:t>https://doi.org/10.4300/JGME-D-22-00480.1</w:t>
      </w:r>
    </w:p>
    <w:p w14:paraId="2BCB853D" w14:textId="4B8AC639"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Tan, M., &amp; Abd El-Aty, A. M. (2024). Editorial: Nanostructured steady-state systems for nutrient and bioactive compounds delivery. </w:t>
      </w:r>
      <w:r w:rsidRPr="00F62F58">
        <w:rPr>
          <w:rFonts w:ascii="Times New Roman" w:eastAsia="Times New Roman" w:hAnsi="Times New Roman" w:cs="Times New Roman"/>
          <w:i/>
          <w:iCs/>
          <w:sz w:val="24"/>
          <w:szCs w:val="24"/>
          <w:lang w:eastAsia="en-GB"/>
        </w:rPr>
        <w:t>Frontiers in Nutrition, 11</w:t>
      </w:r>
      <w:r w:rsidRPr="00F62F58">
        <w:rPr>
          <w:rFonts w:ascii="Times New Roman" w:eastAsia="Times New Roman" w:hAnsi="Times New Roman" w:cs="Times New Roman"/>
          <w:sz w:val="24"/>
          <w:szCs w:val="24"/>
          <w:lang w:eastAsia="en-GB"/>
        </w:rPr>
        <w:t xml:space="preserve">, 1421572. </w:t>
      </w:r>
      <w:r w:rsidRPr="00F62F58">
        <w:rPr>
          <w:rFonts w:ascii="Times New Roman" w:eastAsia="Times New Roman" w:hAnsi="Times New Roman" w:cs="Times New Roman"/>
          <w:color w:val="0000FF"/>
          <w:sz w:val="24"/>
          <w:szCs w:val="24"/>
          <w:u w:val="single"/>
          <w:lang w:eastAsia="en-GB"/>
        </w:rPr>
        <w:t>https://doi.org/10.3389/fnut.2024.1421572</w:t>
      </w:r>
    </w:p>
    <w:p w14:paraId="39C3306E" w14:textId="250807A7"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Wan, S., Luo, J., Zhu, Y., An, P., Luo, Y., &amp; Xing, Q. (2024). The effect of antioxidant polyphenol supplementation on cardiometabolic risk factors: A systematic review and meta-analysis. </w:t>
      </w:r>
      <w:r w:rsidRPr="00F62F58">
        <w:rPr>
          <w:rFonts w:ascii="Times New Roman" w:eastAsia="Times New Roman" w:hAnsi="Times New Roman" w:cs="Times New Roman"/>
          <w:i/>
          <w:iCs/>
          <w:sz w:val="24"/>
          <w:szCs w:val="24"/>
          <w:lang w:eastAsia="en-GB"/>
        </w:rPr>
        <w:t>Nutrients, 16</w:t>
      </w:r>
      <w:r w:rsidRPr="00F62F58">
        <w:rPr>
          <w:rFonts w:ascii="Times New Roman" w:eastAsia="Times New Roman" w:hAnsi="Times New Roman" w:cs="Times New Roman"/>
          <w:sz w:val="24"/>
          <w:szCs w:val="24"/>
          <w:lang w:eastAsia="en-GB"/>
        </w:rPr>
        <w:t xml:space="preserve">(23), 4206. </w:t>
      </w:r>
      <w:r w:rsidRPr="00F62F58">
        <w:rPr>
          <w:rFonts w:ascii="Times New Roman" w:eastAsia="Times New Roman" w:hAnsi="Times New Roman" w:cs="Times New Roman"/>
          <w:color w:val="0000FF"/>
          <w:sz w:val="24"/>
          <w:szCs w:val="24"/>
          <w:u w:val="single"/>
          <w:lang w:eastAsia="en-GB"/>
        </w:rPr>
        <w:t>https://doi.org/10.3390/nu16234206</w:t>
      </w:r>
    </w:p>
    <w:p w14:paraId="1025B971" w14:textId="5A9EEB59"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Wimalawansa, S. J. (2023). Infections and autoimmunity—the immune system and vitamin D: A systematic review. </w:t>
      </w:r>
      <w:r w:rsidRPr="00F62F58">
        <w:rPr>
          <w:rFonts w:ascii="Times New Roman" w:eastAsia="Times New Roman" w:hAnsi="Times New Roman" w:cs="Times New Roman"/>
          <w:i/>
          <w:iCs/>
          <w:sz w:val="24"/>
          <w:szCs w:val="24"/>
          <w:lang w:eastAsia="en-GB"/>
        </w:rPr>
        <w:t>Nutrients, 15</w:t>
      </w:r>
      <w:r w:rsidRPr="00F62F58">
        <w:rPr>
          <w:rFonts w:ascii="Times New Roman" w:eastAsia="Times New Roman" w:hAnsi="Times New Roman" w:cs="Times New Roman"/>
          <w:sz w:val="24"/>
          <w:szCs w:val="24"/>
          <w:lang w:eastAsia="en-GB"/>
        </w:rPr>
        <w:t xml:space="preserve">(17), 3842. </w:t>
      </w:r>
      <w:r w:rsidRPr="00F62F58">
        <w:rPr>
          <w:rFonts w:ascii="Times New Roman" w:eastAsia="Times New Roman" w:hAnsi="Times New Roman" w:cs="Times New Roman"/>
          <w:color w:val="0000FF"/>
          <w:sz w:val="24"/>
          <w:szCs w:val="24"/>
          <w:u w:val="single"/>
          <w:lang w:eastAsia="en-GB"/>
        </w:rPr>
        <w:t>https://doi.org/10.3390/nu15173842</w:t>
      </w:r>
    </w:p>
    <w:p w14:paraId="1247D07D" w14:textId="2540E186" w:rsidR="00F62F58" w:rsidRPr="00F62F58" w:rsidRDefault="00F62F58" w:rsidP="00F62F58">
      <w:pPr>
        <w:spacing w:before="100" w:beforeAutospacing="1" w:after="100" w:afterAutospacing="1" w:line="240" w:lineRule="auto"/>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Yoon, Y. S., Lee, H. I., &amp; Oh, S. W. (2024). A life-stage approach to precision nutrition: A narrative review. </w:t>
      </w:r>
      <w:r w:rsidRPr="00F62F58">
        <w:rPr>
          <w:rFonts w:ascii="Times New Roman" w:eastAsia="Times New Roman" w:hAnsi="Times New Roman" w:cs="Times New Roman"/>
          <w:i/>
          <w:iCs/>
          <w:sz w:val="24"/>
          <w:szCs w:val="24"/>
          <w:lang w:eastAsia="en-GB"/>
        </w:rPr>
        <w:t>Cureus, 16</w:t>
      </w:r>
      <w:r w:rsidRPr="00F62F58">
        <w:rPr>
          <w:rFonts w:ascii="Times New Roman" w:eastAsia="Times New Roman" w:hAnsi="Times New Roman" w:cs="Times New Roman"/>
          <w:sz w:val="24"/>
          <w:szCs w:val="24"/>
          <w:lang w:eastAsia="en-GB"/>
        </w:rPr>
        <w:t xml:space="preserve">(8), e66813. </w:t>
      </w:r>
      <w:r w:rsidRPr="00F62F58">
        <w:rPr>
          <w:rFonts w:ascii="Times New Roman" w:eastAsia="Times New Roman" w:hAnsi="Times New Roman" w:cs="Times New Roman"/>
          <w:color w:val="0000FF"/>
          <w:sz w:val="24"/>
          <w:szCs w:val="24"/>
          <w:u w:val="single"/>
          <w:lang w:eastAsia="en-GB"/>
        </w:rPr>
        <w:t>https://doi.org/10.7759/cureus.66813</w:t>
      </w:r>
    </w:p>
    <w:p w14:paraId="1A535A7A" w14:textId="77777777" w:rsidR="004841B3" w:rsidRDefault="004841B3"/>
    <w:sectPr w:rsidR="004841B3" w:rsidSect="00484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C26CD2"/>
    <w:rsid w:val="00345F3B"/>
    <w:rsid w:val="004841B3"/>
    <w:rsid w:val="004B0DFA"/>
    <w:rsid w:val="00526659"/>
    <w:rsid w:val="006525F0"/>
    <w:rsid w:val="00824882"/>
    <w:rsid w:val="00C26CD2"/>
    <w:rsid w:val="00DF7E66"/>
    <w:rsid w:val="00F62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B2AC"/>
  <w15:chartTrackingRefBased/>
  <w15:docId w15:val="{BA3258A2-402F-45B2-B719-FEE2E136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C26CD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26CD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26CD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26CD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26CD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26C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C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C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C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C26CD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26CD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26CD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26CD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26CD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26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CD2"/>
    <w:rPr>
      <w:rFonts w:eastAsiaTheme="majorEastAsia" w:cstheme="majorBidi"/>
      <w:color w:val="272727" w:themeColor="text1" w:themeTint="D8"/>
    </w:rPr>
  </w:style>
  <w:style w:type="paragraph" w:styleId="Title">
    <w:name w:val="Title"/>
    <w:basedOn w:val="Normal"/>
    <w:next w:val="Normal"/>
    <w:link w:val="TitleChar"/>
    <w:uiPriority w:val="10"/>
    <w:qFormat/>
    <w:rsid w:val="00C26C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C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C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6CD2"/>
    <w:rPr>
      <w:i/>
      <w:iCs/>
      <w:color w:val="404040" w:themeColor="text1" w:themeTint="BF"/>
    </w:rPr>
  </w:style>
  <w:style w:type="paragraph" w:styleId="ListParagraph">
    <w:name w:val="List Paragraph"/>
    <w:basedOn w:val="Normal"/>
    <w:uiPriority w:val="34"/>
    <w:qFormat/>
    <w:rsid w:val="00C26CD2"/>
    <w:pPr>
      <w:ind w:left="720"/>
      <w:contextualSpacing/>
    </w:pPr>
  </w:style>
  <w:style w:type="character" w:styleId="IntenseEmphasis">
    <w:name w:val="Intense Emphasis"/>
    <w:basedOn w:val="DefaultParagraphFont"/>
    <w:uiPriority w:val="21"/>
    <w:qFormat/>
    <w:rsid w:val="00C26CD2"/>
    <w:rPr>
      <w:i/>
      <w:iCs/>
      <w:color w:val="365F91" w:themeColor="accent1" w:themeShade="BF"/>
    </w:rPr>
  </w:style>
  <w:style w:type="paragraph" w:styleId="IntenseQuote">
    <w:name w:val="Intense Quote"/>
    <w:basedOn w:val="Normal"/>
    <w:next w:val="Normal"/>
    <w:link w:val="IntenseQuoteChar"/>
    <w:uiPriority w:val="30"/>
    <w:qFormat/>
    <w:rsid w:val="00C26C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26CD2"/>
    <w:rPr>
      <w:i/>
      <w:iCs/>
      <w:color w:val="365F91" w:themeColor="accent1" w:themeShade="BF"/>
    </w:rPr>
  </w:style>
  <w:style w:type="character" w:styleId="IntenseReference">
    <w:name w:val="Intense Reference"/>
    <w:basedOn w:val="DefaultParagraphFont"/>
    <w:uiPriority w:val="32"/>
    <w:qFormat/>
    <w:rsid w:val="00C26CD2"/>
    <w:rPr>
      <w:b/>
      <w:bCs/>
      <w:smallCaps/>
      <w:color w:val="365F91" w:themeColor="accent1" w:themeShade="BF"/>
      <w:spacing w:val="5"/>
    </w:rPr>
  </w:style>
  <w:style w:type="table" w:styleId="TableGridLight">
    <w:name w:val="Grid Table Light"/>
    <w:basedOn w:val="TableNormal"/>
    <w:uiPriority w:val="40"/>
    <w:rsid w:val="00F62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7206</Words>
  <Characters>41077</Characters>
  <Application>Microsoft Office Word</Application>
  <DocSecurity>0</DocSecurity>
  <Lines>342</Lines>
  <Paragraphs>96</Paragraphs>
  <ScaleCrop>false</ScaleCrop>
  <Company>HP</Company>
  <LinksUpToDate>false</LinksUpToDate>
  <CharactersWithSpaces>48187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09</cp:lastModifiedBy>
  <cp:revision>5</cp:revision>
  <dcterms:created xsi:type="dcterms:W3CDTF">2026-07-14T18:08:00Z</dcterms:created>
  <dcterms:modified xsi:type="dcterms:W3CDTF">2026-07-15T11:08:00Z</dcterms:modified>
</cp:coreProperties>
</file>