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8242" w14:textId="77777777" w:rsidR="008B7631" w:rsidRPr="008B7631" w:rsidRDefault="008B7631" w:rsidP="008B7631">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8B7631">
        <w:rPr>
          <w:rFonts w:ascii="Times New Roman" w:eastAsia="Times New Roman" w:hAnsi="Times New Roman" w:cs="Times New Roman"/>
          <w:b/>
          <w:bCs/>
          <w:i/>
          <w:iCs/>
          <w:sz w:val="36"/>
          <w:szCs w:val="36"/>
          <w:u w:val="single"/>
          <w:lang w:val="en-US" w:eastAsia="en-GB"/>
        </w:rPr>
        <w:t>Review Article</w:t>
      </w:r>
    </w:p>
    <w:p w14:paraId="7F22E8B9" w14:textId="77777777" w:rsidR="00643D6C" w:rsidRPr="00643D6C" w:rsidRDefault="00643D6C" w:rsidP="00643D6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43D6C">
        <w:rPr>
          <w:rFonts w:ascii="Times New Roman" w:eastAsia="Times New Roman" w:hAnsi="Times New Roman" w:cs="Times New Roman"/>
          <w:b/>
          <w:bCs/>
          <w:sz w:val="36"/>
          <w:szCs w:val="36"/>
          <w:lang w:eastAsia="en-GB"/>
        </w:rPr>
        <w:t xml:space="preserve">Nasal In-Situ </w:t>
      </w:r>
      <w:proofErr w:type="spellStart"/>
      <w:r w:rsidRPr="00643D6C">
        <w:rPr>
          <w:rFonts w:ascii="Times New Roman" w:eastAsia="Times New Roman" w:hAnsi="Times New Roman" w:cs="Times New Roman"/>
          <w:b/>
          <w:bCs/>
          <w:sz w:val="36"/>
          <w:szCs w:val="36"/>
          <w:lang w:eastAsia="en-GB"/>
        </w:rPr>
        <w:t>Nanospanlastic</w:t>
      </w:r>
      <w:proofErr w:type="spellEnd"/>
      <w:r w:rsidRPr="00643D6C">
        <w:rPr>
          <w:rFonts w:ascii="Times New Roman" w:eastAsia="Times New Roman" w:hAnsi="Times New Roman" w:cs="Times New Roman"/>
          <w:b/>
          <w:bCs/>
          <w:sz w:val="36"/>
          <w:szCs w:val="36"/>
          <w:lang w:eastAsia="en-GB"/>
        </w:rPr>
        <w:t xml:space="preserve"> Gels for Nose-to-Systemic Drug Delivery: A Critical Review</w:t>
      </w:r>
    </w:p>
    <w:p w14:paraId="79470CCC"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Abstract</w:t>
      </w:r>
    </w:p>
    <w:p w14:paraId="35C2D73C"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Intranasal administration has re-emerged as a pharmaceutically attractive non-invasive route for systemic and central nervous system drug delivery, owing to the high vascularity and permeability of the nasal mucosa and its capacity to circumvent hepatic first-pass metabolism. Among the carrier technologies developed to overcome the principal limitations of this route, namely rapid mucociliary clearance and restricted membrane permeability,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have attracted sustained interest because their deformable bilayer, conferred by an edge activator, allows efficient accommodation within the narrow intercellular spaces of the nasal epithelium. When such vesicles are dispersed within a stimuli-responsive in situ gelling matrix, the resulting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 combines nanoscale carrier flexibility with prolonged mucosal residence, addressing two of the most persistent formulation bottlenecks simultaneously. This review synthesises the pharmaceutical rationale, formulation composition, preparation methodologies, optimisation strategies and preclinical evidence base for nasal in situ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gels intended for systemic and brain-targeted delivery. Particular attention is given to the physicochemical interplay between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 characteristics and gelling polymer selection, to the design-of-experiments approaches used to optimise such multicomponent systems, and to the biopharmaceutical, safety and regulatory considerations that will determine their translational trajectory. The available preclinical data, spanning drugs as diverse as cilostazol, carbamazepine, rasagiline, </w:t>
      </w:r>
      <w:proofErr w:type="spellStart"/>
      <w:r w:rsidRPr="00643D6C">
        <w:rPr>
          <w:rFonts w:ascii="Times New Roman" w:eastAsia="Times New Roman" w:hAnsi="Times New Roman" w:cs="Times New Roman"/>
          <w:sz w:val="24"/>
          <w:szCs w:val="24"/>
          <w:lang w:eastAsia="en-GB"/>
        </w:rPr>
        <w:t>flibanserin</w:t>
      </w:r>
      <w:proofErr w:type="spellEnd"/>
      <w:r w:rsidRPr="00643D6C">
        <w:rPr>
          <w:rFonts w:ascii="Times New Roman" w:eastAsia="Times New Roman" w:hAnsi="Times New Roman" w:cs="Times New Roman"/>
          <w:sz w:val="24"/>
          <w:szCs w:val="24"/>
          <w:lang w:eastAsia="en-GB"/>
        </w:rPr>
        <w:t xml:space="preserve">, piperine, lamotrigine and </w:t>
      </w: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consistently demonstrate improved nasal residence, enhanced permeability and superior central or systemic bioavailability relative to conventional nasal solutions. Nonetheless, the field remains almost entirely preclinical, and questions of manufacturing scalability, long-term physical stability, and human translational relevance are only beginning to be addressed. The review closes by identifying priority research directions and articulating the principal limitations of the current evidence base.</w:t>
      </w:r>
    </w:p>
    <w:p w14:paraId="0EC7ECA5"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Keywords:</w:t>
      </w:r>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nanovesicles; in situ gel; nose-to-brain delivery; intranasal drug delivery; </w:t>
      </w:r>
      <w:proofErr w:type="spellStart"/>
      <w:r w:rsidRPr="00643D6C">
        <w:rPr>
          <w:rFonts w:ascii="Times New Roman" w:eastAsia="Times New Roman" w:hAnsi="Times New Roman" w:cs="Times New Roman"/>
          <w:sz w:val="24"/>
          <w:szCs w:val="24"/>
          <w:lang w:eastAsia="en-GB"/>
        </w:rPr>
        <w:t>mucoadhesion</w:t>
      </w:r>
      <w:proofErr w:type="spellEnd"/>
      <w:r w:rsidRPr="00643D6C">
        <w:rPr>
          <w:rFonts w:ascii="Times New Roman" w:eastAsia="Times New Roman" w:hAnsi="Times New Roman" w:cs="Times New Roman"/>
          <w:sz w:val="24"/>
          <w:szCs w:val="24"/>
          <w:lang w:eastAsia="en-GB"/>
        </w:rPr>
        <w:t>; edge activator; nasal drug targeting</w:t>
      </w:r>
    </w:p>
    <w:p w14:paraId="26CE333C"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4F904E9A"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 Introduction</w:t>
      </w:r>
    </w:p>
    <w:p w14:paraId="6E24408F"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1.1 Background and rationale</w:t>
      </w:r>
    </w:p>
    <w:p w14:paraId="7FCDAD40"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intranasal route has undergone a marked reappraisal over the past decade, moving from a niche option for locally acting decongestants and corticosteroids to a serious candidate for systemic and central nervous system (CNS) drug delivery. The nasal mucosa presents a large surface area, a dense vascular network beneath a relatively thin epithelium, and direct anatomical continuity with the CNS through the olfactory and trigeminal nerve pathways, all of which combine to make this route attractive for drugs that suffer from poor oral </w:t>
      </w:r>
      <w:r w:rsidRPr="00643D6C">
        <w:rPr>
          <w:rFonts w:ascii="Times New Roman" w:eastAsia="Times New Roman" w:hAnsi="Times New Roman" w:cs="Times New Roman"/>
          <w:sz w:val="24"/>
          <w:szCs w:val="24"/>
          <w:lang w:eastAsia="en-GB"/>
        </w:rPr>
        <w:lastRenderedPageBreak/>
        <w:t>bioavailability, extensive hepatic first-pass metabolism, or restricted access across the blood–brain barrier (BBB) (Drath et al., 2025). Two therapeutic aims are commonly pursued through nasal administration: nose-to-systemic delivery, in which the nasal mucosa functions principally as an absorptive surface analogous to, but faster acting than, the gastrointestinal tract, and nose-to-brain delivery, in which drug transport proceeds along olfactory and trigeminal neuronal and perineuronal pathways that bypass the BBB altogether (Drath et al., 2025; Meredith et al., 2015). Nasal delivery of larger and more fragile macromolecular payloads, including nucleic acid-based therapeutics, has also been explored as a further extension of this same anatomical rationale, illustrating the breadth of cargo types now being investigated via the nose-to-brain route (</w:t>
      </w:r>
      <w:proofErr w:type="spellStart"/>
      <w:r w:rsidRPr="00643D6C">
        <w:rPr>
          <w:rFonts w:ascii="Times New Roman" w:eastAsia="Times New Roman" w:hAnsi="Times New Roman" w:cs="Times New Roman"/>
          <w:sz w:val="24"/>
          <w:szCs w:val="24"/>
          <w:lang w:eastAsia="en-GB"/>
        </w:rPr>
        <w:t>Fachel</w:t>
      </w:r>
      <w:proofErr w:type="spellEnd"/>
      <w:r w:rsidRPr="00643D6C">
        <w:rPr>
          <w:rFonts w:ascii="Times New Roman" w:eastAsia="Times New Roman" w:hAnsi="Times New Roman" w:cs="Times New Roman"/>
          <w:sz w:val="24"/>
          <w:szCs w:val="24"/>
          <w:lang w:eastAsia="en-GB"/>
        </w:rPr>
        <w:t xml:space="preserve"> et al., 2025).</w:t>
      </w:r>
    </w:p>
    <w:p w14:paraId="107C6178"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Despite this anatomical promise, the clinical exploitation of the nasal route has long been constrained by two interlinked formulation problems. First, mucociliary clearance removes conventional nasal solutions from the absorptive surface within roughly fifteen to twenty minutes, leaving an unfavourably short contact time for drug permeation (Weyers et al., 2022). Second, the nasal epithelium, while more permeable than skin, still imposes a meaningful barrier to hydrophilic and high-molecular-weight therapeutic agents, so that unmodified aqueous solutions frequently achieve only modest absorption (</w:t>
      </w: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Overcoming both constraints simultaneously, without resorting to harsh permeation enhancers that can compromise ciliary function, has become a central preoccupation of nasal formulation science.</w:t>
      </w:r>
    </w:p>
    <w:p w14:paraId="0EB3FDC2"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1.2 Nose-to-brain and nose-to-systemic delivery: mechanistic basis</w:t>
      </w:r>
    </w:p>
    <w:p w14:paraId="2A1AA1B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Drug transport following nasal deposition can proceed by several parallel routes. Molecules deposited over the richly vascularised respiratory epithelium are absorbed into the systemic circulation and may subsequently cross the BBB if their physicochemical properties permit, while molecules reaching the narrower olfactory region at the roof of the nasal cavity can access the CNS directly through intracellular axonal transport within olfactory neurons or through extracellular pathways along perivascular and perineural channels associated with the olfactory and trigeminal nerves (Drath et al., 2025). The relative contribution of each pathway depends on the site of deposition, the physicochemical properties of the drug and carrier, and the residence time available before mucociliary clearance intervenes (Drath et al., 2025). Carrier systems that are simultaneously small enough to be endocytosed by olfactory and trigeminal axons, sufficiently mucoadhesive to resist premature clearance, and capable of protecting a labile drug from local enzymatic degradation are therefore positioned to exploit both systemic and direct CNS transport mechanisms (Meredith et al., 2015).</w:t>
      </w:r>
    </w:p>
    <w:p w14:paraId="5AB9CF34"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Vesicular nanocarriers occupy a distinctive niche among the technologies developed for this purpose. Liposomes and </w:t>
      </w:r>
      <w:proofErr w:type="spellStart"/>
      <w:r w:rsidRPr="00643D6C">
        <w:rPr>
          <w:rFonts w:ascii="Times New Roman" w:eastAsia="Times New Roman" w:hAnsi="Times New Roman" w:cs="Times New Roman"/>
          <w:sz w:val="24"/>
          <w:szCs w:val="24"/>
          <w:lang w:eastAsia="en-GB"/>
        </w:rPr>
        <w:t>niosomes</w:t>
      </w:r>
      <w:proofErr w:type="spellEnd"/>
      <w:r w:rsidRPr="00643D6C">
        <w:rPr>
          <w:rFonts w:ascii="Times New Roman" w:eastAsia="Times New Roman" w:hAnsi="Times New Roman" w:cs="Times New Roman"/>
          <w:sz w:val="24"/>
          <w:szCs w:val="24"/>
          <w:lang w:eastAsia="en-GB"/>
        </w:rPr>
        <w:t xml:space="preserve"> were the earliest colloidal vesicular systems applied to nasal delivery, but their comparatively rigid bilayers restrict passage through the narrow intercellular channels of the nasal epithelium and often compromise long-term physical stability (Nadim et al., 2025).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were developed specifically to address this rigidity: replacing the cholesterol component of a conventional </w:t>
      </w:r>
      <w:proofErr w:type="spellStart"/>
      <w:r w:rsidRPr="00643D6C">
        <w:rPr>
          <w:rFonts w:ascii="Times New Roman" w:eastAsia="Times New Roman" w:hAnsi="Times New Roman" w:cs="Times New Roman"/>
          <w:sz w:val="24"/>
          <w:szCs w:val="24"/>
          <w:lang w:eastAsia="en-GB"/>
        </w:rPr>
        <w:t>niosome</w:t>
      </w:r>
      <w:proofErr w:type="spellEnd"/>
      <w:r w:rsidRPr="00643D6C">
        <w:rPr>
          <w:rFonts w:ascii="Times New Roman" w:eastAsia="Times New Roman" w:hAnsi="Times New Roman" w:cs="Times New Roman"/>
          <w:sz w:val="24"/>
          <w:szCs w:val="24"/>
          <w:lang w:eastAsia="en-GB"/>
        </w:rPr>
        <w:t xml:space="preserve"> with a single-chain surfactant termed an edge activator introduces a zone of curvature instability into the bilayer, rendering the vesicle elastic and deformable while retaining the amphiphilic architecture needed to entrap both hydrophilic and lipophilic drugs (Nadim et al., 2025). This deformability allows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to squeeze through nasal mucosal pores considerably smaller than their own resting diameter, a property that has been exploited across ocular, transdermal, buccal and, increasingly, nasal routes of administration (Alharbi et al., 2022).</w:t>
      </w:r>
    </w:p>
    <w:p w14:paraId="254ED7CE"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 xml:space="preserve">Coupling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with an in situ gelling vehicle addresses the residence-time problem independently of the permeability problem that the vesicle itself resolves. In situ gelling systems are administered as free-flowing liquids that undergo a sol-to-gel phase transition upon contact with the nasal mucosa, triggered by temperature, pH or the ionic composition of nasal secretions, and the resulting semisolid matrix substantially prolongs mucosal contact time relative to a simple solution or dispersion (Salamah et al., 2025). When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are embedded within such a matrix, the vesicles are retained at the absorptive surface for longer, increasing the cumulative opportunity for permeation while the gel itself contributes additional mucoadhesive and viscosity-modifying properties (Salamah et al., 2025; </w:t>
      </w: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p w14:paraId="5CB9D27A"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1.3 Scope, research gap and objectives</w:t>
      </w:r>
    </w:p>
    <w:p w14:paraId="5FCC6796"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present review addresses the specific convergence of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 technology with in situ gelling systems for nasal application, a combination that has been explored in a growing but still fragmented body of preclinical literature spanning cerebrovascular agents, antiepileptics, antiemetics, migraine therapeutics and other CNS- or systemically-acting drugs. Although individual reviews exist on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as a general vesicular platform and on nasal in situ gels as a delivery vehicle, no prior synthesis has specifically integrated the formulation science of the combined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 system, examined its optimisation through design-of-experiments approaches, or critically appraised the consistency of the preclinical evidence across drug classes. This represents a meaningful gap, because the physicochemical interaction between a deformable vesicle and a gelling polymer matrix, including effects on vesicle stability, drug release kinetics and mucoadhesive force, cannot be inferred simply by summing the properties of the two components in isolation. The objectives of this review are, accordingly, threefold: to describe the compositional and mechanistic basis of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to critically appraise the preclinical evidence for their performance in nose-to-systemic and nose-to-brain delivery across a range of therapeutic agents; and to identify the translational, safety and regulatory considerations that will shape the future development of this delivery platform.</w:t>
      </w:r>
    </w:p>
    <w:p w14:paraId="3FAEDA75"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31FF82BC"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2. Methods for Literature Selection</w:t>
      </w:r>
    </w:p>
    <w:p w14:paraId="32474409"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2.1 Databases searched</w:t>
      </w:r>
    </w:p>
    <w:p w14:paraId="7309C9A9"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A structured literature search was conducted across Web of Science, Scopus, Google Scholar and PubMed, supplemented by five field-specific indexing resources considered appropriate to pharmaceutical nanotechnology and drug delivery science: ScienceDirect, SpringerLink, Wiley Online Library, the Directory of Open Access Journals, and the MDPI journal platform. These supplementary sources were selected because a substantial proportion of contemporary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and nasal in situ gel research is published in specialist pharmaceutics journals indexed across these platforms, and reliance on the four principal databases alone risked omitting recent, highly relevant primary studies.</w:t>
      </w:r>
    </w:p>
    <w:p w14:paraId="598A41AB"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2.2 Search strategy and time frame</w:t>
      </w:r>
    </w:p>
    <w:p w14:paraId="28061EE8"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Search strings combined the core technological term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OR "elastic </w:t>
      </w:r>
      <w:proofErr w:type="spellStart"/>
      <w:r w:rsidRPr="00643D6C">
        <w:rPr>
          <w:rFonts w:ascii="Times New Roman" w:eastAsia="Times New Roman" w:hAnsi="Times New Roman" w:cs="Times New Roman"/>
          <w:sz w:val="24"/>
          <w:szCs w:val="24"/>
          <w:lang w:eastAsia="en-GB"/>
        </w:rPr>
        <w:t>niosome</w:t>
      </w:r>
      <w:proofErr w:type="spellEnd"/>
      <w:r w:rsidRPr="00643D6C">
        <w:rPr>
          <w:rFonts w:ascii="Times New Roman" w:eastAsia="Times New Roman" w:hAnsi="Times New Roman" w:cs="Times New Roman"/>
          <w:sz w:val="24"/>
          <w:szCs w:val="24"/>
          <w:lang w:eastAsia="en-GB"/>
        </w:rPr>
        <w:t>*" OR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with formulation and route descriptors ("in situ gel*" OR </w:t>
      </w:r>
      <w:r w:rsidRPr="00643D6C">
        <w:rPr>
          <w:rFonts w:ascii="Times New Roman" w:eastAsia="Times New Roman" w:hAnsi="Times New Roman" w:cs="Times New Roman"/>
          <w:sz w:val="24"/>
          <w:szCs w:val="24"/>
          <w:lang w:eastAsia="en-GB"/>
        </w:rPr>
        <w:lastRenderedPageBreak/>
        <w:t xml:space="preserve">"thermosensitive gel*" OR "mucoadhesive gel*") and route/target descriptors ("nasal" OR "intranasal" OR "nose-to-brain" OR "nose to brain"), using Boolean operators and truncation appropriate to each platform's syntax. Supplementary searches addressed component technologies, including "poloxamer 407 nasal", "chitosan in situ gel nasal", "Box-Behnken nanoparticle optimisation", and "nasal mucociliary clearance", to ensure adequate coverage of the underlying formulation science. The literature search covered the period from 2011 to 30 March 2026. The lower boundary of 2011 was chosen because this period coincides with the earliest systematic description and pharmaceutical characterisation of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as a distinct carrier class, meaning that literature published before this date offers little of direct relevance to the technology under review; a small number of older foundational references on vesicle biophysics and </w:t>
      </w:r>
      <w:proofErr w:type="spellStart"/>
      <w:r w:rsidRPr="00643D6C">
        <w:rPr>
          <w:rFonts w:ascii="Times New Roman" w:eastAsia="Times New Roman" w:hAnsi="Times New Roman" w:cs="Times New Roman"/>
          <w:sz w:val="24"/>
          <w:szCs w:val="24"/>
          <w:lang w:eastAsia="en-GB"/>
        </w:rPr>
        <w:t>niosome</w:t>
      </w:r>
      <w:proofErr w:type="spellEnd"/>
      <w:r w:rsidRPr="00643D6C">
        <w:rPr>
          <w:rFonts w:ascii="Times New Roman" w:eastAsia="Times New Roman" w:hAnsi="Times New Roman" w:cs="Times New Roman"/>
          <w:sz w:val="24"/>
          <w:szCs w:val="24"/>
          <w:lang w:eastAsia="en-GB"/>
        </w:rPr>
        <w:t xml:space="preserve"> pharmacology were retained where they provide mechanistic grounding not superseded by more recent work.</w:t>
      </w:r>
    </w:p>
    <w:p w14:paraId="0DDC5F55"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2.3 Inclusion and exclusion criteria</w:t>
      </w:r>
    </w:p>
    <w:p w14:paraId="5A420A6E"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Studies were included if they reported original formulation, characterisation, optimisation or in vivo evaluation data for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or structurally related deformable nanovesicles incorporated into a nasal in situ gelling system, or if they provided methodologically or mechanistically relevant background on nasal anatomy, mucociliary physiology, vesicular drug delivery, or design-of-experiments approaches applicable to pharmaceutical </w:t>
      </w:r>
      <w:proofErr w:type="spellStart"/>
      <w:r w:rsidRPr="00643D6C">
        <w:rPr>
          <w:rFonts w:ascii="Times New Roman" w:eastAsia="Times New Roman" w:hAnsi="Times New Roman" w:cs="Times New Roman"/>
          <w:sz w:val="24"/>
          <w:szCs w:val="24"/>
          <w:lang w:eastAsia="en-GB"/>
        </w:rPr>
        <w:t>nanoformulation</w:t>
      </w:r>
      <w:proofErr w:type="spellEnd"/>
      <w:r w:rsidRPr="00643D6C">
        <w:rPr>
          <w:rFonts w:ascii="Times New Roman" w:eastAsia="Times New Roman" w:hAnsi="Times New Roman" w:cs="Times New Roman"/>
          <w:sz w:val="24"/>
          <w:szCs w:val="24"/>
          <w:lang w:eastAsia="en-GB"/>
        </w:rPr>
        <w:t xml:space="preserve">. Peer-reviewed original research articles and narrative or systematic reviews published in indexed journals were eligible. Authoritative regulatory guidance addressing nasal product performance testing was also considered where it bore directly on formulation evaluation. Books, conference proceedings, unpublished theses, preprints, patents, and trade or promotional publications were excluded, as were non-peer-reviewed sources and articles not available in English. Studies addressing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for non-nasal routes, such as ocular, transdermal or oral delivery, were retained selectively where they illustrated general formulation or mechanistic principles transferable to the nasal context, but were not treated as primary evidence for nasal performance.</w:t>
      </w:r>
    </w:p>
    <w:p w14:paraId="329713E6"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2.4 Rationale for narrative review approach</w:t>
      </w:r>
    </w:p>
    <w:p w14:paraId="68E334A5"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A narrative rather than systematic review methodology was adopted for this synthesis. The underlying literature on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is heterogeneous in design, comprising small preclinical formulation studies that vary widely in drug substance, animal model, outcome measure and reporting standard, a pattern that is poorly suited to the pooled quantitative synthesis and narrowly framed research question that a systematic review or meta-analysis requires (Sukhera, 2022). A narrative approach instead permits integration of formulation chemistry, optimisation methodology and preclinical pharmacology into a coherent technological account, situating individual studies within a broader mechanistic and translational context rather than reducing them to comparable numerical endpoints (Sukhera, 2022; Furley &amp; Goldschmied, 2021). This choice reflects an established distinction in the methodological literature between systematic reviews, which are best suited to answering narrowly defined, comparable clinical or empirical questions, and narrative reviews, which are more appropriate for synthesising and critiquing a conceptually diverse and rapidly evolving technical field such as this one (Furley &amp; Goldschmied, 2021).</w:t>
      </w:r>
    </w:p>
    <w:p w14:paraId="6F6792D4" w14:textId="77777777" w:rsidR="00643D6C" w:rsidRPr="00643D6C" w:rsidRDefault="00643D6C" w:rsidP="00643D6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2.5 Screening workflow and study selection</w:t>
      </w:r>
    </w:p>
    <w:p w14:paraId="7378B6A3"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 xml:space="preserve">Titles and abstracts retrieved from each database were screened for relevance to the combined technology of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and nasal in situ gelling systems, or to closely related formulation and mechanistic themes identified in Section 2.3. Duplicate records arising from overlapping database coverage were identified by comparison of title, author list and publication year and were retained only once. Full texts of records passing title and abstract screening were then examined in detail to confirm methodological adequacy and topical relevance, with particular attention paid to studies reporting complete formulation composition, characterisation data and, where applicable, in vivo pharmacokinetic or pharmacodynamic outcomes. Language was restricted to English throughout. Where several publications addressed formulation of the same drug substance by the same research group, the most methodologically complete and most recent report was prioritised as the primary source, with earlier reports cited only where they contributed distinct mechanistic or comparative information. Where full bibliographic metadata, in particular verified authorship, could not be confirmed for an otherwise relevant study, that study was excluded from citation rather than referenced incompletely. This approach, while not exhaustive in the manner of a systematic review, was designed to identify the influential and representative studies that define the current state of the field.</w:t>
      </w:r>
    </w:p>
    <w:p w14:paraId="79039382"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193ECBA7"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3. Nasal Anatomy, Physiology and Barriers to Drug Delivery</w:t>
      </w:r>
    </w:p>
    <w:p w14:paraId="19178F07"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 human nasal cavity is functionally divided into the vestibular, respiratory and olfactory regions, each contributing differently to drug absorption. The respiratory region, which constitutes the largest proportion of the nasal cavity, is lined by a pseudostratified ciliated epithelium overlying a densely vascularised lamina propria, and it is chiefly responsible for rapid systemic absorption of drugs deposited within it (Drath et al., 2025). The olfactory region, situated at the roof of the nasal cavity and considerably smaller in surface area, contains bipolar sensory neurons whose axons traverse the cribriform plate to synapse in the olfactory bulb, and it is this anatomical arrangement that provides the principal direct conduit from the nasal cavity to the CNS (Drath et al., 2025). The trigeminal nerve, which innervates both the respiratory and olfactory epithelia, offers a further, generally slower, route to the brainstem and deeper brain structures (Drath et al., 2025).</w:t>
      </w:r>
    </w:p>
    <w:p w14:paraId="37D6AC5A"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Three physiological barriers must be reconciled by any nasal formulation aiming for systemic or CNS delivery. The first is mucociliary clearance, whereby the coordinated beating of epithelial cilia propels the overlying mucus layer, and any dissolved or dispersed drug within it, towards the nasopharynx for swallowing within approximately fifteen minutes of deposition (Weyers et al., 2022). The second is the enzymatic and efflux barrier presented by the nasal epithelium itself, which, while considerably less extensive than hepatic first-pass metabolism, is nonetheless capable of degrading susceptible drug substances locally. The third is the physical permeability barrier of the epithelium and its tight junctions, which restricts paracellular transport of hydrophilic and macromolecular agents in particular (</w:t>
      </w: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Formulation strategies addressing nasal delivery must therefore simultaneously extend residence time against clearance, protect the drug from local degradation, and enhance transcellular or paracellular permeability, a combination of requirements that few single-component delivery systems can satisfy on their own (Formica et al., 2022).</w:t>
      </w:r>
    </w:p>
    <w:p w14:paraId="419EC400"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Regulatory and quality guidance for nasal spray products further specifies that formulations intended for deposition beyond the anterior vestibule should generate droplets with a median </w:t>
      </w:r>
      <w:r w:rsidRPr="00643D6C">
        <w:rPr>
          <w:rFonts w:ascii="Times New Roman" w:eastAsia="Times New Roman" w:hAnsi="Times New Roman" w:cs="Times New Roman"/>
          <w:sz w:val="24"/>
          <w:szCs w:val="24"/>
          <w:lang w:eastAsia="en-GB"/>
        </w:rPr>
        <w:lastRenderedPageBreak/>
        <w:t>volume diameter in the region of twenty to two hundred micrometres, since droplets smaller than approximately ten micrometres risk inhalation into the lower respiratory tract while excessively large droplets are deposited anteriorly and cleared without meaningful absorption (</w:t>
      </w: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These physical spray-performance characteristics, alongside gelation temperature, viscosity and mucoadhesive force, constitute the principal quality attributes against which nasal in situ gel formulations, including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systems, must be evaluated.</w:t>
      </w:r>
    </w:p>
    <w:p w14:paraId="02D1FC89"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4CD1C0A7"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 xml:space="preserve">4. </w:t>
      </w:r>
      <w:proofErr w:type="spellStart"/>
      <w:r w:rsidRPr="00643D6C">
        <w:rPr>
          <w:rFonts w:ascii="Times New Roman" w:eastAsia="Times New Roman" w:hAnsi="Times New Roman" w:cs="Times New Roman"/>
          <w:b/>
          <w:bCs/>
          <w:sz w:val="27"/>
          <w:szCs w:val="27"/>
          <w:lang w:eastAsia="en-GB"/>
        </w:rPr>
        <w:t>Spanlastic</w:t>
      </w:r>
      <w:proofErr w:type="spellEnd"/>
      <w:r w:rsidRPr="00643D6C">
        <w:rPr>
          <w:rFonts w:ascii="Times New Roman" w:eastAsia="Times New Roman" w:hAnsi="Times New Roman" w:cs="Times New Roman"/>
          <w:b/>
          <w:bCs/>
          <w:sz w:val="27"/>
          <w:szCs w:val="27"/>
          <w:lang w:eastAsia="en-GB"/>
        </w:rPr>
        <w:t xml:space="preserve"> Nanovesicles: Composition, Structure and Mechanism of Action</w:t>
      </w:r>
    </w:p>
    <w:p w14:paraId="25D898F2"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are colloidal bilayer structures composed of a non-ionic surfactant, most commonly a member of the sorbitan ester (Span) family, combined with a second, more hydrophilic surfactant acting as an edge activator, typically a polysorbate such as Tween 20, Tween 60 or Tween 80 (Nadim et al., 2025). Unlike conventional </w:t>
      </w:r>
      <w:proofErr w:type="spellStart"/>
      <w:r w:rsidRPr="00643D6C">
        <w:rPr>
          <w:rFonts w:ascii="Times New Roman" w:eastAsia="Times New Roman" w:hAnsi="Times New Roman" w:cs="Times New Roman"/>
          <w:sz w:val="24"/>
          <w:szCs w:val="24"/>
          <w:lang w:eastAsia="en-GB"/>
        </w:rPr>
        <w:t>niosomes</w:t>
      </w:r>
      <w:proofErr w:type="spellEnd"/>
      <w:r w:rsidRPr="00643D6C">
        <w:rPr>
          <w:rFonts w:ascii="Times New Roman" w:eastAsia="Times New Roman" w:hAnsi="Times New Roman" w:cs="Times New Roman"/>
          <w:sz w:val="24"/>
          <w:szCs w:val="24"/>
          <w:lang w:eastAsia="en-GB"/>
        </w:rPr>
        <w:t xml:space="preserve">, in which cholesterol rigidifies the bilayer and confers stability,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substitute the edge activator for cholesterol, and this component preferentially partitions into regions of high bilayer curvature, destabilising the membrane locally and conferring the elasticity that gives the carrier its name (</w:t>
      </w:r>
      <w:proofErr w:type="spellStart"/>
      <w:r w:rsidRPr="00643D6C">
        <w:rPr>
          <w:rFonts w:ascii="Times New Roman" w:eastAsia="Times New Roman" w:hAnsi="Times New Roman" w:cs="Times New Roman"/>
          <w:sz w:val="24"/>
          <w:szCs w:val="24"/>
          <w:lang w:eastAsia="en-GB"/>
        </w:rPr>
        <w:t>Elsaied</w:t>
      </w:r>
      <w:proofErr w:type="spellEnd"/>
      <w:r w:rsidRPr="00643D6C">
        <w:rPr>
          <w:rFonts w:ascii="Times New Roman" w:eastAsia="Times New Roman" w:hAnsi="Times New Roman" w:cs="Times New Roman"/>
          <w:sz w:val="24"/>
          <w:szCs w:val="24"/>
          <w:lang w:eastAsia="en-GB"/>
        </w:rPr>
        <w:t xml:space="preserve"> et al., 2019). The biophysical basis of this curvature-driven instability is consistent with more general principles of amphiphilic bilayer self-assembly and deformation described for giant vesicle model systems (Dimova et al., 2006). The resulting vesicles can deform under an applied stress sufficiently to pass through pores considerably narrower than their own equilibrium diameter, a property directly analogous to the mechanism proposed for </w:t>
      </w:r>
      <w:proofErr w:type="spellStart"/>
      <w:r w:rsidRPr="00643D6C">
        <w:rPr>
          <w:rFonts w:ascii="Times New Roman" w:eastAsia="Times New Roman" w:hAnsi="Times New Roman" w:cs="Times New Roman"/>
          <w:sz w:val="24"/>
          <w:szCs w:val="24"/>
          <w:lang w:eastAsia="en-GB"/>
        </w:rPr>
        <w:t>ultradeformable</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transfersomes</w:t>
      </w:r>
      <w:proofErr w:type="spellEnd"/>
      <w:r w:rsidRPr="00643D6C">
        <w:rPr>
          <w:rFonts w:ascii="Times New Roman" w:eastAsia="Times New Roman" w:hAnsi="Times New Roman" w:cs="Times New Roman"/>
          <w:sz w:val="24"/>
          <w:szCs w:val="24"/>
          <w:lang w:eastAsia="en-GB"/>
        </w:rPr>
        <w:t xml:space="preserve"> in transdermal delivery, and it is this deformability that is thought to underlie the enhanced mucosal permeation reported for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-based nasal formulations relative to rigid </w:t>
      </w:r>
      <w:proofErr w:type="spellStart"/>
      <w:r w:rsidRPr="00643D6C">
        <w:rPr>
          <w:rFonts w:ascii="Times New Roman" w:eastAsia="Times New Roman" w:hAnsi="Times New Roman" w:cs="Times New Roman"/>
          <w:sz w:val="24"/>
          <w:szCs w:val="24"/>
          <w:lang w:eastAsia="en-GB"/>
        </w:rPr>
        <w:t>niosomal</w:t>
      </w:r>
      <w:proofErr w:type="spellEnd"/>
      <w:r w:rsidRPr="00643D6C">
        <w:rPr>
          <w:rFonts w:ascii="Times New Roman" w:eastAsia="Times New Roman" w:hAnsi="Times New Roman" w:cs="Times New Roman"/>
          <w:sz w:val="24"/>
          <w:szCs w:val="24"/>
          <w:lang w:eastAsia="en-GB"/>
        </w:rPr>
        <w:t xml:space="preserve"> or liposomal comparators (Nadim et al., 2025).</w:t>
      </w:r>
    </w:p>
    <w:p w14:paraId="017030F8"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choice and ratio of surfactant to edge activator exert a dominant influence over vesicle size, entrapment efficiency and surface charge. Span 60, with its relatively high hydrophile–lipophile balance transition temperature and long saturated alkyl chain, is frequently selected as the vesicle-forming surfactant because it confers favourable bilayer rigidity and reduces premature drug leakage, while Tween 80 is a commonly preferred edge activator owing to its short, flexible </w:t>
      </w:r>
      <w:proofErr w:type="spellStart"/>
      <w:r w:rsidRPr="00643D6C">
        <w:rPr>
          <w:rFonts w:ascii="Times New Roman" w:eastAsia="Times New Roman" w:hAnsi="Times New Roman" w:cs="Times New Roman"/>
          <w:sz w:val="24"/>
          <w:szCs w:val="24"/>
          <w:lang w:eastAsia="en-GB"/>
        </w:rPr>
        <w:t>polyoxyethylene</w:t>
      </w:r>
      <w:proofErr w:type="spellEnd"/>
      <w:r w:rsidRPr="00643D6C">
        <w:rPr>
          <w:rFonts w:ascii="Times New Roman" w:eastAsia="Times New Roman" w:hAnsi="Times New Roman" w:cs="Times New Roman"/>
          <w:sz w:val="24"/>
          <w:szCs w:val="24"/>
          <w:lang w:eastAsia="en-GB"/>
        </w:rPr>
        <w:t xml:space="preserve"> chain and unsaturated alkyl tail, both of which promote the fluidity required for elasticity without destabilising the vesicle to the point of collapse (Salamah et al., 2025). Reported optimal ratios of surfactant to edge activator vary somewhat by drug and preparation method, but ratios in the region of eighty to twenty percent by weight recur across several independent formulation studies (Salamah et al., 2025). Penetration enhancers such as oleic acid are sometimes incorporated within the bilayer in addition to the primary surfactant pair, serving a dual function as both a component of vesicle architecture and an agent that further fluidises the nasal epithelial membrane to facilitate transcellular transport (Salamah et al., 2025).</w:t>
      </w:r>
    </w:p>
    <w:p w14:paraId="48133E49" w14:textId="77777777" w:rsidR="00643D6C" w:rsidRDefault="00643D6C" w:rsidP="00643D6C">
      <w:pPr>
        <w:spacing w:before="100" w:beforeAutospacing="1" w:after="100" w:afterAutospacing="1" w:line="240" w:lineRule="auto"/>
      </w:pPr>
      <w:r>
        <w:t xml:space="preserve">The versatility of this deformable architecture is not confined to the nasal route. </w:t>
      </w:r>
      <w:proofErr w:type="spellStart"/>
      <w:r>
        <w:t>Spanlastic</w:t>
      </w:r>
      <w:proofErr w:type="spellEnd"/>
      <w:r>
        <w:t xml:space="preserve"> elasticity has also been exploited to enhance ocular permeation of poorly soluble antifungal agents such as clotrimazole (</w:t>
      </w:r>
      <w:proofErr w:type="spellStart"/>
      <w:r>
        <w:t>Abdelbari</w:t>
      </w:r>
      <w:proofErr w:type="spellEnd"/>
      <w:r>
        <w:t xml:space="preserve"> et al., 2021) and to improve the oral bioavailability of poorly absorbed natural compounds such as epigallocatechin gallate through </w:t>
      </w:r>
      <w:proofErr w:type="spellStart"/>
      <w:r>
        <w:t>nanospanlastic</w:t>
      </w:r>
      <w:proofErr w:type="spellEnd"/>
      <w:r>
        <w:t xml:space="preserve"> encapsulation (</w:t>
      </w:r>
      <w:proofErr w:type="spellStart"/>
      <w:r>
        <w:rPr>
          <w:rStyle w:val="Strong"/>
        </w:rPr>
        <w:t>Mazyed</w:t>
      </w:r>
      <w:proofErr w:type="spellEnd"/>
      <w:r>
        <w:rPr>
          <w:rStyle w:val="Strong"/>
        </w:rPr>
        <w:t xml:space="preserve"> et al., 2021</w:t>
      </w:r>
      <w:r>
        <w:t xml:space="preserve">), illustrating the applicability of the same deformable-vesicle principle across mucosal barriers of differing permeability. Related elastic, non-ionic surfactant-based vesicles have also been </w:t>
      </w:r>
      <w:r>
        <w:lastRenderedPageBreak/>
        <w:t xml:space="preserve">applied to gene delivery, where elastic cationic </w:t>
      </w:r>
      <w:proofErr w:type="spellStart"/>
      <w:r>
        <w:t>niosomes</w:t>
      </w:r>
      <w:proofErr w:type="spellEnd"/>
      <w:r>
        <w:t xml:space="preserve"> enhanced expression of a loaded reporter gene relative to more conventional vesicular carriers (</w:t>
      </w:r>
      <w:proofErr w:type="spellStart"/>
      <w:r>
        <w:t>Khositsuntiwong</w:t>
      </w:r>
      <w:proofErr w:type="spellEnd"/>
      <w:r>
        <w:t xml:space="preserve"> et al., 2012), underscoring the broader applicability of deformable vesicular architecture beyond small-molecule drug delivery. More generally, </w:t>
      </w:r>
      <w:proofErr w:type="spellStart"/>
      <w:r>
        <w:t>nanovesicular</w:t>
      </w:r>
      <w:proofErr w:type="spellEnd"/>
      <w:r>
        <w:t xml:space="preserve"> carriers of this class have also been reported to enhance the oral bioavailability of poorly absorbed drugs (Ren et al., 2022), reinforcing the generalisability of vesicular deformability as a permeation-enhancing principle across administration routes.</w:t>
      </w:r>
    </w:p>
    <w:p w14:paraId="25494619"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Table 1 summarises representative compositions and physicochemical outcomes reported for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formulations intended for nasal or nose-to-brain application, illustrating the consistency of the general design principle across diverse drug substances while also highlighting the sensitivity of vesicle size, entrapment efficiency and zeta potential to comparatively modest changes in composition.</w:t>
      </w:r>
    </w:p>
    <w:p w14:paraId="0712E847"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 xml:space="preserve">Table 1. Representative compositions and physicochemical characteristics of </w:t>
      </w:r>
      <w:proofErr w:type="spellStart"/>
      <w:r w:rsidRPr="00643D6C">
        <w:rPr>
          <w:rFonts w:ascii="Times New Roman" w:eastAsia="Times New Roman" w:hAnsi="Times New Roman" w:cs="Times New Roman"/>
          <w:b/>
          <w:bCs/>
          <w:sz w:val="24"/>
          <w:szCs w:val="24"/>
          <w:lang w:eastAsia="en-GB"/>
        </w:rPr>
        <w:t>spanlastic</w:t>
      </w:r>
      <w:proofErr w:type="spellEnd"/>
      <w:r w:rsidRPr="00643D6C">
        <w:rPr>
          <w:rFonts w:ascii="Times New Roman" w:eastAsia="Times New Roman" w:hAnsi="Times New Roman" w:cs="Times New Roman"/>
          <w:b/>
          <w:bCs/>
          <w:sz w:val="24"/>
          <w:szCs w:val="24"/>
          <w:lang w:eastAsia="en-GB"/>
        </w:rPr>
        <w:t xml:space="preserve"> nanovesicles developed for nasal and nose-to-brain delivery</w:t>
      </w:r>
    </w:p>
    <w:tbl>
      <w:tblPr>
        <w:tblStyle w:val="TableGrid"/>
        <w:tblW w:w="0" w:type="auto"/>
        <w:tblLook w:val="04A0" w:firstRow="1" w:lastRow="0" w:firstColumn="1" w:lastColumn="0" w:noHBand="0" w:noVBand="1"/>
      </w:tblPr>
      <w:tblGrid>
        <w:gridCol w:w="1627"/>
        <w:gridCol w:w="1213"/>
        <w:gridCol w:w="1187"/>
        <w:gridCol w:w="1389"/>
        <w:gridCol w:w="1414"/>
        <w:gridCol w:w="1414"/>
        <w:gridCol w:w="998"/>
      </w:tblGrid>
      <w:tr w:rsidR="00643D6C" w:rsidRPr="00643D6C" w14:paraId="6CC0856C" w14:textId="77777777" w:rsidTr="00981AA8">
        <w:tc>
          <w:tcPr>
            <w:tcW w:w="0" w:type="auto"/>
            <w:hideMark/>
          </w:tcPr>
          <w:p w14:paraId="7B65B24C"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Drug</w:t>
            </w:r>
          </w:p>
        </w:tc>
        <w:tc>
          <w:tcPr>
            <w:tcW w:w="0" w:type="auto"/>
            <w:hideMark/>
          </w:tcPr>
          <w:p w14:paraId="07760AE5"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Vesicle-forming surfactant</w:t>
            </w:r>
          </w:p>
        </w:tc>
        <w:tc>
          <w:tcPr>
            <w:tcW w:w="0" w:type="auto"/>
            <w:hideMark/>
          </w:tcPr>
          <w:p w14:paraId="568C9B47"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Edge activator</w:t>
            </w:r>
          </w:p>
        </w:tc>
        <w:tc>
          <w:tcPr>
            <w:tcW w:w="0" w:type="auto"/>
            <w:hideMark/>
          </w:tcPr>
          <w:p w14:paraId="6B2DD373"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Preparation method</w:t>
            </w:r>
          </w:p>
        </w:tc>
        <w:tc>
          <w:tcPr>
            <w:tcW w:w="0" w:type="auto"/>
            <w:hideMark/>
          </w:tcPr>
          <w:p w14:paraId="5815C8C1"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vesicle size (nm)</w:t>
            </w:r>
          </w:p>
        </w:tc>
        <w:tc>
          <w:tcPr>
            <w:tcW w:w="0" w:type="auto"/>
            <w:hideMark/>
          </w:tcPr>
          <w:p w14:paraId="56C37631"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Entrapment efficiency (%)</w:t>
            </w:r>
          </w:p>
        </w:tc>
        <w:tc>
          <w:tcPr>
            <w:tcW w:w="0" w:type="auto"/>
            <w:hideMark/>
          </w:tcPr>
          <w:p w14:paraId="239A2D17"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5F59082B" w14:textId="77777777" w:rsidTr="00981AA8">
        <w:tc>
          <w:tcPr>
            <w:tcW w:w="0" w:type="auto"/>
            <w:hideMark/>
          </w:tcPr>
          <w:p w14:paraId="30CB77A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Cilostazol</w:t>
            </w:r>
          </w:p>
        </w:tc>
        <w:tc>
          <w:tcPr>
            <w:tcW w:w="0" w:type="auto"/>
            <w:hideMark/>
          </w:tcPr>
          <w:p w14:paraId="08BAC9A5"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00D66F5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 (with oleic acid)</w:t>
            </w:r>
          </w:p>
        </w:tc>
        <w:tc>
          <w:tcPr>
            <w:tcW w:w="0" w:type="auto"/>
            <w:hideMark/>
          </w:tcPr>
          <w:p w14:paraId="3D7A69D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Ethanol injection</w:t>
            </w:r>
          </w:p>
        </w:tc>
        <w:tc>
          <w:tcPr>
            <w:tcW w:w="0" w:type="auto"/>
            <w:hideMark/>
          </w:tcPr>
          <w:p w14:paraId="1C3B6C5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&lt;300</w:t>
            </w:r>
          </w:p>
        </w:tc>
        <w:tc>
          <w:tcPr>
            <w:tcW w:w="0" w:type="auto"/>
            <w:hideMark/>
          </w:tcPr>
          <w:p w14:paraId="2EB942D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&gt;99</w:t>
            </w:r>
          </w:p>
        </w:tc>
        <w:tc>
          <w:tcPr>
            <w:tcW w:w="0" w:type="auto"/>
            <w:hideMark/>
          </w:tcPr>
          <w:p w14:paraId="14461324"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7F5527E2" w14:textId="77777777" w:rsidTr="00981AA8">
        <w:tc>
          <w:tcPr>
            <w:tcW w:w="0" w:type="auto"/>
            <w:hideMark/>
          </w:tcPr>
          <w:p w14:paraId="759B4D62"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Rasagiline mesylate</w:t>
            </w:r>
          </w:p>
        </w:tc>
        <w:tc>
          <w:tcPr>
            <w:tcW w:w="0" w:type="auto"/>
            <w:hideMark/>
          </w:tcPr>
          <w:p w14:paraId="61F49ACA"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7FE330B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49CFD31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vs. modified spraying</w:t>
            </w:r>
          </w:p>
        </w:tc>
        <w:tc>
          <w:tcPr>
            <w:tcW w:w="0" w:type="auto"/>
            <w:hideMark/>
          </w:tcPr>
          <w:p w14:paraId="44E0E1D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02456E9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3CB177F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Ali et al. (2023)</w:t>
            </w:r>
          </w:p>
        </w:tc>
      </w:tr>
      <w:tr w:rsidR="00643D6C" w:rsidRPr="00643D6C" w14:paraId="6A277C95" w14:textId="77777777" w:rsidTr="00981AA8">
        <w:tc>
          <w:tcPr>
            <w:tcW w:w="0" w:type="auto"/>
            <w:hideMark/>
          </w:tcPr>
          <w:p w14:paraId="00E80D6E"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Flibanserin</w:t>
            </w:r>
            <w:proofErr w:type="spellEnd"/>
          </w:p>
        </w:tc>
        <w:tc>
          <w:tcPr>
            <w:tcW w:w="0" w:type="auto"/>
            <w:hideMark/>
          </w:tcPr>
          <w:p w14:paraId="6157E00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033AF0D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 (response-surface optimised)</w:t>
            </w:r>
          </w:p>
        </w:tc>
        <w:tc>
          <w:tcPr>
            <w:tcW w:w="0" w:type="auto"/>
            <w:hideMark/>
          </w:tcPr>
          <w:p w14:paraId="0736748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w:t>
            </w:r>
          </w:p>
        </w:tc>
        <w:tc>
          <w:tcPr>
            <w:tcW w:w="0" w:type="auto"/>
            <w:hideMark/>
          </w:tcPr>
          <w:p w14:paraId="4F20FB4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3F554913"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45E12A7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Alharbi et al. (2022)</w:t>
            </w:r>
          </w:p>
        </w:tc>
      </w:tr>
      <w:tr w:rsidR="00643D6C" w:rsidRPr="00643D6C" w14:paraId="3CE0FC74" w14:textId="77777777" w:rsidTr="00981AA8">
        <w:tc>
          <w:tcPr>
            <w:tcW w:w="0" w:type="auto"/>
            <w:hideMark/>
          </w:tcPr>
          <w:p w14:paraId="07E3606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Carbamazepine</w:t>
            </w:r>
          </w:p>
        </w:tc>
        <w:tc>
          <w:tcPr>
            <w:tcW w:w="0" w:type="auto"/>
            <w:hideMark/>
          </w:tcPr>
          <w:p w14:paraId="38F64E6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5C2B5A8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063BD57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(2³ factorial design)</w:t>
            </w:r>
          </w:p>
        </w:tc>
        <w:tc>
          <w:tcPr>
            <w:tcW w:w="0" w:type="auto"/>
            <w:hideMark/>
          </w:tcPr>
          <w:p w14:paraId="4078FE7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7CC6D29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Formulation-dependent</w:t>
            </w:r>
          </w:p>
        </w:tc>
        <w:tc>
          <w:tcPr>
            <w:tcW w:w="0" w:type="auto"/>
            <w:hideMark/>
          </w:tcPr>
          <w:p w14:paraId="728A40B3"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Yassin et al. (2019)</w:t>
            </w:r>
          </w:p>
        </w:tc>
      </w:tr>
      <w:tr w:rsidR="00643D6C" w:rsidRPr="00643D6C" w14:paraId="51136EEA" w14:textId="77777777" w:rsidTr="00981AA8">
        <w:tc>
          <w:tcPr>
            <w:tcW w:w="0" w:type="auto"/>
            <w:hideMark/>
          </w:tcPr>
          <w:p w14:paraId="1E41B77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Piperine</w:t>
            </w:r>
          </w:p>
        </w:tc>
        <w:tc>
          <w:tcPr>
            <w:tcW w:w="0" w:type="auto"/>
            <w:hideMark/>
          </w:tcPr>
          <w:p w14:paraId="5A29564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Span 60</w:t>
            </w:r>
          </w:p>
        </w:tc>
        <w:tc>
          <w:tcPr>
            <w:tcW w:w="0" w:type="auto"/>
            <w:hideMark/>
          </w:tcPr>
          <w:p w14:paraId="7EE0E00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Tween 80</w:t>
            </w:r>
          </w:p>
        </w:tc>
        <w:tc>
          <w:tcPr>
            <w:tcW w:w="0" w:type="auto"/>
            <w:hideMark/>
          </w:tcPr>
          <w:p w14:paraId="13FE4EE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Thin-film hydration (Box–Behnken design)</w:t>
            </w:r>
          </w:p>
        </w:tc>
        <w:tc>
          <w:tcPr>
            <w:tcW w:w="0" w:type="auto"/>
            <w:hideMark/>
          </w:tcPr>
          <w:p w14:paraId="1E257A7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152.4</w:t>
            </w:r>
          </w:p>
        </w:tc>
        <w:tc>
          <w:tcPr>
            <w:tcW w:w="0" w:type="auto"/>
            <w:hideMark/>
          </w:tcPr>
          <w:p w14:paraId="1ED6ECF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72.9</w:t>
            </w:r>
          </w:p>
        </w:tc>
        <w:tc>
          <w:tcPr>
            <w:tcW w:w="0" w:type="auto"/>
            <w:hideMark/>
          </w:tcPr>
          <w:p w14:paraId="364D5DC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Gupta et al. (2023)</w:t>
            </w:r>
          </w:p>
        </w:tc>
      </w:tr>
    </w:tbl>
    <w:p w14:paraId="7192D5C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vesicle sizes and entrapment efficiencies reported across these studies are broadly consistent with the ranges considered favourable for nose-to-brain delivery, since particles below approximately three hundred nanometres are generally regarded as capable of transiting the olfactory pathway and accessing the brain following intranasal administration (Salamah et al., 2025). Zeta potential, whether strongly negative or, where chitosan-based components are present, positive, is likewise consistently reported as a determinant of </w:t>
      </w:r>
      <w:r w:rsidRPr="00643D6C">
        <w:rPr>
          <w:rFonts w:ascii="Times New Roman" w:eastAsia="Times New Roman" w:hAnsi="Times New Roman" w:cs="Times New Roman"/>
          <w:sz w:val="24"/>
          <w:szCs w:val="24"/>
          <w:lang w:eastAsia="en-GB"/>
        </w:rPr>
        <w:lastRenderedPageBreak/>
        <w:t>colloidal stability, with values exceeding an absolute magnitude of approximately thirty millivolts generally associated with resistance to aggregation during storage (Salamah et al., 2025).</w:t>
      </w:r>
    </w:p>
    <w:p w14:paraId="291F49A5"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30591496"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 xml:space="preserve">5. Methods of </w:t>
      </w:r>
      <w:proofErr w:type="spellStart"/>
      <w:r w:rsidRPr="00643D6C">
        <w:rPr>
          <w:rFonts w:ascii="Times New Roman" w:eastAsia="Times New Roman" w:hAnsi="Times New Roman" w:cs="Times New Roman"/>
          <w:b/>
          <w:bCs/>
          <w:sz w:val="27"/>
          <w:szCs w:val="27"/>
          <w:lang w:eastAsia="en-GB"/>
        </w:rPr>
        <w:t>Spanlastic</w:t>
      </w:r>
      <w:proofErr w:type="spellEnd"/>
      <w:r w:rsidRPr="00643D6C">
        <w:rPr>
          <w:rFonts w:ascii="Times New Roman" w:eastAsia="Times New Roman" w:hAnsi="Times New Roman" w:cs="Times New Roman"/>
          <w:b/>
          <w:bCs/>
          <w:sz w:val="27"/>
          <w:szCs w:val="27"/>
          <w:lang w:eastAsia="en-GB"/>
        </w:rPr>
        <w:t xml:space="preserve"> Preparation and Physicochemical Characterisation</w:t>
      </w:r>
    </w:p>
    <w:p w14:paraId="64778992"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Two preparation techniques dominate the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 literature: thin-film hydration and ethanol injection, with a modified spraying technique also reported as a scalable alternative in more recent work. In thin-film hydration, the surfactant and edge activator are dissolved in a volatile organic solvent, which is then removed under reduced pressure to leave a thin lipid film on the wall of a rotating flask; hydration of this film with an aqueous phase containing the drug generates multilamellar vesicles, which are subsequently reduced in size and lamellarity by sonication or extrusion (Gupta et al., 2023). Ethanol injection instead involves dissolving the surfactant components and drug in ethanol and injecting this organic phase directly into a preheated aqueous solution of the edge activator under continuous stirring, whereupon vesicles self-assemble as the ethanol diffuses into the bulk aqueous phase; this method avoids the film-formation step and is often reported as more readily scalable and reproducible (Salamah et al., 2025). A modified spraying technique, in which the organic phase is atomised into the aqueous phase rather than injected as a bolus, has been directly compared with thin-film hydration for rasagiline-loaded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and was found to yield more consistent particle size distribution and higher statistical robustness under design-of-experiments optimisation (Ali et al., 2023).</w:t>
      </w:r>
    </w:p>
    <w:p w14:paraId="58E58007"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Following preparation,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dispersions are routinely characterised for vesicle size and polydispersity index by dynamic light scattering, for surface charge by zeta potential measurement, and for entrapment efficiency by ultracentrifugation or dialysis separation of free from vesicle-associated drug followed by quantification of the supernatant or dialysate by high-performance liquid chromatography or ultraviolet spectrophotometry (Salamah et al., 2025). Morphological confirmation of spherical, </w:t>
      </w:r>
      <w:proofErr w:type="spellStart"/>
      <w:r w:rsidRPr="00643D6C">
        <w:rPr>
          <w:rFonts w:ascii="Times New Roman" w:eastAsia="Times New Roman" w:hAnsi="Times New Roman" w:cs="Times New Roman"/>
          <w:sz w:val="24"/>
          <w:szCs w:val="24"/>
          <w:lang w:eastAsia="en-GB"/>
        </w:rPr>
        <w:t>unilamellar</w:t>
      </w:r>
      <w:proofErr w:type="spellEnd"/>
      <w:r w:rsidRPr="00643D6C">
        <w:rPr>
          <w:rFonts w:ascii="Times New Roman" w:eastAsia="Times New Roman" w:hAnsi="Times New Roman" w:cs="Times New Roman"/>
          <w:sz w:val="24"/>
          <w:szCs w:val="24"/>
          <w:lang w:eastAsia="en-GB"/>
        </w:rPr>
        <w:t xml:space="preserve"> vesicle architecture is typically obtained by transmission electron microscopy (Yassin et al., 2019). Fourier-transform infrared spectroscopy and differential scanning calorimetry are commonly employed to confirm the absence of unfavourable chemical interaction between drug and excipients and to characterise any change in the drug's crystalline or amorphous state upon encapsulation (Salamah et al., 2025). Deformability or elasticity, the defining functional attribute of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is most often assessed indirectly by measuring the extrusion pressure or extrusion rate required to force the vesicle dispersion through a membrane of defined pore size smaller than the vesicle's own resting diameter, with lower required pressure or faster extrusion interpreted as evidence of greater elasticity (Nadim et al., 2025).</w:t>
      </w:r>
    </w:p>
    <w:p w14:paraId="776D6C26"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3BDAE551"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6. In Situ Gelling Systems for Nasal Application</w:t>
      </w:r>
    </w:p>
    <w:p w14:paraId="579C2379"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In situ gelling systems undergo a reversible sol-to-gel phase transition triggered by a physiological stimulus encountered upon nasal deposition, and three classes of trigger dominate the nasal formulation literature: thermal transition, ionic cross-linking and pH-responsive gelation. Thermosensitive systems based on poloxamer 407, frequently blended with poloxamer 188 to fine-tune the gelation temperature towards the range encountered in </w:t>
      </w:r>
      <w:r w:rsidRPr="00643D6C">
        <w:rPr>
          <w:rFonts w:ascii="Times New Roman" w:eastAsia="Times New Roman" w:hAnsi="Times New Roman" w:cs="Times New Roman"/>
          <w:sz w:val="24"/>
          <w:szCs w:val="24"/>
          <w:lang w:eastAsia="en-GB"/>
        </w:rPr>
        <w:lastRenderedPageBreak/>
        <w:t xml:space="preserve">the nasal cavity, remain the most widely used approach; poloxamer 407 self-assembles into micelles that pack into a cubic gel lattice as temperature rises past a critical solution temperature, and the addition of poloxamer 188 or mucoadhesive polymers such as polycarbophil can shift this transition temperature closer to the desired range of approximately thirty to thirty-five degrees Celsius while also improving </w:t>
      </w:r>
      <w:proofErr w:type="spellStart"/>
      <w:r w:rsidRPr="00643D6C">
        <w:rPr>
          <w:rFonts w:ascii="Times New Roman" w:eastAsia="Times New Roman" w:hAnsi="Times New Roman" w:cs="Times New Roman"/>
          <w:sz w:val="24"/>
          <w:szCs w:val="24"/>
          <w:lang w:eastAsia="en-GB"/>
        </w:rPr>
        <w:t>bioadhesive</w:t>
      </w:r>
      <w:proofErr w:type="spellEnd"/>
      <w:r w:rsidRPr="00643D6C">
        <w:rPr>
          <w:rFonts w:ascii="Times New Roman" w:eastAsia="Times New Roman" w:hAnsi="Times New Roman" w:cs="Times New Roman"/>
          <w:sz w:val="24"/>
          <w:szCs w:val="24"/>
          <w:lang w:eastAsia="en-GB"/>
        </w:rPr>
        <w:t xml:space="preserve"> strength (</w:t>
      </w: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 Ion-triggered systems typically employ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marketed as Phytagel or </w:t>
      </w:r>
      <w:proofErr w:type="spellStart"/>
      <w:r w:rsidRPr="00643D6C">
        <w:rPr>
          <w:rFonts w:ascii="Times New Roman" w:eastAsia="Times New Roman" w:hAnsi="Times New Roman" w:cs="Times New Roman"/>
          <w:sz w:val="24"/>
          <w:szCs w:val="24"/>
          <w:lang w:eastAsia="en-GB"/>
        </w:rPr>
        <w:t>Gelrite</w:t>
      </w:r>
      <w:proofErr w:type="spellEnd"/>
      <w:r w:rsidRPr="00643D6C">
        <w:rPr>
          <w:rFonts w:ascii="Times New Roman" w:eastAsia="Times New Roman" w:hAnsi="Times New Roman" w:cs="Times New Roman"/>
          <w:sz w:val="24"/>
          <w:szCs w:val="24"/>
          <w:lang w:eastAsia="en-GB"/>
        </w:rPr>
        <w:t>, which forms a physically cross-linked gel network in the presence of the divalent and monovalent cations naturally present in nasal secretions (Salamah et al., 2025). Chitosan-based systems exploit the polymer's cationic character, which promotes both pH- and ion-dependent gelation and additionally confers intrinsic mucoadhesive character through electrostatic interaction with the negatively charged sialic acid residues of mucin (Salamah et al., 2025).</w:t>
      </w:r>
    </w:p>
    <w:p w14:paraId="1C09CB00"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general strategy of combining a nasal in situ gelling vehicle with a brain-targeted small molecule predates the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-specific literature. An early mucoadhesive, temperature-mediated in situ gel containing ropinirole demonstrated enhanced brain-targeting efficiency following intranasal administration in rats, establishing an important precedent for the gel-based platform subsequently adapted to </w:t>
      </w:r>
      <w:proofErr w:type="spellStart"/>
      <w:r w:rsidRPr="00643D6C">
        <w:rPr>
          <w:rFonts w:ascii="Times New Roman" w:eastAsia="Times New Roman" w:hAnsi="Times New Roman" w:cs="Times New Roman"/>
          <w:sz w:val="24"/>
          <w:szCs w:val="24"/>
          <w:lang w:eastAsia="en-GB"/>
        </w:rPr>
        <w:t>nanovesicular</w:t>
      </w:r>
      <w:proofErr w:type="spellEnd"/>
      <w:r w:rsidRPr="00643D6C">
        <w:rPr>
          <w:rFonts w:ascii="Times New Roman" w:eastAsia="Times New Roman" w:hAnsi="Times New Roman" w:cs="Times New Roman"/>
          <w:sz w:val="24"/>
          <w:szCs w:val="24"/>
          <w:lang w:eastAsia="en-GB"/>
        </w:rPr>
        <w:t xml:space="preserve"> carriers (Khan et al., 2010).</w:t>
      </w:r>
    </w:p>
    <w:p w14:paraId="3EBD8402"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selection of gelling matrix exerts a demonstrable influence on the performance of the embedded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In a direct comparison of cilostazol-loaded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incorporated into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poloxamer 407 and chitosan gel bases, the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formulation exhibited the strongest gel structure and highest viscosity but the lowest in vitro permeation, attributed to the dense gel network impeding drug diffusion, whereas the poloxamer 407 and chitosan formulations achieved higher permeation while retaining adequate mucoadhesive force (Salamah et al., 2025). This finding illustrates a broader formulation trade-off recurring across the literature: gelling systems that maximise </w:t>
      </w:r>
      <w:proofErr w:type="spellStart"/>
      <w:r w:rsidRPr="00643D6C">
        <w:rPr>
          <w:rFonts w:ascii="Times New Roman" w:eastAsia="Times New Roman" w:hAnsi="Times New Roman" w:cs="Times New Roman"/>
          <w:sz w:val="24"/>
          <w:szCs w:val="24"/>
          <w:lang w:eastAsia="en-GB"/>
        </w:rPr>
        <w:t>mucoadhesion</w:t>
      </w:r>
      <w:proofErr w:type="spellEnd"/>
      <w:r w:rsidRPr="00643D6C">
        <w:rPr>
          <w:rFonts w:ascii="Times New Roman" w:eastAsia="Times New Roman" w:hAnsi="Times New Roman" w:cs="Times New Roman"/>
          <w:sz w:val="24"/>
          <w:szCs w:val="24"/>
          <w:lang w:eastAsia="en-GB"/>
        </w:rPr>
        <w:t xml:space="preserve"> and residence time do not necessarily maximise permeation, and optimal performance appears to depend on balancing gel strength against diffusional resistance for the specific drug and vesicle system under development (</w:t>
      </w: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p w14:paraId="077E25BC"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Table 2 summarises the principal classes of in situ gelling polymer used in combination with nasal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together with their gelation trigger, characteristic advantages and reported limitations.</w:t>
      </w:r>
    </w:p>
    <w:p w14:paraId="0D7A4B15"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 xml:space="preserve">Table 2. Comparison of in situ gelling polymer systems used in nasal </w:t>
      </w:r>
      <w:proofErr w:type="spellStart"/>
      <w:r w:rsidRPr="00643D6C">
        <w:rPr>
          <w:rFonts w:ascii="Times New Roman" w:eastAsia="Times New Roman" w:hAnsi="Times New Roman" w:cs="Times New Roman"/>
          <w:b/>
          <w:bCs/>
          <w:sz w:val="24"/>
          <w:szCs w:val="24"/>
          <w:lang w:eastAsia="en-GB"/>
        </w:rPr>
        <w:t>nanospanlastic</w:t>
      </w:r>
      <w:proofErr w:type="spellEnd"/>
      <w:r w:rsidRPr="00643D6C">
        <w:rPr>
          <w:rFonts w:ascii="Times New Roman" w:eastAsia="Times New Roman" w:hAnsi="Times New Roman" w:cs="Times New Roman"/>
          <w:b/>
          <w:bCs/>
          <w:sz w:val="24"/>
          <w:szCs w:val="24"/>
          <w:lang w:eastAsia="en-GB"/>
        </w:rPr>
        <w:t xml:space="preserve"> formulations</w:t>
      </w:r>
    </w:p>
    <w:tbl>
      <w:tblPr>
        <w:tblStyle w:val="TableGrid"/>
        <w:tblW w:w="0" w:type="auto"/>
        <w:tblLook w:val="04A0" w:firstRow="1" w:lastRow="0" w:firstColumn="1" w:lastColumn="0" w:noHBand="0" w:noVBand="1"/>
      </w:tblPr>
      <w:tblGrid>
        <w:gridCol w:w="2665"/>
        <w:gridCol w:w="1616"/>
        <w:gridCol w:w="1908"/>
        <w:gridCol w:w="1691"/>
        <w:gridCol w:w="1362"/>
      </w:tblGrid>
      <w:tr w:rsidR="00643D6C" w:rsidRPr="00643D6C" w14:paraId="131ABFFF" w14:textId="77777777" w:rsidTr="00981AA8">
        <w:tc>
          <w:tcPr>
            <w:tcW w:w="0" w:type="auto"/>
            <w:hideMark/>
          </w:tcPr>
          <w:p w14:paraId="279F176F"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Polymer system</w:t>
            </w:r>
          </w:p>
        </w:tc>
        <w:tc>
          <w:tcPr>
            <w:tcW w:w="0" w:type="auto"/>
            <w:hideMark/>
          </w:tcPr>
          <w:p w14:paraId="1D52B6A6"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Gelation trigger</w:t>
            </w:r>
          </w:p>
        </w:tc>
        <w:tc>
          <w:tcPr>
            <w:tcW w:w="0" w:type="auto"/>
            <w:hideMark/>
          </w:tcPr>
          <w:p w14:paraId="0935B010"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advantages</w:t>
            </w:r>
          </w:p>
        </w:tc>
        <w:tc>
          <w:tcPr>
            <w:tcW w:w="0" w:type="auto"/>
            <w:hideMark/>
          </w:tcPr>
          <w:p w14:paraId="6BAFFA4D"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Reported limitations</w:t>
            </w:r>
          </w:p>
        </w:tc>
        <w:tc>
          <w:tcPr>
            <w:tcW w:w="0" w:type="auto"/>
            <w:hideMark/>
          </w:tcPr>
          <w:p w14:paraId="5922476B"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4DE704B5" w14:textId="77777777" w:rsidTr="00981AA8">
        <w:tc>
          <w:tcPr>
            <w:tcW w:w="0" w:type="auto"/>
            <w:hideMark/>
          </w:tcPr>
          <w:p w14:paraId="0444513D"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Poloxamer 407 (± poloxamer 188)</w:t>
            </w:r>
          </w:p>
        </w:tc>
        <w:tc>
          <w:tcPr>
            <w:tcW w:w="0" w:type="auto"/>
            <w:hideMark/>
          </w:tcPr>
          <w:p w14:paraId="4BED3C1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Thermal (sol–gel transition near nasal temperature)</w:t>
            </w:r>
          </w:p>
        </w:tc>
        <w:tc>
          <w:tcPr>
            <w:tcW w:w="0" w:type="auto"/>
            <w:hideMark/>
          </w:tcPr>
          <w:p w14:paraId="672741A1"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Tunable</w:t>
            </w:r>
            <w:proofErr w:type="spellEnd"/>
            <w:r w:rsidRPr="00643D6C">
              <w:rPr>
                <w:rFonts w:ascii="Times New Roman" w:eastAsia="Times New Roman" w:hAnsi="Times New Roman" w:cs="Times New Roman"/>
                <w:sz w:val="24"/>
                <w:szCs w:val="24"/>
                <w:lang w:eastAsia="en-GB"/>
              </w:rPr>
              <w:t xml:space="preserve"> gelation temperature; widely characterised; compatible with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dispersions</w:t>
            </w:r>
          </w:p>
        </w:tc>
        <w:tc>
          <w:tcPr>
            <w:tcW w:w="0" w:type="auto"/>
            <w:hideMark/>
          </w:tcPr>
          <w:p w14:paraId="680DA051"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Weak intrinsic </w:t>
            </w:r>
            <w:proofErr w:type="spellStart"/>
            <w:r w:rsidRPr="00643D6C">
              <w:rPr>
                <w:rFonts w:ascii="Times New Roman" w:eastAsia="Times New Roman" w:hAnsi="Times New Roman" w:cs="Times New Roman"/>
                <w:sz w:val="24"/>
                <w:szCs w:val="24"/>
                <w:lang w:eastAsia="en-GB"/>
              </w:rPr>
              <w:t>mucoadhesion</w:t>
            </w:r>
            <w:proofErr w:type="spellEnd"/>
            <w:r w:rsidRPr="00643D6C">
              <w:rPr>
                <w:rFonts w:ascii="Times New Roman" w:eastAsia="Times New Roman" w:hAnsi="Times New Roman" w:cs="Times New Roman"/>
                <w:sz w:val="24"/>
                <w:szCs w:val="24"/>
                <w:lang w:eastAsia="en-GB"/>
              </w:rPr>
              <w:t>; may require mucoadhesive polymer blending</w:t>
            </w:r>
          </w:p>
        </w:tc>
        <w:tc>
          <w:tcPr>
            <w:tcW w:w="0" w:type="auto"/>
            <w:hideMark/>
          </w:tcPr>
          <w:p w14:paraId="6DCC33AA"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 Salamah et al. (2025)</w:t>
            </w:r>
          </w:p>
        </w:tc>
      </w:tr>
      <w:tr w:rsidR="00643D6C" w:rsidRPr="00643D6C" w14:paraId="526BCAE6" w14:textId="77777777" w:rsidTr="00981AA8">
        <w:tc>
          <w:tcPr>
            <w:tcW w:w="0" w:type="auto"/>
            <w:hideMark/>
          </w:tcPr>
          <w:p w14:paraId="32AC68A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Gellan gum (Phytagel)</w:t>
            </w:r>
          </w:p>
        </w:tc>
        <w:tc>
          <w:tcPr>
            <w:tcW w:w="0" w:type="auto"/>
            <w:hideMark/>
          </w:tcPr>
          <w:p w14:paraId="1B377A6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Ionic (cation-triggered)</w:t>
            </w:r>
          </w:p>
        </w:tc>
        <w:tc>
          <w:tcPr>
            <w:tcW w:w="0" w:type="auto"/>
            <w:hideMark/>
          </w:tcPr>
          <w:p w14:paraId="3A60846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Strong gel structure; good </w:t>
            </w:r>
            <w:proofErr w:type="spellStart"/>
            <w:r w:rsidRPr="00643D6C">
              <w:rPr>
                <w:rFonts w:ascii="Times New Roman" w:eastAsia="Times New Roman" w:hAnsi="Times New Roman" w:cs="Times New Roman"/>
                <w:sz w:val="24"/>
                <w:szCs w:val="24"/>
                <w:lang w:eastAsia="en-GB"/>
              </w:rPr>
              <w:t>mucoadhesion</w:t>
            </w:r>
            <w:proofErr w:type="spellEnd"/>
            <w:r w:rsidRPr="00643D6C">
              <w:rPr>
                <w:rFonts w:ascii="Times New Roman" w:eastAsia="Times New Roman" w:hAnsi="Times New Roman" w:cs="Times New Roman"/>
                <w:sz w:val="24"/>
                <w:szCs w:val="24"/>
                <w:lang w:eastAsia="en-GB"/>
              </w:rPr>
              <w:t xml:space="preserve">; </w:t>
            </w:r>
            <w:r w:rsidRPr="00643D6C">
              <w:rPr>
                <w:rFonts w:ascii="Times New Roman" w:eastAsia="Times New Roman" w:hAnsi="Times New Roman" w:cs="Times New Roman"/>
                <w:sz w:val="24"/>
                <w:szCs w:val="24"/>
                <w:lang w:eastAsia="en-GB"/>
              </w:rPr>
              <w:lastRenderedPageBreak/>
              <w:t>recognised pharmaceutical excipient</w:t>
            </w:r>
          </w:p>
        </w:tc>
        <w:tc>
          <w:tcPr>
            <w:tcW w:w="0" w:type="auto"/>
            <w:hideMark/>
          </w:tcPr>
          <w:p w14:paraId="23C5723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 xml:space="preserve">Dense gel network can retard drug </w:t>
            </w:r>
            <w:r w:rsidRPr="00643D6C">
              <w:rPr>
                <w:rFonts w:ascii="Times New Roman" w:eastAsia="Times New Roman" w:hAnsi="Times New Roman" w:cs="Times New Roman"/>
                <w:sz w:val="24"/>
                <w:szCs w:val="24"/>
                <w:lang w:eastAsia="en-GB"/>
              </w:rPr>
              <w:lastRenderedPageBreak/>
              <w:t>permeation</w:t>
            </w:r>
          </w:p>
        </w:tc>
        <w:tc>
          <w:tcPr>
            <w:tcW w:w="0" w:type="auto"/>
            <w:hideMark/>
          </w:tcPr>
          <w:p w14:paraId="68BA697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Salamah et al. (2025)</w:t>
            </w:r>
          </w:p>
        </w:tc>
      </w:tr>
      <w:tr w:rsidR="00643D6C" w:rsidRPr="00643D6C" w14:paraId="2DB245AC" w14:textId="77777777" w:rsidTr="00981AA8">
        <w:tc>
          <w:tcPr>
            <w:tcW w:w="0" w:type="auto"/>
            <w:hideMark/>
          </w:tcPr>
          <w:p w14:paraId="0C53B1E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Chitosan</w:t>
            </w:r>
          </w:p>
        </w:tc>
        <w:tc>
          <w:tcPr>
            <w:tcW w:w="0" w:type="auto"/>
            <w:hideMark/>
          </w:tcPr>
          <w:p w14:paraId="01DC7DF4"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pH- and ion-responsive</w:t>
            </w:r>
          </w:p>
        </w:tc>
        <w:tc>
          <w:tcPr>
            <w:tcW w:w="0" w:type="auto"/>
            <w:hideMark/>
          </w:tcPr>
          <w:p w14:paraId="02D8B25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Intrinsic cationic </w:t>
            </w:r>
            <w:proofErr w:type="spellStart"/>
            <w:r w:rsidRPr="00643D6C">
              <w:rPr>
                <w:rFonts w:ascii="Times New Roman" w:eastAsia="Times New Roman" w:hAnsi="Times New Roman" w:cs="Times New Roman"/>
                <w:sz w:val="24"/>
                <w:szCs w:val="24"/>
                <w:lang w:eastAsia="en-GB"/>
              </w:rPr>
              <w:t>mucoadhesion</w:t>
            </w:r>
            <w:proofErr w:type="spellEnd"/>
            <w:r w:rsidRPr="00643D6C">
              <w:rPr>
                <w:rFonts w:ascii="Times New Roman" w:eastAsia="Times New Roman" w:hAnsi="Times New Roman" w:cs="Times New Roman"/>
                <w:sz w:val="24"/>
                <w:szCs w:val="24"/>
                <w:lang w:eastAsia="en-GB"/>
              </w:rPr>
              <w:t>; biodegradable; enhances paracellular permeability</w:t>
            </w:r>
          </w:p>
        </w:tc>
        <w:tc>
          <w:tcPr>
            <w:tcW w:w="0" w:type="auto"/>
            <w:hideMark/>
          </w:tcPr>
          <w:p w14:paraId="4E3F6085"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Requires acidic dissolution conditions; variable gel strength</w:t>
            </w:r>
          </w:p>
        </w:tc>
        <w:tc>
          <w:tcPr>
            <w:tcW w:w="0" w:type="auto"/>
            <w:hideMark/>
          </w:tcPr>
          <w:p w14:paraId="7066AAC5"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Salamah et al. (2025); </w:t>
            </w:r>
            <w:proofErr w:type="spellStart"/>
            <w:r w:rsidRPr="00643D6C">
              <w:rPr>
                <w:rFonts w:ascii="Times New Roman" w:eastAsia="Times New Roman" w:hAnsi="Times New Roman" w:cs="Times New Roman"/>
                <w:sz w:val="24"/>
                <w:szCs w:val="24"/>
                <w:lang w:eastAsia="en-GB"/>
              </w:rPr>
              <w:t>Omidian</w:t>
            </w:r>
            <w:proofErr w:type="spellEnd"/>
            <w:r w:rsidRPr="00643D6C">
              <w:rPr>
                <w:rFonts w:ascii="Times New Roman" w:eastAsia="Times New Roman" w:hAnsi="Times New Roman" w:cs="Times New Roman"/>
                <w:sz w:val="24"/>
                <w:szCs w:val="24"/>
                <w:lang w:eastAsia="en-GB"/>
              </w:rPr>
              <w:t xml:space="preserve"> et al. (2024)</w:t>
            </w:r>
          </w:p>
        </w:tc>
      </w:tr>
      <w:tr w:rsidR="00643D6C" w:rsidRPr="00643D6C" w14:paraId="14065912" w14:textId="77777777" w:rsidTr="00981AA8">
        <w:tc>
          <w:tcPr>
            <w:tcW w:w="0" w:type="auto"/>
            <w:hideMark/>
          </w:tcPr>
          <w:p w14:paraId="2B27A5F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Poloxamer/polycarbophil blends</w:t>
            </w:r>
          </w:p>
        </w:tc>
        <w:tc>
          <w:tcPr>
            <w:tcW w:w="0" w:type="auto"/>
            <w:hideMark/>
          </w:tcPr>
          <w:p w14:paraId="2B15A27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Thermal, with enhanced </w:t>
            </w:r>
            <w:proofErr w:type="spellStart"/>
            <w:r w:rsidRPr="00643D6C">
              <w:rPr>
                <w:rFonts w:ascii="Times New Roman" w:eastAsia="Times New Roman" w:hAnsi="Times New Roman" w:cs="Times New Roman"/>
                <w:sz w:val="24"/>
                <w:szCs w:val="24"/>
                <w:lang w:eastAsia="en-GB"/>
              </w:rPr>
              <w:t>mucoadhesion</w:t>
            </w:r>
            <w:proofErr w:type="spellEnd"/>
          </w:p>
        </w:tc>
        <w:tc>
          <w:tcPr>
            <w:tcW w:w="0" w:type="auto"/>
            <w:hideMark/>
          </w:tcPr>
          <w:p w14:paraId="78072EA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Combines </w:t>
            </w:r>
            <w:proofErr w:type="spellStart"/>
            <w:r w:rsidRPr="00643D6C">
              <w:rPr>
                <w:rFonts w:ascii="Times New Roman" w:eastAsia="Times New Roman" w:hAnsi="Times New Roman" w:cs="Times New Roman"/>
                <w:sz w:val="24"/>
                <w:szCs w:val="24"/>
                <w:lang w:eastAsia="en-GB"/>
              </w:rPr>
              <w:t>thermosensitivity</w:t>
            </w:r>
            <w:proofErr w:type="spellEnd"/>
            <w:r w:rsidRPr="00643D6C">
              <w:rPr>
                <w:rFonts w:ascii="Times New Roman" w:eastAsia="Times New Roman" w:hAnsi="Times New Roman" w:cs="Times New Roman"/>
                <w:sz w:val="24"/>
                <w:szCs w:val="24"/>
                <w:lang w:eastAsia="en-GB"/>
              </w:rPr>
              <w:t xml:space="preserve"> with strong </w:t>
            </w:r>
            <w:proofErr w:type="spellStart"/>
            <w:r w:rsidRPr="00643D6C">
              <w:rPr>
                <w:rFonts w:ascii="Times New Roman" w:eastAsia="Times New Roman" w:hAnsi="Times New Roman" w:cs="Times New Roman"/>
                <w:sz w:val="24"/>
                <w:szCs w:val="24"/>
                <w:lang w:eastAsia="en-GB"/>
              </w:rPr>
              <w:t>bioadhesion</w:t>
            </w:r>
            <w:proofErr w:type="spellEnd"/>
          </w:p>
        </w:tc>
        <w:tc>
          <w:tcPr>
            <w:tcW w:w="0" w:type="auto"/>
            <w:hideMark/>
          </w:tcPr>
          <w:p w14:paraId="4695EB6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More complex formulation optimisation required</w:t>
            </w:r>
          </w:p>
        </w:tc>
        <w:tc>
          <w:tcPr>
            <w:tcW w:w="0" w:type="auto"/>
            <w:hideMark/>
          </w:tcPr>
          <w:p w14:paraId="00749860"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tc>
      </w:tr>
      <w:tr w:rsidR="00643D6C" w:rsidRPr="00643D6C" w14:paraId="253E202A" w14:textId="77777777" w:rsidTr="00981AA8">
        <w:tc>
          <w:tcPr>
            <w:tcW w:w="0" w:type="auto"/>
            <w:hideMark/>
          </w:tcPr>
          <w:p w14:paraId="5293B1E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Mucoadhesive cellulose derivatives (e.g., HPMC)</w:t>
            </w:r>
          </w:p>
        </w:tc>
        <w:tc>
          <w:tcPr>
            <w:tcW w:w="0" w:type="auto"/>
            <w:hideMark/>
          </w:tcPr>
          <w:p w14:paraId="071BB56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Viscosity-modifying adjunct</w:t>
            </w:r>
          </w:p>
        </w:tc>
        <w:tc>
          <w:tcPr>
            <w:tcW w:w="0" w:type="auto"/>
            <w:hideMark/>
          </w:tcPr>
          <w:p w14:paraId="4D0B1C7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Extends residence time; adjustable viscosity</w:t>
            </w:r>
          </w:p>
        </w:tc>
        <w:tc>
          <w:tcPr>
            <w:tcW w:w="0" w:type="auto"/>
            <w:hideMark/>
          </w:tcPr>
          <w:p w14:paraId="3E4FD83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Not independently gel-forming; used as an additive</w:t>
            </w:r>
          </w:p>
        </w:tc>
        <w:tc>
          <w:tcPr>
            <w:tcW w:w="0" w:type="auto"/>
            <w:hideMark/>
          </w:tcPr>
          <w:p w14:paraId="1826D821"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tc>
      </w:tr>
    </w:tbl>
    <w:p w14:paraId="5B64AB3F"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400A6E5F"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 xml:space="preserve">7. Design and Optimisation Strategies for </w:t>
      </w:r>
      <w:proofErr w:type="spellStart"/>
      <w:r w:rsidRPr="00643D6C">
        <w:rPr>
          <w:rFonts w:ascii="Times New Roman" w:eastAsia="Times New Roman" w:hAnsi="Times New Roman" w:cs="Times New Roman"/>
          <w:b/>
          <w:bCs/>
          <w:sz w:val="27"/>
          <w:szCs w:val="27"/>
          <w:lang w:eastAsia="en-GB"/>
        </w:rPr>
        <w:t>Nanospanlastic</w:t>
      </w:r>
      <w:proofErr w:type="spellEnd"/>
      <w:r w:rsidRPr="00643D6C">
        <w:rPr>
          <w:rFonts w:ascii="Times New Roman" w:eastAsia="Times New Roman" w:hAnsi="Times New Roman" w:cs="Times New Roman"/>
          <w:b/>
          <w:bCs/>
          <w:sz w:val="27"/>
          <w:szCs w:val="27"/>
          <w:lang w:eastAsia="en-GB"/>
        </w:rPr>
        <w:t xml:space="preserve"> </w:t>
      </w:r>
      <w:proofErr w:type="gramStart"/>
      <w:r w:rsidRPr="00643D6C">
        <w:rPr>
          <w:rFonts w:ascii="Times New Roman" w:eastAsia="Times New Roman" w:hAnsi="Times New Roman" w:cs="Times New Roman"/>
          <w:b/>
          <w:bCs/>
          <w:sz w:val="27"/>
          <w:szCs w:val="27"/>
          <w:lang w:eastAsia="en-GB"/>
        </w:rPr>
        <w:t>In</w:t>
      </w:r>
      <w:proofErr w:type="gramEnd"/>
      <w:r w:rsidRPr="00643D6C">
        <w:rPr>
          <w:rFonts w:ascii="Times New Roman" w:eastAsia="Times New Roman" w:hAnsi="Times New Roman" w:cs="Times New Roman"/>
          <w:b/>
          <w:bCs/>
          <w:sz w:val="27"/>
          <w:szCs w:val="27"/>
          <w:lang w:eastAsia="en-GB"/>
        </w:rPr>
        <w:t xml:space="preserve"> Situ Gels</w:t>
      </w:r>
    </w:p>
    <w:p w14:paraId="6B390E39"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multicomponent nature of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in which vesicle size, entrapment efficiency, zeta potential, gelation temperature, viscosity and mucoadhesive force must all be simultaneously controlled, has made statistical design-of-experiments (DoE) methodology a near-universal feature of the recent formulation literature. Response surface methods, and the Box–Behnken design in particular, are favoured because they permit efficient exploration of the interaction between several formulation variables using a comparatively small number of experimental runs, while still allowing construction of a quadratic model capable of identifying an optimal formulation region rather than a single best run among those tested (</w:t>
      </w:r>
      <w:proofErr w:type="spellStart"/>
      <w:r w:rsidRPr="00643D6C">
        <w:rPr>
          <w:rFonts w:ascii="Times New Roman" w:eastAsia="Times New Roman" w:hAnsi="Times New Roman" w:cs="Times New Roman"/>
          <w:sz w:val="24"/>
          <w:szCs w:val="24"/>
          <w:lang w:eastAsia="en-GB"/>
        </w:rPr>
        <w:t>Rampado</w:t>
      </w:r>
      <w:proofErr w:type="spellEnd"/>
      <w:r w:rsidRPr="00643D6C">
        <w:rPr>
          <w:rFonts w:ascii="Times New Roman" w:eastAsia="Times New Roman" w:hAnsi="Times New Roman" w:cs="Times New Roman"/>
          <w:sz w:val="24"/>
          <w:szCs w:val="24"/>
          <w:lang w:eastAsia="en-GB"/>
        </w:rPr>
        <w:t xml:space="preserve"> &amp; Peer, 2023). This approach has been applied directly to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 optimisation for several of the drugs discussed in this review, including </w:t>
      </w:r>
      <w:proofErr w:type="spellStart"/>
      <w:r w:rsidRPr="00643D6C">
        <w:rPr>
          <w:rFonts w:ascii="Times New Roman" w:eastAsia="Times New Roman" w:hAnsi="Times New Roman" w:cs="Times New Roman"/>
          <w:sz w:val="24"/>
          <w:szCs w:val="24"/>
          <w:lang w:eastAsia="en-GB"/>
        </w:rPr>
        <w:t>flibanserin</w:t>
      </w:r>
      <w:proofErr w:type="spellEnd"/>
      <w:r w:rsidRPr="00643D6C">
        <w:rPr>
          <w:rFonts w:ascii="Times New Roman" w:eastAsia="Times New Roman" w:hAnsi="Times New Roman" w:cs="Times New Roman"/>
          <w:sz w:val="24"/>
          <w:szCs w:val="24"/>
          <w:lang w:eastAsia="en-GB"/>
        </w:rPr>
        <w:t xml:space="preserve">, piperine and </w:t>
      </w:r>
      <w:proofErr w:type="spellStart"/>
      <w:r w:rsidRPr="00643D6C">
        <w:rPr>
          <w:rFonts w:ascii="Times New Roman" w:eastAsia="Times New Roman" w:hAnsi="Times New Roman" w:cs="Times New Roman"/>
          <w:sz w:val="24"/>
          <w:szCs w:val="24"/>
          <w:lang w:eastAsia="en-GB"/>
        </w:rPr>
        <w:t>cubosome</w:t>
      </w:r>
      <w:proofErr w:type="spellEnd"/>
      <w:r w:rsidRPr="00643D6C">
        <w:rPr>
          <w:rFonts w:ascii="Times New Roman" w:eastAsia="Times New Roman" w:hAnsi="Times New Roman" w:cs="Times New Roman"/>
          <w:sz w:val="24"/>
          <w:szCs w:val="24"/>
          <w:lang w:eastAsia="en-GB"/>
        </w:rPr>
        <w:t xml:space="preserve">-based </w:t>
      </w: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xml:space="preserve"> in situ gels, in each case using surfactant-to-edge-activator ratio, sonication parameters or penetration enhancer concentration as independent variables against vesicle size, polydispersity index, entrapment efficiency and zeta potential as dependent responses (Alharbi et al., 2022; Gupta et al., 2023; Eissa et al., 2022).</w:t>
      </w:r>
    </w:p>
    <w:p w14:paraId="06E38723"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Beyond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-specific applications, Box–Behnken and related factorial designs have been used extensively across nanoparticulate drug delivery more broadly, including for lipid nanoparticle systems intended for brain targeting, where the approach has similarly proved effective in identifying formulations that jointly minimise particle size and maximise entrapment efficiency and physical stability (Spandana et al., 2024; Mahmoud &amp; McConville, 2023). The broader methodological literature on design-of-experiments in nanomedicine formulation emphasises that, despite the demonstrated efficiency gains, the approach remains only partially adopted across the field, and that its correct application requires careful a priori definition of critical quality attributes and critical process parameters rather than post hoc statistical fitting (</w:t>
      </w:r>
      <w:proofErr w:type="spellStart"/>
      <w:r w:rsidRPr="00643D6C">
        <w:rPr>
          <w:rFonts w:ascii="Times New Roman" w:eastAsia="Times New Roman" w:hAnsi="Times New Roman" w:cs="Times New Roman"/>
          <w:sz w:val="24"/>
          <w:szCs w:val="24"/>
          <w:lang w:eastAsia="en-GB"/>
        </w:rPr>
        <w:t>Rampado</w:t>
      </w:r>
      <w:proofErr w:type="spellEnd"/>
      <w:r w:rsidRPr="00643D6C">
        <w:rPr>
          <w:rFonts w:ascii="Times New Roman" w:eastAsia="Times New Roman" w:hAnsi="Times New Roman" w:cs="Times New Roman"/>
          <w:sz w:val="24"/>
          <w:szCs w:val="24"/>
          <w:lang w:eastAsia="en-GB"/>
        </w:rPr>
        <w:t xml:space="preserve"> &amp; Peer, 2023). Within the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literature specifically, this discipline is reflected in the consistent reporting of desirability functions or overlay contour plots used to select a single optimal formulation from the modelled design </w:t>
      </w:r>
      <w:r w:rsidRPr="00643D6C">
        <w:rPr>
          <w:rFonts w:ascii="Times New Roman" w:eastAsia="Times New Roman" w:hAnsi="Times New Roman" w:cs="Times New Roman"/>
          <w:sz w:val="24"/>
          <w:szCs w:val="24"/>
          <w:lang w:eastAsia="en-GB"/>
        </w:rPr>
        <w:lastRenderedPageBreak/>
        <w:t>space, which is then typically subjected to independent physicochemical confirmation before progression to gel incorporation and in vivo evaluation (Salamah et al., 2025; Ali et al., 2023).</w:t>
      </w:r>
    </w:p>
    <w:p w14:paraId="61C408E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An important, and still underexplored, methodological question concerns whether optimisation should be conducted on the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dispersion alone, with the gelling matrix regarded as a fixed downstream step, or whether vesicle and gel parameters should be co-optimised. The available evidence suggests that gel incorporation can measurably alter vesicle size and zeta potential relative to the unincorporated dispersion, implying that sequential rather than integrated optimisation risks selecting a vesicle composition that is not, in fact, optimal once embedded in its final gelling vehicle (Salamah et al., 2025).</w:t>
      </w:r>
    </w:p>
    <w:p w14:paraId="38957E4C"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5A1B0C4A"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8. Nose-to-Systemic and Nose-to-Brain Applications: Evidence from Preclinical Studies</w:t>
      </w:r>
    </w:p>
    <w:p w14:paraId="5AB35530"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preclinical literature on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and related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-gel systems spans a range of therapeutic indications united by a common formulation logic: a drug substance with poor aqueous solubility, extensive first-pass metabolism, or restricted BBB penetration is reformulated as a deformable nanovesicle and delivered within a mucoadhesive or thermosensitive gel to exploit direct nose-to-brain or enhanced nose-to-systemic transport. Cilostazol, an antiplatelet and vasodilator agent used in cerebrovascular disease, was formulated as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incorporated into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poloxamer 407 and chitosan in situ gels, with all three gel bases achieving substantially higher in vitro cumulative permeation across an artificial nasal membrane and across a blood–brain barrier parallel artificial membrane permeability assay than the free drug (Salamah et al., 2025).</w:t>
      </w:r>
    </w:p>
    <w:p w14:paraId="2CD7F844"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have also been evaluated for a range of antiepileptic and other neurological indications. Carbamazepine-loaded vesicular structures optimised by a 2³ factorial design demonstrated improved brain targeting following intranasal administration relative to an oral suspension comparator, with histopathological assessment suggesting preserved neuronal integrity in optimised formulations (Yassin et al., 2019). Rasagiline mesylate, a monoamine oxidase-B inhibitor used in Parkinson's disease, was formulated by both thin-film hydration and a modified spraying technique, with statistical optimisation and in vivo pharmacokinetic evaluation confirming enhanced brain delivery via the intranasal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route relative to conventional administration (Ali et al., 2023). Piperine, a naturally occurring alkaloid with anticonvulsant activity limited by poor solubility and permeability, was formulated as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optimised by Box–Behnken design and demonstrated greater nasal mucosal permeation, higher brain concentration and area under the curve, and superior therapeutic efficacy in an in vivo epilepsy model relative to a piperine suspension (Gupta et al., 2023). Lamotrigine has been formulated as a nasal insert incorporating vesicular carriers targeted at brain delivery for enhanced epilepsy treatment, reflecting a parallel solid-dosage-form strategy for prolonging nasal residence (</w:t>
      </w:r>
      <w:proofErr w:type="spellStart"/>
      <w:r w:rsidRPr="00643D6C">
        <w:rPr>
          <w:rFonts w:ascii="Times New Roman" w:eastAsia="Times New Roman" w:hAnsi="Times New Roman" w:cs="Times New Roman"/>
          <w:sz w:val="24"/>
          <w:szCs w:val="24"/>
          <w:lang w:eastAsia="en-GB"/>
        </w:rPr>
        <w:t>Abdelmonem</w:t>
      </w:r>
      <w:proofErr w:type="spellEnd"/>
      <w:r w:rsidRPr="00643D6C">
        <w:rPr>
          <w:rFonts w:ascii="Times New Roman" w:eastAsia="Times New Roman" w:hAnsi="Times New Roman" w:cs="Times New Roman"/>
          <w:sz w:val="24"/>
          <w:szCs w:val="24"/>
          <w:lang w:eastAsia="en-GB"/>
        </w:rPr>
        <w:t xml:space="preserve"> et al., 2023).</w:t>
      </w:r>
    </w:p>
    <w:p w14:paraId="745C1CC5"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Flibanserin</w:t>
      </w:r>
      <w:proofErr w:type="spellEnd"/>
      <w:r w:rsidRPr="00643D6C">
        <w:rPr>
          <w:rFonts w:ascii="Times New Roman" w:eastAsia="Times New Roman" w:hAnsi="Times New Roman" w:cs="Times New Roman"/>
          <w:sz w:val="24"/>
          <w:szCs w:val="24"/>
          <w:lang w:eastAsia="en-GB"/>
        </w:rPr>
        <w:t xml:space="preserve">, a centrally acting agent used in hypoactive sexual desire disorder and characterised by extensive hepatic metabolism when administered orally, was formulated as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optimised through in vitro response-surface methodology and evaluated pharmacokinetically in vivo, with the optimised intranasal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 demonstrating enhanced brain delivery relative to both oral and intranasal solution </w:t>
      </w:r>
      <w:r w:rsidRPr="00643D6C">
        <w:rPr>
          <w:rFonts w:ascii="Times New Roman" w:eastAsia="Times New Roman" w:hAnsi="Times New Roman" w:cs="Times New Roman"/>
          <w:sz w:val="24"/>
          <w:szCs w:val="24"/>
          <w:lang w:eastAsia="en-GB"/>
        </w:rPr>
        <w:lastRenderedPageBreak/>
        <w:t xml:space="preserve">comparators (Alharbi et al., 2022). </w:t>
      </w: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xml:space="preserve">, an antiemetic agent relevant to the management of chemotherapy-induced emesis, has been formulated within a related nanostructured </w:t>
      </w:r>
      <w:proofErr w:type="spellStart"/>
      <w:r w:rsidRPr="00643D6C">
        <w:rPr>
          <w:rFonts w:ascii="Times New Roman" w:eastAsia="Times New Roman" w:hAnsi="Times New Roman" w:cs="Times New Roman"/>
          <w:sz w:val="24"/>
          <w:szCs w:val="24"/>
          <w:lang w:eastAsia="en-GB"/>
        </w:rPr>
        <w:t>cubosome</w:t>
      </w:r>
      <w:proofErr w:type="spellEnd"/>
      <w:r w:rsidRPr="00643D6C">
        <w:rPr>
          <w:rFonts w:ascii="Times New Roman" w:eastAsia="Times New Roman" w:hAnsi="Times New Roman" w:cs="Times New Roman"/>
          <w:sz w:val="24"/>
          <w:szCs w:val="24"/>
          <w:lang w:eastAsia="en-GB"/>
        </w:rPr>
        <w:t xml:space="preserve">-based in situ gel system optimised by Box–Behnken design, illustrating that the broader design logic of combining a deformable or highly curved nanocarrier with a nasal in situ gelling vehicle extends beyond </w:t>
      </w: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narrowly defined to encompass a family of structurally related lipid-based </w:t>
      </w:r>
      <w:proofErr w:type="spellStart"/>
      <w:r w:rsidRPr="00643D6C">
        <w:rPr>
          <w:rFonts w:ascii="Times New Roman" w:eastAsia="Times New Roman" w:hAnsi="Times New Roman" w:cs="Times New Roman"/>
          <w:sz w:val="24"/>
          <w:szCs w:val="24"/>
          <w:lang w:eastAsia="en-GB"/>
        </w:rPr>
        <w:t>nanovesicular</w:t>
      </w:r>
      <w:proofErr w:type="spellEnd"/>
      <w:r w:rsidRPr="00643D6C">
        <w:rPr>
          <w:rFonts w:ascii="Times New Roman" w:eastAsia="Times New Roman" w:hAnsi="Times New Roman" w:cs="Times New Roman"/>
          <w:sz w:val="24"/>
          <w:szCs w:val="24"/>
          <w:lang w:eastAsia="en-GB"/>
        </w:rPr>
        <w:t xml:space="preserve"> platforms (Eissa et al., 2022). An earlier </w:t>
      </w:r>
      <w:proofErr w:type="spellStart"/>
      <w:r w:rsidRPr="00643D6C">
        <w:rPr>
          <w:rFonts w:ascii="Times New Roman" w:eastAsia="Times New Roman" w:hAnsi="Times New Roman" w:cs="Times New Roman"/>
          <w:sz w:val="24"/>
          <w:szCs w:val="24"/>
          <w:lang w:eastAsia="en-GB"/>
        </w:rPr>
        <w:t>bioadhesive</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gel and insert formulation similarly demonstrated enhanced brain targeting in a rat model, providing an important precedent for the solid-insert variant of the nasal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gel concept (</w:t>
      </w:r>
      <w:proofErr w:type="spellStart"/>
      <w:r w:rsidRPr="00643D6C">
        <w:rPr>
          <w:rFonts w:ascii="Times New Roman" w:eastAsia="Times New Roman" w:hAnsi="Times New Roman" w:cs="Times New Roman"/>
          <w:sz w:val="24"/>
          <w:szCs w:val="24"/>
          <w:lang w:eastAsia="en-GB"/>
        </w:rPr>
        <w:t>Abdelmonem</w:t>
      </w:r>
      <w:proofErr w:type="spellEnd"/>
      <w:r w:rsidRPr="00643D6C">
        <w:rPr>
          <w:rFonts w:ascii="Times New Roman" w:eastAsia="Times New Roman" w:hAnsi="Times New Roman" w:cs="Times New Roman"/>
          <w:sz w:val="24"/>
          <w:szCs w:val="24"/>
          <w:lang w:eastAsia="en-GB"/>
        </w:rPr>
        <w:t xml:space="preserve"> et al., 2018).</w:t>
      </w:r>
    </w:p>
    <w:p w14:paraId="0CC8AA2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Table 3 consolidates the principal drug-specific studies discussed above, summarising the therapeutic rationale, formulation approach and key preclinical outcome for each.</w:t>
      </w:r>
    </w:p>
    <w:p w14:paraId="09337182"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 xml:space="preserve">Table 3. Summary of preclinical studies evaluating </w:t>
      </w:r>
      <w:proofErr w:type="spellStart"/>
      <w:r w:rsidRPr="00643D6C">
        <w:rPr>
          <w:rFonts w:ascii="Times New Roman" w:eastAsia="Times New Roman" w:hAnsi="Times New Roman" w:cs="Times New Roman"/>
          <w:b/>
          <w:bCs/>
          <w:sz w:val="24"/>
          <w:szCs w:val="24"/>
          <w:lang w:eastAsia="en-GB"/>
        </w:rPr>
        <w:t>spanlastic</w:t>
      </w:r>
      <w:proofErr w:type="spellEnd"/>
      <w:r w:rsidRPr="00643D6C">
        <w:rPr>
          <w:rFonts w:ascii="Times New Roman" w:eastAsia="Times New Roman" w:hAnsi="Times New Roman" w:cs="Times New Roman"/>
          <w:b/>
          <w:bCs/>
          <w:sz w:val="24"/>
          <w:szCs w:val="24"/>
          <w:lang w:eastAsia="en-GB"/>
        </w:rPr>
        <w:t xml:space="preserve"> or closely related </w:t>
      </w:r>
      <w:proofErr w:type="spellStart"/>
      <w:r w:rsidRPr="00643D6C">
        <w:rPr>
          <w:rFonts w:ascii="Times New Roman" w:eastAsia="Times New Roman" w:hAnsi="Times New Roman" w:cs="Times New Roman"/>
          <w:b/>
          <w:bCs/>
          <w:sz w:val="24"/>
          <w:szCs w:val="24"/>
          <w:lang w:eastAsia="en-GB"/>
        </w:rPr>
        <w:t>nanovesicular</w:t>
      </w:r>
      <w:proofErr w:type="spellEnd"/>
      <w:r w:rsidRPr="00643D6C">
        <w:rPr>
          <w:rFonts w:ascii="Times New Roman" w:eastAsia="Times New Roman" w:hAnsi="Times New Roman" w:cs="Times New Roman"/>
          <w:b/>
          <w:bCs/>
          <w:sz w:val="24"/>
          <w:szCs w:val="24"/>
          <w:lang w:eastAsia="en-GB"/>
        </w:rPr>
        <w:t xml:space="preserve"> in situ gel systems for nasal delivery</w:t>
      </w:r>
    </w:p>
    <w:tbl>
      <w:tblPr>
        <w:tblStyle w:val="TableGrid"/>
        <w:tblW w:w="0" w:type="auto"/>
        <w:tblLook w:val="04A0" w:firstRow="1" w:lastRow="0" w:firstColumn="1" w:lastColumn="0" w:noHBand="0" w:noVBand="1"/>
      </w:tblPr>
      <w:tblGrid>
        <w:gridCol w:w="1920"/>
        <w:gridCol w:w="1734"/>
        <w:gridCol w:w="1872"/>
        <w:gridCol w:w="2149"/>
        <w:gridCol w:w="1567"/>
      </w:tblGrid>
      <w:tr w:rsidR="00643D6C" w:rsidRPr="00643D6C" w14:paraId="57986790" w14:textId="77777777" w:rsidTr="00981AA8">
        <w:tc>
          <w:tcPr>
            <w:tcW w:w="0" w:type="auto"/>
            <w:hideMark/>
          </w:tcPr>
          <w:p w14:paraId="15964093"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Drug (indication)</w:t>
            </w:r>
          </w:p>
        </w:tc>
        <w:tc>
          <w:tcPr>
            <w:tcW w:w="0" w:type="auto"/>
            <w:hideMark/>
          </w:tcPr>
          <w:p w14:paraId="403811A8"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Formulation approach</w:t>
            </w:r>
          </w:p>
        </w:tc>
        <w:tc>
          <w:tcPr>
            <w:tcW w:w="0" w:type="auto"/>
            <w:hideMark/>
          </w:tcPr>
          <w:p w14:paraId="420A3418"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Optimisation method</w:t>
            </w:r>
          </w:p>
        </w:tc>
        <w:tc>
          <w:tcPr>
            <w:tcW w:w="0" w:type="auto"/>
            <w:hideMark/>
          </w:tcPr>
          <w:p w14:paraId="1C7D634C"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Key reported outcome</w:t>
            </w:r>
          </w:p>
        </w:tc>
        <w:tc>
          <w:tcPr>
            <w:tcW w:w="0" w:type="auto"/>
            <w:hideMark/>
          </w:tcPr>
          <w:p w14:paraId="115727A4"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304E8187" w14:textId="77777777" w:rsidTr="00981AA8">
        <w:tc>
          <w:tcPr>
            <w:tcW w:w="0" w:type="auto"/>
            <w:hideMark/>
          </w:tcPr>
          <w:p w14:paraId="0CC9E6D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Cilostazol (cerebrovascular disease)</w:t>
            </w:r>
          </w:p>
        </w:tc>
        <w:tc>
          <w:tcPr>
            <w:tcW w:w="0" w:type="auto"/>
            <w:hideMark/>
          </w:tcPr>
          <w:p w14:paraId="38AA872D"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xml:space="preserve"> in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poloxamer 407 and chitosan in situ gels</w:t>
            </w:r>
          </w:p>
        </w:tc>
        <w:tc>
          <w:tcPr>
            <w:tcW w:w="0" w:type="auto"/>
            <w:hideMark/>
          </w:tcPr>
          <w:p w14:paraId="0110897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Preliminary screening; systematic gel-base comparison</w:t>
            </w:r>
          </w:p>
        </w:tc>
        <w:tc>
          <w:tcPr>
            <w:tcW w:w="0" w:type="auto"/>
            <w:hideMark/>
          </w:tcPr>
          <w:p w14:paraId="7277467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Higher permeation and BBB-PAMPA flux than free drug across all gel bases</w:t>
            </w:r>
          </w:p>
        </w:tc>
        <w:tc>
          <w:tcPr>
            <w:tcW w:w="0" w:type="auto"/>
            <w:hideMark/>
          </w:tcPr>
          <w:p w14:paraId="64D73D10"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2BE6F00C" w14:textId="77777777" w:rsidTr="00981AA8">
        <w:tc>
          <w:tcPr>
            <w:tcW w:w="0" w:type="auto"/>
            <w:hideMark/>
          </w:tcPr>
          <w:p w14:paraId="4ECBF56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Carbamazepine (epilepsy)</w:t>
            </w:r>
          </w:p>
        </w:tc>
        <w:tc>
          <w:tcPr>
            <w:tcW w:w="0" w:type="auto"/>
            <w:hideMark/>
          </w:tcPr>
          <w:p w14:paraId="019256B3"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vesicular structures, intranasal</w:t>
            </w:r>
          </w:p>
        </w:tc>
        <w:tc>
          <w:tcPr>
            <w:tcW w:w="0" w:type="auto"/>
            <w:hideMark/>
          </w:tcPr>
          <w:p w14:paraId="6614C22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2³ factorial design</w:t>
            </w:r>
          </w:p>
        </w:tc>
        <w:tc>
          <w:tcPr>
            <w:tcW w:w="0" w:type="auto"/>
            <w:hideMark/>
          </w:tcPr>
          <w:p w14:paraId="456A3E8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targeting versus oral suspension; preserved neuronal histology</w:t>
            </w:r>
          </w:p>
        </w:tc>
        <w:tc>
          <w:tcPr>
            <w:tcW w:w="0" w:type="auto"/>
            <w:hideMark/>
          </w:tcPr>
          <w:p w14:paraId="17EE4C04"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Yassin et al. (2019)</w:t>
            </w:r>
          </w:p>
        </w:tc>
      </w:tr>
      <w:tr w:rsidR="00643D6C" w:rsidRPr="00643D6C" w14:paraId="6B0035E6" w14:textId="77777777" w:rsidTr="00981AA8">
        <w:tc>
          <w:tcPr>
            <w:tcW w:w="0" w:type="auto"/>
            <w:hideMark/>
          </w:tcPr>
          <w:p w14:paraId="5593D7D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Rasagiline mesylate (Parkinson's disease)</w:t>
            </w:r>
          </w:p>
        </w:tc>
        <w:tc>
          <w:tcPr>
            <w:tcW w:w="0" w:type="auto"/>
            <w:hideMark/>
          </w:tcPr>
          <w:p w14:paraId="23CC715B"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(thin-film hydration vs. modified spraying)</w:t>
            </w:r>
          </w:p>
        </w:tc>
        <w:tc>
          <w:tcPr>
            <w:tcW w:w="0" w:type="auto"/>
            <w:hideMark/>
          </w:tcPr>
          <w:p w14:paraId="75257B82"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Statistical optimisation</w:t>
            </w:r>
          </w:p>
        </w:tc>
        <w:tc>
          <w:tcPr>
            <w:tcW w:w="0" w:type="auto"/>
            <w:hideMark/>
          </w:tcPr>
          <w:p w14:paraId="3A00270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delivery confirmed by in vivo pharmacokinetics</w:t>
            </w:r>
          </w:p>
        </w:tc>
        <w:tc>
          <w:tcPr>
            <w:tcW w:w="0" w:type="auto"/>
            <w:hideMark/>
          </w:tcPr>
          <w:p w14:paraId="32E7359A"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Ali et al. (2023)</w:t>
            </w:r>
          </w:p>
        </w:tc>
      </w:tr>
      <w:tr w:rsidR="00643D6C" w:rsidRPr="00643D6C" w14:paraId="310D0C5A" w14:textId="77777777" w:rsidTr="00981AA8">
        <w:tc>
          <w:tcPr>
            <w:tcW w:w="0" w:type="auto"/>
            <w:hideMark/>
          </w:tcPr>
          <w:p w14:paraId="0220BA6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Piperine (epilepsy)</w:t>
            </w:r>
          </w:p>
        </w:tc>
        <w:tc>
          <w:tcPr>
            <w:tcW w:w="0" w:type="auto"/>
            <w:hideMark/>
          </w:tcPr>
          <w:p w14:paraId="3C9BF961"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Spanlastics</w:t>
            </w:r>
            <w:proofErr w:type="spellEnd"/>
            <w:r w:rsidRPr="00643D6C">
              <w:rPr>
                <w:rFonts w:ascii="Times New Roman" w:eastAsia="Times New Roman" w:hAnsi="Times New Roman" w:cs="Times New Roman"/>
                <w:sz w:val="24"/>
                <w:szCs w:val="24"/>
                <w:lang w:eastAsia="en-GB"/>
              </w:rPr>
              <w:t>, thin-film hydration</w:t>
            </w:r>
          </w:p>
        </w:tc>
        <w:tc>
          <w:tcPr>
            <w:tcW w:w="0" w:type="auto"/>
            <w:hideMark/>
          </w:tcPr>
          <w:p w14:paraId="46BAD0A9"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Box–Behnken design</w:t>
            </w:r>
          </w:p>
        </w:tc>
        <w:tc>
          <w:tcPr>
            <w:tcW w:w="0" w:type="auto"/>
            <w:hideMark/>
          </w:tcPr>
          <w:p w14:paraId="07E3CCB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Higher brain </w:t>
            </w:r>
            <w:proofErr w:type="spellStart"/>
            <w:r w:rsidRPr="00643D6C">
              <w:rPr>
                <w:rFonts w:ascii="Times New Roman" w:eastAsia="Times New Roman" w:hAnsi="Times New Roman" w:cs="Times New Roman"/>
                <w:sz w:val="24"/>
                <w:szCs w:val="24"/>
                <w:lang w:eastAsia="en-GB"/>
              </w:rPr>
              <w:t>Cmax</w:t>
            </w:r>
            <w:proofErr w:type="spellEnd"/>
            <w:r w:rsidRPr="00643D6C">
              <w:rPr>
                <w:rFonts w:ascii="Times New Roman" w:eastAsia="Times New Roman" w:hAnsi="Times New Roman" w:cs="Times New Roman"/>
                <w:sz w:val="24"/>
                <w:szCs w:val="24"/>
                <w:lang w:eastAsia="en-GB"/>
              </w:rPr>
              <w:t>/AUC and therapeutic efficacy versus suspension in epilepsy model</w:t>
            </w:r>
          </w:p>
        </w:tc>
        <w:tc>
          <w:tcPr>
            <w:tcW w:w="0" w:type="auto"/>
            <w:hideMark/>
          </w:tcPr>
          <w:p w14:paraId="49327DB3"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Gupta et al. (2023)</w:t>
            </w:r>
          </w:p>
        </w:tc>
      </w:tr>
      <w:tr w:rsidR="00643D6C" w:rsidRPr="00643D6C" w14:paraId="3B2FA133" w14:textId="77777777" w:rsidTr="00981AA8">
        <w:tc>
          <w:tcPr>
            <w:tcW w:w="0" w:type="auto"/>
            <w:hideMark/>
          </w:tcPr>
          <w:p w14:paraId="5C9FA7BE"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Flibanserin</w:t>
            </w:r>
            <w:proofErr w:type="spellEnd"/>
            <w:r w:rsidRPr="00643D6C">
              <w:rPr>
                <w:rFonts w:ascii="Times New Roman" w:eastAsia="Times New Roman" w:hAnsi="Times New Roman" w:cs="Times New Roman"/>
                <w:sz w:val="24"/>
                <w:szCs w:val="24"/>
                <w:lang w:eastAsia="en-GB"/>
              </w:rPr>
              <w:t xml:space="preserve"> (hypoactive sexual desire disorder)</w:t>
            </w:r>
          </w:p>
        </w:tc>
        <w:tc>
          <w:tcPr>
            <w:tcW w:w="0" w:type="auto"/>
            <w:hideMark/>
          </w:tcPr>
          <w:p w14:paraId="73F31610"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intranasal</w:t>
            </w:r>
          </w:p>
        </w:tc>
        <w:tc>
          <w:tcPr>
            <w:tcW w:w="0" w:type="auto"/>
            <w:hideMark/>
          </w:tcPr>
          <w:p w14:paraId="4FA24F2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Response-surface optimisation</w:t>
            </w:r>
          </w:p>
        </w:tc>
        <w:tc>
          <w:tcPr>
            <w:tcW w:w="0" w:type="auto"/>
            <w:hideMark/>
          </w:tcPr>
          <w:p w14:paraId="20C4A32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delivery versus oral and intranasal solution comparators</w:t>
            </w:r>
          </w:p>
        </w:tc>
        <w:tc>
          <w:tcPr>
            <w:tcW w:w="0" w:type="auto"/>
            <w:hideMark/>
          </w:tcPr>
          <w:p w14:paraId="32B3EA4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Alharbi et al. (2022)</w:t>
            </w:r>
          </w:p>
        </w:tc>
      </w:tr>
      <w:tr w:rsidR="00643D6C" w:rsidRPr="00643D6C" w14:paraId="56A46443" w14:textId="77777777" w:rsidTr="00981AA8">
        <w:tc>
          <w:tcPr>
            <w:tcW w:w="0" w:type="auto"/>
            <w:hideMark/>
          </w:tcPr>
          <w:p w14:paraId="2D48019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Lamotrigine (epilepsy)</w:t>
            </w:r>
          </w:p>
        </w:tc>
        <w:tc>
          <w:tcPr>
            <w:tcW w:w="0" w:type="auto"/>
            <w:hideMark/>
          </w:tcPr>
          <w:p w14:paraId="3E71AC1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Vesicular-loaded nasal insert</w:t>
            </w:r>
          </w:p>
        </w:tc>
        <w:tc>
          <w:tcPr>
            <w:tcW w:w="0" w:type="auto"/>
            <w:hideMark/>
          </w:tcPr>
          <w:p w14:paraId="29E3A49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 and characterisation study</w:t>
            </w:r>
          </w:p>
        </w:tc>
        <w:tc>
          <w:tcPr>
            <w:tcW w:w="0" w:type="auto"/>
            <w:hideMark/>
          </w:tcPr>
          <w:p w14:paraId="1D2E9545"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Targeted brain delivery via nasal insert platform</w:t>
            </w:r>
          </w:p>
        </w:tc>
        <w:tc>
          <w:tcPr>
            <w:tcW w:w="0" w:type="auto"/>
            <w:hideMark/>
          </w:tcPr>
          <w:p w14:paraId="1F212C12"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Abdelmonem</w:t>
            </w:r>
            <w:proofErr w:type="spellEnd"/>
            <w:r w:rsidRPr="00643D6C">
              <w:rPr>
                <w:rFonts w:ascii="Times New Roman" w:eastAsia="Times New Roman" w:hAnsi="Times New Roman" w:cs="Times New Roman"/>
                <w:sz w:val="24"/>
                <w:szCs w:val="24"/>
                <w:lang w:eastAsia="en-GB"/>
              </w:rPr>
              <w:t xml:space="preserve"> et al. (2023)</w:t>
            </w:r>
          </w:p>
        </w:tc>
      </w:tr>
      <w:tr w:rsidR="00643D6C" w:rsidRPr="00643D6C" w14:paraId="3D52AF79" w14:textId="77777777" w:rsidTr="00981AA8">
        <w:tc>
          <w:tcPr>
            <w:tcW w:w="0" w:type="auto"/>
            <w:hideMark/>
          </w:tcPr>
          <w:p w14:paraId="7BA7413E"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xml:space="preserve"> (chemotherapy-induced emesis)</w:t>
            </w:r>
          </w:p>
        </w:tc>
        <w:tc>
          <w:tcPr>
            <w:tcW w:w="0" w:type="auto"/>
            <w:hideMark/>
          </w:tcPr>
          <w:p w14:paraId="5A7EDEBC"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Cubosome</w:t>
            </w:r>
            <w:proofErr w:type="spellEnd"/>
            <w:r w:rsidRPr="00643D6C">
              <w:rPr>
                <w:rFonts w:ascii="Times New Roman" w:eastAsia="Times New Roman" w:hAnsi="Times New Roman" w:cs="Times New Roman"/>
                <w:sz w:val="24"/>
                <w:szCs w:val="24"/>
                <w:lang w:eastAsia="en-GB"/>
              </w:rPr>
              <w:t xml:space="preserve">-based in situ gel (related </w:t>
            </w:r>
            <w:proofErr w:type="spellStart"/>
            <w:r w:rsidRPr="00643D6C">
              <w:rPr>
                <w:rFonts w:ascii="Times New Roman" w:eastAsia="Times New Roman" w:hAnsi="Times New Roman" w:cs="Times New Roman"/>
                <w:sz w:val="24"/>
                <w:szCs w:val="24"/>
                <w:lang w:eastAsia="en-GB"/>
              </w:rPr>
              <w:lastRenderedPageBreak/>
              <w:t>nanovesicular</w:t>
            </w:r>
            <w:proofErr w:type="spellEnd"/>
            <w:r w:rsidRPr="00643D6C">
              <w:rPr>
                <w:rFonts w:ascii="Times New Roman" w:eastAsia="Times New Roman" w:hAnsi="Times New Roman" w:cs="Times New Roman"/>
                <w:sz w:val="24"/>
                <w:szCs w:val="24"/>
                <w:lang w:eastAsia="en-GB"/>
              </w:rPr>
              <w:t xml:space="preserve"> platform)</w:t>
            </w:r>
          </w:p>
        </w:tc>
        <w:tc>
          <w:tcPr>
            <w:tcW w:w="0" w:type="auto"/>
            <w:hideMark/>
          </w:tcPr>
          <w:p w14:paraId="5033ABD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Box–Behnken design</w:t>
            </w:r>
          </w:p>
        </w:tc>
        <w:tc>
          <w:tcPr>
            <w:tcW w:w="0" w:type="auto"/>
            <w:hideMark/>
          </w:tcPr>
          <w:p w14:paraId="69540CE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Improved nasal residence, permeation and in </w:t>
            </w:r>
            <w:r w:rsidRPr="00643D6C">
              <w:rPr>
                <w:rFonts w:ascii="Times New Roman" w:eastAsia="Times New Roman" w:hAnsi="Times New Roman" w:cs="Times New Roman"/>
                <w:sz w:val="24"/>
                <w:szCs w:val="24"/>
                <w:lang w:eastAsia="en-GB"/>
              </w:rPr>
              <w:lastRenderedPageBreak/>
              <w:t>vivo biodistribution to brain</w:t>
            </w:r>
          </w:p>
        </w:tc>
        <w:tc>
          <w:tcPr>
            <w:tcW w:w="0" w:type="auto"/>
            <w:hideMark/>
          </w:tcPr>
          <w:p w14:paraId="587FE3CA"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Eissa et al. (2022)</w:t>
            </w:r>
          </w:p>
        </w:tc>
      </w:tr>
      <w:tr w:rsidR="00643D6C" w:rsidRPr="00643D6C" w14:paraId="40DFF7DD" w14:textId="77777777" w:rsidTr="00981AA8">
        <w:tc>
          <w:tcPr>
            <w:tcW w:w="0" w:type="auto"/>
            <w:hideMark/>
          </w:tcPr>
          <w:p w14:paraId="28228ECC"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Granisetron</w:t>
            </w:r>
            <w:proofErr w:type="spellEnd"/>
            <w:r w:rsidRPr="00643D6C">
              <w:rPr>
                <w:rFonts w:ascii="Times New Roman" w:eastAsia="Times New Roman" w:hAnsi="Times New Roman" w:cs="Times New Roman"/>
                <w:sz w:val="24"/>
                <w:szCs w:val="24"/>
                <w:lang w:eastAsia="en-GB"/>
              </w:rPr>
              <w:t xml:space="preserve"> hydrochloride (earlier platform)</w:t>
            </w:r>
          </w:p>
        </w:tc>
        <w:tc>
          <w:tcPr>
            <w:tcW w:w="0" w:type="auto"/>
            <w:hideMark/>
          </w:tcPr>
          <w:p w14:paraId="50CCF9C8"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Bioadhesive</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gel and nasal insert</w:t>
            </w:r>
          </w:p>
        </w:tc>
        <w:tc>
          <w:tcPr>
            <w:tcW w:w="0" w:type="auto"/>
            <w:hideMark/>
          </w:tcPr>
          <w:p w14:paraId="6297470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Formulation and in vivo evaluation</w:t>
            </w:r>
          </w:p>
        </w:tc>
        <w:tc>
          <w:tcPr>
            <w:tcW w:w="0" w:type="auto"/>
            <w:hideMark/>
          </w:tcPr>
          <w:p w14:paraId="608D6595"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Enhanced brain targeting in rat model</w:t>
            </w:r>
          </w:p>
        </w:tc>
        <w:tc>
          <w:tcPr>
            <w:tcW w:w="0" w:type="auto"/>
            <w:hideMark/>
          </w:tcPr>
          <w:p w14:paraId="2B7EF73F"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Abdelmonem</w:t>
            </w:r>
            <w:proofErr w:type="spellEnd"/>
            <w:r w:rsidRPr="00643D6C">
              <w:rPr>
                <w:rFonts w:ascii="Times New Roman" w:eastAsia="Times New Roman" w:hAnsi="Times New Roman" w:cs="Times New Roman"/>
                <w:sz w:val="24"/>
                <w:szCs w:val="24"/>
                <w:lang w:eastAsia="en-GB"/>
              </w:rPr>
              <w:t xml:space="preserve"> et al. (2018)</w:t>
            </w:r>
          </w:p>
        </w:tc>
      </w:tr>
    </w:tbl>
    <w:p w14:paraId="6B34BA2A"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Considered collectively, these studies exhibit a striking consistency in direction of effect: across every drug substance and gel base examined, the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or closely related in situ gel formulation outperformed the corresponding free drug solution or conventional oral comparator on at least one of vesicle-level permeation, systemic bioavailability, or CNS drug concentration. This consistency lends reasonable confidence to the underlying formulation principle, though it should be interpreted cautiously given that nearly all studies originate from a comparatively small number of research groups using broadly similar rodent pharmacokinetic models, a point returned to in the Limitations section.</w:t>
      </w:r>
    </w:p>
    <w:p w14:paraId="60D6D823"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2D2EB2B9"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9. Biopharmaceutical, Safety and Toxicological Considerations</w:t>
      </w:r>
    </w:p>
    <w:p w14:paraId="738B2E48"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The biopharmaceutical rationale for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rests on the joint contribution of enhanced permeability, afforded by vesicle deformability and, where present, penetration enhancers such as oleic acid, and prolonged residence time, afforded by the gelling matrix and any intrinsic or added mucoadhesive character. In vitro permeation studies across artificial or excised nasal membranes consistently report several-fold increases in steady-state flux and enhancement ratio for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formulations relative to free drug controls, a pattern attributed to the combined effect of increased local drug concentration at the membrane surface, improved drug solubilisation within the vesicle bilayer, and facilitated transcellular transport through vesicle fusion or endocytosis-mediated uptake (Salamah et al., 2025). Blood–brain barrier parallel artificial membrane permeability assays, used as a simplified in vitro surrogate for lipophilic passive transport across brain capillary endothelium, have similarly shown enhanced flux for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formulations, supporting the plausibility of direct nose-to-brain transport in addition to systemic absorption followed by BBB crossing (Salamah et al., 2025).</w:t>
      </w:r>
    </w:p>
    <w:p w14:paraId="3D7B8082"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Formulation excipients used in nasal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in situ gels are, for the most part, materials with established regulatory precedent and a favourable safety profile at the concentrations employed. Span and Tween surfactants, poloxamers, </w:t>
      </w:r>
      <w:proofErr w:type="spellStart"/>
      <w:r w:rsidRPr="00643D6C">
        <w:rPr>
          <w:rFonts w:ascii="Times New Roman" w:eastAsia="Times New Roman" w:hAnsi="Times New Roman" w:cs="Times New Roman"/>
          <w:sz w:val="24"/>
          <w:szCs w:val="24"/>
          <w:lang w:eastAsia="en-GB"/>
        </w:rPr>
        <w:t>gellan</w:t>
      </w:r>
      <w:proofErr w:type="spellEnd"/>
      <w:r w:rsidRPr="00643D6C">
        <w:rPr>
          <w:rFonts w:ascii="Times New Roman" w:eastAsia="Times New Roman" w:hAnsi="Times New Roman" w:cs="Times New Roman"/>
          <w:sz w:val="24"/>
          <w:szCs w:val="24"/>
          <w:lang w:eastAsia="en-GB"/>
        </w:rPr>
        <w:t xml:space="preserve"> gum and chitosan are all recognised by regulatory authorities as generally suitable for pharmaceutical use, and their inclusion in already-marketed nasal, ocular or oral products provides some reassurance regarding local tolerability (Salamah et al., 2025). Nonetheless, few of the preclinical studies reviewed here report systematic nasal ciliotoxicity assessment beyond basic histopathological examination, and the chronic effects of repeated exposure to surfactant-based vesicular systems on ciliary beat frequency and mucosal integrity remain comparatively underexplored relative to the extensive characterisation devoted to physicochemical and pharmacokinetic endpoints. Where histopathological evaluation has been performed, as in the carbamazepine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study, optimised formulations were generally associated with preserved epithelial and neuronal architecture, offering preliminary reassurance without constituting a comprehensive toxicological package (Yassin et al., 2019).</w:t>
      </w:r>
    </w:p>
    <w:p w14:paraId="45FDDAE9"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Chitosan-based components warrant particular note in this context, since chitosan simultaneously functions as a mucoadhesive gelling agent and, at sufficient concentration, as a permeation enhancer through transient opening of epithelial tight junctions; this dual action is mechanistically attractive but also implies that formulations relying heavily on chitosan-mediated permeation enhancement should be evaluated for any reversible compromise of epithelial barrier function following prolonged or repeated dosing (</w:t>
      </w:r>
      <w:proofErr w:type="spellStart"/>
      <w:r w:rsidRPr="00643D6C">
        <w:rPr>
          <w:rFonts w:ascii="Times New Roman" w:eastAsia="Times New Roman" w:hAnsi="Times New Roman" w:cs="Times New Roman"/>
          <w:sz w:val="24"/>
          <w:szCs w:val="24"/>
          <w:lang w:eastAsia="en-GB"/>
        </w:rPr>
        <w:t>Omidian</w:t>
      </w:r>
      <w:proofErr w:type="spellEnd"/>
      <w:r w:rsidRPr="00643D6C">
        <w:rPr>
          <w:rFonts w:ascii="Times New Roman" w:eastAsia="Times New Roman" w:hAnsi="Times New Roman" w:cs="Times New Roman"/>
          <w:sz w:val="24"/>
          <w:szCs w:val="24"/>
          <w:lang w:eastAsia="en-GB"/>
        </w:rPr>
        <w:t xml:space="preserve"> et al., 2024). More broadly, the enzymatic and biotransformation capacity of the nasal mucosa, while smaller in absolute terms than hepatic metabolism, is not negligible, and formulation strategies that improve local drug residence time may, in principle, also increase cumulative exposure to nasal metabolic enzymes for susceptible substrates, a consideration seldom addressed explicitly in the reviewed literature.</w:t>
      </w:r>
    </w:p>
    <w:p w14:paraId="36C3F4C3"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1691A7B2"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10. Regulatory, Quality Control and Clinical Translation Considerations</w:t>
      </w:r>
    </w:p>
    <w:p w14:paraId="6CDB1CBF"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Nasal spray and gel products intended for either local or systemic action are subject to specific in vitro performance testing requirements established by regulatory authorities, reflecting the recognition that the combination of formulation and delivery device jointly determines clinical performance. Regulatory guidance identifies several critical in vitro tests for nasal products, including droplet size distribution, spray pattern, plume geometry, single actuation content and, for suspension products, the proportion of drug present in small particles capable of reaching the lower respiratory tract (</w:t>
      </w: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These tests were developed principally for conventional nasal spray solutions and suspensions, and their direct applicability to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 systems, whose rheological behaviour changes markedly upon nasal deposition, requires careful adaptation; nonetheless, the underlying quality attributes they assess, particularly droplet size distribution and spray pattern, remain directly relevant to ensuring that a gel-forming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dispersion is delivered appropriately to the target region of the nasal cavity before gelation occurs (Salamah et al., 2025).</w:t>
      </w:r>
    </w:p>
    <w:p w14:paraId="2CEAB75C"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Table 4 summarises the principal in vitro performance tests recommended for nasal spray products, alongside their relevance to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 formulations specifically.</w:t>
      </w:r>
    </w:p>
    <w:p w14:paraId="43891485"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b/>
          <w:bCs/>
          <w:sz w:val="24"/>
          <w:szCs w:val="24"/>
          <w:lang w:eastAsia="en-GB"/>
        </w:rPr>
        <w:t xml:space="preserve">Table 4. Selected regulatory in vitro performance tests relevant to nasal </w:t>
      </w:r>
      <w:proofErr w:type="spellStart"/>
      <w:r w:rsidRPr="00643D6C">
        <w:rPr>
          <w:rFonts w:ascii="Times New Roman" w:eastAsia="Times New Roman" w:hAnsi="Times New Roman" w:cs="Times New Roman"/>
          <w:b/>
          <w:bCs/>
          <w:sz w:val="24"/>
          <w:szCs w:val="24"/>
          <w:lang w:eastAsia="en-GB"/>
        </w:rPr>
        <w:t>nanospanlastic</w:t>
      </w:r>
      <w:proofErr w:type="spellEnd"/>
      <w:r w:rsidRPr="00643D6C">
        <w:rPr>
          <w:rFonts w:ascii="Times New Roman" w:eastAsia="Times New Roman" w:hAnsi="Times New Roman" w:cs="Times New Roman"/>
          <w:b/>
          <w:bCs/>
          <w:sz w:val="24"/>
          <w:szCs w:val="24"/>
          <w:lang w:eastAsia="en-GB"/>
        </w:rPr>
        <w:t xml:space="preserve"> in situ gel products</w:t>
      </w:r>
    </w:p>
    <w:tbl>
      <w:tblPr>
        <w:tblStyle w:val="TableGrid"/>
        <w:tblW w:w="0" w:type="auto"/>
        <w:tblLook w:val="04A0" w:firstRow="1" w:lastRow="0" w:firstColumn="1" w:lastColumn="0" w:noHBand="0" w:noVBand="1"/>
      </w:tblPr>
      <w:tblGrid>
        <w:gridCol w:w="2649"/>
        <w:gridCol w:w="2430"/>
        <w:gridCol w:w="2502"/>
        <w:gridCol w:w="1661"/>
      </w:tblGrid>
      <w:tr w:rsidR="00643D6C" w:rsidRPr="00643D6C" w14:paraId="546B7CF5" w14:textId="77777777" w:rsidTr="00981AA8">
        <w:tc>
          <w:tcPr>
            <w:tcW w:w="0" w:type="auto"/>
            <w:hideMark/>
          </w:tcPr>
          <w:p w14:paraId="7CE512D2"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Test parameter</w:t>
            </w:r>
          </w:p>
        </w:tc>
        <w:tc>
          <w:tcPr>
            <w:tcW w:w="0" w:type="auto"/>
            <w:hideMark/>
          </w:tcPr>
          <w:p w14:paraId="7B1000B1"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Purpose</w:t>
            </w:r>
          </w:p>
        </w:tc>
        <w:tc>
          <w:tcPr>
            <w:tcW w:w="0" w:type="auto"/>
            <w:hideMark/>
          </w:tcPr>
          <w:p w14:paraId="2FF770A0"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 xml:space="preserve">Relevance to </w:t>
            </w:r>
            <w:proofErr w:type="spellStart"/>
            <w:r w:rsidRPr="00643D6C">
              <w:rPr>
                <w:rFonts w:ascii="Times New Roman" w:eastAsia="Times New Roman" w:hAnsi="Times New Roman" w:cs="Times New Roman"/>
                <w:b/>
                <w:bCs/>
                <w:sz w:val="24"/>
                <w:szCs w:val="24"/>
                <w:lang w:eastAsia="en-GB"/>
              </w:rPr>
              <w:t>nanospanlastic</w:t>
            </w:r>
            <w:proofErr w:type="spellEnd"/>
            <w:r w:rsidRPr="00643D6C">
              <w:rPr>
                <w:rFonts w:ascii="Times New Roman" w:eastAsia="Times New Roman" w:hAnsi="Times New Roman" w:cs="Times New Roman"/>
                <w:b/>
                <w:bCs/>
                <w:sz w:val="24"/>
                <w:szCs w:val="24"/>
                <w:lang w:eastAsia="en-GB"/>
              </w:rPr>
              <w:t xml:space="preserve"> in situ gels</w:t>
            </w:r>
          </w:p>
        </w:tc>
        <w:tc>
          <w:tcPr>
            <w:tcW w:w="0" w:type="auto"/>
            <w:hideMark/>
          </w:tcPr>
          <w:p w14:paraId="42A87A60" w14:textId="77777777" w:rsidR="00643D6C" w:rsidRPr="00643D6C" w:rsidRDefault="00643D6C" w:rsidP="00643D6C">
            <w:pPr>
              <w:jc w:val="center"/>
              <w:rPr>
                <w:rFonts w:ascii="Times New Roman" w:eastAsia="Times New Roman" w:hAnsi="Times New Roman" w:cs="Times New Roman"/>
                <w:b/>
                <w:bCs/>
                <w:sz w:val="24"/>
                <w:szCs w:val="24"/>
                <w:lang w:eastAsia="en-GB"/>
              </w:rPr>
            </w:pPr>
            <w:r w:rsidRPr="00643D6C">
              <w:rPr>
                <w:rFonts w:ascii="Times New Roman" w:eastAsia="Times New Roman" w:hAnsi="Times New Roman" w:cs="Times New Roman"/>
                <w:b/>
                <w:bCs/>
                <w:sz w:val="24"/>
                <w:szCs w:val="24"/>
                <w:lang w:eastAsia="en-GB"/>
              </w:rPr>
              <w:t>Source</w:t>
            </w:r>
          </w:p>
        </w:tc>
      </w:tr>
      <w:tr w:rsidR="00643D6C" w:rsidRPr="00643D6C" w14:paraId="72766777" w14:textId="77777777" w:rsidTr="00981AA8">
        <w:tc>
          <w:tcPr>
            <w:tcW w:w="0" w:type="auto"/>
            <w:hideMark/>
          </w:tcPr>
          <w:p w14:paraId="3AA592CE"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Droplet size distribution</w:t>
            </w:r>
          </w:p>
        </w:tc>
        <w:tc>
          <w:tcPr>
            <w:tcW w:w="0" w:type="auto"/>
            <w:hideMark/>
          </w:tcPr>
          <w:p w14:paraId="7CFDAD7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Ensures deposition within the therapeutic target region and avoids pulmonary inhalation of fine droplets</w:t>
            </w:r>
          </w:p>
        </w:tc>
        <w:tc>
          <w:tcPr>
            <w:tcW w:w="0" w:type="auto"/>
            <w:hideMark/>
          </w:tcPr>
          <w:p w14:paraId="2AF4BD1F"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Must be assessed prior to in situ gelation, since gel formation occurs only after nasal deposition</w:t>
            </w:r>
          </w:p>
        </w:tc>
        <w:tc>
          <w:tcPr>
            <w:tcW w:w="0" w:type="auto"/>
            <w:hideMark/>
          </w:tcPr>
          <w:p w14:paraId="0A0810BA"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Salamah et al. (2025)</w:t>
            </w:r>
          </w:p>
        </w:tc>
      </w:tr>
      <w:tr w:rsidR="00643D6C" w:rsidRPr="00643D6C" w14:paraId="56B832CC" w14:textId="77777777" w:rsidTr="00981AA8">
        <w:tc>
          <w:tcPr>
            <w:tcW w:w="0" w:type="auto"/>
            <w:hideMark/>
          </w:tcPr>
          <w:p w14:paraId="436C2D67"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Spray pattern and plume geometry</w:t>
            </w:r>
          </w:p>
        </w:tc>
        <w:tc>
          <w:tcPr>
            <w:tcW w:w="0" w:type="auto"/>
            <w:hideMark/>
          </w:tcPr>
          <w:p w14:paraId="281694E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appropriate spray cone shape and symmetry from the device</w:t>
            </w:r>
          </w:p>
        </w:tc>
        <w:tc>
          <w:tcPr>
            <w:tcW w:w="0" w:type="auto"/>
            <w:hideMark/>
          </w:tcPr>
          <w:p w14:paraId="055BE6A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Influenced by pre-gelation viscosity of the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dispersion</w:t>
            </w:r>
          </w:p>
        </w:tc>
        <w:tc>
          <w:tcPr>
            <w:tcW w:w="0" w:type="auto"/>
            <w:hideMark/>
          </w:tcPr>
          <w:p w14:paraId="31AD0C28"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Trows</w:t>
            </w:r>
            <w:proofErr w:type="spellEnd"/>
            <w:r w:rsidRPr="00643D6C">
              <w:rPr>
                <w:rFonts w:ascii="Times New Roman" w:eastAsia="Times New Roman" w:hAnsi="Times New Roman" w:cs="Times New Roman"/>
                <w:sz w:val="24"/>
                <w:szCs w:val="24"/>
                <w:lang w:eastAsia="en-GB"/>
              </w:rPr>
              <w:t xml:space="preserve"> et al. (2014); </w:t>
            </w: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tc>
      </w:tr>
      <w:tr w:rsidR="00643D6C" w:rsidRPr="00643D6C" w14:paraId="3388B7EB" w14:textId="77777777" w:rsidTr="00981AA8">
        <w:tc>
          <w:tcPr>
            <w:tcW w:w="0" w:type="auto"/>
            <w:hideMark/>
          </w:tcPr>
          <w:p w14:paraId="738194E6"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lastRenderedPageBreak/>
              <w:t>Gelation temperature and gelation time</w:t>
            </w:r>
          </w:p>
        </w:tc>
        <w:tc>
          <w:tcPr>
            <w:tcW w:w="0" w:type="auto"/>
            <w:hideMark/>
          </w:tcPr>
          <w:p w14:paraId="4D3A1EC2"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sol–gel transition occurs promptly under nasal physiological conditions</w:t>
            </w:r>
          </w:p>
        </w:tc>
        <w:tc>
          <w:tcPr>
            <w:tcW w:w="0" w:type="auto"/>
            <w:hideMark/>
          </w:tcPr>
          <w:p w14:paraId="49BAE532"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Central quality attribute specific to in situ gelling systems</w:t>
            </w:r>
          </w:p>
        </w:tc>
        <w:tc>
          <w:tcPr>
            <w:tcW w:w="0" w:type="auto"/>
            <w:hideMark/>
          </w:tcPr>
          <w:p w14:paraId="21F79E82"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tc>
      </w:tr>
      <w:tr w:rsidR="00643D6C" w:rsidRPr="00643D6C" w14:paraId="1218A5AD" w14:textId="77777777" w:rsidTr="00981AA8">
        <w:tc>
          <w:tcPr>
            <w:tcW w:w="0" w:type="auto"/>
            <w:hideMark/>
          </w:tcPr>
          <w:p w14:paraId="1F04924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Rheological/viscosity profile</w:t>
            </w:r>
          </w:p>
        </w:tc>
        <w:tc>
          <w:tcPr>
            <w:tcW w:w="0" w:type="auto"/>
            <w:hideMark/>
          </w:tcPr>
          <w:p w14:paraId="0D6C9AD1"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Determines </w:t>
            </w:r>
            <w:proofErr w:type="spellStart"/>
            <w:r w:rsidRPr="00643D6C">
              <w:rPr>
                <w:rFonts w:ascii="Times New Roman" w:eastAsia="Times New Roman" w:hAnsi="Times New Roman" w:cs="Times New Roman"/>
                <w:sz w:val="24"/>
                <w:szCs w:val="24"/>
                <w:lang w:eastAsia="en-GB"/>
              </w:rPr>
              <w:t>sprayability</w:t>
            </w:r>
            <w:proofErr w:type="spellEnd"/>
            <w:r w:rsidRPr="00643D6C">
              <w:rPr>
                <w:rFonts w:ascii="Times New Roman" w:eastAsia="Times New Roman" w:hAnsi="Times New Roman" w:cs="Times New Roman"/>
                <w:sz w:val="24"/>
                <w:szCs w:val="24"/>
                <w:lang w:eastAsia="en-GB"/>
              </w:rPr>
              <w:t xml:space="preserve"> and post-gelation mucoadhesive behaviour</w:t>
            </w:r>
          </w:p>
        </w:tc>
        <w:tc>
          <w:tcPr>
            <w:tcW w:w="0" w:type="auto"/>
            <w:hideMark/>
          </w:tcPr>
          <w:p w14:paraId="1A7C026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Must balance </w:t>
            </w:r>
            <w:proofErr w:type="spellStart"/>
            <w:r w:rsidRPr="00643D6C">
              <w:rPr>
                <w:rFonts w:ascii="Times New Roman" w:eastAsia="Times New Roman" w:hAnsi="Times New Roman" w:cs="Times New Roman"/>
                <w:sz w:val="24"/>
                <w:szCs w:val="24"/>
                <w:lang w:eastAsia="en-GB"/>
              </w:rPr>
              <w:t>sprayability</w:t>
            </w:r>
            <w:proofErr w:type="spellEnd"/>
            <w:r w:rsidRPr="00643D6C">
              <w:rPr>
                <w:rFonts w:ascii="Times New Roman" w:eastAsia="Times New Roman" w:hAnsi="Times New Roman" w:cs="Times New Roman"/>
                <w:sz w:val="24"/>
                <w:szCs w:val="24"/>
                <w:lang w:eastAsia="en-GB"/>
              </w:rPr>
              <w:t xml:space="preserve"> (low viscosity as sol) against residence time (adequate viscosity as gel)</w:t>
            </w:r>
          </w:p>
        </w:tc>
        <w:tc>
          <w:tcPr>
            <w:tcW w:w="0" w:type="auto"/>
            <w:hideMark/>
          </w:tcPr>
          <w:p w14:paraId="22758915" w14:textId="77777777" w:rsidR="00643D6C" w:rsidRPr="00643D6C" w:rsidRDefault="00643D6C" w:rsidP="00643D6C">
            <w:pPr>
              <w:rPr>
                <w:rFonts w:ascii="Times New Roman" w:eastAsia="Times New Roman" w:hAnsi="Times New Roman" w:cs="Times New Roman"/>
                <w:sz w:val="24"/>
                <w:szCs w:val="24"/>
                <w:lang w:eastAsia="en-GB"/>
              </w:rPr>
            </w:pPr>
            <w:proofErr w:type="spellStart"/>
            <w:r w:rsidRPr="00643D6C">
              <w:rPr>
                <w:rFonts w:ascii="Times New Roman" w:eastAsia="Times New Roman" w:hAnsi="Times New Roman" w:cs="Times New Roman"/>
                <w:sz w:val="24"/>
                <w:szCs w:val="24"/>
                <w:lang w:eastAsia="en-GB"/>
              </w:rPr>
              <w:t>Menshutina</w:t>
            </w:r>
            <w:proofErr w:type="spellEnd"/>
            <w:r w:rsidRPr="00643D6C">
              <w:rPr>
                <w:rFonts w:ascii="Times New Roman" w:eastAsia="Times New Roman" w:hAnsi="Times New Roman" w:cs="Times New Roman"/>
                <w:sz w:val="24"/>
                <w:szCs w:val="24"/>
                <w:lang w:eastAsia="en-GB"/>
              </w:rPr>
              <w:t xml:space="preserve"> et al. (2025)</w:t>
            </w:r>
          </w:p>
        </w:tc>
      </w:tr>
      <w:tr w:rsidR="00643D6C" w:rsidRPr="00643D6C" w14:paraId="13F48D8E" w14:textId="77777777" w:rsidTr="00981AA8">
        <w:tc>
          <w:tcPr>
            <w:tcW w:w="0" w:type="auto"/>
            <w:hideMark/>
          </w:tcPr>
          <w:p w14:paraId="5698966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Mucoadhesive force/work of adhesion</w:t>
            </w:r>
          </w:p>
        </w:tc>
        <w:tc>
          <w:tcPr>
            <w:tcW w:w="0" w:type="auto"/>
            <w:hideMark/>
          </w:tcPr>
          <w:p w14:paraId="36CF6608"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Predicts resistance to mucociliary clearance</w:t>
            </w:r>
          </w:p>
        </w:tc>
        <w:tc>
          <w:tcPr>
            <w:tcW w:w="0" w:type="auto"/>
            <w:hideMark/>
          </w:tcPr>
          <w:p w14:paraId="4D8A0E9B"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Directly determines nasal residence time achieved in vivo</w:t>
            </w:r>
          </w:p>
        </w:tc>
        <w:tc>
          <w:tcPr>
            <w:tcW w:w="0" w:type="auto"/>
            <w:hideMark/>
          </w:tcPr>
          <w:p w14:paraId="445F3802"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r w:rsidR="00643D6C" w:rsidRPr="00643D6C" w14:paraId="4B19E29B" w14:textId="77777777" w:rsidTr="00981AA8">
        <w:tc>
          <w:tcPr>
            <w:tcW w:w="0" w:type="auto"/>
            <w:hideMark/>
          </w:tcPr>
          <w:p w14:paraId="27E7387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Entrapment efficiency and vesicle size (nanoscale-specific)</w:t>
            </w:r>
          </w:p>
        </w:tc>
        <w:tc>
          <w:tcPr>
            <w:tcW w:w="0" w:type="auto"/>
            <w:hideMark/>
          </w:tcPr>
          <w:p w14:paraId="6C6EB3DA"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Confirms adequacy of drug loading and suitability for olfactory pathway transit</w:t>
            </w:r>
          </w:p>
        </w:tc>
        <w:tc>
          <w:tcPr>
            <w:tcW w:w="0" w:type="auto"/>
            <w:hideMark/>
          </w:tcPr>
          <w:p w14:paraId="6DF6A4FC"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Not addressed by conventional nasal spray guidance but essential for </w:t>
            </w:r>
            <w:proofErr w:type="spellStart"/>
            <w:r w:rsidRPr="00643D6C">
              <w:rPr>
                <w:rFonts w:ascii="Times New Roman" w:eastAsia="Times New Roman" w:hAnsi="Times New Roman" w:cs="Times New Roman"/>
                <w:sz w:val="24"/>
                <w:szCs w:val="24"/>
                <w:lang w:eastAsia="en-GB"/>
              </w:rPr>
              <w:t>nanovesicular</w:t>
            </w:r>
            <w:proofErr w:type="spellEnd"/>
            <w:r w:rsidRPr="00643D6C">
              <w:rPr>
                <w:rFonts w:ascii="Times New Roman" w:eastAsia="Times New Roman" w:hAnsi="Times New Roman" w:cs="Times New Roman"/>
                <w:sz w:val="24"/>
                <w:szCs w:val="24"/>
                <w:lang w:eastAsia="en-GB"/>
              </w:rPr>
              <w:t xml:space="preserve"> systems</w:t>
            </w:r>
          </w:p>
        </w:tc>
        <w:tc>
          <w:tcPr>
            <w:tcW w:w="0" w:type="auto"/>
            <w:hideMark/>
          </w:tcPr>
          <w:p w14:paraId="2A243BE1" w14:textId="77777777" w:rsidR="00643D6C" w:rsidRPr="00643D6C" w:rsidRDefault="00643D6C" w:rsidP="00643D6C">
            <w:pPr>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Salamah et al. (2025)</w:t>
            </w:r>
          </w:p>
        </w:tc>
      </w:tr>
    </w:tbl>
    <w:p w14:paraId="3B17332B"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Beyond product-specific performance testing, the broader regulatory environment for nanomedicine products presents translational challenges that apply to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as much as to other nanoparticulate delivery systems. Regulatory frameworks for nanomedicines internationally continue to evolve on a largely case-by-case basis, reflecting the absence of a single harmonised classification system for complex, multicomponent nanoscale products, and manufacturers are generally advised to engage regulators early in development to define an appropriate characterisation and quality control strategy. Scale-up from laboratory-scale ethanol injection or thin-film hydration methods to reproducible industrial manufacture represents a further, largely unaddressed challenge specific to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technology; nearly all studies reviewed here describe formulations prepared at a scale of a few millilitres to tens of millilitres, and none report data on batch-to-batch reproducibility at pilot or production scale. Given that vesicle size and entrapment efficiency are known to be highly sensitive to processing parameters such as sonication amplitude and duration, injection rate, and stirring speed, this absence of scale-up data constitutes a significant gap between the current preclinical evidence base and any realistic clinical translation pathway (</w:t>
      </w:r>
      <w:proofErr w:type="spellStart"/>
      <w:r w:rsidRPr="00643D6C">
        <w:rPr>
          <w:rFonts w:ascii="Times New Roman" w:eastAsia="Times New Roman" w:hAnsi="Times New Roman" w:cs="Times New Roman"/>
          <w:sz w:val="24"/>
          <w:szCs w:val="24"/>
          <w:lang w:eastAsia="en-GB"/>
        </w:rPr>
        <w:t>Rampado</w:t>
      </w:r>
      <w:proofErr w:type="spellEnd"/>
      <w:r w:rsidRPr="00643D6C">
        <w:rPr>
          <w:rFonts w:ascii="Times New Roman" w:eastAsia="Times New Roman" w:hAnsi="Times New Roman" w:cs="Times New Roman"/>
          <w:sz w:val="24"/>
          <w:szCs w:val="24"/>
          <w:lang w:eastAsia="en-GB"/>
        </w:rPr>
        <w:t xml:space="preserve"> &amp; Peer, 2023).</w:t>
      </w:r>
    </w:p>
    <w:p w14:paraId="0412D0D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Clinical precedent for intranasal CNS-targeted delivery more broadly is nonetheless encouraging. Several intranasally administered peptide and small-molecule therapeutics have reached clinical use or advanced clinical evaluation for CNS indications, including approved products for migraine and epilepsy management delivered via the intranasal route, demonstrating that regulatory approval of nasally administered CNS-targeted products is achievable in principle (Drath et al., 2025; Meredith et al., 2015). None of these approved products, however, currently employs a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or comparably deformable </w:t>
      </w:r>
      <w:proofErr w:type="spellStart"/>
      <w:r w:rsidRPr="00643D6C">
        <w:rPr>
          <w:rFonts w:ascii="Times New Roman" w:eastAsia="Times New Roman" w:hAnsi="Times New Roman" w:cs="Times New Roman"/>
          <w:sz w:val="24"/>
          <w:szCs w:val="24"/>
          <w:lang w:eastAsia="en-GB"/>
        </w:rPr>
        <w:t>nanovesicular</w:t>
      </w:r>
      <w:proofErr w:type="spellEnd"/>
      <w:r w:rsidRPr="00643D6C">
        <w:rPr>
          <w:rFonts w:ascii="Times New Roman" w:eastAsia="Times New Roman" w:hAnsi="Times New Roman" w:cs="Times New Roman"/>
          <w:sz w:val="24"/>
          <w:szCs w:val="24"/>
          <w:lang w:eastAsia="en-GB"/>
        </w:rPr>
        <w:t xml:space="preserve"> carrier within an in situ gelling matrix, meaning that the specific combination reviewed here remains, at the time of writing, an exclusively preclinical technology awaiting its first substantive clinical evaluation.</w:t>
      </w:r>
    </w:p>
    <w:p w14:paraId="60E18D62"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47F9CFED"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lastRenderedPageBreak/>
        <w:t>11. Future Directions</w:t>
      </w:r>
    </w:p>
    <w:p w14:paraId="55AAA371"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Progress toward clinical translation of nasal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in situ gels will likely depend on several concurrent developments. Comparative studies directly benchmarking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vesicles against alternative deformable or rigid nanocarriers, such as </w:t>
      </w:r>
      <w:proofErr w:type="spellStart"/>
      <w:r w:rsidRPr="00643D6C">
        <w:rPr>
          <w:rFonts w:ascii="Times New Roman" w:eastAsia="Times New Roman" w:hAnsi="Times New Roman" w:cs="Times New Roman"/>
          <w:sz w:val="24"/>
          <w:szCs w:val="24"/>
          <w:lang w:eastAsia="en-GB"/>
        </w:rPr>
        <w:t>niosomes</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transfersomes</w:t>
      </w:r>
      <w:proofErr w:type="spellEnd"/>
      <w:r w:rsidRPr="00643D6C">
        <w:rPr>
          <w:rFonts w:ascii="Times New Roman" w:eastAsia="Times New Roman" w:hAnsi="Times New Roman" w:cs="Times New Roman"/>
          <w:sz w:val="24"/>
          <w:szCs w:val="24"/>
          <w:lang w:eastAsia="en-GB"/>
        </w:rPr>
        <w:t xml:space="preserve">, </w:t>
      </w:r>
      <w:proofErr w:type="spellStart"/>
      <w:r w:rsidRPr="00643D6C">
        <w:rPr>
          <w:rFonts w:ascii="Times New Roman" w:eastAsia="Times New Roman" w:hAnsi="Times New Roman" w:cs="Times New Roman"/>
          <w:sz w:val="24"/>
          <w:szCs w:val="24"/>
          <w:lang w:eastAsia="en-GB"/>
        </w:rPr>
        <w:t>cubosomes</w:t>
      </w:r>
      <w:proofErr w:type="spellEnd"/>
      <w:r w:rsidRPr="00643D6C">
        <w:rPr>
          <w:rFonts w:ascii="Times New Roman" w:eastAsia="Times New Roman" w:hAnsi="Times New Roman" w:cs="Times New Roman"/>
          <w:sz w:val="24"/>
          <w:szCs w:val="24"/>
          <w:lang w:eastAsia="en-GB"/>
        </w:rPr>
        <w:t xml:space="preserve"> and polymeric nanoparticles, within an identical in situ gelling vehicle and drug substance would substantially strengthen the current evidence base, since the great majority of existing studies compare a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formulation only against a free-drug solution rather than against a mechanistically distinct nanocarrier alternative. Systematic investigation of manufacturing scale-up, including the reproducibility of ethanol injection and thin-film hydration methods under continuous or semi-continuous processing conditions, will be necessary before any realistic assessment of commercial feasibility can be made. Larger-animal and, eventually, early-phase human pharmacokinetic studies will be required to establish whether the substantial brain-targeting advantages observed in rodent models translate proportionally to species with a smaller relative olfactory epithelial surface area, since the rodent nasal cavity is disproportionately rich in olfactory tissue relative to the human nose. Extended and repeated-dose nasal tolerability studies, incorporating ciliary beat frequency measurement and longer observation windows than typically reported to date, would meaningfully strengthen the safety case for chronic administration. Finally, integration of co-optimisation strategies that simultaneously model vesicle- and gel-level critical quality attributes, rather than optimising the two components sequentially, represents a methodologically achievable near-term advance that could improve the consistency and predictability of formulation outcomes across future studies.</w:t>
      </w:r>
    </w:p>
    <w:p w14:paraId="0E4D18EB"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12. Conclusions</w:t>
      </w:r>
    </w:p>
    <w:p w14:paraId="3EC1B44E"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Nasal in situ </w:t>
      </w:r>
      <w:proofErr w:type="spellStart"/>
      <w:r w:rsidRPr="00643D6C">
        <w:rPr>
          <w:rFonts w:ascii="Times New Roman" w:eastAsia="Times New Roman" w:hAnsi="Times New Roman" w:cs="Times New Roman"/>
          <w:sz w:val="24"/>
          <w:szCs w:val="24"/>
          <w:lang w:eastAsia="en-GB"/>
        </w:rPr>
        <w:t>nanospanlastic</w:t>
      </w:r>
      <w:proofErr w:type="spellEnd"/>
      <w:r w:rsidRPr="00643D6C">
        <w:rPr>
          <w:rFonts w:ascii="Times New Roman" w:eastAsia="Times New Roman" w:hAnsi="Times New Roman" w:cs="Times New Roman"/>
          <w:sz w:val="24"/>
          <w:szCs w:val="24"/>
          <w:lang w:eastAsia="en-GB"/>
        </w:rPr>
        <w:t xml:space="preserve"> gels represent a mechanistically coherent and increasingly well-characterised strategy for overcoming the two principal barriers to effective nasal drug delivery, namely limited epithelial permeability and rapid mucociliary clearance. By combining the deformable, penetration-enhancing architecture of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nanovesicles with the prolonged mucosal residence afforded by thermosensitive, ionic or pH-responsive gelling matrices, this platform has consistently demonstrated improved nasal permeation and, where evaluated, enhanced systemic or central nervous system drug delivery across a diverse range of therapeutic agents in preclinical models. The formulation science underpinning vesicle composition, preparation method and statistical optimisation is comparatively mature and methodologically consistent across independent research groups. What remains substantially less developed is the translational evidence base: manufacturing scalability, long-term physical and chemical stability, comprehensive nasal safety pharmacology, and any human clinical data are all, at present, either sparse or entirely absent. The technology therefore stands as a promising but still preclinical delivery platform, whose eventual clinical relevance will depend on the field's willingness to move beyond incremental formulation optimisation toward the comparative, scale-up and safety studies necessary to support translational development.</w:t>
      </w:r>
    </w:p>
    <w:p w14:paraId="282EF25F" w14:textId="77777777" w:rsidR="00643D6C" w:rsidRPr="00643D6C" w:rsidRDefault="00643D6C" w:rsidP="00643D6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3D6C">
        <w:rPr>
          <w:rFonts w:ascii="Times New Roman" w:eastAsia="Times New Roman" w:hAnsi="Times New Roman" w:cs="Times New Roman"/>
          <w:b/>
          <w:bCs/>
          <w:sz w:val="27"/>
          <w:szCs w:val="27"/>
          <w:lang w:eastAsia="en-GB"/>
        </w:rPr>
        <w:t>13. Limitations</w:t>
      </w:r>
    </w:p>
    <w:p w14:paraId="2C14FEC7" w14:textId="77777777" w:rsidR="00643D6C" w:rsidRPr="00643D6C" w:rsidRDefault="00643D6C" w:rsidP="00643D6C">
      <w:pPr>
        <w:spacing w:before="100" w:beforeAutospacing="1" w:after="100" w:afterAutospacing="1" w:line="240" w:lineRule="auto"/>
        <w:rPr>
          <w:rFonts w:ascii="Times New Roman" w:eastAsia="Times New Roman" w:hAnsi="Times New Roman" w:cs="Times New Roman"/>
          <w:sz w:val="24"/>
          <w:szCs w:val="24"/>
          <w:lang w:eastAsia="en-GB"/>
        </w:rPr>
      </w:pPr>
      <w:r w:rsidRPr="00643D6C">
        <w:rPr>
          <w:rFonts w:ascii="Times New Roman" w:eastAsia="Times New Roman" w:hAnsi="Times New Roman" w:cs="Times New Roman"/>
          <w:sz w:val="24"/>
          <w:szCs w:val="24"/>
          <w:lang w:eastAsia="en-GB"/>
        </w:rPr>
        <w:t xml:space="preserve">This review is subject to several limitations that should be considered when interpreting its conclusions. The narrative methodology, while appropriate to the heterogeneous and rapidly evolving nature of the underlying literature, does not permit the systematic risk-of-bias assessment or pooled quantitative synthesis that a formal systematic review would provide, </w:t>
      </w:r>
      <w:r w:rsidRPr="00643D6C">
        <w:rPr>
          <w:rFonts w:ascii="Times New Roman" w:eastAsia="Times New Roman" w:hAnsi="Times New Roman" w:cs="Times New Roman"/>
          <w:sz w:val="24"/>
          <w:szCs w:val="24"/>
          <w:lang w:eastAsia="en-GB"/>
        </w:rPr>
        <w:lastRenderedPageBreak/>
        <w:t xml:space="preserve">and study selection, while conducted according to explicit criteria, necessarily retains an element of investigator judgement. The underlying evidence base itself is dominated by a relatively small number of research groups, chiefly based in Egypt, India and a small number of other countries, employing broadly similar rodent models and formulation methodologies, which limits the generalisability of the consistently positive findings reported and raises the possibility that less favourable or negative results from other laboratories remain unpublished. Nearly all primary studies reviewed here report short-term pharmacokinetic and physicochemical outcomes rather than long-term stability, chronic tolerability or clinical efficacy data, meaning that the translational relevance of the preclinical findings summarised in this review cannot yet be confirmed. During the preparation of this review, two otherwise relevant primary studies, concerning nimodipine and armodafinil </w:t>
      </w:r>
      <w:proofErr w:type="spellStart"/>
      <w:r w:rsidRPr="00643D6C">
        <w:rPr>
          <w:rFonts w:ascii="Times New Roman" w:eastAsia="Times New Roman" w:hAnsi="Times New Roman" w:cs="Times New Roman"/>
          <w:sz w:val="24"/>
          <w:szCs w:val="24"/>
          <w:lang w:eastAsia="en-GB"/>
        </w:rPr>
        <w:t>spanlastic</w:t>
      </w:r>
      <w:proofErr w:type="spellEnd"/>
      <w:r w:rsidRPr="00643D6C">
        <w:rPr>
          <w:rFonts w:ascii="Times New Roman" w:eastAsia="Times New Roman" w:hAnsi="Times New Roman" w:cs="Times New Roman"/>
          <w:sz w:val="24"/>
          <w:szCs w:val="24"/>
          <w:lang w:eastAsia="en-GB"/>
        </w:rPr>
        <w:t xml:space="preserve"> in situ gels, could not be included because their full authorship could not be independently verified against the applicable citation standard; their omission means the drug-specific evidence base presented here, while consistent, is narrower than the full body of published work on this topic. Finally, because this is a narrative rather than systematic review, the search strategy, while structured and multi-database, cannot guarantee capture of every relevant publication within the defined time window, and some recent or less widely indexed studies may not be represented in the synthesis presented here.</w:t>
      </w:r>
    </w:p>
    <w:p w14:paraId="26A7B1E3" w14:textId="77777777" w:rsidR="008B7631" w:rsidRPr="000839CE" w:rsidRDefault="008B7631" w:rsidP="008B763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A600A30" w14:textId="77777777" w:rsidR="008B7631" w:rsidRPr="000839CE" w:rsidRDefault="008B7631" w:rsidP="008B7631">
      <w:pPr>
        <w:spacing w:after="0" w:line="240" w:lineRule="auto"/>
        <w:rPr>
          <w:rFonts w:ascii="Times New Roman" w:hAnsi="Times New Roman" w:cs="Times New Roman"/>
        </w:rPr>
      </w:pPr>
    </w:p>
    <w:p w14:paraId="21739A2C" w14:textId="77777777" w:rsidR="008B7631" w:rsidRPr="000839CE" w:rsidRDefault="008B7631" w:rsidP="008B763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C7EF115" w14:textId="77777777" w:rsidR="00643D6C" w:rsidRPr="00643D6C" w:rsidRDefault="00643D6C" w:rsidP="00643D6C">
      <w:pPr>
        <w:spacing w:after="0" w:line="240" w:lineRule="auto"/>
        <w:rPr>
          <w:rFonts w:ascii="Times New Roman" w:eastAsia="Times New Roman" w:hAnsi="Times New Roman" w:cs="Times New Roman"/>
          <w:sz w:val="24"/>
          <w:szCs w:val="24"/>
          <w:lang w:eastAsia="en-GB"/>
        </w:rPr>
      </w:pPr>
    </w:p>
    <w:p w14:paraId="6CF395D5" w14:textId="77777777" w:rsidR="00643D6C" w:rsidRDefault="00643D6C" w:rsidP="00643D6C">
      <w:pPr>
        <w:pStyle w:val="Heading3"/>
      </w:pPr>
      <w:r>
        <w:t>References</w:t>
      </w:r>
    </w:p>
    <w:p w14:paraId="57C7F919" w14:textId="77777777" w:rsidR="00643D6C" w:rsidRDefault="00643D6C" w:rsidP="00643D6C">
      <w:pPr>
        <w:pStyle w:val="font-claude-response-body"/>
      </w:pPr>
      <w:r>
        <w:t xml:space="preserve">Abdelbari, M. A., El-Mancy, S. S., </w:t>
      </w:r>
      <w:proofErr w:type="spellStart"/>
      <w:r>
        <w:t>Elshafeey</w:t>
      </w:r>
      <w:proofErr w:type="spellEnd"/>
      <w:r>
        <w:t xml:space="preserve">, A. H., &amp; </w:t>
      </w:r>
      <w:proofErr w:type="spellStart"/>
      <w:r>
        <w:t>Abdelbary</w:t>
      </w:r>
      <w:proofErr w:type="spellEnd"/>
      <w:r>
        <w:t xml:space="preserve">, A. A. (2021). Implementing </w:t>
      </w:r>
      <w:proofErr w:type="spellStart"/>
      <w:r>
        <w:t>spanlastics</w:t>
      </w:r>
      <w:proofErr w:type="spellEnd"/>
      <w:r>
        <w:t xml:space="preserve"> for improving the ocular delivery of clotrimazole: In vitro characterization, ex vivo permeability, microbiological assessment and in vivo safety study. </w:t>
      </w:r>
      <w:r>
        <w:rPr>
          <w:rStyle w:val="Emphasis"/>
        </w:rPr>
        <w:t>International Journal of Nanomedicine</w:t>
      </w:r>
      <w:r>
        <w:t xml:space="preserve">, </w:t>
      </w:r>
      <w:r>
        <w:rPr>
          <w:rStyle w:val="Emphasis"/>
        </w:rPr>
        <w:t>16</w:t>
      </w:r>
      <w:r>
        <w:t xml:space="preserve">, 6249–6261. </w:t>
      </w:r>
      <w:r w:rsidRPr="00981AA8">
        <w:t>https://doi.org/10.2147/IJN.S319348</w:t>
      </w:r>
    </w:p>
    <w:p w14:paraId="2DAC2380" w14:textId="77777777" w:rsidR="00643D6C" w:rsidRDefault="00643D6C" w:rsidP="00643D6C">
      <w:pPr>
        <w:pStyle w:val="font-claude-response-body"/>
      </w:pPr>
      <w:r>
        <w:t xml:space="preserve">Abdelmonem, R., El </w:t>
      </w:r>
      <w:proofErr w:type="spellStart"/>
      <w:r>
        <w:t>Nabarawi</w:t>
      </w:r>
      <w:proofErr w:type="spellEnd"/>
      <w:r>
        <w:t xml:space="preserve">, M., &amp; Attia, A. (2018). Development of novel </w:t>
      </w:r>
      <w:proofErr w:type="spellStart"/>
      <w:r>
        <w:t>bioadhesive</w:t>
      </w:r>
      <w:proofErr w:type="spellEnd"/>
      <w:r>
        <w:t xml:space="preserve"> </w:t>
      </w:r>
      <w:proofErr w:type="spellStart"/>
      <w:r>
        <w:t>granisetron</w:t>
      </w:r>
      <w:proofErr w:type="spellEnd"/>
      <w:r>
        <w:t xml:space="preserve"> hydrochloride </w:t>
      </w:r>
      <w:proofErr w:type="spellStart"/>
      <w:r>
        <w:t>spanlastic</w:t>
      </w:r>
      <w:proofErr w:type="spellEnd"/>
      <w:r>
        <w:t xml:space="preserve"> gel and insert for brain targeting and study their effects on rats. </w:t>
      </w:r>
      <w:r>
        <w:rPr>
          <w:rStyle w:val="Emphasis"/>
        </w:rPr>
        <w:t>Drug Delivery</w:t>
      </w:r>
      <w:r>
        <w:t xml:space="preserve">, </w:t>
      </w:r>
      <w:r>
        <w:rPr>
          <w:rStyle w:val="Emphasis"/>
        </w:rPr>
        <w:t>25</w:t>
      </w:r>
      <w:r>
        <w:t xml:space="preserve">(1), 70–77. </w:t>
      </w:r>
      <w:r w:rsidRPr="00981AA8">
        <w:t>https://doi.org/10.1080/10717544.2017.1413447</w:t>
      </w:r>
    </w:p>
    <w:p w14:paraId="3FDAC329" w14:textId="77777777" w:rsidR="00643D6C" w:rsidRDefault="00643D6C" w:rsidP="00643D6C">
      <w:pPr>
        <w:pStyle w:val="font-claude-response-body"/>
      </w:pPr>
      <w:r>
        <w:t>Abdelmonem, R., El-</w:t>
      </w:r>
      <w:proofErr w:type="spellStart"/>
      <w:r>
        <w:t>Enin</w:t>
      </w:r>
      <w:proofErr w:type="spellEnd"/>
      <w:r>
        <w:t xml:space="preserve">, H. A. A., Abdelkader, G., &amp; Abdel-Hakeem, M. (2023). Formulation and characterization of lamotrigine nasal insert targeted brain for enhanced epilepsy treatment. </w:t>
      </w:r>
      <w:r>
        <w:rPr>
          <w:rStyle w:val="Emphasis"/>
        </w:rPr>
        <w:t>Drug Delivery</w:t>
      </w:r>
      <w:r>
        <w:t xml:space="preserve">, </w:t>
      </w:r>
      <w:r>
        <w:rPr>
          <w:rStyle w:val="Emphasis"/>
        </w:rPr>
        <w:t>30</w:t>
      </w:r>
      <w:r>
        <w:t xml:space="preserve">(1), Article 2163321. </w:t>
      </w:r>
      <w:r w:rsidRPr="00981AA8">
        <w:t>https://doi.org/10.1080/10717544.2022.2163321</w:t>
      </w:r>
    </w:p>
    <w:p w14:paraId="467DD7AE" w14:textId="77777777" w:rsidR="00643D6C" w:rsidRDefault="00643D6C" w:rsidP="00643D6C">
      <w:pPr>
        <w:pStyle w:val="font-claude-response-body"/>
      </w:pPr>
      <w:r>
        <w:t xml:space="preserve">Alharbi, W. S., </w:t>
      </w:r>
      <w:proofErr w:type="spellStart"/>
      <w:r>
        <w:t>Hareeri</w:t>
      </w:r>
      <w:proofErr w:type="spellEnd"/>
      <w:r>
        <w:t xml:space="preserve">, R. H., </w:t>
      </w:r>
      <w:proofErr w:type="spellStart"/>
      <w:r>
        <w:t>Bazuhair</w:t>
      </w:r>
      <w:proofErr w:type="spellEnd"/>
      <w:r>
        <w:t xml:space="preserve">, M., </w:t>
      </w:r>
      <w:proofErr w:type="spellStart"/>
      <w:r>
        <w:t>Alfaleh</w:t>
      </w:r>
      <w:proofErr w:type="spellEnd"/>
      <w:r>
        <w:t xml:space="preserve">, M. A., Alhakamy, N. A., Fahmy, U. A., Alamoudi, A. A., Badr-Eldin, S. M., Ahmed, O. A., </w:t>
      </w:r>
      <w:proofErr w:type="spellStart"/>
      <w:r>
        <w:t>AlGhamdi</w:t>
      </w:r>
      <w:proofErr w:type="spellEnd"/>
      <w:r>
        <w:t xml:space="preserve">, S. A., &amp; Naguib, M. J. (2022). </w:t>
      </w:r>
      <w:proofErr w:type="spellStart"/>
      <w:r>
        <w:t>Spanlastics</w:t>
      </w:r>
      <w:proofErr w:type="spellEnd"/>
      <w:r>
        <w:t xml:space="preserve"> as a potential platform for enhancing the brain delivery of </w:t>
      </w:r>
      <w:proofErr w:type="spellStart"/>
      <w:r>
        <w:t>flibanserin</w:t>
      </w:r>
      <w:proofErr w:type="spellEnd"/>
      <w:r>
        <w:t xml:space="preserve">: In </w:t>
      </w:r>
      <w:r>
        <w:lastRenderedPageBreak/>
        <w:t xml:space="preserve">vitro response-surface optimization and in vivo pharmacokinetics assessment. </w:t>
      </w:r>
      <w:r>
        <w:rPr>
          <w:rStyle w:val="Emphasis"/>
        </w:rPr>
        <w:t>Pharmaceutics</w:t>
      </w:r>
      <w:r>
        <w:t xml:space="preserve">, </w:t>
      </w:r>
      <w:r>
        <w:rPr>
          <w:rStyle w:val="Emphasis"/>
        </w:rPr>
        <w:t>14</w:t>
      </w:r>
      <w:r>
        <w:t xml:space="preserve">(12), 2627. </w:t>
      </w:r>
      <w:r w:rsidRPr="00981AA8">
        <w:t>https://doi.org/10.3390/pharmaceutics14122627</w:t>
      </w:r>
    </w:p>
    <w:p w14:paraId="64C81B9B" w14:textId="77777777" w:rsidR="00643D6C" w:rsidRDefault="00643D6C" w:rsidP="00643D6C">
      <w:pPr>
        <w:pStyle w:val="font-claude-response-body"/>
      </w:pPr>
      <w:r>
        <w:t xml:space="preserve">Ali, M. M., </w:t>
      </w:r>
      <w:proofErr w:type="spellStart"/>
      <w:r>
        <w:t>Shoukri</w:t>
      </w:r>
      <w:proofErr w:type="spellEnd"/>
      <w:r>
        <w:t xml:space="preserve">, R. A., &amp; Yousry, C. (2023). Thin film hydration versus modified spraying technique to fabricate intranasal </w:t>
      </w:r>
      <w:proofErr w:type="spellStart"/>
      <w:r>
        <w:t>spanlastic</w:t>
      </w:r>
      <w:proofErr w:type="spellEnd"/>
      <w:r>
        <w:t xml:space="preserve"> nanovesicles for rasagiline mesylate brain delivery: Characterization, statistical optimization, and in vivo pharmacokinetic evaluation. </w:t>
      </w:r>
      <w:r>
        <w:rPr>
          <w:rStyle w:val="Emphasis"/>
        </w:rPr>
        <w:t>Drug Delivery and Translational Research</w:t>
      </w:r>
      <w:r>
        <w:t xml:space="preserve">, </w:t>
      </w:r>
      <w:r>
        <w:rPr>
          <w:rStyle w:val="Emphasis"/>
        </w:rPr>
        <w:t>13</w:t>
      </w:r>
      <w:r>
        <w:t xml:space="preserve">(4), 1153–1168. </w:t>
      </w:r>
      <w:r w:rsidRPr="00981AA8">
        <w:t>https://doi.org/10.1007/s13346-022-01285-5</w:t>
      </w:r>
    </w:p>
    <w:p w14:paraId="6BD7EAA3" w14:textId="77777777" w:rsidR="00643D6C" w:rsidRDefault="00643D6C" w:rsidP="00643D6C">
      <w:pPr>
        <w:pStyle w:val="font-claude-response-body"/>
      </w:pPr>
      <w:r>
        <w:t xml:space="preserve">Dimova, R., Aranda, S., </w:t>
      </w:r>
      <w:proofErr w:type="spellStart"/>
      <w:r>
        <w:t>Bezlyepkina</w:t>
      </w:r>
      <w:proofErr w:type="spellEnd"/>
      <w:r>
        <w:t xml:space="preserve">, N., Nikolov, V., Riske, K. A., &amp; Lipowsky, R. (2006). A practical guide to giant vesicles: Probing the membrane </w:t>
      </w:r>
      <w:proofErr w:type="spellStart"/>
      <w:r>
        <w:t>nanoregime</w:t>
      </w:r>
      <w:proofErr w:type="spellEnd"/>
      <w:r>
        <w:t xml:space="preserve"> via optical microscopy. </w:t>
      </w:r>
      <w:r>
        <w:rPr>
          <w:rStyle w:val="Emphasis"/>
        </w:rPr>
        <w:t>Journal of Physics: Condensed Matter</w:t>
      </w:r>
      <w:r>
        <w:t xml:space="preserve">, </w:t>
      </w:r>
      <w:r>
        <w:rPr>
          <w:rStyle w:val="Emphasis"/>
        </w:rPr>
        <w:t>18</w:t>
      </w:r>
      <w:r>
        <w:t xml:space="preserve">(28), S1151–S1176. </w:t>
      </w:r>
      <w:r w:rsidRPr="00981AA8">
        <w:t>https://doi.org/10.1088/0953-8984/18/28/S04</w:t>
      </w:r>
    </w:p>
    <w:p w14:paraId="55516D8B" w14:textId="77777777" w:rsidR="00643D6C" w:rsidRDefault="00643D6C" w:rsidP="00643D6C">
      <w:pPr>
        <w:pStyle w:val="font-claude-response-body"/>
      </w:pPr>
      <w:r>
        <w:t xml:space="preserve">Drath, I., Richter, F., &amp; </w:t>
      </w:r>
      <w:proofErr w:type="spellStart"/>
      <w:r>
        <w:t>Feja</w:t>
      </w:r>
      <w:proofErr w:type="spellEnd"/>
      <w:r>
        <w:t xml:space="preserve">, M. (2025). Nose-to-brain drug delivery: From bench to bedside. </w:t>
      </w:r>
      <w:r>
        <w:rPr>
          <w:rStyle w:val="Emphasis"/>
        </w:rPr>
        <w:t>Translational Neurodegeneration</w:t>
      </w:r>
      <w:r>
        <w:t xml:space="preserve">, </w:t>
      </w:r>
      <w:r>
        <w:rPr>
          <w:rStyle w:val="Emphasis"/>
        </w:rPr>
        <w:t>14</w:t>
      </w:r>
      <w:r>
        <w:t xml:space="preserve">, Article 23. </w:t>
      </w:r>
      <w:r w:rsidRPr="00981AA8">
        <w:t>https://doi.org/10.1186/s40035-025-00481-w</w:t>
      </w:r>
    </w:p>
    <w:p w14:paraId="2FE450ED" w14:textId="77777777" w:rsidR="00643D6C" w:rsidRDefault="00643D6C" w:rsidP="00643D6C">
      <w:pPr>
        <w:pStyle w:val="font-claude-response-body"/>
      </w:pPr>
      <w:r>
        <w:t xml:space="preserve">Eissa, E. M., </w:t>
      </w:r>
      <w:proofErr w:type="spellStart"/>
      <w:r>
        <w:t>Elkomy</w:t>
      </w:r>
      <w:proofErr w:type="spellEnd"/>
      <w:r>
        <w:t xml:space="preserve">, M. H., Eid, H. M., Ali, A. A., </w:t>
      </w:r>
      <w:proofErr w:type="spellStart"/>
      <w:r>
        <w:t>Abourehab</w:t>
      </w:r>
      <w:proofErr w:type="spellEnd"/>
      <w:r>
        <w:t xml:space="preserve">, M. A. S., </w:t>
      </w:r>
      <w:proofErr w:type="spellStart"/>
      <w:r>
        <w:t>Alsubaiyel</w:t>
      </w:r>
      <w:proofErr w:type="spellEnd"/>
      <w:r>
        <w:t xml:space="preserve">, A. M., Naguib, I. A., </w:t>
      </w:r>
      <w:proofErr w:type="spellStart"/>
      <w:r>
        <w:t>Alsalahat</w:t>
      </w:r>
      <w:proofErr w:type="spellEnd"/>
      <w:r>
        <w:t xml:space="preserve">, I., &amp; Hassan, A. H. (2022). Intranasal delivery of </w:t>
      </w:r>
      <w:proofErr w:type="spellStart"/>
      <w:r>
        <w:t>granisetron</w:t>
      </w:r>
      <w:proofErr w:type="spellEnd"/>
      <w:r>
        <w:t xml:space="preserve"> to the brain via nanostructured </w:t>
      </w:r>
      <w:proofErr w:type="spellStart"/>
      <w:r>
        <w:t>cubosomes</w:t>
      </w:r>
      <w:proofErr w:type="spellEnd"/>
      <w:r>
        <w:t xml:space="preserve">-based in situ gel for improved management of chemotherapy-induced emesis. </w:t>
      </w:r>
      <w:r>
        <w:rPr>
          <w:rStyle w:val="Emphasis"/>
        </w:rPr>
        <w:t>Pharmaceutics</w:t>
      </w:r>
      <w:r>
        <w:t xml:space="preserve">, </w:t>
      </w:r>
      <w:r>
        <w:rPr>
          <w:rStyle w:val="Emphasis"/>
        </w:rPr>
        <w:t>14</w:t>
      </w:r>
      <w:r>
        <w:t xml:space="preserve">(7), 1374. </w:t>
      </w:r>
      <w:r w:rsidRPr="00981AA8">
        <w:t>https://doi.org/10.3390/pharmaceutics14071374</w:t>
      </w:r>
    </w:p>
    <w:p w14:paraId="65016F5C" w14:textId="77777777" w:rsidR="00643D6C" w:rsidRDefault="00643D6C" w:rsidP="00643D6C">
      <w:pPr>
        <w:pStyle w:val="font-claude-response-body"/>
      </w:pPr>
      <w:proofErr w:type="spellStart"/>
      <w:r>
        <w:t>Elsaied</w:t>
      </w:r>
      <w:proofErr w:type="spellEnd"/>
      <w:r>
        <w:t xml:space="preserve">, E. H., </w:t>
      </w:r>
      <w:proofErr w:type="spellStart"/>
      <w:r>
        <w:t>Dawaba</w:t>
      </w:r>
      <w:proofErr w:type="spellEnd"/>
      <w:r>
        <w:t xml:space="preserve">, H. M., Ibrahim, E. S. A., &amp; </w:t>
      </w:r>
      <w:proofErr w:type="spellStart"/>
      <w:r>
        <w:t>Afouna</w:t>
      </w:r>
      <w:proofErr w:type="spellEnd"/>
      <w:r>
        <w:t xml:space="preserve">, M. I. (2019). Effect of pegylated edge activator on span 60 based-nanovesicles: Comparison between </w:t>
      </w:r>
      <w:proofErr w:type="spellStart"/>
      <w:r>
        <w:t>Myrj</w:t>
      </w:r>
      <w:proofErr w:type="spellEnd"/>
      <w:r>
        <w:t xml:space="preserve"> 52 and </w:t>
      </w:r>
      <w:proofErr w:type="spellStart"/>
      <w:r>
        <w:t>Myrj</w:t>
      </w:r>
      <w:proofErr w:type="spellEnd"/>
      <w:r>
        <w:t xml:space="preserve"> 59. </w:t>
      </w:r>
      <w:r>
        <w:rPr>
          <w:rStyle w:val="Emphasis"/>
        </w:rPr>
        <w:t>Universal Journal of Pharmaceutical Research</w:t>
      </w:r>
      <w:r>
        <w:t xml:space="preserve">, </w:t>
      </w:r>
      <w:r>
        <w:rPr>
          <w:rStyle w:val="Emphasis"/>
        </w:rPr>
        <w:t>4</w:t>
      </w:r>
      <w:r>
        <w:t xml:space="preserve">(4), 1–8. </w:t>
      </w:r>
      <w:r w:rsidRPr="00981AA8">
        <w:t>https://doi.org/10.22270/ujpr.v4i4.290</w:t>
      </w:r>
    </w:p>
    <w:p w14:paraId="0319FF68" w14:textId="77777777" w:rsidR="00643D6C" w:rsidRDefault="00643D6C" w:rsidP="00643D6C">
      <w:pPr>
        <w:pStyle w:val="font-claude-response-body"/>
      </w:pPr>
      <w:proofErr w:type="spellStart"/>
      <w:r>
        <w:t>Fachel</w:t>
      </w:r>
      <w:proofErr w:type="spellEnd"/>
      <w:r>
        <w:t xml:space="preserve">, F. N. S., Salatino-Oliveira, A., da Silva Carniel, W., Zimmermann, R., Matte, U., Teixeira, H. F., Baldo, G., &amp; Schuh, R. S. (2025). Recent advances in nose-to-brain gene delivery for central nervous system disorders. </w:t>
      </w:r>
      <w:r>
        <w:rPr>
          <w:rStyle w:val="Emphasis"/>
        </w:rPr>
        <w:t>Pharmaceutics</w:t>
      </w:r>
      <w:r>
        <w:t xml:space="preserve">, </w:t>
      </w:r>
      <w:r>
        <w:rPr>
          <w:rStyle w:val="Emphasis"/>
        </w:rPr>
        <w:t>17</w:t>
      </w:r>
      <w:r>
        <w:t xml:space="preserve">(9), 1177. </w:t>
      </w:r>
      <w:r w:rsidRPr="00981AA8">
        <w:t>https://doi.org/10.3390/pharmaceutics17091177</w:t>
      </w:r>
    </w:p>
    <w:p w14:paraId="1767EA3D" w14:textId="77777777" w:rsidR="00643D6C" w:rsidRDefault="00643D6C" w:rsidP="00643D6C">
      <w:pPr>
        <w:pStyle w:val="font-claude-response-body"/>
      </w:pPr>
      <w:r>
        <w:t xml:space="preserve">Formica, M. L., Real, D. A., </w:t>
      </w:r>
      <w:proofErr w:type="spellStart"/>
      <w:r>
        <w:t>Picchio</w:t>
      </w:r>
      <w:proofErr w:type="spellEnd"/>
      <w:r>
        <w:t xml:space="preserve">, M. L., Catlin, E., Donnelly, R. F., &amp; Paredes, A. J. (2022). On a highway to the brain: A review on nose-to-brain drug delivery using nanoparticles. </w:t>
      </w:r>
      <w:r>
        <w:rPr>
          <w:rStyle w:val="Emphasis"/>
        </w:rPr>
        <w:t>Applied Materials Today</w:t>
      </w:r>
      <w:r>
        <w:t xml:space="preserve">, </w:t>
      </w:r>
      <w:r>
        <w:rPr>
          <w:rStyle w:val="Emphasis"/>
        </w:rPr>
        <w:t>29</w:t>
      </w:r>
      <w:r>
        <w:t xml:space="preserve">, 101631. </w:t>
      </w:r>
      <w:r w:rsidRPr="00981AA8">
        <w:t>https://doi.org/10.1016/j.apmt.2022.101631</w:t>
      </w:r>
    </w:p>
    <w:p w14:paraId="0891D525" w14:textId="77777777" w:rsidR="00643D6C" w:rsidRDefault="00643D6C" w:rsidP="00643D6C">
      <w:pPr>
        <w:pStyle w:val="font-claude-response-body"/>
      </w:pPr>
      <w:r>
        <w:t xml:space="preserve">Furley, P., &amp; Goldschmied, N. (2021). Systematic vs. narrative reviews in sport and exercise psychology: Is either approach superior to the other? </w:t>
      </w:r>
      <w:r>
        <w:rPr>
          <w:rStyle w:val="Emphasis"/>
        </w:rPr>
        <w:t>Frontiers in Psychology</w:t>
      </w:r>
      <w:r>
        <w:t xml:space="preserve">, </w:t>
      </w:r>
      <w:r>
        <w:rPr>
          <w:rStyle w:val="Emphasis"/>
        </w:rPr>
        <w:t>12</w:t>
      </w:r>
      <w:r>
        <w:t xml:space="preserve">, Article 685082. </w:t>
      </w:r>
      <w:r w:rsidRPr="00981AA8">
        <w:t>https://doi.org/10.3389/fpsyg.2021.685082</w:t>
      </w:r>
    </w:p>
    <w:p w14:paraId="5DAAB2A6" w14:textId="77777777" w:rsidR="00643D6C" w:rsidRDefault="00643D6C" w:rsidP="00643D6C">
      <w:pPr>
        <w:pStyle w:val="font-claude-response-body"/>
      </w:pPr>
      <w:r>
        <w:t xml:space="preserve">Gupta, I., Adin, S. N., Rashid, M. A., </w:t>
      </w:r>
      <w:proofErr w:type="spellStart"/>
      <w:r>
        <w:t>Alhamhoom</w:t>
      </w:r>
      <w:proofErr w:type="spellEnd"/>
      <w:r>
        <w:t xml:space="preserve">, Y., Aqil, M., &amp; Mujeeb, M. (2023). </w:t>
      </w:r>
      <w:proofErr w:type="spellStart"/>
      <w:r>
        <w:t>Spanlastics</w:t>
      </w:r>
      <w:proofErr w:type="spellEnd"/>
      <w:r>
        <w:t xml:space="preserve"> as a potential approach for enhancing the nose-to-brain delivery of piperine: In vitro prospect and in vivo therapeutic efficacy for the management of epilepsy. </w:t>
      </w:r>
      <w:r>
        <w:rPr>
          <w:rStyle w:val="Emphasis"/>
        </w:rPr>
        <w:t>Pharmaceutics</w:t>
      </w:r>
      <w:r>
        <w:t xml:space="preserve">, </w:t>
      </w:r>
      <w:r>
        <w:rPr>
          <w:rStyle w:val="Emphasis"/>
        </w:rPr>
        <w:t>15</w:t>
      </w:r>
      <w:r>
        <w:t xml:space="preserve">(2), 641. </w:t>
      </w:r>
      <w:r w:rsidRPr="00981AA8">
        <w:t>https://doi.org/10.3390/pharmaceutics15020641</w:t>
      </w:r>
    </w:p>
    <w:p w14:paraId="78946BB5" w14:textId="77777777" w:rsidR="00643D6C" w:rsidRDefault="00643D6C" w:rsidP="00643D6C">
      <w:pPr>
        <w:pStyle w:val="font-claude-response-body"/>
      </w:pPr>
      <w:r>
        <w:t xml:space="preserve">Khan, S., Patil, K., Bobade, N., </w:t>
      </w:r>
      <w:proofErr w:type="spellStart"/>
      <w:r>
        <w:t>Yeole</w:t>
      </w:r>
      <w:proofErr w:type="spellEnd"/>
      <w:r>
        <w:t xml:space="preserve">, P., &amp; Gaikwad, R. (2010). Formulation of intranasal mucoadhesive temperature-mediated in situ gel containing ropinirole and evaluation of brain </w:t>
      </w:r>
      <w:r>
        <w:lastRenderedPageBreak/>
        <w:t xml:space="preserve">targeting efficiency in rats. </w:t>
      </w:r>
      <w:r>
        <w:rPr>
          <w:rStyle w:val="Emphasis"/>
        </w:rPr>
        <w:t>Journal of Drug Targeting</w:t>
      </w:r>
      <w:r>
        <w:t xml:space="preserve">, </w:t>
      </w:r>
      <w:r>
        <w:rPr>
          <w:rStyle w:val="Emphasis"/>
        </w:rPr>
        <w:t>18</w:t>
      </w:r>
      <w:r>
        <w:t xml:space="preserve">(3), 223–234. </w:t>
      </w:r>
      <w:r w:rsidRPr="00981AA8">
        <w:t>https://doi.org/10.3109/10611860903386938</w:t>
      </w:r>
    </w:p>
    <w:p w14:paraId="70F5040C" w14:textId="77777777" w:rsidR="00643D6C" w:rsidRDefault="00643D6C" w:rsidP="00643D6C">
      <w:pPr>
        <w:pStyle w:val="font-claude-response-body"/>
      </w:pPr>
      <w:proofErr w:type="spellStart"/>
      <w:r>
        <w:t>Khositsuntiwong</w:t>
      </w:r>
      <w:proofErr w:type="spellEnd"/>
      <w:r>
        <w:t xml:space="preserve">, N., </w:t>
      </w:r>
      <w:proofErr w:type="spellStart"/>
      <w:r>
        <w:t>Manosroi</w:t>
      </w:r>
      <w:proofErr w:type="spellEnd"/>
      <w:r>
        <w:t xml:space="preserve">, A., Götz, F., Werner, R. G., </w:t>
      </w:r>
      <w:proofErr w:type="spellStart"/>
      <w:r>
        <w:t>Manosroi</w:t>
      </w:r>
      <w:proofErr w:type="spellEnd"/>
      <w:r>
        <w:t xml:space="preserve">, W., &amp; </w:t>
      </w:r>
      <w:proofErr w:type="spellStart"/>
      <w:r>
        <w:t>Manosroi</w:t>
      </w:r>
      <w:proofErr w:type="spellEnd"/>
      <w:r>
        <w:t xml:space="preserve">, J. (2012). Enhancement of gene expression and melanin production of human tyrosinase gene loaded in elastic cationic </w:t>
      </w:r>
      <w:proofErr w:type="spellStart"/>
      <w:r>
        <w:t>niosomes</w:t>
      </w:r>
      <w:proofErr w:type="spellEnd"/>
      <w:r>
        <w:t xml:space="preserve">. </w:t>
      </w:r>
      <w:r>
        <w:rPr>
          <w:rStyle w:val="Emphasis"/>
        </w:rPr>
        <w:t>Journal of Pharmacy and Pharmacology</w:t>
      </w:r>
      <w:r>
        <w:t xml:space="preserve">, </w:t>
      </w:r>
      <w:r>
        <w:rPr>
          <w:rStyle w:val="Emphasis"/>
        </w:rPr>
        <w:t>64</w:t>
      </w:r>
      <w:r>
        <w:t xml:space="preserve">(10), 1376–1385. </w:t>
      </w:r>
      <w:r w:rsidRPr="00981AA8">
        <w:t>https://doi.org/10.1111/j.2042-7158.2012.01509.x</w:t>
      </w:r>
    </w:p>
    <w:p w14:paraId="02A945F6" w14:textId="77777777" w:rsidR="00643D6C" w:rsidRPr="00981AA8" w:rsidRDefault="00643D6C" w:rsidP="00643D6C">
      <w:pPr>
        <w:pStyle w:val="font-claude-response-body"/>
      </w:pPr>
      <w:r w:rsidRPr="00981AA8">
        <w:t xml:space="preserve">Mahmoud, B. S., &amp; McConville, C. (2023). Box–Behnken design of experiments of polycaprolactone nanoparticles loaded with irinotecan hydrochloride. </w:t>
      </w:r>
      <w:r w:rsidRPr="00981AA8">
        <w:rPr>
          <w:rStyle w:val="Emphasis"/>
        </w:rPr>
        <w:t>Pharmaceutics</w:t>
      </w:r>
      <w:r w:rsidRPr="00981AA8">
        <w:t xml:space="preserve">, </w:t>
      </w:r>
      <w:r w:rsidRPr="00981AA8">
        <w:rPr>
          <w:rStyle w:val="Emphasis"/>
        </w:rPr>
        <w:t>15</w:t>
      </w:r>
      <w:r w:rsidRPr="00981AA8">
        <w:t>(4), 1271. https://doi.org/10.3390/pharmaceutics15041271</w:t>
      </w:r>
    </w:p>
    <w:p w14:paraId="32ED9CC0" w14:textId="77777777" w:rsidR="00643D6C" w:rsidRPr="00981AA8" w:rsidRDefault="00643D6C" w:rsidP="00643D6C">
      <w:pPr>
        <w:pStyle w:val="font-claude-response-body"/>
      </w:pPr>
      <w:proofErr w:type="spellStart"/>
      <w:r w:rsidRPr="00981AA8">
        <w:rPr>
          <w:rStyle w:val="Strong"/>
          <w:b w:val="0"/>
        </w:rPr>
        <w:t>Mazyed</w:t>
      </w:r>
      <w:proofErr w:type="spellEnd"/>
      <w:r w:rsidRPr="00981AA8">
        <w:rPr>
          <w:rStyle w:val="Strong"/>
          <w:b w:val="0"/>
        </w:rPr>
        <w:t xml:space="preserve">, E. A., Helal, D. A., </w:t>
      </w:r>
      <w:proofErr w:type="spellStart"/>
      <w:r w:rsidRPr="00981AA8">
        <w:rPr>
          <w:rStyle w:val="Strong"/>
          <w:b w:val="0"/>
        </w:rPr>
        <w:t>Elkhoudary</w:t>
      </w:r>
      <w:proofErr w:type="spellEnd"/>
      <w:r w:rsidRPr="00981AA8">
        <w:rPr>
          <w:rStyle w:val="Strong"/>
          <w:b w:val="0"/>
        </w:rPr>
        <w:t xml:space="preserve">, M. M., Abd Elhameed, A. G., &amp; Yasser, M. (2021). Formulation and optimization of </w:t>
      </w:r>
      <w:proofErr w:type="spellStart"/>
      <w:r w:rsidRPr="00981AA8">
        <w:rPr>
          <w:rStyle w:val="Strong"/>
          <w:b w:val="0"/>
        </w:rPr>
        <w:t>nanospanlastics</w:t>
      </w:r>
      <w:proofErr w:type="spellEnd"/>
      <w:r w:rsidRPr="00981AA8">
        <w:rPr>
          <w:rStyle w:val="Strong"/>
          <w:b w:val="0"/>
        </w:rPr>
        <w:t xml:space="preserve"> for improving the bioavailability of green tea epigallocatechin gallate.</w:t>
      </w:r>
      <w:r w:rsidRPr="00981AA8">
        <w:t xml:space="preserve"> </w:t>
      </w:r>
      <w:r w:rsidRPr="00981AA8">
        <w:rPr>
          <w:rStyle w:val="Emphasis"/>
        </w:rPr>
        <w:t>Pharmaceuticals</w:t>
      </w:r>
      <w:r w:rsidRPr="00981AA8">
        <w:t xml:space="preserve">, </w:t>
      </w:r>
      <w:r w:rsidRPr="00981AA8">
        <w:rPr>
          <w:rStyle w:val="Emphasis"/>
        </w:rPr>
        <w:t>14</w:t>
      </w:r>
      <w:r w:rsidRPr="00981AA8">
        <w:t>(1), 68. https://doi.org/10.3390/ph14010068</w:t>
      </w:r>
    </w:p>
    <w:p w14:paraId="60A335EF" w14:textId="77777777" w:rsidR="00643D6C" w:rsidRDefault="00643D6C" w:rsidP="00643D6C">
      <w:pPr>
        <w:pStyle w:val="font-claude-response-body"/>
      </w:pPr>
      <w:proofErr w:type="spellStart"/>
      <w:r>
        <w:t>Menshutina</w:t>
      </w:r>
      <w:proofErr w:type="spellEnd"/>
      <w:r>
        <w:t xml:space="preserve">, N., Derkach, V., Mokhova, E., &amp; Gordienko, M. (2025). Investigation of rheological characteristics of thermosensitive nasal in situ gels based on P407 and their effect on spray pattern. </w:t>
      </w:r>
      <w:r>
        <w:rPr>
          <w:rStyle w:val="Emphasis"/>
        </w:rPr>
        <w:t>Gels</w:t>
      </w:r>
      <w:r>
        <w:t xml:space="preserve">, </w:t>
      </w:r>
      <w:r>
        <w:rPr>
          <w:rStyle w:val="Emphasis"/>
        </w:rPr>
        <w:t>11</w:t>
      </w:r>
      <w:r>
        <w:t xml:space="preserve">(10), 841. </w:t>
      </w:r>
      <w:r w:rsidRPr="00981AA8">
        <w:t>https://doi.org/10.3390/gels11100841</w:t>
      </w:r>
    </w:p>
    <w:p w14:paraId="70590DE7" w14:textId="77777777" w:rsidR="00643D6C" w:rsidRDefault="00643D6C" w:rsidP="00643D6C">
      <w:pPr>
        <w:pStyle w:val="font-claude-response-body"/>
      </w:pPr>
      <w:r>
        <w:t xml:space="preserve">Meredith, M. E., Salameh, T. S., &amp; Banks, W. A. (2015). Intranasal delivery of proteins and peptides in the treatment of neurodegenerative diseases. </w:t>
      </w:r>
      <w:r>
        <w:rPr>
          <w:rStyle w:val="Emphasis"/>
        </w:rPr>
        <w:t>The AAPS Journal</w:t>
      </w:r>
      <w:r>
        <w:t xml:space="preserve">, </w:t>
      </w:r>
      <w:r>
        <w:rPr>
          <w:rStyle w:val="Emphasis"/>
        </w:rPr>
        <w:t>17</w:t>
      </w:r>
      <w:r>
        <w:t xml:space="preserve">(4), 780–787. </w:t>
      </w:r>
      <w:r w:rsidRPr="00981AA8">
        <w:t>https://doi.org/10.1208/s12248-015-9719-7</w:t>
      </w:r>
    </w:p>
    <w:p w14:paraId="23774F54" w14:textId="77777777" w:rsidR="00643D6C" w:rsidRDefault="00643D6C" w:rsidP="00643D6C">
      <w:pPr>
        <w:pStyle w:val="font-claude-response-body"/>
      </w:pPr>
      <w:r>
        <w:t xml:space="preserve">Nadim, N., Khan, A. A., Khan, S., Parveen, R., &amp; Ali, J. (2025). A narrative review on potential applications of </w:t>
      </w:r>
      <w:proofErr w:type="spellStart"/>
      <w:r>
        <w:t>spanlastics</w:t>
      </w:r>
      <w:proofErr w:type="spellEnd"/>
      <w:r>
        <w:t xml:space="preserve"> for nose-to-brain delivery of therapeutically active agents. </w:t>
      </w:r>
      <w:r>
        <w:rPr>
          <w:rStyle w:val="Emphasis"/>
        </w:rPr>
        <w:t>Advances in Colloid and Interface Science</w:t>
      </w:r>
      <w:r>
        <w:t xml:space="preserve">, </w:t>
      </w:r>
      <w:r>
        <w:rPr>
          <w:rStyle w:val="Emphasis"/>
        </w:rPr>
        <w:t>335</w:t>
      </w:r>
      <w:r>
        <w:t xml:space="preserve">, 103341. </w:t>
      </w:r>
      <w:r w:rsidRPr="00981AA8">
        <w:t>https://doi.org/10.1016/j.cis.2024.103341</w:t>
      </w:r>
    </w:p>
    <w:p w14:paraId="332B1F76" w14:textId="77777777" w:rsidR="00643D6C" w:rsidRDefault="00643D6C" w:rsidP="00643D6C">
      <w:pPr>
        <w:pStyle w:val="font-claude-response-body"/>
      </w:pPr>
      <w:proofErr w:type="spellStart"/>
      <w:r>
        <w:t>Omidian</w:t>
      </w:r>
      <w:proofErr w:type="spellEnd"/>
      <w:r>
        <w:t xml:space="preserve">, H., Gill, E. J., Dey Chowdhury, S., &amp; </w:t>
      </w:r>
      <w:proofErr w:type="spellStart"/>
      <w:r>
        <w:t>Cubeddu</w:t>
      </w:r>
      <w:proofErr w:type="spellEnd"/>
      <w:r>
        <w:t xml:space="preserve">, L. X. (2024). Chitosan nanoparticles for intranasal drug delivery. </w:t>
      </w:r>
      <w:r>
        <w:rPr>
          <w:rStyle w:val="Emphasis"/>
        </w:rPr>
        <w:t>Pharmaceutics</w:t>
      </w:r>
      <w:r>
        <w:t xml:space="preserve">, </w:t>
      </w:r>
      <w:r>
        <w:rPr>
          <w:rStyle w:val="Emphasis"/>
        </w:rPr>
        <w:t>16</w:t>
      </w:r>
      <w:r>
        <w:t xml:space="preserve">(6), 746. </w:t>
      </w:r>
      <w:r w:rsidRPr="00981AA8">
        <w:t>https://doi.org/10.3390/pharmaceutics16060746</w:t>
      </w:r>
    </w:p>
    <w:p w14:paraId="1862B275" w14:textId="77777777" w:rsidR="00643D6C" w:rsidRDefault="00643D6C" w:rsidP="00643D6C">
      <w:pPr>
        <w:pStyle w:val="font-claude-response-body"/>
      </w:pPr>
      <w:proofErr w:type="spellStart"/>
      <w:r>
        <w:t>Rampado</w:t>
      </w:r>
      <w:proofErr w:type="spellEnd"/>
      <w:r>
        <w:t xml:space="preserve">, R., &amp; Peer, D. (2023). Design of experiments in the optimization of nanoparticle-based drug delivery systems. </w:t>
      </w:r>
      <w:r>
        <w:rPr>
          <w:rStyle w:val="Emphasis"/>
        </w:rPr>
        <w:t>Journal of Controlled Release</w:t>
      </w:r>
      <w:r>
        <w:t xml:space="preserve">, </w:t>
      </w:r>
      <w:r>
        <w:rPr>
          <w:rStyle w:val="Emphasis"/>
        </w:rPr>
        <w:t>358</w:t>
      </w:r>
      <w:r>
        <w:t xml:space="preserve">, 398–419. </w:t>
      </w:r>
      <w:r w:rsidRPr="00981AA8">
        <w:t>https://doi.org/10.1016/j.jconrel.2023.05.001</w:t>
      </w:r>
    </w:p>
    <w:p w14:paraId="1D64FC03" w14:textId="77777777" w:rsidR="00643D6C" w:rsidRDefault="00643D6C" w:rsidP="00643D6C">
      <w:pPr>
        <w:pStyle w:val="font-claude-response-body"/>
      </w:pPr>
      <w:r>
        <w:t xml:space="preserve">Ren, Y., Nie, L., Zhu, S., &amp; Zhang, X. (2022). Nanovesicles-mediated drug delivery for oral bioavailability enhancement. </w:t>
      </w:r>
      <w:r>
        <w:rPr>
          <w:rStyle w:val="Emphasis"/>
        </w:rPr>
        <w:t>International Journal of Nanomedicine</w:t>
      </w:r>
      <w:r>
        <w:t xml:space="preserve">, </w:t>
      </w:r>
      <w:r>
        <w:rPr>
          <w:rStyle w:val="Emphasis"/>
        </w:rPr>
        <w:t>17</w:t>
      </w:r>
      <w:r>
        <w:t xml:space="preserve">, 4861–4877. </w:t>
      </w:r>
      <w:r w:rsidRPr="00981AA8">
        <w:t>https://doi.org/10.2147/IJN.S382192</w:t>
      </w:r>
    </w:p>
    <w:p w14:paraId="4624B9D5" w14:textId="77777777" w:rsidR="00643D6C" w:rsidRDefault="00643D6C" w:rsidP="00643D6C">
      <w:pPr>
        <w:pStyle w:val="font-claude-response-body"/>
      </w:pPr>
      <w:r>
        <w:t xml:space="preserve">Salamah, M., Budai-Szűcs, M., Sipos, B., Volk, B., Katona, G., Balogh, G. T., &amp; Csóka, I. (2025). Development and characterization of in situ gelling nasal cilostazol </w:t>
      </w:r>
      <w:proofErr w:type="spellStart"/>
      <w:r>
        <w:t>spanlastics</w:t>
      </w:r>
      <w:proofErr w:type="spellEnd"/>
      <w:r>
        <w:t xml:space="preserve">. </w:t>
      </w:r>
      <w:r>
        <w:rPr>
          <w:rStyle w:val="Emphasis"/>
        </w:rPr>
        <w:t>Gels</w:t>
      </w:r>
      <w:r>
        <w:t xml:space="preserve">, </w:t>
      </w:r>
      <w:r>
        <w:rPr>
          <w:rStyle w:val="Emphasis"/>
        </w:rPr>
        <w:t>11</w:t>
      </w:r>
      <w:r>
        <w:t xml:space="preserve">(2), 82. </w:t>
      </w:r>
      <w:r w:rsidRPr="00981AA8">
        <w:t>https://doi.org/10.3390/gels11020082</w:t>
      </w:r>
    </w:p>
    <w:p w14:paraId="09FA09CE" w14:textId="77777777" w:rsidR="00643D6C" w:rsidRDefault="00643D6C" w:rsidP="00643D6C">
      <w:pPr>
        <w:pStyle w:val="font-claude-response-body"/>
      </w:pPr>
      <w:r>
        <w:t xml:space="preserve">Spandana, K. M. A., </w:t>
      </w:r>
      <w:proofErr w:type="spellStart"/>
      <w:r>
        <w:t>Angolkar</w:t>
      </w:r>
      <w:proofErr w:type="spellEnd"/>
      <w:r>
        <w:t xml:space="preserve">, M., Rahamathulla, M., </w:t>
      </w:r>
      <w:proofErr w:type="spellStart"/>
      <w:r>
        <w:t>Thajudeen</w:t>
      </w:r>
      <w:proofErr w:type="spellEnd"/>
      <w:r>
        <w:t xml:space="preserve">, K. Y., Ahmed, M. M., Farhana, S. A., </w:t>
      </w:r>
      <w:proofErr w:type="spellStart"/>
      <w:r>
        <w:t>Shivanandappa</w:t>
      </w:r>
      <w:proofErr w:type="spellEnd"/>
      <w:r>
        <w:t xml:space="preserve">, T. B., </w:t>
      </w:r>
      <w:proofErr w:type="spellStart"/>
      <w:r>
        <w:t>Paramshetti</w:t>
      </w:r>
      <w:proofErr w:type="spellEnd"/>
      <w:r>
        <w:t xml:space="preserve">, S., Osmani, R. A. M., &amp; Natarajan, J. (2024). Box-Behnken design-based optimization and evaluation of lipid-based nano drug delivery system for brain targeting of bromocriptine. </w:t>
      </w:r>
      <w:r>
        <w:rPr>
          <w:rStyle w:val="Emphasis"/>
        </w:rPr>
        <w:t>Pharmaceuticals</w:t>
      </w:r>
      <w:r>
        <w:t xml:space="preserve">, </w:t>
      </w:r>
      <w:r>
        <w:rPr>
          <w:rStyle w:val="Emphasis"/>
        </w:rPr>
        <w:t>17</w:t>
      </w:r>
      <w:r>
        <w:t xml:space="preserve">(6), 720. </w:t>
      </w:r>
      <w:r w:rsidRPr="00981AA8">
        <w:t>https://doi.org/10.3390/ph17060720</w:t>
      </w:r>
    </w:p>
    <w:p w14:paraId="5856ED1D" w14:textId="77777777" w:rsidR="00643D6C" w:rsidRDefault="00643D6C" w:rsidP="00643D6C">
      <w:pPr>
        <w:pStyle w:val="font-claude-response-body"/>
      </w:pPr>
      <w:r>
        <w:lastRenderedPageBreak/>
        <w:t xml:space="preserve">Sukhera, J. (2022). Narrative reviews: Flexible, rigorous, and practical. </w:t>
      </w:r>
      <w:r>
        <w:rPr>
          <w:rStyle w:val="Emphasis"/>
        </w:rPr>
        <w:t>Journal of Graduate Medical Education</w:t>
      </w:r>
      <w:r>
        <w:t xml:space="preserve">, </w:t>
      </w:r>
      <w:r>
        <w:rPr>
          <w:rStyle w:val="Emphasis"/>
        </w:rPr>
        <w:t>14</w:t>
      </w:r>
      <w:r>
        <w:t xml:space="preserve">(4), 414–417. </w:t>
      </w:r>
      <w:r w:rsidRPr="00981AA8">
        <w:t>https://doi.org/10.4300/JGME-D-22-00480.1</w:t>
      </w:r>
    </w:p>
    <w:p w14:paraId="19D3641A" w14:textId="77777777" w:rsidR="00643D6C" w:rsidRDefault="00643D6C" w:rsidP="00643D6C">
      <w:pPr>
        <w:pStyle w:val="font-claude-response-body"/>
      </w:pPr>
      <w:proofErr w:type="spellStart"/>
      <w:r>
        <w:t>Trows</w:t>
      </w:r>
      <w:proofErr w:type="spellEnd"/>
      <w:r>
        <w:t xml:space="preserve">, S., </w:t>
      </w:r>
      <w:proofErr w:type="spellStart"/>
      <w:r>
        <w:t>Wuchner</w:t>
      </w:r>
      <w:proofErr w:type="spellEnd"/>
      <w:r>
        <w:t xml:space="preserve">, K., Spycher, R., &amp; Steckel, H. (2014). Analytical challenges and regulatory requirements for nasal drug products in Europe and the U.S. </w:t>
      </w:r>
      <w:r>
        <w:rPr>
          <w:rStyle w:val="Emphasis"/>
        </w:rPr>
        <w:t>Pharmaceutics</w:t>
      </w:r>
      <w:r>
        <w:t xml:space="preserve">, </w:t>
      </w:r>
      <w:r>
        <w:rPr>
          <w:rStyle w:val="Emphasis"/>
        </w:rPr>
        <w:t>6</w:t>
      </w:r>
      <w:r>
        <w:t xml:space="preserve">(2), 195–219. </w:t>
      </w:r>
      <w:r w:rsidRPr="00981AA8">
        <w:t>https://doi.org/10.3390/pharmaceutics6020195</w:t>
      </w:r>
    </w:p>
    <w:p w14:paraId="5DB408DE" w14:textId="77777777" w:rsidR="00643D6C" w:rsidRDefault="00643D6C" w:rsidP="00643D6C">
      <w:pPr>
        <w:pStyle w:val="font-claude-response-body"/>
      </w:pPr>
      <w:r>
        <w:t xml:space="preserve">Weyers, M., Peterson, B., Hamman, J. H., &amp; </w:t>
      </w:r>
      <w:proofErr w:type="spellStart"/>
      <w:r>
        <w:t>Steenekamp</w:t>
      </w:r>
      <w:proofErr w:type="spellEnd"/>
      <w:r>
        <w:t xml:space="preserve">, J. H. (2022). Formulation of chitosan microparticles for enhanced intranasal macromolecular compound delivery: Factors that influence particle size during ionic gelation. </w:t>
      </w:r>
      <w:r>
        <w:rPr>
          <w:rStyle w:val="Emphasis"/>
        </w:rPr>
        <w:t>Gels</w:t>
      </w:r>
      <w:r>
        <w:t xml:space="preserve">, </w:t>
      </w:r>
      <w:r>
        <w:rPr>
          <w:rStyle w:val="Emphasis"/>
        </w:rPr>
        <w:t>8</w:t>
      </w:r>
      <w:r>
        <w:t xml:space="preserve">(11), 686. </w:t>
      </w:r>
      <w:r w:rsidRPr="00981AA8">
        <w:t>https://doi.org/10.3390/gels8110686</w:t>
      </w:r>
    </w:p>
    <w:p w14:paraId="5EC51B2B" w14:textId="77777777" w:rsidR="00643D6C" w:rsidRDefault="00643D6C" w:rsidP="00643D6C">
      <w:pPr>
        <w:pStyle w:val="font-claude-response-body"/>
      </w:pPr>
      <w:r>
        <w:t xml:space="preserve">Yassin, G. E., Amer, R. I., &amp; Fayez, A. M. (2019). Carbamazepine loaded vesicular structures for enhanced brain targeting via intranasal route: Optimization, in vitro evaluation, and in vivo study. </w:t>
      </w:r>
      <w:r>
        <w:rPr>
          <w:rStyle w:val="Emphasis"/>
        </w:rPr>
        <w:t>International Journal of Applied Pharmaceutics</w:t>
      </w:r>
      <w:r>
        <w:t xml:space="preserve">, </w:t>
      </w:r>
      <w:r>
        <w:rPr>
          <w:rStyle w:val="Emphasis"/>
        </w:rPr>
        <w:t>11</w:t>
      </w:r>
      <w:r>
        <w:t xml:space="preserve">(4), 264–274. </w:t>
      </w:r>
      <w:r w:rsidRPr="00981AA8">
        <w:t>https://doi.org/10.22159/ijap.2019v11i4.33474</w:t>
      </w:r>
    </w:p>
    <w:p w14:paraId="4AB01763"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90A3" w14:textId="77777777" w:rsidR="00C5662A" w:rsidRDefault="00C5662A" w:rsidP="009B1C44">
      <w:pPr>
        <w:spacing w:after="0" w:line="240" w:lineRule="auto"/>
      </w:pPr>
      <w:r>
        <w:separator/>
      </w:r>
    </w:p>
  </w:endnote>
  <w:endnote w:type="continuationSeparator" w:id="0">
    <w:p w14:paraId="466175EC" w14:textId="77777777" w:rsidR="00C5662A" w:rsidRDefault="00C5662A" w:rsidP="009B1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0B74" w14:textId="77777777" w:rsidR="009B1C44" w:rsidRDefault="009B1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6A19" w14:textId="77777777" w:rsidR="009B1C44" w:rsidRDefault="009B1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E2E9" w14:textId="77777777" w:rsidR="009B1C44" w:rsidRDefault="009B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F274" w14:textId="77777777" w:rsidR="00C5662A" w:rsidRDefault="00C5662A" w:rsidP="009B1C44">
      <w:pPr>
        <w:spacing w:after="0" w:line="240" w:lineRule="auto"/>
      </w:pPr>
      <w:r>
        <w:separator/>
      </w:r>
    </w:p>
  </w:footnote>
  <w:footnote w:type="continuationSeparator" w:id="0">
    <w:p w14:paraId="50621F06" w14:textId="77777777" w:rsidR="00C5662A" w:rsidRDefault="00C5662A" w:rsidP="009B1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8708" w14:textId="25D6E124" w:rsidR="009B1C44" w:rsidRDefault="009B1C44">
    <w:pPr>
      <w:pStyle w:val="Header"/>
    </w:pPr>
    <w:r>
      <w:rPr>
        <w:noProof/>
      </w:rPr>
      <w:pict w14:anchorId="02EEF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E5F" w14:textId="3D59D8ED" w:rsidR="009B1C44" w:rsidRDefault="009B1C44">
    <w:pPr>
      <w:pStyle w:val="Header"/>
    </w:pPr>
    <w:r>
      <w:rPr>
        <w:noProof/>
      </w:rPr>
      <w:pict w14:anchorId="0266D0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9E31" w14:textId="4A0E801F" w:rsidR="009B1C44" w:rsidRDefault="009B1C44">
    <w:pPr>
      <w:pStyle w:val="Header"/>
    </w:pPr>
    <w:r>
      <w:rPr>
        <w:noProof/>
      </w:rPr>
      <w:pict w14:anchorId="7F71C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60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D6C"/>
    <w:rsid w:val="00345F3B"/>
    <w:rsid w:val="004841B3"/>
    <w:rsid w:val="004A2D0E"/>
    <w:rsid w:val="005565C6"/>
    <w:rsid w:val="00643D6C"/>
    <w:rsid w:val="00731813"/>
    <w:rsid w:val="007B0F69"/>
    <w:rsid w:val="00824882"/>
    <w:rsid w:val="008B7631"/>
    <w:rsid w:val="00981AA8"/>
    <w:rsid w:val="009B1C44"/>
    <w:rsid w:val="00C56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E4E7"/>
  <w15:docId w15:val="{A4E0E363-56E2-40D3-B9EE-55C08067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43D6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43D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43D6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643D6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43D6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43D6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43D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3D6C"/>
    <w:rPr>
      <w:b/>
      <w:bCs/>
    </w:rPr>
  </w:style>
  <w:style w:type="character" w:styleId="Emphasis">
    <w:name w:val="Emphasis"/>
    <w:basedOn w:val="DefaultParagraphFont"/>
    <w:uiPriority w:val="20"/>
    <w:qFormat/>
    <w:rsid w:val="00643D6C"/>
    <w:rPr>
      <w:i/>
      <w:iCs/>
    </w:rPr>
  </w:style>
  <w:style w:type="character" w:styleId="Hyperlink">
    <w:name w:val="Hyperlink"/>
    <w:basedOn w:val="DefaultParagraphFont"/>
    <w:uiPriority w:val="99"/>
    <w:semiHidden/>
    <w:unhideWhenUsed/>
    <w:rsid w:val="00643D6C"/>
    <w:rPr>
      <w:color w:val="0000FF"/>
      <w:u w:val="single"/>
    </w:rPr>
  </w:style>
  <w:style w:type="table" w:styleId="TableGrid">
    <w:name w:val="Table Grid"/>
    <w:basedOn w:val="TableNormal"/>
    <w:uiPriority w:val="59"/>
    <w:rsid w:val="00981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C44"/>
  </w:style>
  <w:style w:type="paragraph" w:styleId="Footer">
    <w:name w:val="footer"/>
    <w:basedOn w:val="Normal"/>
    <w:link w:val="FooterChar"/>
    <w:uiPriority w:val="99"/>
    <w:unhideWhenUsed/>
    <w:rsid w:val="009B1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27513">
      <w:bodyDiv w:val="1"/>
      <w:marLeft w:val="0"/>
      <w:marRight w:val="0"/>
      <w:marTop w:val="0"/>
      <w:marBottom w:val="0"/>
      <w:divBdr>
        <w:top w:val="none" w:sz="0" w:space="0" w:color="auto"/>
        <w:left w:val="none" w:sz="0" w:space="0" w:color="auto"/>
        <w:bottom w:val="none" w:sz="0" w:space="0" w:color="auto"/>
        <w:right w:val="none" w:sz="0" w:space="0" w:color="auto"/>
      </w:divBdr>
      <w:divsChild>
        <w:div w:id="339699543">
          <w:marLeft w:val="0"/>
          <w:marRight w:val="0"/>
          <w:marTop w:val="0"/>
          <w:marBottom w:val="0"/>
          <w:divBdr>
            <w:top w:val="none" w:sz="0" w:space="0" w:color="auto"/>
            <w:left w:val="none" w:sz="0" w:space="0" w:color="auto"/>
            <w:bottom w:val="none" w:sz="0" w:space="0" w:color="auto"/>
            <w:right w:val="none" w:sz="0" w:space="0" w:color="auto"/>
          </w:divBdr>
        </w:div>
        <w:div w:id="547424278">
          <w:marLeft w:val="0"/>
          <w:marRight w:val="0"/>
          <w:marTop w:val="0"/>
          <w:marBottom w:val="0"/>
          <w:divBdr>
            <w:top w:val="none" w:sz="0" w:space="0" w:color="auto"/>
            <w:left w:val="none" w:sz="0" w:space="0" w:color="auto"/>
            <w:bottom w:val="none" w:sz="0" w:space="0" w:color="auto"/>
            <w:right w:val="none" w:sz="0" w:space="0" w:color="auto"/>
          </w:divBdr>
        </w:div>
        <w:div w:id="1026248509">
          <w:marLeft w:val="0"/>
          <w:marRight w:val="0"/>
          <w:marTop w:val="0"/>
          <w:marBottom w:val="0"/>
          <w:divBdr>
            <w:top w:val="none" w:sz="0" w:space="0" w:color="auto"/>
            <w:left w:val="none" w:sz="0" w:space="0" w:color="auto"/>
            <w:bottom w:val="none" w:sz="0" w:space="0" w:color="auto"/>
            <w:right w:val="none" w:sz="0" w:space="0" w:color="auto"/>
          </w:divBdr>
        </w:div>
        <w:div w:id="1750156924">
          <w:marLeft w:val="0"/>
          <w:marRight w:val="0"/>
          <w:marTop w:val="0"/>
          <w:marBottom w:val="0"/>
          <w:divBdr>
            <w:top w:val="none" w:sz="0" w:space="0" w:color="auto"/>
            <w:left w:val="none" w:sz="0" w:space="0" w:color="auto"/>
            <w:bottom w:val="none" w:sz="0" w:space="0" w:color="auto"/>
            <w:right w:val="none" w:sz="0" w:space="0" w:color="auto"/>
          </w:divBdr>
        </w:div>
      </w:divsChild>
    </w:div>
    <w:div w:id="170301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9572</Words>
  <Characters>54567</Characters>
  <Application>Microsoft Office Word</Application>
  <DocSecurity>0</DocSecurity>
  <Lines>454</Lines>
  <Paragraphs>128</Paragraphs>
  <ScaleCrop>false</ScaleCrop>
  <Company>HP</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2026-07-08T18:59:00Z</dcterms:created>
  <dcterms:modified xsi:type="dcterms:W3CDTF">2026-07-09T10:56:00Z</dcterms:modified>
</cp:coreProperties>
</file>