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BDF7" w14:textId="77777777" w:rsidR="00A51E9A" w:rsidRPr="00A51E9A" w:rsidRDefault="00A51E9A" w:rsidP="00A51E9A">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A51E9A">
        <w:rPr>
          <w:rFonts w:ascii="Times New Roman" w:eastAsia="Times New Roman" w:hAnsi="Times New Roman" w:cs="Times New Roman"/>
          <w:b/>
          <w:bCs/>
          <w:i/>
          <w:iCs/>
          <w:sz w:val="36"/>
          <w:szCs w:val="36"/>
          <w:u w:val="single"/>
          <w:lang w:val="en-US" w:eastAsia="en-GB"/>
        </w:rPr>
        <w:t>Review Article</w:t>
      </w:r>
    </w:p>
    <w:p w14:paraId="361E1216" w14:textId="77777777" w:rsidR="002E6E04" w:rsidRPr="005D6A18" w:rsidRDefault="002E6E04" w:rsidP="002E6E0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D6A18">
        <w:rPr>
          <w:rFonts w:ascii="Times New Roman" w:eastAsia="Times New Roman" w:hAnsi="Times New Roman" w:cs="Times New Roman"/>
          <w:b/>
          <w:bCs/>
          <w:sz w:val="36"/>
          <w:szCs w:val="36"/>
          <w:lang w:eastAsia="en-GB"/>
        </w:rPr>
        <w:t>Herbal Drugs and Monoclonal Antibody-Based Approaches in Cancer Management: A Critical Review</w:t>
      </w:r>
    </w:p>
    <w:p w14:paraId="3AA8A6D7"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73155F91"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Abstract</w:t>
      </w:r>
    </w:p>
    <w:p w14:paraId="1600393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Cancer remains a foremost cause of morbidity and mortality worldwide, and conventional treatment modalities — surgery, radiotherapy, and systemic chemotherapy — are frequently constrained by inadequate efficacy and significant toxicity. Two broad therapeutic paradigms have attracted substantial and accelerating scientific interest: the use of herbal drugs and their bioactive phytochemical constituents, and the development of monoclonal antibody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w:t>
      </w:r>
      <w:proofErr w:type="spellStart"/>
      <w:r w:rsidRPr="005D6A18">
        <w:rPr>
          <w:rFonts w:ascii="Times New Roman" w:eastAsia="Times New Roman" w:hAnsi="Times New Roman" w:cs="Times New Roman"/>
          <w:sz w:val="24"/>
          <w:szCs w:val="24"/>
          <w:lang w:eastAsia="en-GB"/>
        </w:rPr>
        <w:t>immunotherapeutics</w:t>
      </w:r>
      <w:proofErr w:type="spellEnd"/>
      <w:r w:rsidRPr="005D6A18">
        <w:rPr>
          <w:rFonts w:ascii="Times New Roman" w:eastAsia="Times New Roman" w:hAnsi="Times New Roman" w:cs="Times New Roman"/>
          <w:sz w:val="24"/>
          <w:szCs w:val="24"/>
          <w:lang w:eastAsia="en-GB"/>
        </w:rPr>
        <w:t xml:space="preserve">. This review critically evaluates the mechanistic basis, clinical evidence, translational challenges, and emerging synergistic potential of these two approaches in cancer management. Key phytochemicals examined include curcumin, resveratrol, berberine, epigallocatechin-3-gallate (EGCG), artemisinin and its semi-synthetic derivatives, and the established plant-derived chemotherapeutics — taxanes and vinca alkaloids. In parallel, the review appraises major classes of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encompassing naked antibodies targeting HER2, VEGF, EGFR, and CD20; immune checkpoint inhibitors against CTLA-4, PD-1, and PD-L1; antibody–drug conjugates (ADCs); and bispecific antibodies. Accumulating preclinical evidence suggests that selected phytochemicals can synergise with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through modulation of overlapping oncogenic signalling pathways, remodelling of the tumour microenvironment, and potentiation of anti-tumour immune responses. Nevertheless, poor bioavailability of phytochemicals,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immunogenicity, resistance mechanisms, and high treatment costs remain significant barriers to clinical translation. Advances in nanotechnology-based delivery systems, antibody engineering, and predictive biomarker discovery are anticipated to facilitate rational integration of these two therapeutic streams. This review identifies priority research gaps and proposes directions for future investigation.</w:t>
      </w:r>
    </w:p>
    <w:p w14:paraId="21A07A81"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Keywords:</w:t>
      </w:r>
      <w:r w:rsidRPr="005D6A18">
        <w:rPr>
          <w:rFonts w:ascii="Times New Roman" w:eastAsia="Times New Roman" w:hAnsi="Times New Roman" w:cs="Times New Roman"/>
          <w:sz w:val="24"/>
          <w:szCs w:val="24"/>
          <w:lang w:eastAsia="en-GB"/>
        </w:rPr>
        <w:t xml:space="preserve"> herbal drugs; monoclonal antibodies; phytochemicals; cancer immunotherapy; checkpoint inhibitors; curcumin; trastuzumab; antibody–drug conjugates; combination therapy; tumour microenvironment</w:t>
      </w:r>
    </w:p>
    <w:p w14:paraId="24887A2F"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22C43651"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1. Introduction</w:t>
      </w:r>
    </w:p>
    <w:p w14:paraId="5C6481B6"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Cancer is a multifactorial disease defined by uncontrolled cellular proliferation, resistance to apoptosis, invasion of surrounding tissues, and metastatic spread to distant organs. Its management ranks among the greatest challenges in contemporary medicine, not merely because of the biological complexity of the disease but also because of the enormous clinical diversity it presents across different tissues and patient populations. Despite remarkable progress in surgical technique, radiation delivery, and systemic pharmacotherapy over the past century, the global cancer burden continues to grow, underscoring the persistent need for novel, more effective, and better-tolerated treatments (Sung et al., 2021; Siegel et al., 2023).</w:t>
      </w:r>
    </w:p>
    <w:p w14:paraId="16D11D7A"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The pharmacological investigation of plants as sources of anti-cancer agents is ancient in origin. Many of the world's most consequential oncological drugs were derived from — or directly inspired by — natural plant products. Paclitaxel, extracted from the bark of the Pacific yew </w:t>
      </w: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 and vincristine, isolated from the Madagascar periwinkle </w:t>
      </w: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proofErr w:type="gramStart"/>
      <w:r w:rsidRPr="005D6A18">
        <w:rPr>
          <w:rFonts w:ascii="Times New Roman" w:eastAsia="Times New Roman" w:hAnsi="Times New Roman" w:cs="Times New Roman"/>
          <w:sz w:val="24"/>
          <w:szCs w:val="24"/>
          <w:lang w:eastAsia="en-GB"/>
        </w:rPr>
        <w:t>G.Don</w:t>
      </w:r>
      <w:proofErr w:type="spellEnd"/>
      <w:proofErr w:type="gramEnd"/>
      <w:r w:rsidRPr="005D6A18">
        <w:rPr>
          <w:rFonts w:ascii="Times New Roman" w:eastAsia="Times New Roman" w:hAnsi="Times New Roman" w:cs="Times New Roman"/>
          <w:sz w:val="24"/>
          <w:szCs w:val="24"/>
          <w:lang w:eastAsia="en-GB"/>
        </w:rPr>
        <w:t>, remain among the most clinically important anti-cancer drugs ever discovered and continue to feature in standard treatment regimens worldwide (Jordan &amp; Wilson, 2004). In recent decades, the systematic investigation of polyphenols, alkaloids, terpenoids, and related phytochemical classes — including curcumin, resveratrol, berberine, EGCG, and artemisinin derivatives — has gained considerable momentum, propelled by advances in molecular biology, genomics, and high-throughput pharmacological screening (Newman &amp; Cragg, 2020; Aggarwal &amp; Harikumar, 2009).</w:t>
      </w:r>
    </w:p>
    <w:p w14:paraId="6F649C8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Quite separately, the development of monoclonal antibody technology has transformed cancer therapeutics. Since the approval of rituximab for B-cell non-Hodgkin lymphoma in 1997, the field has expanded to include antibodies targeting growth factor receptors such as HER2 and EGFR, angiogenesis-promoting ligands such as VEGF, and immune checkpoint molecules including CTLA-4, PD-1, and PD-L1 (Scott et al., 2012; Ribas &amp;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xml:space="preserve">, 2018). More recently, antibody–drug conjugates (ADCs) and bispecific antibodies have widened the clinical reach of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platforms by enabling targeted cytotoxic payload delivery and simultaneous engagement of multiple tumour antigens or immune effector cells (Drago et al., 2021;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w:t>
      </w:r>
    </w:p>
    <w:p w14:paraId="01D68ECA"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Even so,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therapies carry important limitations. Resistance to checkpoint inhibitors, the cost and complexity of antibody manufacturing, immune-related adverse events, and variable efficacy across tumour subtypes all represent unresolved clinical problems (Holohan et al., 2013; Topalian et al., 2015). Phytochemicals, with their inherently pleiotropic pharmacology, offer a complementary strategy. Growing preclinical evidence indicates that certain herbal bioactive compounds can potentiate the anti-tumour activity of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through shared mechanistic targets, modulation of the tumour microenvironment, and sensitisation of drug-resistant cancer cells to antibody-mediated killing (Verdura et al., 2020). The convergence of these two fields, then, is not merely conceptually appealing — it is scientifically grounded.</w:t>
      </w:r>
    </w:p>
    <w:p w14:paraId="1F308C77"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1.1 Scope, Research Gap, and Objectives</w:t>
      </w:r>
    </w:p>
    <w:p w14:paraId="248963BD"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Despite the large volume of research on phytochemicals and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as independent therapeutic domains, a dedicated critical synthesis of their combined potential — covering mechanistic underpinnings, available clinical evidence, translational challenges, and integrative strategies — is absent from the literature. Most existing reviews treat these two fields separately, and the cross-disciplinary perspective needed to guide rational combinatorial drug development remains underdeveloped. This review addresses that gap by critically synthesising available evidence on herbal drugs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approaches in cancer management, evaluating their respective mechanistic profiles, clinical standing, limitations, and the scientific basis for their combined application. The specific objectives are: (1) to provide an updated critical appraisal of the anti-cancer phytochemical landscape; (2) to evaluate the current status and limitations of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 oncology; (3) to analyse the scientific rationale and available preclinical and early clinical evidence for combining herbal bioactive compounds with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(4) to discuss translational barriers and regulatory considerations; and (5) to identify priority areas for future research.</w:t>
      </w:r>
    </w:p>
    <w:p w14:paraId="45C3FE1C"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0AF857B6"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2. Methods for Literature Selection</w:t>
      </w:r>
    </w:p>
    <w:p w14:paraId="744984EE"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2.1 Databases and Search Strategy</w:t>
      </w:r>
    </w:p>
    <w:p w14:paraId="437D97EB"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 comprehensive narrative literature search was conducted across multiple bibliographic databases. The four primary general-purpose databases searched were Web of Science, Scopus, Google Scholar, and PubMed/MEDLINE. In addition, six field-specific databases were consulted to ensure adequate coverage: EMBASE (pharmacological and clinical trial data); the Cochrane Library (systematic reviews and meta-analyses of cancer treatment outcomes); Natural Products Alert (NAPRALERT), the dedicated resource for ethnobotanical and phytochemical research; ClinicalTrials.gov, for registered and completed trials involving herbal compounds or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 oncology; the WHO Global Health Library, for international cancer burden data and health policy documents; and </w:t>
      </w:r>
      <w:proofErr w:type="spellStart"/>
      <w:r w:rsidRPr="005D6A18">
        <w:rPr>
          <w:rFonts w:ascii="Times New Roman" w:eastAsia="Times New Roman" w:hAnsi="Times New Roman" w:cs="Times New Roman"/>
          <w:sz w:val="24"/>
          <w:szCs w:val="24"/>
          <w:lang w:eastAsia="en-GB"/>
        </w:rPr>
        <w:t>ChemSpider</w:t>
      </w:r>
      <w:proofErr w:type="spellEnd"/>
      <w:r w:rsidRPr="005D6A18">
        <w:rPr>
          <w:rFonts w:ascii="Times New Roman" w:eastAsia="Times New Roman" w:hAnsi="Times New Roman" w:cs="Times New Roman"/>
          <w:sz w:val="24"/>
          <w:szCs w:val="24"/>
          <w:lang w:eastAsia="en-GB"/>
        </w:rPr>
        <w:t>, for chemical identity verification of bioactive compounds.</w:t>
      </w:r>
    </w:p>
    <w:p w14:paraId="4439FD2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search strategy used Boolean operators combining Medical Subject Headings (</w:t>
      </w:r>
      <w:proofErr w:type="spellStart"/>
      <w:r w:rsidRPr="005D6A18">
        <w:rPr>
          <w:rFonts w:ascii="Times New Roman" w:eastAsia="Times New Roman" w:hAnsi="Times New Roman" w:cs="Times New Roman"/>
          <w:sz w:val="24"/>
          <w:szCs w:val="24"/>
          <w:lang w:eastAsia="en-GB"/>
        </w:rPr>
        <w:t>MeSH</w:t>
      </w:r>
      <w:proofErr w:type="spellEnd"/>
      <w:r w:rsidRPr="005D6A18">
        <w:rPr>
          <w:rFonts w:ascii="Times New Roman" w:eastAsia="Times New Roman" w:hAnsi="Times New Roman" w:cs="Times New Roman"/>
          <w:sz w:val="24"/>
          <w:szCs w:val="24"/>
          <w:lang w:eastAsia="en-GB"/>
        </w:rPr>
        <w:t>) terms and free-text keywords. The principal search strings applied across databases were: ("herbal drugs" OR "phytochemicals" OR "plant-derived compounds" OR "natural products") AND ("cancer" OR "tumour" OR "neoplasm" OR "oncology"); ("monoclonal antibodies" OR "immunotherapy" OR "checkpoint inhibitors" OR "antibody-drug conjugates") AND ("cancer" OR "neoplasm" OR "tumour"); ("curcumin" OR "resveratrol" OR "berberine" OR "EGCG" OR "epigallocatechin" OR "artemisinin" OR "quercetin") AND ("anti-cancer" OR "antitumour" OR "apoptosis" OR "signalling pathway"); ("trastuzumab" OR "bevacizumab" OR "rituximab" OR "cetuximab" OR "pembrolizumab" OR "nivolumab" OR "ipilimumab" OR "atezolizumab") AND ("cancer therapy" OR "clinical trial" OR "randomised controlled trial"); and ("phytochemical" AND "monoclonal antibody") AND ("synergy" OR "combination therapy" OR "sensitisation" OR "tumour microenvironment"). The date range for the primary search was January 2000 to 27 March 2026. Foundational publications predating 2000 — particularly those central to the history of plant-derived anti-cancer drug discovery and the early development of therapeutic antibodies — were included as supplementary classic references without a lower date restriction.</w:t>
      </w:r>
    </w:p>
    <w:p w14:paraId="7FB1480F"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2.2 Inclusion and Exclusion Criteria</w:t>
      </w:r>
    </w:p>
    <w:p w14:paraId="4F265C90"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Peer-reviewed original research articles, clinical trial reports, and review articles published in English in reputable academic journals were eligible for inclusion. Studies were included if they reported original data or substantive analysis on anti-cancer phytochemicals and their molecular mechanisms;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and their clinical applications in oncology; or the combination of herbal bioactive compounds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therapies, whether studied in vitro, in vivo, or in clinical settings. Authoritative reports from recognised international bodies, such as the World Health Organization, were included where verifiable URLs were available and where no equivalent peer-reviewed source supplied the required data.</w:t>
      </w:r>
    </w:p>
    <w:p w14:paraId="0DB9D68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Excluded from consideration were: books, grey literature, conference abstracts and proceedings, trade magazine articles, preprint manuscripts (including those deposited on bioRxiv and </w:t>
      </w:r>
      <w:proofErr w:type="spellStart"/>
      <w:r w:rsidRPr="005D6A18">
        <w:rPr>
          <w:rFonts w:ascii="Times New Roman" w:eastAsia="Times New Roman" w:hAnsi="Times New Roman" w:cs="Times New Roman"/>
          <w:sz w:val="24"/>
          <w:szCs w:val="24"/>
          <w:lang w:eastAsia="en-GB"/>
        </w:rPr>
        <w:t>medRxiv</w:t>
      </w:r>
      <w:proofErr w:type="spellEnd"/>
      <w:r w:rsidRPr="005D6A18">
        <w:rPr>
          <w:rFonts w:ascii="Times New Roman" w:eastAsia="Times New Roman" w:hAnsi="Times New Roman" w:cs="Times New Roman"/>
          <w:sz w:val="24"/>
          <w:szCs w:val="24"/>
          <w:lang w:eastAsia="en-GB"/>
        </w:rPr>
        <w:t xml:space="preserve">), patents, and all non-peer-reviewed sources. Studies reported exclusively in languages other than English, and those lacking sufficient methodological </w:t>
      </w:r>
      <w:r w:rsidRPr="005D6A18">
        <w:rPr>
          <w:rFonts w:ascii="Times New Roman" w:eastAsia="Times New Roman" w:hAnsi="Times New Roman" w:cs="Times New Roman"/>
          <w:sz w:val="24"/>
          <w:szCs w:val="24"/>
          <w:lang w:eastAsia="en-GB"/>
        </w:rPr>
        <w:lastRenderedPageBreak/>
        <w:t>detail, were also excluded. Priority was given to large-scale clinical trials, rigorous mechanistic studies in high-impact journals, and well-designed reviews.</w:t>
      </w:r>
    </w:p>
    <w:p w14:paraId="2D68E20D"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2.3 Rationale for Narrative Review Approach</w:t>
      </w:r>
    </w:p>
    <w:p w14:paraId="2BB4C5B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This work adopted a narrative rather than systematic review design. The breadth of the topic — spanning phytochemistry, molecular oncology, antibody engineering, translational pharmacology, and clinical medicine — means that a formal systematic review with meta-analysis would be methodologically inappropriate. The primary literature is highly heterogeneous in terms of study design, model systems, populations, outcome measures, and the specific agents investigated; quantitative synthesis across these dimensions is not feasible. A narrative approach enables integrative, critical synthesis across distinct but overlapping scientific domains and is particularly well suited to topics where the goal is to develop conceptual and mechanistic frameworks rather than pool statistical estimates. This choice is supported by established methodological guidance on narrative review conduct (Green et al., 2006).</w:t>
      </w:r>
    </w:p>
    <w:p w14:paraId="5112ECA1"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2.4 Screening Workflow, Duplicate Handling, and Selection Criteria</w:t>
      </w:r>
    </w:p>
    <w:p w14:paraId="5E0CB7D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Following completion of the database searches, titles and abstracts were reviewed for relevance to the stated objectives. Duplicate records arising from database overlap were identified and removed at this stage. Full-text articles were retrieved for all records judged to be potentially relevant. Studies that did not meet the inclusion criteria upon full-text review were excluded. Within the eligible literature, further prioritisation favoured studies with stronger designs: large clinical trials, mechanistic studies in high-impact peer-reviewed journals, and rigorous reviews were weighted accordingly. In silico and purely computational studies lacking corroborating experimental validation were noted but used only cautiously as secondary evidence. Table 1 summarises the complete search strategy adopted for this review.</w:t>
      </w:r>
    </w:p>
    <w:p w14:paraId="28F5039A"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1. Summary of Literature Search Strategy</w:t>
      </w:r>
    </w:p>
    <w:tbl>
      <w:tblPr>
        <w:tblStyle w:val="TableGrid"/>
        <w:tblW w:w="0" w:type="auto"/>
        <w:tblLook w:val="04A0" w:firstRow="1" w:lastRow="0" w:firstColumn="1" w:lastColumn="0" w:noHBand="0" w:noVBand="1"/>
      </w:tblPr>
      <w:tblGrid>
        <w:gridCol w:w="1443"/>
        <w:gridCol w:w="7799"/>
      </w:tblGrid>
      <w:tr w:rsidR="002E6E04" w:rsidRPr="005D6A18" w14:paraId="5F21C8A7" w14:textId="77777777" w:rsidTr="005D6A18">
        <w:tc>
          <w:tcPr>
            <w:tcW w:w="0" w:type="auto"/>
            <w:hideMark/>
          </w:tcPr>
          <w:p w14:paraId="5A97FEA4"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Search Element</w:t>
            </w:r>
          </w:p>
        </w:tc>
        <w:tc>
          <w:tcPr>
            <w:tcW w:w="0" w:type="auto"/>
            <w:hideMark/>
          </w:tcPr>
          <w:p w14:paraId="1410AF4D"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Details</w:t>
            </w:r>
          </w:p>
        </w:tc>
      </w:tr>
      <w:tr w:rsidR="002E6E04" w:rsidRPr="005D6A18" w14:paraId="787890C1" w14:textId="77777777" w:rsidTr="005D6A18">
        <w:tc>
          <w:tcPr>
            <w:tcW w:w="0" w:type="auto"/>
            <w:hideMark/>
          </w:tcPr>
          <w:p w14:paraId="2E1BAAE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Primary databases</w:t>
            </w:r>
          </w:p>
        </w:tc>
        <w:tc>
          <w:tcPr>
            <w:tcW w:w="0" w:type="auto"/>
            <w:hideMark/>
          </w:tcPr>
          <w:p w14:paraId="76781989"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Web of Science, Scopus, Google Scholar, PubMed/MEDLINE</w:t>
            </w:r>
          </w:p>
        </w:tc>
      </w:tr>
      <w:tr w:rsidR="002E6E04" w:rsidRPr="005D6A18" w14:paraId="5ED1A348" w14:textId="77777777" w:rsidTr="005D6A18">
        <w:tc>
          <w:tcPr>
            <w:tcW w:w="0" w:type="auto"/>
            <w:hideMark/>
          </w:tcPr>
          <w:p w14:paraId="4456433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Field-specific databases</w:t>
            </w:r>
          </w:p>
        </w:tc>
        <w:tc>
          <w:tcPr>
            <w:tcW w:w="0" w:type="auto"/>
            <w:hideMark/>
          </w:tcPr>
          <w:p w14:paraId="3C5D354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EMBASE, Cochrane Library, NAPRALERT, ClinicalTrials.gov, WHO Global Health Library, </w:t>
            </w:r>
            <w:proofErr w:type="spellStart"/>
            <w:r w:rsidRPr="005D6A18">
              <w:rPr>
                <w:rFonts w:ascii="Times New Roman" w:eastAsia="Times New Roman" w:hAnsi="Times New Roman" w:cs="Times New Roman"/>
                <w:sz w:val="24"/>
                <w:szCs w:val="24"/>
                <w:lang w:eastAsia="en-GB"/>
              </w:rPr>
              <w:t>ChemSpider</w:t>
            </w:r>
            <w:proofErr w:type="spellEnd"/>
          </w:p>
        </w:tc>
      </w:tr>
      <w:tr w:rsidR="002E6E04" w:rsidRPr="005D6A18" w14:paraId="10EC2AC2" w14:textId="77777777" w:rsidTr="005D6A18">
        <w:tc>
          <w:tcPr>
            <w:tcW w:w="0" w:type="auto"/>
            <w:hideMark/>
          </w:tcPr>
          <w:p w14:paraId="2B71EDB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Search date range</w:t>
            </w:r>
          </w:p>
        </w:tc>
        <w:tc>
          <w:tcPr>
            <w:tcW w:w="0" w:type="auto"/>
            <w:hideMark/>
          </w:tcPr>
          <w:p w14:paraId="4CB9D9F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January 2000 – 27 March 2026</w:t>
            </w:r>
          </w:p>
        </w:tc>
      </w:tr>
      <w:tr w:rsidR="002E6E04" w:rsidRPr="005D6A18" w14:paraId="7EC64DAF" w14:textId="77777777" w:rsidTr="005D6A18">
        <w:tc>
          <w:tcPr>
            <w:tcW w:w="0" w:type="auto"/>
            <w:hideMark/>
          </w:tcPr>
          <w:p w14:paraId="4F310D4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Boolean operators</w:t>
            </w:r>
          </w:p>
        </w:tc>
        <w:tc>
          <w:tcPr>
            <w:tcW w:w="0" w:type="auto"/>
            <w:hideMark/>
          </w:tcPr>
          <w:p w14:paraId="27D7042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AND, OR, NOT</w:t>
            </w:r>
          </w:p>
        </w:tc>
      </w:tr>
      <w:tr w:rsidR="002E6E04" w:rsidRPr="005D6A18" w14:paraId="1FCEF020" w14:textId="77777777" w:rsidTr="005D6A18">
        <w:tc>
          <w:tcPr>
            <w:tcW w:w="0" w:type="auto"/>
            <w:hideMark/>
          </w:tcPr>
          <w:p w14:paraId="189F41C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Key search terms</w:t>
            </w:r>
          </w:p>
        </w:tc>
        <w:tc>
          <w:tcPr>
            <w:tcW w:w="0" w:type="auto"/>
            <w:hideMark/>
          </w:tcPr>
          <w:p w14:paraId="30AAB42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"herbal drugs", "phytochemicals", "natural products", "plant-derived compounds", "monoclonal antibodies", "immunotherapy", "checkpoint inhibitors", "antibody-drug conjugates", "cancer", "tumour", "neoplasm", "curcumin", "resveratrol", "berberine", "EGCG", "artemisinin", "quercetin", "trastuzumab", "bevacizumab", "rituximab", "cetuximab", "pembrolizumab", "nivolumab", "ipilimumab", "atezolizumab", "combination therapy", "synergy", "tumour microenvironment"</w:t>
            </w:r>
          </w:p>
        </w:tc>
      </w:tr>
      <w:tr w:rsidR="002E6E04" w:rsidRPr="005D6A18" w14:paraId="32CF37E5" w14:textId="77777777" w:rsidTr="005D6A18">
        <w:tc>
          <w:tcPr>
            <w:tcW w:w="0" w:type="auto"/>
            <w:hideMark/>
          </w:tcPr>
          <w:p w14:paraId="60DEC3E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Language restriction</w:t>
            </w:r>
          </w:p>
        </w:tc>
        <w:tc>
          <w:tcPr>
            <w:tcW w:w="0" w:type="auto"/>
            <w:hideMark/>
          </w:tcPr>
          <w:p w14:paraId="5D0F662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English only</w:t>
            </w:r>
          </w:p>
        </w:tc>
      </w:tr>
      <w:tr w:rsidR="002E6E04" w:rsidRPr="005D6A18" w14:paraId="50D3D011" w14:textId="77777777" w:rsidTr="005D6A18">
        <w:tc>
          <w:tcPr>
            <w:tcW w:w="0" w:type="auto"/>
            <w:hideMark/>
          </w:tcPr>
          <w:p w14:paraId="52A00F7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Study types included</w:t>
            </w:r>
          </w:p>
        </w:tc>
        <w:tc>
          <w:tcPr>
            <w:tcW w:w="0" w:type="auto"/>
            <w:hideMark/>
          </w:tcPr>
          <w:p w14:paraId="617E998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Peer-reviewed original articles, randomised clinical trials, systematic reviews, meta-analyses, authoritative institutional reports with verifiable URLs</w:t>
            </w:r>
          </w:p>
        </w:tc>
      </w:tr>
      <w:tr w:rsidR="002E6E04" w:rsidRPr="005D6A18" w14:paraId="38C05F93" w14:textId="77777777" w:rsidTr="005D6A18">
        <w:tc>
          <w:tcPr>
            <w:tcW w:w="0" w:type="auto"/>
            <w:hideMark/>
          </w:tcPr>
          <w:p w14:paraId="68E1ECB9"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Excluded sources</w:t>
            </w:r>
          </w:p>
        </w:tc>
        <w:tc>
          <w:tcPr>
            <w:tcW w:w="0" w:type="auto"/>
            <w:hideMark/>
          </w:tcPr>
          <w:p w14:paraId="3E435929"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Books, grey literature, conference papers, preprints, patents, trade publications, non-peer-reviewed sources</w:t>
            </w:r>
          </w:p>
        </w:tc>
      </w:tr>
      <w:tr w:rsidR="002E6E04" w:rsidRPr="005D6A18" w14:paraId="10673E50" w14:textId="77777777" w:rsidTr="005D6A18">
        <w:tc>
          <w:tcPr>
            <w:tcW w:w="0" w:type="auto"/>
            <w:hideMark/>
          </w:tcPr>
          <w:p w14:paraId="471F5089"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Duplicate handling</w:t>
            </w:r>
          </w:p>
        </w:tc>
        <w:tc>
          <w:tcPr>
            <w:tcW w:w="0" w:type="auto"/>
            <w:hideMark/>
          </w:tcPr>
          <w:p w14:paraId="1761723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Removed at title/abstract screening stage</w:t>
            </w:r>
          </w:p>
        </w:tc>
      </w:tr>
      <w:tr w:rsidR="002E6E04" w:rsidRPr="005D6A18" w14:paraId="421E8E02" w14:textId="77777777" w:rsidTr="005D6A18">
        <w:tc>
          <w:tcPr>
            <w:tcW w:w="0" w:type="auto"/>
            <w:hideMark/>
          </w:tcPr>
          <w:p w14:paraId="63CE3B7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Review type</w:t>
            </w:r>
          </w:p>
        </w:tc>
        <w:tc>
          <w:tcPr>
            <w:tcW w:w="0" w:type="auto"/>
            <w:hideMark/>
          </w:tcPr>
          <w:p w14:paraId="79CCD54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Narrative</w:t>
            </w:r>
          </w:p>
        </w:tc>
      </w:tr>
    </w:tbl>
    <w:p w14:paraId="293AC9C1"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Sources: Green et al. (2006); Newman &amp; Cragg (2020); Sung et al. (2021).</w:t>
      </w:r>
    </w:p>
    <w:p w14:paraId="4F5AC196"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67C1747A"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3. Global Cancer Burden and the Need for Complementary Approaches</w:t>
      </w:r>
    </w:p>
    <w:p w14:paraId="039E5620"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scale of the global cancer burden is striking. According to GLOBOCAN 2020 estimates, approximately 19.3 million new cancer cases and nearly 10.0 million cancer-related deaths occurred worldwide in 2020 — with breast cancer, for the first time, overtaking lung cancer as the most commonly diagnosed malignancy globally (Sung et al., 2021). Updated US figures for 2023 recorded approximately 1.96 million new cases and over 609,000 deaths from cancer in that country alone (Siegel et al., 2023). Looking ahead, GLOBOCAN projections suggest global cancer incidence will rise to approximately 28.4 million new cases per year by 2040, driven by population ageing, urbanisation, and the increasing global prevalence of obesity and sedentary behaviour (Sung et al., 2021). Meanwhile, the World Health Organization has highlighted the mounting pressure these trends will place on health systems, particularly in low- and middle-income countries (World Health Organization, 2024).</w:t>
      </w:r>
    </w:p>
    <w:p w14:paraId="6C5AA90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biological complexity underlying this burden is considerable. Hanahan and Weinberg (2011) enumerated the functional hallmarks that cancer cells acquire to sustain their malignant behaviour — including sustained proliferative signalling, evasion of growth suppressors, resistance to apoptosis, replicative immortality, angiogenesis, and activation of invasion and metastasis. In a more recent update, Hanahan (2022) proposed additional hallmarks: phenotypic plasticity, non-mutational epigenetic reprogramming, polymorphic microbiomes, and the pro-</w:t>
      </w:r>
      <w:proofErr w:type="spellStart"/>
      <w:r w:rsidRPr="005D6A18">
        <w:rPr>
          <w:rFonts w:ascii="Times New Roman" w:eastAsia="Times New Roman" w:hAnsi="Times New Roman" w:cs="Times New Roman"/>
          <w:sz w:val="24"/>
          <w:szCs w:val="24"/>
          <w:lang w:eastAsia="en-GB"/>
        </w:rPr>
        <w:t>tumourigenic</w:t>
      </w:r>
      <w:proofErr w:type="spellEnd"/>
      <w:r w:rsidRPr="005D6A18">
        <w:rPr>
          <w:rFonts w:ascii="Times New Roman" w:eastAsia="Times New Roman" w:hAnsi="Times New Roman" w:cs="Times New Roman"/>
          <w:sz w:val="24"/>
          <w:szCs w:val="24"/>
          <w:lang w:eastAsia="en-GB"/>
        </w:rPr>
        <w:t xml:space="preserve"> activities of senescent cells. The practical implication is that single-target therapeutic strategies face an intrinsic ceiling, since tumours can frequently circumvent blockade of any one molecular node by exploiting parallel or compensatory pathways.</w:t>
      </w:r>
    </w:p>
    <w:p w14:paraId="6D1302C6"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Conventional treatments — surgery, radiotherapy, and cytotoxic chemotherapy — continue to underpin cancer management worldwide. Yet they come with well-documented costs. Systemic chemotherapy affects rapidly dividing normal cells alongside malignant ones, producing myelosuppression, gastrointestinal toxicity, peripheral neuropathy, cardiotoxicity, and immunosuppression (DeVita &amp; Chu, 2008). More fundamentally, the emergence of drug resistance — whether present at diagnosis or acquired under treatment-induced selective pressure — limits the durability of responses and remains one of the central unsolved problems in oncology (Holohan et al., 2013). These realities have driven sustained investment in targeted therapies and </w:t>
      </w:r>
      <w:proofErr w:type="spellStart"/>
      <w:r w:rsidRPr="005D6A18">
        <w:rPr>
          <w:rFonts w:ascii="Times New Roman" w:eastAsia="Times New Roman" w:hAnsi="Times New Roman" w:cs="Times New Roman"/>
          <w:sz w:val="24"/>
          <w:szCs w:val="24"/>
          <w:lang w:eastAsia="en-GB"/>
        </w:rPr>
        <w:t>immunotherapeutics</w:t>
      </w:r>
      <w:proofErr w:type="spellEnd"/>
      <w:r w:rsidRPr="005D6A18">
        <w:rPr>
          <w:rFonts w:ascii="Times New Roman" w:eastAsia="Times New Roman" w:hAnsi="Times New Roman" w:cs="Times New Roman"/>
          <w:sz w:val="24"/>
          <w:szCs w:val="24"/>
          <w:lang w:eastAsia="en-GB"/>
        </w:rPr>
        <w:t xml:space="preserve"> capable of selectively engaging cancer cells while sparing normal tissues. Herbal phytochemicals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w:t>
      </w:r>
      <w:r w:rsidRPr="005D6A18">
        <w:rPr>
          <w:rFonts w:ascii="Times New Roman" w:eastAsia="Times New Roman" w:hAnsi="Times New Roman" w:cs="Times New Roman"/>
          <w:sz w:val="24"/>
          <w:szCs w:val="24"/>
          <w:lang w:eastAsia="en-GB"/>
        </w:rPr>
        <w:lastRenderedPageBreak/>
        <w:t>immunotherapies have both emerged as scientifically credible — and, in many instances, clinically validated — contributions to this effort.</w:t>
      </w:r>
    </w:p>
    <w:p w14:paraId="0D5E5DBE"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783F0694"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4. Herbal Drugs in Cancer Management</w:t>
      </w:r>
    </w:p>
    <w:p w14:paraId="24EC63B0"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4.1 Historical Context and Phytochemical Drug Discovery</w:t>
      </w:r>
    </w:p>
    <w:p w14:paraId="1BB91D9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use of medicinal plants against disease, including cancer, predates written history. Traditional medicine systems — Ayurveda in South Asia, Traditional Chinese Medicine (TCM), and African herbal medicine among others — have long used plants with putative anti-tumour activity, providing an empirical foundation that modern pharmacology has sought to test systematically (Cragg &amp; Newman, 2005). The parallel development of rigorous ethnopharmacological methods and increasingly powerful isolation chemistry, structural biology, and high-throughput screening tools has accelerated the translation of these traditional observations into actionable pharmacological leads.</w:t>
      </w:r>
    </w:p>
    <w:p w14:paraId="27B1351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 landmark analysis by Newman and Cragg (2020), covering all new drugs approved between January 1981 and September 2019, found that natural products and their derivatives account for approximately one-third of all small-molecule anti-cancer drugs approved in that period — a striking figure that confirms the continuing productivity of natural product-based drug discovery. The field's most celebrated milestones include the isolation of paclitaxel from </w:t>
      </w: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 in 1971 (Wani et al., 1971), the clinical development of vinca alkaloids from </w:t>
      </w: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proofErr w:type="gramStart"/>
      <w:r w:rsidRPr="005D6A18">
        <w:rPr>
          <w:rFonts w:ascii="Times New Roman" w:eastAsia="Times New Roman" w:hAnsi="Times New Roman" w:cs="Times New Roman"/>
          <w:sz w:val="24"/>
          <w:szCs w:val="24"/>
          <w:lang w:eastAsia="en-GB"/>
        </w:rPr>
        <w:t>G.Don</w:t>
      </w:r>
      <w:proofErr w:type="spellEnd"/>
      <w:proofErr w:type="gramEnd"/>
      <w:r w:rsidRPr="005D6A18">
        <w:rPr>
          <w:rFonts w:ascii="Times New Roman" w:eastAsia="Times New Roman" w:hAnsi="Times New Roman" w:cs="Times New Roman"/>
          <w:sz w:val="24"/>
          <w:szCs w:val="24"/>
          <w:lang w:eastAsia="en-GB"/>
        </w:rPr>
        <w:t xml:space="preserve">, and the identification of </w:t>
      </w:r>
      <w:proofErr w:type="spellStart"/>
      <w:r w:rsidRPr="005D6A18">
        <w:rPr>
          <w:rFonts w:ascii="Times New Roman" w:eastAsia="Times New Roman" w:hAnsi="Times New Roman" w:cs="Times New Roman"/>
          <w:sz w:val="24"/>
          <w:szCs w:val="24"/>
          <w:lang w:eastAsia="en-GB"/>
        </w:rPr>
        <w:t>camptothecin</w:t>
      </w:r>
      <w:proofErr w:type="spellEnd"/>
      <w:r w:rsidRPr="005D6A18">
        <w:rPr>
          <w:rFonts w:ascii="Times New Roman" w:eastAsia="Times New Roman" w:hAnsi="Times New Roman" w:cs="Times New Roman"/>
          <w:sz w:val="24"/>
          <w:szCs w:val="24"/>
          <w:lang w:eastAsia="en-GB"/>
        </w:rPr>
        <w:t xml:space="preserve"> and its clinically used derivatives (topotecan, irinotecan) from </w:t>
      </w:r>
      <w:proofErr w:type="spellStart"/>
      <w:r w:rsidRPr="005D6A18">
        <w:rPr>
          <w:rFonts w:ascii="Times New Roman" w:eastAsia="Times New Roman" w:hAnsi="Times New Roman" w:cs="Times New Roman"/>
          <w:i/>
          <w:iCs/>
          <w:sz w:val="24"/>
          <w:szCs w:val="24"/>
          <w:lang w:eastAsia="en-GB"/>
        </w:rPr>
        <w:t>Camptotheca</w:t>
      </w:r>
      <w:proofErr w:type="spellEnd"/>
      <w:r w:rsidRPr="005D6A18">
        <w:rPr>
          <w:rFonts w:ascii="Times New Roman" w:eastAsia="Times New Roman" w:hAnsi="Times New Roman" w:cs="Times New Roman"/>
          <w:i/>
          <w:iCs/>
          <w:sz w:val="24"/>
          <w:szCs w:val="24"/>
          <w:lang w:eastAsia="en-GB"/>
        </w:rPr>
        <w:t xml:space="preserve"> acuminata</w:t>
      </w:r>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Decne</w:t>
      </w:r>
      <w:proofErr w:type="spellEnd"/>
      <w:r w:rsidRPr="005D6A18">
        <w:rPr>
          <w:rFonts w:ascii="Times New Roman" w:eastAsia="Times New Roman" w:hAnsi="Times New Roman" w:cs="Times New Roman"/>
          <w:sz w:val="24"/>
          <w:szCs w:val="24"/>
          <w:lang w:eastAsia="en-GB"/>
        </w:rPr>
        <w:t>. Together, these achievements established beyond doubt that plant secondary metabolites represent a structurally diverse and biologically rich source of anti-cancer leads (DeVita &amp; Chu, 2008; Cragg &amp; Newman, 2005).</w:t>
      </w:r>
    </w:p>
    <w:p w14:paraId="544DE01C"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4.2 Key Bioactive Compounds and Mechanisms of Action</w:t>
      </w:r>
    </w:p>
    <w:p w14:paraId="4A9B7394"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4.2.1 Curcumin</w:t>
      </w:r>
    </w:p>
    <w:p w14:paraId="48ADD3B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Curcumin (1,7-bis(4-hydroxy-3-methoxyphenyl)-1,6-heptadiene-3,5-dione), the principal polyphenolic constituent of the rhizome of </w:t>
      </w:r>
      <w:r w:rsidRPr="005D6A18">
        <w:rPr>
          <w:rFonts w:ascii="Times New Roman" w:eastAsia="Times New Roman" w:hAnsi="Times New Roman" w:cs="Times New Roman"/>
          <w:i/>
          <w:iCs/>
          <w:sz w:val="24"/>
          <w:szCs w:val="24"/>
          <w:lang w:eastAsia="en-GB"/>
        </w:rPr>
        <w:t>Curcuma longa</w:t>
      </w:r>
      <w:r w:rsidRPr="005D6A18">
        <w:rPr>
          <w:rFonts w:ascii="Times New Roman" w:eastAsia="Times New Roman" w:hAnsi="Times New Roman" w:cs="Times New Roman"/>
          <w:sz w:val="24"/>
          <w:szCs w:val="24"/>
          <w:lang w:eastAsia="en-GB"/>
        </w:rPr>
        <w:t xml:space="preserve"> L. (turmeric), is one of the most extensively studied phytochemicals in oncology. What makes curcumin particularly attractive, pharmacologically speaking, is its capacity to modulate multiple and interacting signalling cascades simultaneously. These include the nuclear factor kappa-B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pathway, activator protein-1 (AP-1), signal transducer and activator of transcription 3 (STAT3), the phosphatidylinositol 3-kinase/protein kinase B (PI3K/Akt) axis, and the mitogen-activated protein kinase (MAPK) cascade (Aggarwal &amp; Harikumar, 2009). Through these targets, curcumin suppresses tumour cell proliferation, induces apoptosis via both intrinsic and extrinsic pathways, inhibits tumour-associated angiogenesis, and attenuates the invasive and metastatic capacity of cancer cells across multiple tumour types including breast, colorectal, pancreatic, and lung cancer. Its anti-inflammatory properties are also mechanistically relevant, given the well-established contribution of chronic inflammatory signalling to tumour initiation and progression. Despite these attributes, curcumin's clinical translation has been substantially held back by its poor aqueous solubility, rapid metabolic conjugation, and consequent low oral bioavailability — a challenge addressed in Section 4.3.</w:t>
      </w:r>
    </w:p>
    <w:p w14:paraId="4F9F5930"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lastRenderedPageBreak/>
        <w:t>4.2.2 Resveratrol</w:t>
      </w:r>
    </w:p>
    <w:p w14:paraId="2F2D542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Resveratrol (3,5,4′-trihydroxystilbene) is a </w:t>
      </w:r>
      <w:proofErr w:type="spellStart"/>
      <w:r w:rsidRPr="005D6A18">
        <w:rPr>
          <w:rFonts w:ascii="Times New Roman" w:eastAsia="Times New Roman" w:hAnsi="Times New Roman" w:cs="Times New Roman"/>
          <w:sz w:val="24"/>
          <w:szCs w:val="24"/>
          <w:lang w:eastAsia="en-GB"/>
        </w:rPr>
        <w:t>stilbenoid</w:t>
      </w:r>
      <w:proofErr w:type="spellEnd"/>
      <w:r w:rsidRPr="005D6A18">
        <w:rPr>
          <w:rFonts w:ascii="Times New Roman" w:eastAsia="Times New Roman" w:hAnsi="Times New Roman" w:cs="Times New Roman"/>
          <w:sz w:val="24"/>
          <w:szCs w:val="24"/>
          <w:lang w:eastAsia="en-GB"/>
        </w:rPr>
        <w:t xml:space="preserve"> polyphenol produced as a phytoalexin by several plant species, notably </w:t>
      </w:r>
      <w:r w:rsidRPr="005D6A18">
        <w:rPr>
          <w:rFonts w:ascii="Times New Roman" w:eastAsia="Times New Roman" w:hAnsi="Times New Roman" w:cs="Times New Roman"/>
          <w:i/>
          <w:iCs/>
          <w:sz w:val="24"/>
          <w:szCs w:val="24"/>
          <w:lang w:eastAsia="en-GB"/>
        </w:rPr>
        <w:t>Vitis vinifera</w:t>
      </w:r>
      <w:r w:rsidRPr="005D6A18">
        <w:rPr>
          <w:rFonts w:ascii="Times New Roman" w:eastAsia="Times New Roman" w:hAnsi="Times New Roman" w:cs="Times New Roman"/>
          <w:sz w:val="24"/>
          <w:szCs w:val="24"/>
          <w:lang w:eastAsia="en-GB"/>
        </w:rPr>
        <w:t xml:space="preserve"> L. (grape), various </w:t>
      </w:r>
      <w:r w:rsidRPr="005D6A18">
        <w:rPr>
          <w:rFonts w:ascii="Times New Roman" w:eastAsia="Times New Roman" w:hAnsi="Times New Roman" w:cs="Times New Roman"/>
          <w:i/>
          <w:iCs/>
          <w:sz w:val="24"/>
          <w:szCs w:val="24"/>
          <w:lang w:eastAsia="en-GB"/>
        </w:rPr>
        <w:t>Vaccinium</w:t>
      </w:r>
      <w:r w:rsidRPr="005D6A18">
        <w:rPr>
          <w:rFonts w:ascii="Times New Roman" w:eastAsia="Times New Roman" w:hAnsi="Times New Roman" w:cs="Times New Roman"/>
          <w:sz w:val="24"/>
          <w:szCs w:val="24"/>
          <w:lang w:eastAsia="en-GB"/>
        </w:rPr>
        <w:t xml:space="preserve"> species (berries), and </w:t>
      </w:r>
      <w:r w:rsidRPr="005D6A18">
        <w:rPr>
          <w:rFonts w:ascii="Times New Roman" w:eastAsia="Times New Roman" w:hAnsi="Times New Roman" w:cs="Times New Roman"/>
          <w:i/>
          <w:iCs/>
          <w:sz w:val="24"/>
          <w:szCs w:val="24"/>
          <w:lang w:eastAsia="en-GB"/>
        </w:rPr>
        <w:t>Arachis hypogaea</w:t>
      </w:r>
      <w:r w:rsidRPr="005D6A18">
        <w:rPr>
          <w:rFonts w:ascii="Times New Roman" w:eastAsia="Times New Roman" w:hAnsi="Times New Roman" w:cs="Times New Roman"/>
          <w:sz w:val="24"/>
          <w:szCs w:val="24"/>
          <w:lang w:eastAsia="en-GB"/>
        </w:rPr>
        <w:t xml:space="preserve"> L. (peanut), in response to environmental stress or pathogen challenge. Across a broad range of cancer cell models, resveratrol demonstrates anti-proliferative, pro-apoptotic, anti-angiogenic, and anti-metastatic properties. Mechanistically, it activates the tumour suppressor p53, inhibits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and cyclo-oxygenase-2 (COX-2), suppresses VEGF expression, and modulates cell cycle regulatory proteins to arrest tumour cells in S or G2/M phase (Baur &amp; Sinclair, 2006). Of particular contemporary interest is resveratrol's relationship with the immune checkpoint molecule PD-L1. Verdura et al. (2020) demonstrated that resveratrol disrupts PD-L1 glycosylation — a post-translational modification essential for PD-L1 surface stability — and promotes its proteasomal degradation, thereby restoring anti-tumour T-cell activity. This finding is directly relevant to potential combinations with anti-PD-L1 checkpoint inhibitors and is discussed further in Section 6.3. Like curcumin, resveratrol suffers from rapid first-pass metabolism and low systemic bioavailability, which constrains its clinical utility in the absence of formulation strategies.</w:t>
      </w:r>
    </w:p>
    <w:p w14:paraId="7901AA6A"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4.2.3 Berberine</w:t>
      </w:r>
    </w:p>
    <w:p w14:paraId="4FF38D5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Berberine is a quaternary </w:t>
      </w:r>
      <w:proofErr w:type="spellStart"/>
      <w:r w:rsidRPr="005D6A18">
        <w:rPr>
          <w:rFonts w:ascii="Times New Roman" w:eastAsia="Times New Roman" w:hAnsi="Times New Roman" w:cs="Times New Roman"/>
          <w:sz w:val="24"/>
          <w:szCs w:val="24"/>
          <w:lang w:eastAsia="en-GB"/>
        </w:rPr>
        <w:t>isoquinoline</w:t>
      </w:r>
      <w:proofErr w:type="spellEnd"/>
      <w:r w:rsidRPr="005D6A18">
        <w:rPr>
          <w:rFonts w:ascii="Times New Roman" w:eastAsia="Times New Roman" w:hAnsi="Times New Roman" w:cs="Times New Roman"/>
          <w:sz w:val="24"/>
          <w:szCs w:val="24"/>
          <w:lang w:eastAsia="en-GB"/>
        </w:rPr>
        <w:t xml:space="preserve"> alkaloid found in several pharmacologically important plant species, including </w:t>
      </w:r>
      <w:r w:rsidRPr="005D6A18">
        <w:rPr>
          <w:rFonts w:ascii="Times New Roman" w:eastAsia="Times New Roman" w:hAnsi="Times New Roman" w:cs="Times New Roman"/>
          <w:i/>
          <w:iCs/>
          <w:sz w:val="24"/>
          <w:szCs w:val="24"/>
          <w:lang w:eastAsia="en-GB"/>
        </w:rPr>
        <w:t>Berberis vulgaris</w:t>
      </w:r>
      <w:r w:rsidRPr="005D6A18">
        <w:rPr>
          <w:rFonts w:ascii="Times New Roman" w:eastAsia="Times New Roman" w:hAnsi="Times New Roman" w:cs="Times New Roman"/>
          <w:sz w:val="24"/>
          <w:szCs w:val="24"/>
          <w:lang w:eastAsia="en-GB"/>
        </w:rPr>
        <w:t xml:space="preserve"> L. (barberry), </w:t>
      </w:r>
      <w:r w:rsidRPr="005D6A18">
        <w:rPr>
          <w:rFonts w:ascii="Times New Roman" w:eastAsia="Times New Roman" w:hAnsi="Times New Roman" w:cs="Times New Roman"/>
          <w:i/>
          <w:iCs/>
          <w:sz w:val="24"/>
          <w:szCs w:val="24"/>
          <w:lang w:eastAsia="en-GB"/>
        </w:rPr>
        <w:t>Berberis aristata</w:t>
      </w:r>
      <w:r w:rsidRPr="005D6A18">
        <w:rPr>
          <w:rFonts w:ascii="Times New Roman" w:eastAsia="Times New Roman" w:hAnsi="Times New Roman" w:cs="Times New Roman"/>
          <w:sz w:val="24"/>
          <w:szCs w:val="24"/>
          <w:lang w:eastAsia="en-GB"/>
        </w:rPr>
        <w:t xml:space="preserve"> DC., </w:t>
      </w:r>
      <w:proofErr w:type="spellStart"/>
      <w:r w:rsidRPr="005D6A18">
        <w:rPr>
          <w:rFonts w:ascii="Times New Roman" w:eastAsia="Times New Roman" w:hAnsi="Times New Roman" w:cs="Times New Roman"/>
          <w:i/>
          <w:iCs/>
          <w:sz w:val="24"/>
          <w:szCs w:val="24"/>
          <w:lang w:eastAsia="en-GB"/>
        </w:rPr>
        <w:t>Coptis</w:t>
      </w:r>
      <w:proofErr w:type="spellEnd"/>
      <w:r w:rsidRPr="005D6A18">
        <w:rPr>
          <w:rFonts w:ascii="Times New Roman" w:eastAsia="Times New Roman" w:hAnsi="Times New Roman" w:cs="Times New Roman"/>
          <w:i/>
          <w:iCs/>
          <w:sz w:val="24"/>
          <w:szCs w:val="24"/>
          <w:lang w:eastAsia="en-GB"/>
        </w:rPr>
        <w:t xml:space="preserve"> chinensis</w:t>
      </w:r>
      <w:r w:rsidRPr="005D6A18">
        <w:rPr>
          <w:rFonts w:ascii="Times New Roman" w:eastAsia="Times New Roman" w:hAnsi="Times New Roman" w:cs="Times New Roman"/>
          <w:sz w:val="24"/>
          <w:szCs w:val="24"/>
          <w:lang w:eastAsia="en-GB"/>
        </w:rPr>
        <w:t xml:space="preserve"> Franch. (goldthread), and </w:t>
      </w:r>
      <w:proofErr w:type="spellStart"/>
      <w:r w:rsidRPr="005D6A18">
        <w:rPr>
          <w:rFonts w:ascii="Times New Roman" w:eastAsia="Times New Roman" w:hAnsi="Times New Roman" w:cs="Times New Roman"/>
          <w:i/>
          <w:iCs/>
          <w:sz w:val="24"/>
          <w:szCs w:val="24"/>
          <w:lang w:eastAsia="en-GB"/>
        </w:rPr>
        <w:t>Hydrastis</w:t>
      </w:r>
      <w:proofErr w:type="spellEnd"/>
      <w:r w:rsidRPr="005D6A18">
        <w:rPr>
          <w:rFonts w:ascii="Times New Roman" w:eastAsia="Times New Roman" w:hAnsi="Times New Roman" w:cs="Times New Roman"/>
          <w:i/>
          <w:iCs/>
          <w:sz w:val="24"/>
          <w:szCs w:val="24"/>
          <w:lang w:eastAsia="en-GB"/>
        </w:rPr>
        <w:t xml:space="preserve"> canadensis</w:t>
      </w:r>
      <w:r w:rsidRPr="005D6A18">
        <w:rPr>
          <w:rFonts w:ascii="Times New Roman" w:eastAsia="Times New Roman" w:hAnsi="Times New Roman" w:cs="Times New Roman"/>
          <w:sz w:val="24"/>
          <w:szCs w:val="24"/>
          <w:lang w:eastAsia="en-GB"/>
        </w:rPr>
        <w:t xml:space="preserve"> L. (goldenseal). Its anti-tumour activity spans multiple cancer types and operates through several distinct mechanisms: inhibition of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-driven transcription, induction of G1 or G2/M cell cycle arrest, activation of p53-dependent apoptotic programmes, and suppression of matrix metalloproteinases (MMPs) involved in tumour invasion and metastasis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Berberine also inhibits the mammalian target of rapamycin complex 1 (mTORC1) and downregulates hypoxia-inducible factor-1 alpha (HIF-1α), attenuating both metabolic adaptation and hypoxia-driven angiogenesis within tumours. Of additional clinical relevance, berberine has shown capacity to suppress cancer stem cell (CSC) self-renewal — a cellular subpopulation closely implicated in treatment resistance and disease recurrence (Phi et al., 2018) — through inhibition of the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 and hedgehog signalling pathways. Its relatively low cost and long history of clinical use in traditional medicine make it an attractive candidate for further translational work.</w:t>
      </w:r>
    </w:p>
    <w:p w14:paraId="4D81D437"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4.2.4 Epigallocatechin-3-Gallate (EGCG)</w:t>
      </w:r>
    </w:p>
    <w:p w14:paraId="08B70FC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Epigallocatechin-3-gallate (EGCG) is the most abundant and biologically active catechin in green tea, derived from the leaves of </w:t>
      </w:r>
      <w:r w:rsidRPr="005D6A18">
        <w:rPr>
          <w:rFonts w:ascii="Times New Roman" w:eastAsia="Times New Roman" w:hAnsi="Times New Roman" w:cs="Times New Roman"/>
          <w:i/>
          <w:iCs/>
          <w:sz w:val="24"/>
          <w:szCs w:val="24"/>
          <w:lang w:eastAsia="en-GB"/>
        </w:rPr>
        <w:t>Camellia sinensis</w:t>
      </w:r>
      <w:r w:rsidRPr="005D6A18">
        <w:rPr>
          <w:rFonts w:ascii="Times New Roman" w:eastAsia="Times New Roman" w:hAnsi="Times New Roman" w:cs="Times New Roman"/>
          <w:sz w:val="24"/>
          <w:szCs w:val="24"/>
          <w:lang w:eastAsia="en-GB"/>
        </w:rPr>
        <w:t xml:space="preserve"> (L.) Kuntze. It inhibits multiple receptor tyrosine kinases and their downstream effectors, including EGFR, HER2/ErbB2, VEGFR2,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STAT3, and the PI3K/Akt axis (Khan et al., 2006). The fact that EGCG targets both EGFR and HER2 — the same receptors engaged by the approved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cetuximab and trastuzumab, respectively — is of particular interest from the perspective of combination therapy, and is explored in Section 6.2. EGCG also exhibits epigenetic modulatory activity, including inhibition of DNA methyltransferases and histone deacetylases, which can reshape the gene expression landscape relevant to cancer cell survival and differentiation. These overlapping mechanisms make EGCG one of the most pharmacologically versatile phytochemicals from a multi-target oncology perspective.</w:t>
      </w:r>
    </w:p>
    <w:p w14:paraId="71E44DC8"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lastRenderedPageBreak/>
        <w:t>4.2.5 Artemisinin and Derivatives</w:t>
      </w:r>
    </w:p>
    <w:p w14:paraId="5E88D65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Artemisinin, a sesquiterpene lactone endoperoxide isolated from </w:t>
      </w:r>
      <w:r w:rsidRPr="005D6A18">
        <w:rPr>
          <w:rFonts w:ascii="Times New Roman" w:eastAsia="Times New Roman" w:hAnsi="Times New Roman" w:cs="Times New Roman"/>
          <w:i/>
          <w:iCs/>
          <w:sz w:val="24"/>
          <w:szCs w:val="24"/>
          <w:lang w:eastAsia="en-GB"/>
        </w:rPr>
        <w:t>Artemisia annua</w:t>
      </w:r>
      <w:r w:rsidRPr="005D6A18">
        <w:rPr>
          <w:rFonts w:ascii="Times New Roman" w:eastAsia="Times New Roman" w:hAnsi="Times New Roman" w:cs="Times New Roman"/>
          <w:sz w:val="24"/>
          <w:szCs w:val="24"/>
          <w:lang w:eastAsia="en-GB"/>
        </w:rPr>
        <w:t xml:space="preserve"> L. (sweet wormwood), and its semi-synthetic derivatives — artesunate, artemether, and </w:t>
      </w:r>
      <w:proofErr w:type="spellStart"/>
      <w:r w:rsidRPr="005D6A18">
        <w:rPr>
          <w:rFonts w:ascii="Times New Roman" w:eastAsia="Times New Roman" w:hAnsi="Times New Roman" w:cs="Times New Roman"/>
          <w:sz w:val="24"/>
          <w:szCs w:val="24"/>
          <w:lang w:eastAsia="en-GB"/>
        </w:rPr>
        <w:t>dihydroartemisinin</w:t>
      </w:r>
      <w:proofErr w:type="spellEnd"/>
      <w:r w:rsidRPr="005D6A18">
        <w:rPr>
          <w:rFonts w:ascii="Times New Roman" w:eastAsia="Times New Roman" w:hAnsi="Times New Roman" w:cs="Times New Roman"/>
          <w:sz w:val="24"/>
          <w:szCs w:val="24"/>
          <w:lang w:eastAsia="en-GB"/>
        </w:rPr>
        <w:t xml:space="preserve"> — were originally developed as anti-malarial agents. A growing body of preclinical work has established that these compounds also exert anti-cancer activity across a range of tumour types, including haematological malignancies and solid tumours of the colorectum, liver, ovary, and lung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2017). Proposed mechanisms include generation of reactive oxygen species (ROS) via iron-catalysed cleavage of the endoperoxide bridge, induction of apoptosis through both mitochondrial and endoplasmic reticulum stress pathways, inhibition of angiogenesis through suppression of VEGF signalling, and disruption of the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and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 cascades. The extensive clinical safety record accumulated through anti-malarial use over decades provides a meaningful head-start for cancer repurposing efforts, and several early-phase clinical trials of artesunate in colorectal and other cancers are underway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2017).</w:t>
      </w:r>
    </w:p>
    <w:p w14:paraId="4294660E"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4.2.6 Plant-Derived Chemotherapeutics: Taxanes and Vinca Alkaloids</w:t>
      </w:r>
    </w:p>
    <w:p w14:paraId="521C10B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taxanes and vinca alkaloids occupy a different position from the phytochemicals discussed above: they are not merely investigational agents but are already pillars of global oncological practice. Paclitaxel, first reported from the bark of </w:t>
      </w: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 by Wani et al. (1971), and its semi-synthetic analogue docetaxel, act by stabilising polymerised microtubule structures, preventing the spindle disassembly needed for mitotic progression and arresting cells in G2/M phase (Jordan &amp; Wilson, 2004). Both agents are core components of treatment regimens for breast, ovarian, lung, and gastric cancers, and are frequently combined in clinical practice with targeted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such as trastuzumab and bevacizumab.</w:t>
      </w:r>
    </w:p>
    <w:p w14:paraId="19BADA7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vinca alkaloids — vincristine, vinblastine, and vinorelbine — operate by the opposing mechanism: they inhibit tubulin polymerisation, preventing mitotic spindle assembly and halting cells in metaphase (van der Heijden et al., 2004). Vincristine and vinblastine are isolated directly from </w:t>
      </w: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r w:rsidRPr="005D6A18">
        <w:rPr>
          <w:rFonts w:ascii="Times New Roman" w:eastAsia="Times New Roman" w:hAnsi="Times New Roman" w:cs="Times New Roman"/>
          <w:sz w:val="24"/>
          <w:szCs w:val="24"/>
          <w:lang w:eastAsia="en-GB"/>
        </w:rPr>
        <w:t>G.Don</w:t>
      </w:r>
      <w:proofErr w:type="spellEnd"/>
      <w:r w:rsidRPr="005D6A18">
        <w:rPr>
          <w:rFonts w:ascii="Times New Roman" w:eastAsia="Times New Roman" w:hAnsi="Times New Roman" w:cs="Times New Roman"/>
          <w:sz w:val="24"/>
          <w:szCs w:val="24"/>
          <w:lang w:eastAsia="en-GB"/>
        </w:rPr>
        <w:t>, while vinorelbine is a semi-synthetic derivative produced from catharanthine and vindoline, themselves natural products of the same plant. These agents remain integral to treatment regimens for acute lymphoblastic leukaemia, Hodgkin and non-Hodgkin lymphoma, and NSCLC. Their clinical success provides both scientific and commercial precedent for continued phytochemical drug development.</w:t>
      </w:r>
    </w:p>
    <w:p w14:paraId="305C86E3"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4.3 Bioavailability and Delivery Challenges</w:t>
      </w:r>
    </w:p>
    <w:p w14:paraId="68AF830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 recurring problem in phytochemical oncology is the large gap between in vitro potency and in vivo performance. Many phytochemicals show striking anti-cancer activity in cell culture yet achieve negligible plasma concentrations after oral administration. The underlying reasons vary by compound but typically involve poor aqueous solubility, chemical instability under physiological conditions, susceptibility to extensive first-pass hepatic and intestinal metabolism, and physicochemical characteristics that impede intestinal absorption. Curcumin is the most cited example: its oral bioavailability is extremely low even at gram-level doses, and several clinical trials have failed to detect meaningful systemic exposure using conventional formulations (Prasad et al., 2014).</w:t>
      </w:r>
    </w:p>
    <w:p w14:paraId="3041EE0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Practical solutions have been pursued along several lines. Co-administration of curcumin with piperine, the major alkaloid of </w:t>
      </w:r>
      <w:r w:rsidRPr="005D6A18">
        <w:rPr>
          <w:rFonts w:ascii="Times New Roman" w:eastAsia="Times New Roman" w:hAnsi="Times New Roman" w:cs="Times New Roman"/>
          <w:i/>
          <w:iCs/>
          <w:sz w:val="24"/>
          <w:szCs w:val="24"/>
          <w:lang w:eastAsia="en-GB"/>
        </w:rPr>
        <w:t>Piper nigrum</w:t>
      </w:r>
      <w:r w:rsidRPr="005D6A18">
        <w:rPr>
          <w:rFonts w:ascii="Times New Roman" w:eastAsia="Times New Roman" w:hAnsi="Times New Roman" w:cs="Times New Roman"/>
          <w:sz w:val="24"/>
          <w:szCs w:val="24"/>
          <w:lang w:eastAsia="en-GB"/>
        </w:rPr>
        <w:t xml:space="preserve"> L. (black pepper), improves curcumin bioavailability approximately 20-fold in human volunteers by inhibiting hepatic and intestinal glucuronidation (Shoba et al., 1998). More broadly applicable are nanotechnology-based delivery systems: curcumin encapsulated in polymeric nanoparticles, liposomes, </w:t>
      </w:r>
      <w:proofErr w:type="spellStart"/>
      <w:r w:rsidRPr="005D6A18">
        <w:rPr>
          <w:rFonts w:ascii="Times New Roman" w:eastAsia="Times New Roman" w:hAnsi="Times New Roman" w:cs="Times New Roman"/>
          <w:sz w:val="24"/>
          <w:szCs w:val="24"/>
          <w:lang w:eastAsia="en-GB"/>
        </w:rPr>
        <w:t>nanoemulsions</w:t>
      </w:r>
      <w:proofErr w:type="spellEnd"/>
      <w:r w:rsidRPr="005D6A18">
        <w:rPr>
          <w:rFonts w:ascii="Times New Roman" w:eastAsia="Times New Roman" w:hAnsi="Times New Roman" w:cs="Times New Roman"/>
          <w:sz w:val="24"/>
          <w:szCs w:val="24"/>
          <w:lang w:eastAsia="en-GB"/>
        </w:rPr>
        <w:t>, or solid lipid nanoparticles consistently demonstrates enhanced bioavailability, sustained release, and superior in vivo anti-tumour efficacy compared with free curcumin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 Similarly, EGCG formulated as biodegradable polymeric nanoparticles achieved greater anti-tumour and anti-metastatic activity in xenograft models of human prostate cancer than the equivalent dose of free EGCG (Siddiqui et al., 2009). Beyond improving single-agent delivery, nanoplatforms offer the further advantage of co-delivering multiple agents — including phytochemicals alongside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or antibody fragments — in a spatiotemporally coordinated manner to the tumour site, a concept explored further in Section 6.4. Table 2 consolidates the key phytochemical agents discussed in this section, together with their plant sources, molecular targets, major cancer type associations, and current stage of clinical development.</w:t>
      </w:r>
    </w:p>
    <w:p w14:paraId="6C5601A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2. Key Herbal Bioactive Compounds in Cancer Management</w:t>
      </w:r>
    </w:p>
    <w:tbl>
      <w:tblPr>
        <w:tblStyle w:val="TableGrid"/>
        <w:tblW w:w="0" w:type="auto"/>
        <w:tblLook w:val="04A0" w:firstRow="1" w:lastRow="0" w:firstColumn="1" w:lastColumn="0" w:noHBand="0" w:noVBand="1"/>
      </w:tblPr>
      <w:tblGrid>
        <w:gridCol w:w="1365"/>
        <w:gridCol w:w="1897"/>
        <w:gridCol w:w="2143"/>
        <w:gridCol w:w="1987"/>
        <w:gridCol w:w="1850"/>
      </w:tblGrid>
      <w:tr w:rsidR="002E6E04" w:rsidRPr="005D6A18" w14:paraId="4EF2828C" w14:textId="77777777" w:rsidTr="005D6A18">
        <w:tc>
          <w:tcPr>
            <w:tcW w:w="0" w:type="auto"/>
            <w:hideMark/>
          </w:tcPr>
          <w:p w14:paraId="3A8B0FFB"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Compound</w:t>
            </w:r>
          </w:p>
        </w:tc>
        <w:tc>
          <w:tcPr>
            <w:tcW w:w="0" w:type="auto"/>
            <w:hideMark/>
          </w:tcPr>
          <w:p w14:paraId="03F0EAA0"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Plant Source</w:t>
            </w:r>
          </w:p>
        </w:tc>
        <w:tc>
          <w:tcPr>
            <w:tcW w:w="0" w:type="auto"/>
            <w:hideMark/>
          </w:tcPr>
          <w:p w14:paraId="4C65B8D1"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Molecular Target(s)</w:t>
            </w:r>
          </w:p>
        </w:tc>
        <w:tc>
          <w:tcPr>
            <w:tcW w:w="0" w:type="auto"/>
            <w:hideMark/>
          </w:tcPr>
          <w:p w14:paraId="757008B5"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Cancer Type(s)</w:t>
            </w:r>
          </w:p>
        </w:tc>
        <w:tc>
          <w:tcPr>
            <w:tcW w:w="0" w:type="auto"/>
            <w:hideMark/>
          </w:tcPr>
          <w:p w14:paraId="660AFF56"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Development Stage</w:t>
            </w:r>
          </w:p>
        </w:tc>
      </w:tr>
      <w:tr w:rsidR="002E6E04" w:rsidRPr="005D6A18" w14:paraId="233439A5" w14:textId="77777777" w:rsidTr="005D6A18">
        <w:tc>
          <w:tcPr>
            <w:tcW w:w="0" w:type="auto"/>
            <w:hideMark/>
          </w:tcPr>
          <w:p w14:paraId="48871BD0"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Curcumin</w:t>
            </w:r>
          </w:p>
        </w:tc>
        <w:tc>
          <w:tcPr>
            <w:tcW w:w="0" w:type="auto"/>
            <w:hideMark/>
          </w:tcPr>
          <w:p w14:paraId="0242C41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Curcuma longa</w:t>
            </w:r>
            <w:r w:rsidRPr="005D6A18">
              <w:rPr>
                <w:rFonts w:ascii="Times New Roman" w:eastAsia="Times New Roman" w:hAnsi="Times New Roman" w:cs="Times New Roman"/>
                <w:sz w:val="24"/>
                <w:szCs w:val="24"/>
                <w:lang w:eastAsia="en-GB"/>
              </w:rPr>
              <w:t xml:space="preserve"> L.</w:t>
            </w:r>
          </w:p>
        </w:tc>
        <w:tc>
          <w:tcPr>
            <w:tcW w:w="0" w:type="auto"/>
            <w:hideMark/>
          </w:tcPr>
          <w:p w14:paraId="5668A14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STAT3, PI3K/Akt, MAPK, HIF-1α</w:t>
            </w:r>
          </w:p>
        </w:tc>
        <w:tc>
          <w:tcPr>
            <w:tcW w:w="0" w:type="auto"/>
            <w:hideMark/>
          </w:tcPr>
          <w:p w14:paraId="0700309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breast, pancreatic, lung, prostate</w:t>
            </w:r>
          </w:p>
        </w:tc>
        <w:tc>
          <w:tcPr>
            <w:tcW w:w="0" w:type="auto"/>
            <w:hideMark/>
          </w:tcPr>
          <w:p w14:paraId="2D54A46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multiple Phase I/II trials</w:t>
            </w:r>
          </w:p>
        </w:tc>
      </w:tr>
      <w:tr w:rsidR="002E6E04" w:rsidRPr="005D6A18" w14:paraId="19E4C224" w14:textId="77777777" w:rsidTr="005D6A18">
        <w:tc>
          <w:tcPr>
            <w:tcW w:w="0" w:type="auto"/>
            <w:hideMark/>
          </w:tcPr>
          <w:p w14:paraId="25943F3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Resveratrol</w:t>
            </w:r>
          </w:p>
        </w:tc>
        <w:tc>
          <w:tcPr>
            <w:tcW w:w="0" w:type="auto"/>
            <w:hideMark/>
          </w:tcPr>
          <w:p w14:paraId="434902E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Vitis vinifera</w:t>
            </w:r>
            <w:r w:rsidRPr="005D6A18">
              <w:rPr>
                <w:rFonts w:ascii="Times New Roman" w:eastAsia="Times New Roman" w:hAnsi="Times New Roman" w:cs="Times New Roman"/>
                <w:sz w:val="24"/>
                <w:szCs w:val="24"/>
                <w:lang w:eastAsia="en-GB"/>
              </w:rPr>
              <w:t xml:space="preserve"> L., </w:t>
            </w:r>
            <w:r w:rsidRPr="005D6A18">
              <w:rPr>
                <w:rFonts w:ascii="Times New Roman" w:eastAsia="Times New Roman" w:hAnsi="Times New Roman" w:cs="Times New Roman"/>
                <w:i/>
                <w:iCs/>
                <w:sz w:val="24"/>
                <w:szCs w:val="24"/>
                <w:lang w:eastAsia="en-GB"/>
              </w:rPr>
              <w:t>Vaccinium</w:t>
            </w:r>
            <w:r w:rsidRPr="005D6A18">
              <w:rPr>
                <w:rFonts w:ascii="Times New Roman" w:eastAsia="Times New Roman" w:hAnsi="Times New Roman" w:cs="Times New Roman"/>
                <w:sz w:val="24"/>
                <w:szCs w:val="24"/>
                <w:lang w:eastAsia="en-GB"/>
              </w:rPr>
              <w:t xml:space="preserve"> spp.</w:t>
            </w:r>
          </w:p>
        </w:tc>
        <w:tc>
          <w:tcPr>
            <w:tcW w:w="0" w:type="auto"/>
            <w:hideMark/>
          </w:tcPr>
          <w:p w14:paraId="630067E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p53,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VEGF, COX-2, PD-L1</w:t>
            </w:r>
          </w:p>
        </w:tc>
        <w:tc>
          <w:tcPr>
            <w:tcW w:w="0" w:type="auto"/>
            <w:hideMark/>
          </w:tcPr>
          <w:p w14:paraId="219ECD8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breast, prostate, melanoma</w:t>
            </w:r>
          </w:p>
        </w:tc>
        <w:tc>
          <w:tcPr>
            <w:tcW w:w="0" w:type="auto"/>
            <w:hideMark/>
          </w:tcPr>
          <w:p w14:paraId="644082B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trials</w:t>
            </w:r>
          </w:p>
        </w:tc>
      </w:tr>
      <w:tr w:rsidR="002E6E04" w:rsidRPr="005D6A18" w14:paraId="070B07A6" w14:textId="77777777" w:rsidTr="005D6A18">
        <w:tc>
          <w:tcPr>
            <w:tcW w:w="0" w:type="auto"/>
            <w:hideMark/>
          </w:tcPr>
          <w:p w14:paraId="77F8900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Berberine</w:t>
            </w:r>
          </w:p>
        </w:tc>
        <w:tc>
          <w:tcPr>
            <w:tcW w:w="0" w:type="auto"/>
            <w:hideMark/>
          </w:tcPr>
          <w:p w14:paraId="15B967A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Berberis vulgaris</w:t>
            </w:r>
            <w:r w:rsidRPr="005D6A18">
              <w:rPr>
                <w:rFonts w:ascii="Times New Roman" w:eastAsia="Times New Roman" w:hAnsi="Times New Roman" w:cs="Times New Roman"/>
                <w:sz w:val="24"/>
                <w:szCs w:val="24"/>
                <w:lang w:eastAsia="en-GB"/>
              </w:rPr>
              <w:t xml:space="preserve"> L., </w:t>
            </w:r>
            <w:proofErr w:type="spellStart"/>
            <w:r w:rsidRPr="005D6A18">
              <w:rPr>
                <w:rFonts w:ascii="Times New Roman" w:eastAsia="Times New Roman" w:hAnsi="Times New Roman" w:cs="Times New Roman"/>
                <w:i/>
                <w:iCs/>
                <w:sz w:val="24"/>
                <w:szCs w:val="24"/>
                <w:lang w:eastAsia="en-GB"/>
              </w:rPr>
              <w:t>Coptis</w:t>
            </w:r>
            <w:proofErr w:type="spellEnd"/>
            <w:r w:rsidRPr="005D6A18">
              <w:rPr>
                <w:rFonts w:ascii="Times New Roman" w:eastAsia="Times New Roman" w:hAnsi="Times New Roman" w:cs="Times New Roman"/>
                <w:i/>
                <w:iCs/>
                <w:sz w:val="24"/>
                <w:szCs w:val="24"/>
                <w:lang w:eastAsia="en-GB"/>
              </w:rPr>
              <w:t xml:space="preserve"> chinensis</w:t>
            </w:r>
            <w:r w:rsidRPr="005D6A18">
              <w:rPr>
                <w:rFonts w:ascii="Times New Roman" w:eastAsia="Times New Roman" w:hAnsi="Times New Roman" w:cs="Times New Roman"/>
                <w:sz w:val="24"/>
                <w:szCs w:val="24"/>
                <w:lang w:eastAsia="en-GB"/>
              </w:rPr>
              <w:t xml:space="preserve"> Franch.</w:t>
            </w:r>
          </w:p>
        </w:tc>
        <w:tc>
          <w:tcPr>
            <w:tcW w:w="0" w:type="auto"/>
            <w:hideMark/>
          </w:tcPr>
          <w:p w14:paraId="04CA641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mTOR, HIF-1α, MMP,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w:t>
            </w:r>
          </w:p>
        </w:tc>
        <w:tc>
          <w:tcPr>
            <w:tcW w:w="0" w:type="auto"/>
            <w:hideMark/>
          </w:tcPr>
          <w:p w14:paraId="636E617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hepatocellular, gastric, breast</w:t>
            </w:r>
          </w:p>
        </w:tc>
        <w:tc>
          <w:tcPr>
            <w:tcW w:w="0" w:type="auto"/>
            <w:hideMark/>
          </w:tcPr>
          <w:p w14:paraId="1C9E7C1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early clinical investigation</w:t>
            </w:r>
          </w:p>
        </w:tc>
      </w:tr>
      <w:tr w:rsidR="002E6E04" w:rsidRPr="005D6A18" w14:paraId="53B4C8FA" w14:textId="77777777" w:rsidTr="005D6A18">
        <w:tc>
          <w:tcPr>
            <w:tcW w:w="0" w:type="auto"/>
            <w:hideMark/>
          </w:tcPr>
          <w:p w14:paraId="4D3132D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EGCG</w:t>
            </w:r>
          </w:p>
        </w:tc>
        <w:tc>
          <w:tcPr>
            <w:tcW w:w="0" w:type="auto"/>
            <w:hideMark/>
          </w:tcPr>
          <w:p w14:paraId="73790DA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Camellia sinensis</w:t>
            </w:r>
            <w:r w:rsidRPr="005D6A18">
              <w:rPr>
                <w:rFonts w:ascii="Times New Roman" w:eastAsia="Times New Roman" w:hAnsi="Times New Roman" w:cs="Times New Roman"/>
                <w:sz w:val="24"/>
                <w:szCs w:val="24"/>
                <w:lang w:eastAsia="en-GB"/>
              </w:rPr>
              <w:t xml:space="preserve"> (L.) Kuntze</w:t>
            </w:r>
          </w:p>
        </w:tc>
        <w:tc>
          <w:tcPr>
            <w:tcW w:w="0" w:type="auto"/>
            <w:hideMark/>
          </w:tcPr>
          <w:p w14:paraId="060E3A9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EGFR, HER2, VEGFR2, STAT3, NF-</w:t>
            </w:r>
            <w:proofErr w:type="spellStart"/>
            <w:r w:rsidRPr="005D6A18">
              <w:rPr>
                <w:rFonts w:ascii="Times New Roman" w:eastAsia="Times New Roman" w:hAnsi="Times New Roman" w:cs="Times New Roman"/>
                <w:sz w:val="24"/>
                <w:szCs w:val="24"/>
                <w:lang w:eastAsia="en-GB"/>
              </w:rPr>
              <w:t>κB</w:t>
            </w:r>
            <w:proofErr w:type="spellEnd"/>
          </w:p>
        </w:tc>
        <w:tc>
          <w:tcPr>
            <w:tcW w:w="0" w:type="auto"/>
            <w:hideMark/>
          </w:tcPr>
          <w:p w14:paraId="6AEB0BE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Lung, breast, prostate, colorectal</w:t>
            </w:r>
          </w:p>
        </w:tc>
        <w:tc>
          <w:tcPr>
            <w:tcW w:w="0" w:type="auto"/>
            <w:hideMark/>
          </w:tcPr>
          <w:p w14:paraId="56353EB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trials</w:t>
            </w:r>
          </w:p>
        </w:tc>
      </w:tr>
      <w:tr w:rsidR="002E6E04" w:rsidRPr="005D6A18" w14:paraId="2251A53C" w14:textId="77777777" w:rsidTr="005D6A18">
        <w:tc>
          <w:tcPr>
            <w:tcW w:w="0" w:type="auto"/>
            <w:hideMark/>
          </w:tcPr>
          <w:p w14:paraId="598F035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Artesunate</w:t>
            </w:r>
          </w:p>
        </w:tc>
        <w:tc>
          <w:tcPr>
            <w:tcW w:w="0" w:type="auto"/>
            <w:hideMark/>
          </w:tcPr>
          <w:p w14:paraId="5E814A9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Artemisia annua</w:t>
            </w:r>
            <w:r w:rsidRPr="005D6A18">
              <w:rPr>
                <w:rFonts w:ascii="Times New Roman" w:eastAsia="Times New Roman" w:hAnsi="Times New Roman" w:cs="Times New Roman"/>
                <w:sz w:val="24"/>
                <w:szCs w:val="24"/>
                <w:lang w:eastAsia="en-GB"/>
              </w:rPr>
              <w:t xml:space="preserve"> L.</w:t>
            </w:r>
          </w:p>
        </w:tc>
        <w:tc>
          <w:tcPr>
            <w:tcW w:w="0" w:type="auto"/>
            <w:hideMark/>
          </w:tcPr>
          <w:p w14:paraId="2116B4E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ROS generation,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 VEGF</w:t>
            </w:r>
          </w:p>
        </w:tc>
        <w:tc>
          <w:tcPr>
            <w:tcW w:w="0" w:type="auto"/>
            <w:hideMark/>
          </w:tcPr>
          <w:p w14:paraId="7F27EBE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Leukaemia, colorectal, hepatocellular, ovarian</w:t>
            </w:r>
          </w:p>
        </w:tc>
        <w:tc>
          <w:tcPr>
            <w:tcW w:w="0" w:type="auto"/>
            <w:hideMark/>
          </w:tcPr>
          <w:p w14:paraId="39919D70"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repurposing trials</w:t>
            </w:r>
          </w:p>
        </w:tc>
      </w:tr>
      <w:tr w:rsidR="002E6E04" w:rsidRPr="005D6A18" w14:paraId="313BF769" w14:textId="77777777" w:rsidTr="005D6A18">
        <w:tc>
          <w:tcPr>
            <w:tcW w:w="0" w:type="auto"/>
            <w:hideMark/>
          </w:tcPr>
          <w:p w14:paraId="313CB69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Quercetin</w:t>
            </w:r>
          </w:p>
        </w:tc>
        <w:tc>
          <w:tcPr>
            <w:tcW w:w="0" w:type="auto"/>
            <w:hideMark/>
          </w:tcPr>
          <w:p w14:paraId="0135260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Allium cepa</w:t>
            </w:r>
            <w:r w:rsidRPr="005D6A18">
              <w:rPr>
                <w:rFonts w:ascii="Times New Roman" w:eastAsia="Times New Roman" w:hAnsi="Times New Roman" w:cs="Times New Roman"/>
                <w:sz w:val="24"/>
                <w:szCs w:val="24"/>
                <w:lang w:eastAsia="en-GB"/>
              </w:rPr>
              <w:t xml:space="preserve"> L., </w:t>
            </w:r>
            <w:r w:rsidRPr="005D6A18">
              <w:rPr>
                <w:rFonts w:ascii="Times New Roman" w:eastAsia="Times New Roman" w:hAnsi="Times New Roman" w:cs="Times New Roman"/>
                <w:i/>
                <w:iCs/>
                <w:sz w:val="24"/>
                <w:szCs w:val="24"/>
                <w:lang w:eastAsia="en-GB"/>
              </w:rPr>
              <w:t>Hypericum</w:t>
            </w:r>
            <w:r w:rsidRPr="005D6A18">
              <w:rPr>
                <w:rFonts w:ascii="Times New Roman" w:eastAsia="Times New Roman" w:hAnsi="Times New Roman" w:cs="Times New Roman"/>
                <w:sz w:val="24"/>
                <w:szCs w:val="24"/>
                <w:lang w:eastAsia="en-GB"/>
              </w:rPr>
              <w:t xml:space="preserve"> spp.</w:t>
            </w:r>
          </w:p>
        </w:tc>
        <w:tc>
          <w:tcPr>
            <w:tcW w:w="0" w:type="auto"/>
            <w:hideMark/>
          </w:tcPr>
          <w:p w14:paraId="6F01BC3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PI3K/Akt, Bcl-2, EGFR,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 PD-L1</w:t>
            </w:r>
          </w:p>
        </w:tc>
        <w:tc>
          <w:tcPr>
            <w:tcW w:w="0" w:type="auto"/>
            <w:hideMark/>
          </w:tcPr>
          <w:p w14:paraId="309DFDE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Prostate, ovarian, lung, breast, colorectal</w:t>
            </w:r>
          </w:p>
        </w:tc>
        <w:tc>
          <w:tcPr>
            <w:tcW w:w="0" w:type="auto"/>
            <w:hideMark/>
          </w:tcPr>
          <w:p w14:paraId="3822FC7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trials</w:t>
            </w:r>
          </w:p>
        </w:tc>
      </w:tr>
      <w:tr w:rsidR="002E6E04" w:rsidRPr="005D6A18" w14:paraId="4CDBA187" w14:textId="77777777" w:rsidTr="005D6A18">
        <w:tc>
          <w:tcPr>
            <w:tcW w:w="0" w:type="auto"/>
            <w:hideMark/>
          </w:tcPr>
          <w:p w14:paraId="648F47F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Paclitaxel</w:t>
            </w:r>
          </w:p>
        </w:tc>
        <w:tc>
          <w:tcPr>
            <w:tcW w:w="0" w:type="auto"/>
            <w:hideMark/>
          </w:tcPr>
          <w:p w14:paraId="67C9B4B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w:t>
            </w:r>
          </w:p>
        </w:tc>
        <w:tc>
          <w:tcPr>
            <w:tcW w:w="0" w:type="auto"/>
            <w:hideMark/>
          </w:tcPr>
          <w:p w14:paraId="40278BD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Microtubule stabilisation (β-tubulin)</w:t>
            </w:r>
          </w:p>
        </w:tc>
        <w:tc>
          <w:tcPr>
            <w:tcW w:w="0" w:type="auto"/>
            <w:hideMark/>
          </w:tcPr>
          <w:p w14:paraId="482D183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Breast, ovarian, NSCLC, gastric</w:t>
            </w:r>
          </w:p>
        </w:tc>
        <w:tc>
          <w:tcPr>
            <w:tcW w:w="0" w:type="auto"/>
            <w:hideMark/>
          </w:tcPr>
          <w:p w14:paraId="0505DC2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Approved; standard of care</w:t>
            </w:r>
          </w:p>
        </w:tc>
      </w:tr>
      <w:tr w:rsidR="002E6E04" w:rsidRPr="005D6A18" w14:paraId="53C6C797" w14:textId="77777777" w:rsidTr="005D6A18">
        <w:tc>
          <w:tcPr>
            <w:tcW w:w="0" w:type="auto"/>
            <w:hideMark/>
          </w:tcPr>
          <w:p w14:paraId="20D09E5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Vincristine</w:t>
            </w:r>
          </w:p>
        </w:tc>
        <w:tc>
          <w:tcPr>
            <w:tcW w:w="0" w:type="auto"/>
            <w:hideMark/>
          </w:tcPr>
          <w:p w14:paraId="7E56874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r w:rsidRPr="005D6A18">
              <w:rPr>
                <w:rFonts w:ascii="Times New Roman" w:eastAsia="Times New Roman" w:hAnsi="Times New Roman" w:cs="Times New Roman"/>
                <w:sz w:val="24"/>
                <w:szCs w:val="24"/>
                <w:lang w:eastAsia="en-GB"/>
              </w:rPr>
              <w:t>G.Don</w:t>
            </w:r>
            <w:proofErr w:type="spellEnd"/>
          </w:p>
        </w:tc>
        <w:tc>
          <w:tcPr>
            <w:tcW w:w="0" w:type="auto"/>
            <w:hideMark/>
          </w:tcPr>
          <w:p w14:paraId="58919B2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Microtubule destabilisation (tubulin polymerisation)</w:t>
            </w:r>
          </w:p>
        </w:tc>
        <w:tc>
          <w:tcPr>
            <w:tcW w:w="0" w:type="auto"/>
            <w:hideMark/>
          </w:tcPr>
          <w:p w14:paraId="64FAA6B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ALL, lymphoma, NSCLC</w:t>
            </w:r>
          </w:p>
        </w:tc>
        <w:tc>
          <w:tcPr>
            <w:tcW w:w="0" w:type="auto"/>
            <w:hideMark/>
          </w:tcPr>
          <w:p w14:paraId="7EDBDD5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Approved; standard of care</w:t>
            </w:r>
          </w:p>
        </w:tc>
      </w:tr>
    </w:tbl>
    <w:p w14:paraId="0BE3D13D"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Sources: Aggarwal &amp; Harikumar (2009); Baur &amp; Sinclair (2006); Cragg &amp; Newman (2005);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xml:space="preserve"> (2017);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Jordan &amp; Wilson (2004); Khan et al. </w:t>
      </w:r>
      <w:r w:rsidRPr="005D6A18">
        <w:rPr>
          <w:rFonts w:ascii="Times New Roman" w:eastAsia="Times New Roman" w:hAnsi="Times New Roman" w:cs="Times New Roman"/>
          <w:sz w:val="24"/>
          <w:szCs w:val="24"/>
          <w:lang w:eastAsia="en-GB"/>
        </w:rPr>
        <w:lastRenderedPageBreak/>
        <w:t>(2006); Newman &amp; Cragg (2020); Russo et al. (2012); Siddiqui et al. (2009); van der Heijden et al. (2004); Verdura et al. (2020); Wani et al. (1971).</w:t>
      </w:r>
    </w:p>
    <w:p w14:paraId="3DDEBB6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Abbreviations: ALL = acute lymphoblastic leukaemia; COX-2 = cyclo-oxygenase-2; HIF-1α = hypoxia-inducible factor-1 alpha; MMP = matrix metalloproteinase; mTOR = mammalian target of rapamycin;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 nuclear factor kappa-B; NSCLC = non-small-cell lung cancer; ROS = reactive oxygen species; STAT3 = signal transducer and activator of transcription 3.</w:t>
      </w:r>
    </w:p>
    <w:p w14:paraId="24C8E2CC"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49B1674D"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5. Monoclonal Antibody-Based Approaches in Cancer Management</w:t>
      </w:r>
    </w:p>
    <w:p w14:paraId="35D4E1D8"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5.1 Principles and Classification of Therapeutic Monoclonal Antibodies</w:t>
      </w:r>
    </w:p>
    <w:p w14:paraId="42E8F26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Monoclonal antibodies are monospecific immunoglobulin molecules produced by clonally identical B cells, engineered to bind a single defined epitope on a target antigen with high affinity and precision. The hybridoma technology described by Köhler and Milstein in 1975 made large-scale production of such antibodies practically feasible. Since then, successive generations of antibody engineering — from murine and chimeric constructs to fully humanised and fully human molecules — have progressively reduced immunogenicity and improved clinical tolerability (Weiner et al., 2010; Scott et al., 2012). The approval of muromonab-CD3 in 1986 marked the formal entry of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into medicine, but it was the approval of rituximab for B-cell lymphoma in 1997 that opened the modern era of antibody-based cancer treatment.</w:t>
      </w:r>
    </w:p>
    <w:p w14:paraId="7DA78E6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 oncology fall into four broad functional categories: naked (unconjugated) antibodies that mediate anti-tumour effects through receptor signalling blockade, antibody-dependent cellular cytotoxicity (ADCC), or complement-dependent cytotoxicity (CDC); immune checkpoint inhibitors that reverse tumour-imposed suppression of T-cell anti-cancer immunity; antibody–drug conjugates (ADCs) that deliver highly cytotoxic payloads selectively to tumour cells; and bispecific antibodies engineered to bind two distinct antigens simultaneously (Zahavi &amp; Weiner, 2020; Drago et al., 2021;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 Each class carries distinct mechanisms, clinical applications, and toxicity profiles.</w:t>
      </w:r>
    </w:p>
    <w:p w14:paraId="200F592B"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5.2 Naked Monoclonal Antibodies</w:t>
      </w:r>
    </w:p>
    <w:p w14:paraId="07DC8664"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5.2.1 Anti-VEGF: Bevacizumab</w:t>
      </w:r>
    </w:p>
    <w:p w14:paraId="321C4D8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Bevacizumab (Avastin®), a recombinant humanised IgG1 antibody targeting vascular endothelial growth factor A (VEGF-A), was the first anti-angiogenic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to reach clinical approval in cancer. By capturing circulating VEGF-A and preventing its interaction with VEGFR-1 and VEGFR-2 on vascular endothelial cells, bevacizumab suppresses neovascularisation and deprives tumours of the blood supply they need to sustain growth and metastatic spread (Ferrara et al., 2004). A pivotal Phase III trial demonstrated that adding bevacizumab to a regimen of irinotecan, fluorouracil, and leucovorin (IFL) significantly improved median overall survival in metastatic colorectal cancer compared with IFL plus placebo (Hurwitz et al., 2004). That result secured bevacizumab's place as the first approved anti-angiogenic therapy in solid tumours and initiated a now-established paradigm of combining it with cytotoxic chemotherapy across multiple cancer types including NSCLC, renal cell, cervical, ovarian, and glioblastoma multiforme.</w:t>
      </w:r>
    </w:p>
    <w:p w14:paraId="02D7B593"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lastRenderedPageBreak/>
        <w:t>5.2.2 Anti-HER2: Trastuzumab</w:t>
      </w:r>
    </w:p>
    <w:p w14:paraId="285D8758"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Trastuzumab (Herceptin®), a humanised IgG1 antibody targeting extracellular domain IV of HER2 (ErbB2), has become a cornerstone of treatment for the approximately 15–20% of breast cancers that overexpress this receptor — a subtype that historically carried a markedly worse prognosis. By binding HER2, trastuzumab inhibits downstream PI3K/Akt and MAPK signalling, promotes receptor internalisation and degradation, and mediates potent ADCC principally through engagement of </w:t>
      </w:r>
      <w:proofErr w:type="spellStart"/>
      <w:r w:rsidRPr="005D6A18">
        <w:rPr>
          <w:rFonts w:ascii="Times New Roman" w:eastAsia="Times New Roman" w:hAnsi="Times New Roman" w:cs="Times New Roman"/>
          <w:sz w:val="24"/>
          <w:szCs w:val="24"/>
          <w:lang w:eastAsia="en-GB"/>
        </w:rPr>
        <w:t>FcγRIII</w:t>
      </w:r>
      <w:proofErr w:type="spellEnd"/>
      <w:r w:rsidRPr="005D6A18">
        <w:rPr>
          <w:rFonts w:ascii="Times New Roman" w:eastAsia="Times New Roman" w:hAnsi="Times New Roman" w:cs="Times New Roman"/>
          <w:sz w:val="24"/>
          <w:szCs w:val="24"/>
          <w:lang w:eastAsia="en-GB"/>
        </w:rPr>
        <w:t xml:space="preserve"> (CD16a) on NK cells (Slamon et al., 2001). A landmark randomised trial showed that adding trastuzumab to first-line chemotherapy significantly prolonged time to disease progression and overall survival in patients with metastatic HER2-overexpressing breast cancer (Slamon et al., 2001) — the finding that definitively established biomarker-driven targeted therapy as a viable paradigm in solid tumours. Trastuzumab subsequently received approval for adjuvant and neoadjuvant treatment of HER2-positive early breast cancer and for HER2-positive gastric and gastro-oesophageal junction adenocarcinoma.</w:t>
      </w:r>
    </w:p>
    <w:p w14:paraId="271E04A1"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5.2.3 Anti-CD20: Rituximab</w:t>
      </w:r>
    </w:p>
    <w:p w14:paraId="45A44DC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Rituximab (Rituxan®, </w:t>
      </w:r>
      <w:proofErr w:type="spellStart"/>
      <w:r w:rsidRPr="005D6A18">
        <w:rPr>
          <w:rFonts w:ascii="Times New Roman" w:eastAsia="Times New Roman" w:hAnsi="Times New Roman" w:cs="Times New Roman"/>
          <w:sz w:val="24"/>
          <w:szCs w:val="24"/>
          <w:lang w:eastAsia="en-GB"/>
        </w:rPr>
        <w:t>MabThera</w:t>
      </w:r>
      <w:proofErr w:type="spellEnd"/>
      <w:r w:rsidRPr="005D6A18">
        <w:rPr>
          <w:rFonts w:ascii="Times New Roman" w:eastAsia="Times New Roman" w:hAnsi="Times New Roman" w:cs="Times New Roman"/>
          <w:sz w:val="24"/>
          <w:szCs w:val="24"/>
          <w:lang w:eastAsia="en-GB"/>
        </w:rPr>
        <w:t xml:space="preserve">®), a chimeric mouse/human IgG1 antibody targeting CD20 on B lymphocytes, was the first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approved for cancer treatment. Its anti-tumour activity combines multiple effector mechanisms: complement-dependent cytotoxicity, ADCC mediated by NK cells and monocytes, and direct apoptotic signalling in CD20-expressing cells (Maloney et al., 1997). Early clinical trials in relapsed or refractory low-grade non-Hodgkin lymphoma demonstrated objective response rates of approximately 48%, a result that was remarkable in that therapeutic context (Maloney et al., 1997). Subsequent incorporation of rituximab into combination chemotherapy — most notably the R-CHOP regimen for diffuse large B-cell lymphoma — substantially improved patient outcomes and transformed the standard of care for B-cell malignancies. The clinical success of rituximab catalysed the development of dozens of successor antibodies and established the broader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oncology field.</w:t>
      </w:r>
    </w:p>
    <w:p w14:paraId="4B49D651"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5.2.4 Anti-EGFR: Cetuximab</w:t>
      </w:r>
    </w:p>
    <w:p w14:paraId="6AAFAC4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Cetuximab (Erbitux®), a chimeric IgG1 antibody against the extracellular domain of EGFR, blocks ligand binding to the receptor and thereby inhibits downstream RAS/RAF/MEK/ERK and PI3K/Akt/mTOR signalling. A Phase III trial demonstrated that cetuximab combined with irinotecan improved tumour response rates over irinotecan monotherapy in patients with irinotecan-refractory metastatic colorectal cancer (Cunningham et al., 2004). The subsequent discovery that activating mutations in KRAS — and later NRAS — confer primary resistance to cetuximab was as scientifically important as the trial result itself, restricting the approved use of this agent to KRAS/NRAS wild-type tumours and establishing a mutation-based patient selection paradigm that has since informed the development of many other targeted therapies.</w:t>
      </w:r>
    </w:p>
    <w:p w14:paraId="70710B3D"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5.3 Immune Checkpoint Inhibitors</w:t>
      </w:r>
    </w:p>
    <w:p w14:paraId="3BC90F2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recognition that tumours exploit co-inhibitory signalling pathways to evade immune surveillance has fundamentally shifted the cancer immunotherapy landscape. The two most clinically productive checkpoint axes — CTLA-4 and PD-1/PD-L1 — have been targeted by a growing family of approved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producing clinical outcomes that were not </w:t>
      </w:r>
      <w:r w:rsidRPr="005D6A18">
        <w:rPr>
          <w:rFonts w:ascii="Times New Roman" w:eastAsia="Times New Roman" w:hAnsi="Times New Roman" w:cs="Times New Roman"/>
          <w:sz w:val="24"/>
          <w:szCs w:val="24"/>
          <w:lang w:eastAsia="en-GB"/>
        </w:rPr>
        <w:lastRenderedPageBreak/>
        <w:t>previously thought achievable in many tumour types (Topalian et al., 2015; Sharma &amp; Allison, 2015).</w:t>
      </w:r>
    </w:p>
    <w:p w14:paraId="2B565B74"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5.3.1 Anti-CTLA-4: Ipilimumab</w:t>
      </w:r>
    </w:p>
    <w:p w14:paraId="2AFF2B4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CTLA-4 is an inhibitory receptor on activated T cells and regulatory T cells that attenuates early T-cell activation by outcompeting the co-stimulatory receptor CD28 for its shared B7 ligands (CD80 and CD86) on antigen-presenting cells. Ipilimumab (</w:t>
      </w:r>
      <w:proofErr w:type="spellStart"/>
      <w:r w:rsidRPr="005D6A18">
        <w:rPr>
          <w:rFonts w:ascii="Times New Roman" w:eastAsia="Times New Roman" w:hAnsi="Times New Roman" w:cs="Times New Roman"/>
          <w:sz w:val="24"/>
          <w:szCs w:val="24"/>
          <w:lang w:eastAsia="en-GB"/>
        </w:rPr>
        <w:t>Yervoy</w:t>
      </w:r>
      <w:proofErr w:type="spellEnd"/>
      <w:r w:rsidRPr="005D6A18">
        <w:rPr>
          <w:rFonts w:ascii="Times New Roman" w:eastAsia="Times New Roman" w:hAnsi="Times New Roman" w:cs="Times New Roman"/>
          <w:sz w:val="24"/>
          <w:szCs w:val="24"/>
          <w:lang w:eastAsia="en-GB"/>
        </w:rPr>
        <w:t>®), a fully human anti-CTLA-4 IgG1 antibody, was the first immune checkpoint inhibitor to show a statistically significant survival benefit in a randomised Phase III trial. In that study, ipilimumab substantially improved overall survival in previously treated patients with metastatic melanoma compared with a glycoprotein 100 (gp100) peptide vaccine, with some patients achieving durable responses lasting several years (Hodi et al., 2010). This was a pivotal moment: it was the first demonstration that releasing immune brakes on T cells could extend long-term survival in a metastatic solid tumour. Ipilimumab is now approved in several indications, including melanoma, NSCLC, hepatocellular carcinoma, and MSI-H colorectal cancer, and its combination with nivolumab has proven particularly active across multiple tumour types.</w:t>
      </w:r>
    </w:p>
    <w:p w14:paraId="1A2C6790" w14:textId="77777777" w:rsidR="002E6E04" w:rsidRPr="005D6A18" w:rsidRDefault="002E6E04" w:rsidP="002E6E04">
      <w:pPr>
        <w:spacing w:before="100" w:beforeAutospacing="1" w:after="100" w:afterAutospacing="1" w:line="240" w:lineRule="auto"/>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5.3.2 Anti-PD-1 and Anti-PD-L1 Antibodies</w:t>
      </w:r>
    </w:p>
    <w:p w14:paraId="348DC33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Programmed death protein 1 (PD-1) is expressed on chronically activated T cells and, when engaged by its ligands PD-L1 (CD274) or PD-L2 (CD273), suppresses effector T-cell function and promotes immune tolerance. Many tumours exploit this checkpoint by upregulating PD-L1 on their surface and on surrounding immune cells, creating a localised immune-suppressive shield (Chen &amp; Han, 2015). Blockade of the PD-1/PD-L1 axis restores T-cell-mediated anti-tumour activity and has produced durable responses, even after treatment discontinuation, across a remarkably wide range of cancer types (Ribas &amp;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2018; Topalian et al., 2012).</w:t>
      </w:r>
    </w:p>
    <w:p w14:paraId="3D8644B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Nivolumab (Opdivo®), a fully human IgG4 anti-PD-1 antibody, improved overall survival over docetaxel in previously treated patients with advanced non-squamous NSCLC in a pivotal Phase III trial (</w:t>
      </w:r>
      <w:proofErr w:type="spellStart"/>
      <w:r w:rsidRPr="005D6A18">
        <w:rPr>
          <w:rFonts w:ascii="Times New Roman" w:eastAsia="Times New Roman" w:hAnsi="Times New Roman" w:cs="Times New Roman"/>
          <w:sz w:val="24"/>
          <w:szCs w:val="24"/>
          <w:lang w:eastAsia="en-GB"/>
        </w:rPr>
        <w:t>Borghaei</w:t>
      </w:r>
      <w:proofErr w:type="spellEnd"/>
      <w:r w:rsidRPr="005D6A18">
        <w:rPr>
          <w:rFonts w:ascii="Times New Roman" w:eastAsia="Times New Roman" w:hAnsi="Times New Roman" w:cs="Times New Roman"/>
          <w:sz w:val="24"/>
          <w:szCs w:val="24"/>
          <w:lang w:eastAsia="en-GB"/>
        </w:rPr>
        <w:t xml:space="preserve"> et al., 2015). Pembrolizumab (Keytruda®), a humanised anti-PD-1 antibody, demonstrated superior overall survival compared with ipilimumab in a head-to-head randomised trial in patients with advanced melanoma (Robert et al., 2015). Atezolizumab, a humanised anti-PD-L1 IgG1 antibody, similarly outperformed docetaxel in previously treated NSCLC in the randomised Phase III OAK trial (Rittmeyer et al., 2017). The breadth of tumour types now demonstrating clinically meaningful responses to PD-1/PD-L1 blockade — including melanoma, NSCLC, urothelial carcinoma, renal cell, hepatocellular, head and neck squamous cell, gastric, endometrial, MSI-H colorectal, and triple-negative breast cancers — makes this the most broadly active class of anti-cancer agents to emerge in the past two decades.</w:t>
      </w:r>
    </w:p>
    <w:p w14:paraId="6307A587"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5.4 Antibody–Drug Conjugates</w:t>
      </w:r>
    </w:p>
    <w:p w14:paraId="376625F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ADCs are engineered constructs in which a cytotoxic small molecule (the payload) is covalently linked to an antibody via a specialised chemical linker. The antibody targets a tumour-associated surface antigen, triggering receptor-mediated internalisation of the conjugate; intracellular processing then releases the payload within the cancer cell, where it exerts its lethal effect (Drago et al., 2021). This architecture enables the deployment of agents </w:t>
      </w:r>
      <w:r w:rsidRPr="005D6A18">
        <w:rPr>
          <w:rFonts w:ascii="Times New Roman" w:eastAsia="Times New Roman" w:hAnsi="Times New Roman" w:cs="Times New Roman"/>
          <w:sz w:val="24"/>
          <w:szCs w:val="24"/>
          <w:lang w:eastAsia="en-GB"/>
        </w:rPr>
        <w:lastRenderedPageBreak/>
        <w:t xml:space="preserve">— such as </w:t>
      </w:r>
      <w:proofErr w:type="spellStart"/>
      <w:r w:rsidRPr="005D6A18">
        <w:rPr>
          <w:rFonts w:ascii="Times New Roman" w:eastAsia="Times New Roman" w:hAnsi="Times New Roman" w:cs="Times New Roman"/>
          <w:sz w:val="24"/>
          <w:szCs w:val="24"/>
          <w:lang w:eastAsia="en-GB"/>
        </w:rPr>
        <w:t>maytansinoids</w:t>
      </w:r>
      <w:proofErr w:type="spellEnd"/>
      <w:r w:rsidRPr="005D6A18">
        <w:rPr>
          <w:rFonts w:ascii="Times New Roman" w:eastAsia="Times New Roman" w:hAnsi="Times New Roman" w:cs="Times New Roman"/>
          <w:sz w:val="24"/>
          <w:szCs w:val="24"/>
          <w:lang w:eastAsia="en-GB"/>
        </w:rPr>
        <w:t xml:space="preserve">, auristatins, and </w:t>
      </w:r>
      <w:proofErr w:type="spellStart"/>
      <w:r w:rsidRPr="005D6A18">
        <w:rPr>
          <w:rFonts w:ascii="Times New Roman" w:eastAsia="Times New Roman" w:hAnsi="Times New Roman" w:cs="Times New Roman"/>
          <w:sz w:val="24"/>
          <w:szCs w:val="24"/>
          <w:lang w:eastAsia="en-GB"/>
        </w:rPr>
        <w:t>pyrrolobenzodiazepines</w:t>
      </w:r>
      <w:proofErr w:type="spellEnd"/>
      <w:r w:rsidRPr="005D6A18">
        <w:rPr>
          <w:rFonts w:ascii="Times New Roman" w:eastAsia="Times New Roman" w:hAnsi="Times New Roman" w:cs="Times New Roman"/>
          <w:sz w:val="24"/>
          <w:szCs w:val="24"/>
          <w:lang w:eastAsia="en-GB"/>
        </w:rPr>
        <w:t xml:space="preserve"> — that are far too toxic for systemic administration as free drugs. The result is a precision "armed antibody" strategy that couples the selectivity of an immunoglobulin with the potency of a targeted cytotoxin.</w:t>
      </w:r>
    </w:p>
    <w:p w14:paraId="64CAC96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Trastuzumab emtansine (T-DM1, Kadcyla®), combining trastuzumab with the </w:t>
      </w:r>
      <w:proofErr w:type="spellStart"/>
      <w:r w:rsidRPr="005D6A18">
        <w:rPr>
          <w:rFonts w:ascii="Times New Roman" w:eastAsia="Times New Roman" w:hAnsi="Times New Roman" w:cs="Times New Roman"/>
          <w:sz w:val="24"/>
          <w:szCs w:val="24"/>
          <w:lang w:eastAsia="en-GB"/>
        </w:rPr>
        <w:t>maytansinoid</w:t>
      </w:r>
      <w:proofErr w:type="spellEnd"/>
      <w:r w:rsidRPr="005D6A18">
        <w:rPr>
          <w:rFonts w:ascii="Times New Roman" w:eastAsia="Times New Roman" w:hAnsi="Times New Roman" w:cs="Times New Roman"/>
          <w:sz w:val="24"/>
          <w:szCs w:val="24"/>
          <w:lang w:eastAsia="en-GB"/>
        </w:rPr>
        <w:t xml:space="preserve"> DM1 via a non-cleavable thioether linker, was a landmark clinical achievement. The EMILIA Phase III trial demonstrated that T-DM1 significantly improved both progression-free and overall survival compared with lapatinib plus capecitabine in patients with HER2-positive advanced breast cancer that had progressed on prior trastuzumab and taxane therapy (Verma et al., 2012). This result validated the ADC concept as a means of overcoming resistance to naked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Newer ADCs, including trastuzumab deruxtecan (T-</w:t>
      </w:r>
      <w:proofErr w:type="spellStart"/>
      <w:r w:rsidRPr="005D6A18">
        <w:rPr>
          <w:rFonts w:ascii="Times New Roman" w:eastAsia="Times New Roman" w:hAnsi="Times New Roman" w:cs="Times New Roman"/>
          <w:sz w:val="24"/>
          <w:szCs w:val="24"/>
          <w:lang w:eastAsia="en-GB"/>
        </w:rPr>
        <w:t>DXd</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Enhertu</w:t>
      </w:r>
      <w:proofErr w:type="spellEnd"/>
      <w:r w:rsidRPr="005D6A18">
        <w:rPr>
          <w:rFonts w:ascii="Times New Roman" w:eastAsia="Times New Roman" w:hAnsi="Times New Roman" w:cs="Times New Roman"/>
          <w:sz w:val="24"/>
          <w:szCs w:val="24"/>
          <w:lang w:eastAsia="en-GB"/>
        </w:rPr>
        <w:t xml:space="preserve">®) and </w:t>
      </w:r>
      <w:proofErr w:type="spellStart"/>
      <w:r w:rsidRPr="005D6A18">
        <w:rPr>
          <w:rFonts w:ascii="Times New Roman" w:eastAsia="Times New Roman" w:hAnsi="Times New Roman" w:cs="Times New Roman"/>
          <w:sz w:val="24"/>
          <w:szCs w:val="24"/>
          <w:lang w:eastAsia="en-GB"/>
        </w:rPr>
        <w:t>sacituzumab</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govitecan</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Trodelvy</w:t>
      </w:r>
      <w:proofErr w:type="spellEnd"/>
      <w:r w:rsidRPr="005D6A18">
        <w:rPr>
          <w:rFonts w:ascii="Times New Roman" w:eastAsia="Times New Roman" w:hAnsi="Times New Roman" w:cs="Times New Roman"/>
          <w:sz w:val="24"/>
          <w:szCs w:val="24"/>
          <w:lang w:eastAsia="en-GB"/>
        </w:rPr>
        <w:t>®), have extended this approach to lower HER2-expressing tumours and triple-negative breast cancer, respectively, substantially widening the addressable patient population.</w:t>
      </w:r>
    </w:p>
    <w:p w14:paraId="529E0E86"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5.5 Bispecific Antibodies</w:t>
      </w:r>
    </w:p>
    <w:p w14:paraId="149FFFCD"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Bispecific antibodies are engineered to bind two distinct antigens simultaneously. The bispecific T-cell engager (</w:t>
      </w:r>
      <w:proofErr w:type="spellStart"/>
      <w:r w:rsidRPr="005D6A18">
        <w:rPr>
          <w:rFonts w:ascii="Times New Roman" w:eastAsia="Times New Roman" w:hAnsi="Times New Roman" w:cs="Times New Roman"/>
          <w:sz w:val="24"/>
          <w:szCs w:val="24"/>
          <w:lang w:eastAsia="en-GB"/>
        </w:rPr>
        <w:t>BiTE</w:t>
      </w:r>
      <w:proofErr w:type="spellEnd"/>
      <w:r w:rsidRPr="005D6A18">
        <w:rPr>
          <w:rFonts w:ascii="Times New Roman" w:eastAsia="Times New Roman" w:hAnsi="Times New Roman" w:cs="Times New Roman"/>
          <w:sz w:val="24"/>
          <w:szCs w:val="24"/>
          <w:lang w:eastAsia="en-GB"/>
        </w:rPr>
        <w:t xml:space="preserve">) format, in which one domain binds a tumour surface antigen while the other engages CD3ε on T lymphocytes, is among the most clinically advanced applications. By physically bridging cytotoxic T cells and cancer cells, </w:t>
      </w:r>
      <w:proofErr w:type="spellStart"/>
      <w:r w:rsidRPr="005D6A18">
        <w:rPr>
          <w:rFonts w:ascii="Times New Roman" w:eastAsia="Times New Roman" w:hAnsi="Times New Roman" w:cs="Times New Roman"/>
          <w:sz w:val="24"/>
          <w:szCs w:val="24"/>
          <w:lang w:eastAsia="en-GB"/>
        </w:rPr>
        <w:t>BiTEs</w:t>
      </w:r>
      <w:proofErr w:type="spellEnd"/>
      <w:r w:rsidRPr="005D6A18">
        <w:rPr>
          <w:rFonts w:ascii="Times New Roman" w:eastAsia="Times New Roman" w:hAnsi="Times New Roman" w:cs="Times New Roman"/>
          <w:sz w:val="24"/>
          <w:szCs w:val="24"/>
          <w:lang w:eastAsia="en-GB"/>
        </w:rPr>
        <w:t xml:space="preserve"> activate T-cell killing in an MHC-independent fashion — an important distinction from conventional T-cell immunity, which requires intact antigen presentation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 Blinatumomab, a CD19 × CD3 </w:t>
      </w:r>
      <w:proofErr w:type="spellStart"/>
      <w:r w:rsidRPr="005D6A18">
        <w:rPr>
          <w:rFonts w:ascii="Times New Roman" w:eastAsia="Times New Roman" w:hAnsi="Times New Roman" w:cs="Times New Roman"/>
          <w:sz w:val="24"/>
          <w:szCs w:val="24"/>
          <w:lang w:eastAsia="en-GB"/>
        </w:rPr>
        <w:t>BiTE</w:t>
      </w:r>
      <w:proofErr w:type="spellEnd"/>
      <w:r w:rsidRPr="005D6A18">
        <w:rPr>
          <w:rFonts w:ascii="Times New Roman" w:eastAsia="Times New Roman" w:hAnsi="Times New Roman" w:cs="Times New Roman"/>
          <w:sz w:val="24"/>
          <w:szCs w:val="24"/>
          <w:lang w:eastAsia="en-GB"/>
        </w:rPr>
        <w:t>, has demonstrated striking activity in relapsed and refractory acute lymphoblastic leukaemia, including in patients with minimal residual disease, and has opened a productive pipeline of new bispecific constructs targeting diverse tumour antigens and effector cell populations.</w:t>
      </w:r>
    </w:p>
    <w:p w14:paraId="59251C22"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5.6 Adverse Effects and Resistance Mechanisms</w:t>
      </w:r>
    </w:p>
    <w:p w14:paraId="7FB53B2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clinical impact of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therapies is real and substantial, but so are their limitations. Immune checkpoint inhibitors produce a characteristic spectrum of immune-related adverse events (</w:t>
      </w:r>
      <w:proofErr w:type="spellStart"/>
      <w:r w:rsidRPr="005D6A18">
        <w:rPr>
          <w:rFonts w:ascii="Times New Roman" w:eastAsia="Times New Roman" w:hAnsi="Times New Roman" w:cs="Times New Roman"/>
          <w:sz w:val="24"/>
          <w:szCs w:val="24"/>
          <w:lang w:eastAsia="en-GB"/>
        </w:rPr>
        <w:t>irAEs</w:t>
      </w:r>
      <w:proofErr w:type="spellEnd"/>
      <w:r w:rsidRPr="005D6A18">
        <w:rPr>
          <w:rFonts w:ascii="Times New Roman" w:eastAsia="Times New Roman" w:hAnsi="Times New Roman" w:cs="Times New Roman"/>
          <w:sz w:val="24"/>
          <w:szCs w:val="24"/>
          <w:lang w:eastAsia="en-GB"/>
        </w:rPr>
        <w:t xml:space="preserve">) reflecting their mechanism of broad immune activation. These can affect almost any organ system — most commonly skin (rash, vitiligo), gut (colitis), liver (hepatitis), endocrine glands (thyroiditis, adrenalitis, hypophysitis), and lungs (pneumonitis) — and in rarer cases the heart (myocarditis) and nervous system, with potentially life-threatening consequences (Topalian et al., 2015). Severe </w:t>
      </w:r>
      <w:proofErr w:type="spellStart"/>
      <w:r w:rsidRPr="005D6A18">
        <w:rPr>
          <w:rFonts w:ascii="Times New Roman" w:eastAsia="Times New Roman" w:hAnsi="Times New Roman" w:cs="Times New Roman"/>
          <w:sz w:val="24"/>
          <w:szCs w:val="24"/>
          <w:lang w:eastAsia="en-GB"/>
        </w:rPr>
        <w:t>irAEs</w:t>
      </w:r>
      <w:proofErr w:type="spellEnd"/>
      <w:r w:rsidRPr="005D6A18">
        <w:rPr>
          <w:rFonts w:ascii="Times New Roman" w:eastAsia="Times New Roman" w:hAnsi="Times New Roman" w:cs="Times New Roman"/>
          <w:sz w:val="24"/>
          <w:szCs w:val="24"/>
          <w:lang w:eastAsia="en-GB"/>
        </w:rPr>
        <w:t xml:space="preserve"> require prompt immunosuppressive management, and some patients must discontinue checkpoint therapy permanently.</w:t>
      </w:r>
    </w:p>
    <w:p w14:paraId="66AC7D6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Resistance is the other major constraint. Both primary resistance (absence of initial response) and acquired resistance (response followed by progression) occur with all classes of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 mechanisms are varied and context-dependent: loss of the target antigen, activation of alternative proliferative pathways, upregulation of additional checkpoint molecules (TIM-3, LAG-3, TIGIT), physical exclusion of T cells from the tumour core by stromal barriers, accumulation of immunosuppressive regulatory T cells and myeloid-derived suppressor cells, and impaired antigen presentation through loss of β2-microglobulin (Holohan et al., 2013; Phi et al., 2018). Addressing these resistance mechanisms is a central challenge in contemporary oncological research and provides a strong mechanistic rationale for combination strategies, including those involving phytochemicals. Table 3 provides an </w:t>
      </w:r>
      <w:r w:rsidRPr="005D6A18">
        <w:rPr>
          <w:rFonts w:ascii="Times New Roman" w:eastAsia="Times New Roman" w:hAnsi="Times New Roman" w:cs="Times New Roman"/>
          <w:sz w:val="24"/>
          <w:szCs w:val="24"/>
          <w:lang w:eastAsia="en-GB"/>
        </w:rPr>
        <w:lastRenderedPageBreak/>
        <w:t xml:space="preserve">overview of the key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currently approved for oncological use, including their targets, types, principal cancer indications, and year of initial FDA approval.</w:t>
      </w:r>
    </w:p>
    <w:p w14:paraId="0254821D"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3. Key Therapeutic Monoclonal Antibodies Approved in Oncology</w:t>
      </w:r>
    </w:p>
    <w:tbl>
      <w:tblPr>
        <w:tblStyle w:val="TableGrid"/>
        <w:tblW w:w="0" w:type="auto"/>
        <w:tblLook w:val="04A0" w:firstRow="1" w:lastRow="0" w:firstColumn="1" w:lastColumn="0" w:noHBand="0" w:noVBand="1"/>
      </w:tblPr>
      <w:tblGrid>
        <w:gridCol w:w="2051"/>
        <w:gridCol w:w="1709"/>
        <w:gridCol w:w="1833"/>
        <w:gridCol w:w="2254"/>
        <w:gridCol w:w="1395"/>
      </w:tblGrid>
      <w:tr w:rsidR="002E6E04" w:rsidRPr="005D6A18" w14:paraId="427D6B68" w14:textId="77777777" w:rsidTr="005D6A18">
        <w:tc>
          <w:tcPr>
            <w:tcW w:w="0" w:type="auto"/>
            <w:hideMark/>
          </w:tcPr>
          <w:p w14:paraId="7F1038E5"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Antibody</w:t>
            </w:r>
          </w:p>
        </w:tc>
        <w:tc>
          <w:tcPr>
            <w:tcW w:w="0" w:type="auto"/>
            <w:hideMark/>
          </w:tcPr>
          <w:p w14:paraId="2C63A966"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Target</w:t>
            </w:r>
          </w:p>
        </w:tc>
        <w:tc>
          <w:tcPr>
            <w:tcW w:w="0" w:type="auto"/>
            <w:hideMark/>
          </w:tcPr>
          <w:p w14:paraId="0666705F"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Antibody Type</w:t>
            </w:r>
          </w:p>
        </w:tc>
        <w:tc>
          <w:tcPr>
            <w:tcW w:w="0" w:type="auto"/>
            <w:hideMark/>
          </w:tcPr>
          <w:p w14:paraId="22F19679"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Key Cancer Indication(s)</w:t>
            </w:r>
          </w:p>
        </w:tc>
        <w:tc>
          <w:tcPr>
            <w:tcW w:w="0" w:type="auto"/>
            <w:hideMark/>
          </w:tcPr>
          <w:p w14:paraId="29266F02"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FDA Approval Year</w:t>
            </w:r>
          </w:p>
        </w:tc>
      </w:tr>
      <w:tr w:rsidR="002E6E04" w:rsidRPr="005D6A18" w14:paraId="72DCDA36" w14:textId="77777777" w:rsidTr="005D6A18">
        <w:tc>
          <w:tcPr>
            <w:tcW w:w="0" w:type="auto"/>
            <w:hideMark/>
          </w:tcPr>
          <w:p w14:paraId="608E39C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Rituximab</w:t>
            </w:r>
          </w:p>
        </w:tc>
        <w:tc>
          <w:tcPr>
            <w:tcW w:w="0" w:type="auto"/>
            <w:hideMark/>
          </w:tcPr>
          <w:p w14:paraId="4B4BDF6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CD20</w:t>
            </w:r>
          </w:p>
        </w:tc>
        <w:tc>
          <w:tcPr>
            <w:tcW w:w="0" w:type="auto"/>
            <w:hideMark/>
          </w:tcPr>
          <w:p w14:paraId="38C5AD1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Chimeric IgG1</w:t>
            </w:r>
          </w:p>
        </w:tc>
        <w:tc>
          <w:tcPr>
            <w:tcW w:w="0" w:type="auto"/>
            <w:hideMark/>
          </w:tcPr>
          <w:p w14:paraId="128EE45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B-cell NHL, CLL</w:t>
            </w:r>
          </w:p>
        </w:tc>
        <w:tc>
          <w:tcPr>
            <w:tcW w:w="0" w:type="auto"/>
            <w:hideMark/>
          </w:tcPr>
          <w:p w14:paraId="0EDA96E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1997</w:t>
            </w:r>
          </w:p>
        </w:tc>
      </w:tr>
      <w:tr w:rsidR="002E6E04" w:rsidRPr="005D6A18" w14:paraId="2E17EA48" w14:textId="77777777" w:rsidTr="005D6A18">
        <w:tc>
          <w:tcPr>
            <w:tcW w:w="0" w:type="auto"/>
            <w:hideMark/>
          </w:tcPr>
          <w:p w14:paraId="1DAC3AD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Trastuzumab</w:t>
            </w:r>
          </w:p>
        </w:tc>
        <w:tc>
          <w:tcPr>
            <w:tcW w:w="0" w:type="auto"/>
            <w:hideMark/>
          </w:tcPr>
          <w:p w14:paraId="7359E8E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HER2/ErbB2</w:t>
            </w:r>
          </w:p>
        </w:tc>
        <w:tc>
          <w:tcPr>
            <w:tcW w:w="0" w:type="auto"/>
            <w:hideMark/>
          </w:tcPr>
          <w:p w14:paraId="5B48B27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
        </w:tc>
        <w:tc>
          <w:tcPr>
            <w:tcW w:w="0" w:type="auto"/>
            <w:hideMark/>
          </w:tcPr>
          <w:p w14:paraId="0EF47E3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breast cancer, HER2+ gastric cancer</w:t>
            </w:r>
          </w:p>
        </w:tc>
        <w:tc>
          <w:tcPr>
            <w:tcW w:w="0" w:type="auto"/>
            <w:hideMark/>
          </w:tcPr>
          <w:p w14:paraId="5499DF4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1998</w:t>
            </w:r>
          </w:p>
        </w:tc>
      </w:tr>
      <w:tr w:rsidR="002E6E04" w:rsidRPr="005D6A18" w14:paraId="191691DA" w14:textId="77777777" w:rsidTr="005D6A18">
        <w:tc>
          <w:tcPr>
            <w:tcW w:w="0" w:type="auto"/>
            <w:hideMark/>
          </w:tcPr>
          <w:p w14:paraId="6683A22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Bevacizumab</w:t>
            </w:r>
          </w:p>
        </w:tc>
        <w:tc>
          <w:tcPr>
            <w:tcW w:w="0" w:type="auto"/>
            <w:hideMark/>
          </w:tcPr>
          <w:p w14:paraId="62F15FE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VEGF-A</w:t>
            </w:r>
          </w:p>
        </w:tc>
        <w:tc>
          <w:tcPr>
            <w:tcW w:w="0" w:type="auto"/>
            <w:hideMark/>
          </w:tcPr>
          <w:p w14:paraId="60F90CA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
        </w:tc>
        <w:tc>
          <w:tcPr>
            <w:tcW w:w="0" w:type="auto"/>
            <w:hideMark/>
          </w:tcPr>
          <w:p w14:paraId="4D67B73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CRC, NSCLC, RCC, GBM, ovarian, cervical</w:t>
            </w:r>
          </w:p>
        </w:tc>
        <w:tc>
          <w:tcPr>
            <w:tcW w:w="0" w:type="auto"/>
            <w:hideMark/>
          </w:tcPr>
          <w:p w14:paraId="1EED851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2004</w:t>
            </w:r>
          </w:p>
        </w:tc>
      </w:tr>
      <w:tr w:rsidR="002E6E04" w:rsidRPr="005D6A18" w14:paraId="609DDB06" w14:textId="77777777" w:rsidTr="005D6A18">
        <w:tc>
          <w:tcPr>
            <w:tcW w:w="0" w:type="auto"/>
            <w:hideMark/>
          </w:tcPr>
          <w:p w14:paraId="11E6264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Cetuximab</w:t>
            </w:r>
          </w:p>
        </w:tc>
        <w:tc>
          <w:tcPr>
            <w:tcW w:w="0" w:type="auto"/>
            <w:hideMark/>
          </w:tcPr>
          <w:p w14:paraId="4557093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EGFR</w:t>
            </w:r>
          </w:p>
        </w:tc>
        <w:tc>
          <w:tcPr>
            <w:tcW w:w="0" w:type="auto"/>
            <w:hideMark/>
          </w:tcPr>
          <w:p w14:paraId="370A8A1B"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Chimeric IgG1</w:t>
            </w:r>
          </w:p>
        </w:tc>
        <w:tc>
          <w:tcPr>
            <w:tcW w:w="0" w:type="auto"/>
            <w:hideMark/>
          </w:tcPr>
          <w:p w14:paraId="2A610DF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CRC (KRAS/NRAS </w:t>
            </w:r>
            <w:proofErr w:type="spellStart"/>
            <w:r w:rsidRPr="005D6A18">
              <w:rPr>
                <w:rFonts w:ascii="Times New Roman" w:eastAsia="Times New Roman" w:hAnsi="Times New Roman" w:cs="Times New Roman"/>
                <w:sz w:val="24"/>
                <w:szCs w:val="24"/>
                <w:lang w:eastAsia="en-GB"/>
              </w:rPr>
              <w:t>wt</w:t>
            </w:r>
            <w:proofErr w:type="spellEnd"/>
            <w:r w:rsidRPr="005D6A18">
              <w:rPr>
                <w:rFonts w:ascii="Times New Roman" w:eastAsia="Times New Roman" w:hAnsi="Times New Roman" w:cs="Times New Roman"/>
                <w:sz w:val="24"/>
                <w:szCs w:val="24"/>
                <w:lang w:eastAsia="en-GB"/>
              </w:rPr>
              <w:t>), SCCHN</w:t>
            </w:r>
          </w:p>
        </w:tc>
        <w:tc>
          <w:tcPr>
            <w:tcW w:w="0" w:type="auto"/>
            <w:hideMark/>
          </w:tcPr>
          <w:p w14:paraId="6860B21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2004</w:t>
            </w:r>
          </w:p>
        </w:tc>
      </w:tr>
      <w:tr w:rsidR="002E6E04" w:rsidRPr="005D6A18" w14:paraId="34B8EAB6" w14:textId="77777777" w:rsidTr="005D6A18">
        <w:tc>
          <w:tcPr>
            <w:tcW w:w="0" w:type="auto"/>
            <w:hideMark/>
          </w:tcPr>
          <w:p w14:paraId="22E862E0"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Ipilimumab</w:t>
            </w:r>
          </w:p>
        </w:tc>
        <w:tc>
          <w:tcPr>
            <w:tcW w:w="0" w:type="auto"/>
            <w:hideMark/>
          </w:tcPr>
          <w:p w14:paraId="4826023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CTLA-4</w:t>
            </w:r>
          </w:p>
        </w:tc>
        <w:tc>
          <w:tcPr>
            <w:tcW w:w="0" w:type="auto"/>
            <w:hideMark/>
          </w:tcPr>
          <w:p w14:paraId="752FE5D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Fully human IgG1</w:t>
            </w:r>
          </w:p>
        </w:tc>
        <w:tc>
          <w:tcPr>
            <w:tcW w:w="0" w:type="auto"/>
            <w:hideMark/>
          </w:tcPr>
          <w:p w14:paraId="4990B46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NSCLC, HCC, CRC (MSI-H)</w:t>
            </w:r>
          </w:p>
        </w:tc>
        <w:tc>
          <w:tcPr>
            <w:tcW w:w="0" w:type="auto"/>
            <w:hideMark/>
          </w:tcPr>
          <w:p w14:paraId="4F66C5A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2011</w:t>
            </w:r>
          </w:p>
        </w:tc>
      </w:tr>
      <w:tr w:rsidR="002E6E04" w:rsidRPr="005D6A18" w14:paraId="0E26D1F7" w14:textId="77777777" w:rsidTr="005D6A18">
        <w:tc>
          <w:tcPr>
            <w:tcW w:w="0" w:type="auto"/>
            <w:hideMark/>
          </w:tcPr>
          <w:p w14:paraId="3511228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Nivolumab</w:t>
            </w:r>
          </w:p>
        </w:tc>
        <w:tc>
          <w:tcPr>
            <w:tcW w:w="0" w:type="auto"/>
            <w:hideMark/>
          </w:tcPr>
          <w:p w14:paraId="6D6784A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PD-1</w:t>
            </w:r>
          </w:p>
        </w:tc>
        <w:tc>
          <w:tcPr>
            <w:tcW w:w="0" w:type="auto"/>
            <w:hideMark/>
          </w:tcPr>
          <w:p w14:paraId="3758665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Fully human IgG4</w:t>
            </w:r>
          </w:p>
        </w:tc>
        <w:tc>
          <w:tcPr>
            <w:tcW w:w="0" w:type="auto"/>
            <w:hideMark/>
          </w:tcPr>
          <w:p w14:paraId="555BCF1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NSCLC, RCC, HCC, HNSCC, others</w:t>
            </w:r>
          </w:p>
        </w:tc>
        <w:tc>
          <w:tcPr>
            <w:tcW w:w="0" w:type="auto"/>
            <w:hideMark/>
          </w:tcPr>
          <w:p w14:paraId="3E24358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2014</w:t>
            </w:r>
          </w:p>
        </w:tc>
      </w:tr>
      <w:tr w:rsidR="002E6E04" w:rsidRPr="005D6A18" w14:paraId="566F0788" w14:textId="77777777" w:rsidTr="005D6A18">
        <w:tc>
          <w:tcPr>
            <w:tcW w:w="0" w:type="auto"/>
            <w:hideMark/>
          </w:tcPr>
          <w:p w14:paraId="0251BA9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Pembrolizumab</w:t>
            </w:r>
          </w:p>
        </w:tc>
        <w:tc>
          <w:tcPr>
            <w:tcW w:w="0" w:type="auto"/>
            <w:hideMark/>
          </w:tcPr>
          <w:p w14:paraId="1470D04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PD-1</w:t>
            </w:r>
          </w:p>
        </w:tc>
        <w:tc>
          <w:tcPr>
            <w:tcW w:w="0" w:type="auto"/>
            <w:hideMark/>
          </w:tcPr>
          <w:p w14:paraId="46F248C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IgG4</w:t>
            </w:r>
          </w:p>
        </w:tc>
        <w:tc>
          <w:tcPr>
            <w:tcW w:w="0" w:type="auto"/>
            <w:hideMark/>
          </w:tcPr>
          <w:p w14:paraId="57DF9C4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NSCLC, multiple solid tumours</w:t>
            </w:r>
          </w:p>
        </w:tc>
        <w:tc>
          <w:tcPr>
            <w:tcW w:w="0" w:type="auto"/>
            <w:hideMark/>
          </w:tcPr>
          <w:p w14:paraId="387AB49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2014</w:t>
            </w:r>
          </w:p>
        </w:tc>
      </w:tr>
      <w:tr w:rsidR="002E6E04" w:rsidRPr="005D6A18" w14:paraId="381D861B" w14:textId="77777777" w:rsidTr="005D6A18">
        <w:tc>
          <w:tcPr>
            <w:tcW w:w="0" w:type="auto"/>
            <w:hideMark/>
          </w:tcPr>
          <w:p w14:paraId="7C80BDD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Atezolizumab</w:t>
            </w:r>
          </w:p>
        </w:tc>
        <w:tc>
          <w:tcPr>
            <w:tcW w:w="0" w:type="auto"/>
            <w:hideMark/>
          </w:tcPr>
          <w:p w14:paraId="72003F0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w:t>
            </w:r>
          </w:p>
        </w:tc>
        <w:tc>
          <w:tcPr>
            <w:tcW w:w="0" w:type="auto"/>
            <w:hideMark/>
          </w:tcPr>
          <w:p w14:paraId="0E7F63B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
        </w:tc>
        <w:tc>
          <w:tcPr>
            <w:tcW w:w="0" w:type="auto"/>
            <w:hideMark/>
          </w:tcPr>
          <w:p w14:paraId="4821FBF0"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NSCLC, TNBC, urothelial carcinoma</w:t>
            </w:r>
          </w:p>
        </w:tc>
        <w:tc>
          <w:tcPr>
            <w:tcW w:w="0" w:type="auto"/>
            <w:hideMark/>
          </w:tcPr>
          <w:p w14:paraId="5ACAFB7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2016</w:t>
            </w:r>
          </w:p>
        </w:tc>
      </w:tr>
      <w:tr w:rsidR="002E6E04" w:rsidRPr="005D6A18" w14:paraId="315D22AC" w14:textId="77777777" w:rsidTr="005D6A18">
        <w:tc>
          <w:tcPr>
            <w:tcW w:w="0" w:type="auto"/>
            <w:hideMark/>
          </w:tcPr>
          <w:p w14:paraId="5FAE820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T-DM1 (Trastuzumab emtansine)</w:t>
            </w:r>
          </w:p>
        </w:tc>
        <w:tc>
          <w:tcPr>
            <w:tcW w:w="0" w:type="auto"/>
            <w:hideMark/>
          </w:tcPr>
          <w:p w14:paraId="44BF975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(ADC with DM1)</w:t>
            </w:r>
          </w:p>
        </w:tc>
        <w:tc>
          <w:tcPr>
            <w:tcW w:w="0" w:type="auto"/>
            <w:hideMark/>
          </w:tcPr>
          <w:p w14:paraId="051ED3E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roofErr w:type="spellStart"/>
            <w:r w:rsidRPr="005D6A18">
              <w:rPr>
                <w:rFonts w:ascii="Times New Roman" w:eastAsia="Times New Roman" w:hAnsi="Times New Roman" w:cs="Times New Roman"/>
                <w:sz w:val="24"/>
                <w:szCs w:val="24"/>
                <w:lang w:eastAsia="en-GB"/>
              </w:rPr>
              <w:t>maytansinoid</w:t>
            </w:r>
            <w:proofErr w:type="spellEnd"/>
          </w:p>
        </w:tc>
        <w:tc>
          <w:tcPr>
            <w:tcW w:w="0" w:type="auto"/>
            <w:hideMark/>
          </w:tcPr>
          <w:p w14:paraId="0AB42E3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breast cancer (second line)</w:t>
            </w:r>
          </w:p>
        </w:tc>
        <w:tc>
          <w:tcPr>
            <w:tcW w:w="0" w:type="auto"/>
            <w:hideMark/>
          </w:tcPr>
          <w:p w14:paraId="3D5CEF8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2013</w:t>
            </w:r>
          </w:p>
        </w:tc>
      </w:tr>
    </w:tbl>
    <w:p w14:paraId="5D07EF28"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Sources: </w:t>
      </w:r>
      <w:proofErr w:type="spellStart"/>
      <w:r w:rsidRPr="005D6A18">
        <w:rPr>
          <w:rFonts w:ascii="Times New Roman" w:eastAsia="Times New Roman" w:hAnsi="Times New Roman" w:cs="Times New Roman"/>
          <w:sz w:val="24"/>
          <w:szCs w:val="24"/>
          <w:lang w:eastAsia="en-GB"/>
        </w:rPr>
        <w:t>Borghaei</w:t>
      </w:r>
      <w:proofErr w:type="spellEnd"/>
      <w:r w:rsidRPr="005D6A18">
        <w:rPr>
          <w:rFonts w:ascii="Times New Roman" w:eastAsia="Times New Roman" w:hAnsi="Times New Roman" w:cs="Times New Roman"/>
          <w:sz w:val="24"/>
          <w:szCs w:val="24"/>
          <w:lang w:eastAsia="en-GB"/>
        </w:rPr>
        <w:t xml:space="preserve"> et al. (2015); Cunningham et al. (2004); Drago et al. (2021); Hodi et al. (2010); Hurwitz et al. (2004);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 Maloney et al. (1997); Ribas &amp;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xml:space="preserve"> (2018); Rittmeyer et al. (2017); Robert et al. (2015); Scott et al. (2012); Slamon et al. (2001); Topalian et al. (2012); Verma et al. (2012); Zahavi &amp; Weiner (2020).</w:t>
      </w:r>
    </w:p>
    <w:p w14:paraId="146EC71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Abbreviations: CLL = chronic lymphocytic leukaemia; CRC = colorectal cancer; GBM = glioblastoma multiforme; HCC = hepatocellular carcinoma; HNSCC = head and neck squamous cell carcinoma; MSI-H = microsatellite instability-high; NHL = non-Hodgkin lymphoma; NSCLC = non-small-cell lung cancer; RCC = renal cell carcinoma; SCCHN = squamous cell carcinoma of the head and neck; TNBC = triple-negative breast cancer; </w:t>
      </w:r>
      <w:proofErr w:type="spellStart"/>
      <w:r w:rsidRPr="005D6A18">
        <w:rPr>
          <w:rFonts w:ascii="Times New Roman" w:eastAsia="Times New Roman" w:hAnsi="Times New Roman" w:cs="Times New Roman"/>
          <w:sz w:val="24"/>
          <w:szCs w:val="24"/>
          <w:lang w:eastAsia="en-GB"/>
        </w:rPr>
        <w:t>wt</w:t>
      </w:r>
      <w:proofErr w:type="spellEnd"/>
      <w:r w:rsidRPr="005D6A18">
        <w:rPr>
          <w:rFonts w:ascii="Times New Roman" w:eastAsia="Times New Roman" w:hAnsi="Times New Roman" w:cs="Times New Roman"/>
          <w:sz w:val="24"/>
          <w:szCs w:val="24"/>
          <w:lang w:eastAsia="en-GB"/>
        </w:rPr>
        <w:t xml:space="preserve"> = wild-type.</w:t>
      </w:r>
    </w:p>
    <w:p w14:paraId="78D8BD54"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2DE44903"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6. Synergistic Potential: Combining Herbal Compounds with Monoclonal Antibodies</w:t>
      </w:r>
    </w:p>
    <w:p w14:paraId="29D1B78E"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6.1 Rationale for Combination Approaches</w:t>
      </w:r>
    </w:p>
    <w:p w14:paraId="6D7B96A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The case for integrating herbal bioactive compounds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therapies rests on several converging lines of reasoning. Phytochemicals, by virtue of their pleiotropic pharmacology, can modulate the same oncogenic signalling networks targeted by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applying complementary or synergistic inhibitory pressure across multiple cancer survival pathways. They can sensitise tumour cells to antibody-mediated killing, attenuate resistance mechanisms that undermine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efficacy, and reduce the therapeutic doses required of each partner — potentially alleviating adverse effects. The tumour microenvironment (TME) is particularly germane here. The TME is an ecosystem of cancer cells, stromal cells, immune cells, vasculature, and extracellular matrix that critically shapes treatment response (Whiteside, 2008), and several phytochemicals have demonstrated capacity to shift it from an immunosuppressive to an immune-permissive state — a shift that could substantially augment the efficacy of checkpoint inhibitor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Conversely,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bring to any combination the target specificity, pharmacokinetic predictability, and immunological engagement that small-molecule phytochemicals cannot replicate on their own.</w:t>
      </w:r>
    </w:p>
    <w:p w14:paraId="394F7D3A"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6.2 Preclinical Evidence for Phytochemical–</w:t>
      </w:r>
      <w:proofErr w:type="spellStart"/>
      <w:r w:rsidRPr="005D6A18">
        <w:rPr>
          <w:rFonts w:ascii="Times New Roman" w:eastAsia="Times New Roman" w:hAnsi="Times New Roman" w:cs="Times New Roman"/>
          <w:b/>
          <w:bCs/>
          <w:sz w:val="24"/>
          <w:szCs w:val="24"/>
          <w:lang w:eastAsia="en-GB"/>
        </w:rPr>
        <w:t>mAb</w:t>
      </w:r>
      <w:proofErr w:type="spellEnd"/>
      <w:r w:rsidRPr="005D6A18">
        <w:rPr>
          <w:rFonts w:ascii="Times New Roman" w:eastAsia="Times New Roman" w:hAnsi="Times New Roman" w:cs="Times New Roman"/>
          <w:b/>
          <w:bCs/>
          <w:sz w:val="24"/>
          <w:szCs w:val="24"/>
          <w:lang w:eastAsia="en-GB"/>
        </w:rPr>
        <w:t xml:space="preserve"> Synergy</w:t>
      </w:r>
    </w:p>
    <w:p w14:paraId="3983FDF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preclinical evidence base for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has grown meaningfully in recent years. Curcumin has been shown to downregulate HER2 expression at both the transcriptional and post-translational levels, potentially sensitising HER2-overexpressing cells to trastuzumab and pre-empting HER2-mediated resistance. In vitro studies in HER2-overexpressing breast cancer cell lines have demonstrated that curcumin and trastuzumab together produce greater apoptotic induction and proliferation suppression than either agent alone, with the combination acting synergistically through the PI3K/Akt/mTOR axis (Aggarwal &amp; Harikumar, 2009;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 The mechanistic logic is clear: curcumin suppresses upstream and parallel inputs to HER2-driven proliferative networks, while trastuzumab directly blocks HER2 receptor function and mediates NK cell-driven ADCC. These are complementary rather than redundant mechanisms.</w:t>
      </w:r>
    </w:p>
    <w:p w14:paraId="17B231FD"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EGCG's documented capacity to inhibit both EGFR and HER2 signalling has been explored in combination with cetuximab in EGFR-expressing colorectal and NSCLC cell lines. The results have indicated additive or synergistic growth inhibition, enhanced apoptosis, and further suppression of VEGF-associated angiogenic signalling, providing mechanistic evidence for broadened pathway coverage when these agents are used together (Khan et al., 2006). Curcumin's anti-angiogenic effects, mediated through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-dependent suppression of VEGF transcription, may similarly complement bevacizumab by targeting VEGF production at its source while the antibody neutralises circulating VEGF-A (Aggarwal &amp; Harikumar, 2009).</w:t>
      </w:r>
    </w:p>
    <w:p w14:paraId="2A34812A"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Berberine has attracted interest as a sensitiser for checkpoint inhibitor therapy. Studies in colon cancer models suggest it can suppress PD-L1 expression on cancer cells, reduce MDSC accumulation in the TME, and attenuate regulatory T-cell function — collectively creating a more immune-permissive environment for anti-PD-1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activity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Its capacity to suppress CSC self-renewal (Phi et al., 2018) adds a further dimension, targeting a drug-resistant cellular compartment that checkpoint inhibitors do not efficiently eradicate. Artesunate has been reported to downregulate PD-L1 expression on tumour cells and to promote M1-type macrophage polarisation at the expense of the tumour-supportive M2 phenotype within the TME, suggesting an ability to remodel the </w:t>
      </w:r>
      <w:r w:rsidRPr="005D6A18">
        <w:rPr>
          <w:rFonts w:ascii="Times New Roman" w:eastAsia="Times New Roman" w:hAnsi="Times New Roman" w:cs="Times New Roman"/>
          <w:sz w:val="24"/>
          <w:szCs w:val="24"/>
          <w:lang w:eastAsia="en-GB"/>
        </w:rPr>
        <w:lastRenderedPageBreak/>
        <w:t>immunosuppressive TME in ways that could amplify the effects of anti-PD-1/PD-L1 antibodies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2017).</w:t>
      </w:r>
    </w:p>
    <w:p w14:paraId="3B4C025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Two caveats must be stated plainly here. First, the great majority of this evidence derives from in vitro cell line studies, with a more limited number of in vivo xenograft experiments; both model systems inadequately reflect the immunological complexity of human tumours, particularly for compounds proposed to modulate immune responses. Second, the potential for antagonistic pharmacodynamic or pharmacokinetic interactions between phytochemicals and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 or their concurrent chemotherapy partners — cannot be assumed away. Curcumin, for example, modulates several cytochrome P450 isoforms and drug efflux transporters, raising legitimate concerns about altered drug exposure in combination regimens. These questions require rigorous investigation before combination strategies advance to the clinic.</w:t>
      </w:r>
    </w:p>
    <w:p w14:paraId="6E01EA5D"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6.3 Phytochemicals as Immune Checkpoint Modulators</w:t>
      </w:r>
    </w:p>
    <w:p w14:paraId="5A88E52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Perhaps the most scientifically compelling development at the interface of herbal pharmacology and cancer immunotherapy is the discovery that certain phytochemicals can directly modulate immune checkpoint molecule expression on tumour cells. Resveratrol's mechanism is the most clearly characterised: Verdura et al. (2020) demonstrated that resveratrol disrupts PD-L1 glycosylation — a post-translational modification essential for PD-L1 surface stability and its engagement of PD-1 on T cells — and promotes PD-L1 proteasomal degradation. This is mechanistically distinct from the action of anti-PD-L1 antibodies such as atezolizumab, which block the PD-1/PD-L1 interaction at the cell surface without depleting PD-L1 itself. A combination of intracellular PD-L1 depletion (via resveratrol) with extracellular checkpoint blockade (via atezolizumab) could theoretically achieve more complete abrogation of this immunosuppressive axis than either mechanism alone.</w:t>
      </w:r>
    </w:p>
    <w:p w14:paraId="50CCBEB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Quercetin, a </w:t>
      </w:r>
      <w:proofErr w:type="spellStart"/>
      <w:r w:rsidRPr="005D6A18">
        <w:rPr>
          <w:rFonts w:ascii="Times New Roman" w:eastAsia="Times New Roman" w:hAnsi="Times New Roman" w:cs="Times New Roman"/>
          <w:sz w:val="24"/>
          <w:szCs w:val="24"/>
          <w:lang w:eastAsia="en-GB"/>
        </w:rPr>
        <w:t>flavonol</w:t>
      </w:r>
      <w:proofErr w:type="spellEnd"/>
      <w:r w:rsidRPr="005D6A18">
        <w:rPr>
          <w:rFonts w:ascii="Times New Roman" w:eastAsia="Times New Roman" w:hAnsi="Times New Roman" w:cs="Times New Roman"/>
          <w:sz w:val="24"/>
          <w:szCs w:val="24"/>
          <w:lang w:eastAsia="en-GB"/>
        </w:rPr>
        <w:t xml:space="preserve"> found in </w:t>
      </w:r>
      <w:r w:rsidRPr="005D6A18">
        <w:rPr>
          <w:rFonts w:ascii="Times New Roman" w:eastAsia="Times New Roman" w:hAnsi="Times New Roman" w:cs="Times New Roman"/>
          <w:i/>
          <w:iCs/>
          <w:sz w:val="24"/>
          <w:szCs w:val="24"/>
          <w:lang w:eastAsia="en-GB"/>
        </w:rPr>
        <w:t>Allium cepa</w:t>
      </w:r>
      <w:r w:rsidRPr="005D6A18">
        <w:rPr>
          <w:rFonts w:ascii="Times New Roman" w:eastAsia="Times New Roman" w:hAnsi="Times New Roman" w:cs="Times New Roman"/>
          <w:sz w:val="24"/>
          <w:szCs w:val="24"/>
          <w:lang w:eastAsia="en-GB"/>
        </w:rPr>
        <w:t xml:space="preserve"> L. (onion), various </w:t>
      </w:r>
      <w:r w:rsidRPr="005D6A18">
        <w:rPr>
          <w:rFonts w:ascii="Times New Roman" w:eastAsia="Times New Roman" w:hAnsi="Times New Roman" w:cs="Times New Roman"/>
          <w:i/>
          <w:iCs/>
          <w:sz w:val="24"/>
          <w:szCs w:val="24"/>
          <w:lang w:eastAsia="en-GB"/>
        </w:rPr>
        <w:t>Hypericum</w:t>
      </w:r>
      <w:r w:rsidRPr="005D6A18">
        <w:rPr>
          <w:rFonts w:ascii="Times New Roman" w:eastAsia="Times New Roman" w:hAnsi="Times New Roman" w:cs="Times New Roman"/>
          <w:sz w:val="24"/>
          <w:szCs w:val="24"/>
          <w:lang w:eastAsia="en-GB"/>
        </w:rPr>
        <w:t xml:space="preserve"> species, and many Brassicaceae, has been reported to suppress PD-L1 transcription in cancer cells through inhibition of STAT3 and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both of which are established transcriptional drivers of PD-L1 in the context of inflammatory cytokine signalling (Russo et al., 2012). Curcumin's well-documented inhibitory effects on these same transcriptional regulators (Aggarwal &amp; Harikumar, 2009) suggest it may similarly attenuate PD-L1 expression, though this mechanistic inference requires dedicated experimental validation. If borne out, it would imply that multiple phytochemicals could function as "checkpoint sensitisers" when used alongside anti-PD-1/PD-L1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potentially expanding the fraction of patients who benefit from immunotherapy.</w:t>
      </w:r>
    </w:p>
    <w:p w14:paraId="59BC9A37" w14:textId="77777777" w:rsidR="002E6E04" w:rsidRPr="005D6A18" w:rsidRDefault="002E6E04" w:rsidP="002E6E0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 xml:space="preserve">6.4 </w:t>
      </w:r>
      <w:proofErr w:type="spellStart"/>
      <w:r w:rsidRPr="005D6A18">
        <w:rPr>
          <w:rFonts w:ascii="Times New Roman" w:eastAsia="Times New Roman" w:hAnsi="Times New Roman" w:cs="Times New Roman"/>
          <w:b/>
          <w:bCs/>
          <w:sz w:val="24"/>
          <w:szCs w:val="24"/>
          <w:lang w:eastAsia="en-GB"/>
        </w:rPr>
        <w:t>Nanoformulation</w:t>
      </w:r>
      <w:proofErr w:type="spellEnd"/>
      <w:r w:rsidRPr="005D6A18">
        <w:rPr>
          <w:rFonts w:ascii="Times New Roman" w:eastAsia="Times New Roman" w:hAnsi="Times New Roman" w:cs="Times New Roman"/>
          <w:b/>
          <w:bCs/>
          <w:sz w:val="24"/>
          <w:szCs w:val="24"/>
          <w:lang w:eastAsia="en-GB"/>
        </w:rPr>
        <w:t xml:space="preserve"> Strategies for Combination Delivery</w:t>
      </w:r>
    </w:p>
    <w:p w14:paraId="33750AD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Practical delivery of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to tumours faces an inherent pharmacological challenge: the enormous disparity in molecular scale and pharmacokinetic behaviour between small-molecule phytochemicals and large protein-based antibodies. Nanotechnology platforms offer structurally elegant solutions. Nanoparticulate systems — liposomes, polymeric nanoparticles, or lipid nanostructures — can be surface-functionalised with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or antibody fragments (Fab fragments, single-chain variable fragments) to enable simultaneous and tumour-targeted delivery of both therapeutic moieties. Such </w:t>
      </w:r>
      <w:proofErr w:type="spellStart"/>
      <w:r w:rsidRPr="005D6A18">
        <w:rPr>
          <w:rFonts w:ascii="Times New Roman" w:eastAsia="Times New Roman" w:hAnsi="Times New Roman" w:cs="Times New Roman"/>
          <w:sz w:val="24"/>
          <w:szCs w:val="24"/>
          <w:lang w:eastAsia="en-GB"/>
        </w:rPr>
        <w:t>immunonanoparticle</w:t>
      </w:r>
      <w:proofErr w:type="spellEnd"/>
      <w:r w:rsidRPr="005D6A18">
        <w:rPr>
          <w:rFonts w:ascii="Times New Roman" w:eastAsia="Times New Roman" w:hAnsi="Times New Roman" w:cs="Times New Roman"/>
          <w:sz w:val="24"/>
          <w:szCs w:val="24"/>
          <w:lang w:eastAsia="en-GB"/>
        </w:rPr>
        <w:t xml:space="preserve"> constructs exploit the passive enhanced permeability and retention </w:t>
      </w:r>
      <w:r w:rsidRPr="005D6A18">
        <w:rPr>
          <w:rFonts w:ascii="Times New Roman" w:eastAsia="Times New Roman" w:hAnsi="Times New Roman" w:cs="Times New Roman"/>
          <w:sz w:val="24"/>
          <w:szCs w:val="24"/>
          <w:lang w:eastAsia="en-GB"/>
        </w:rPr>
        <w:lastRenderedPageBreak/>
        <w:t>(EPR) effect characteristic of tumour vasculature, augmented by active targeting from the antibody component.</w:t>
      </w:r>
    </w:p>
    <w:p w14:paraId="2C2ECD2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Liposomal systems co-loading curcumin alongside HER2-targeting ligands have demonstrated superior anti-tumour efficacy in preclinical breast cancer models relative to individual agents, particularly in trastuzumab-resistant cell lines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 Polymeric nanoparticle platforms functionalised with anti-EGFR antibody fragments for active EGCG delivery to EGFR-overexpressing tumours have also shown proof-of-concept in preclinical models (Siddiqui et al., 2009). These strategies are technically promising, but the regulatory and manufacturing complexity of combination </w:t>
      </w:r>
      <w:proofErr w:type="spellStart"/>
      <w:r w:rsidRPr="005D6A18">
        <w:rPr>
          <w:rFonts w:ascii="Times New Roman" w:eastAsia="Times New Roman" w:hAnsi="Times New Roman" w:cs="Times New Roman"/>
          <w:sz w:val="24"/>
          <w:szCs w:val="24"/>
          <w:lang w:eastAsia="en-GB"/>
        </w:rPr>
        <w:t>nanoformulations</w:t>
      </w:r>
      <w:proofErr w:type="spellEnd"/>
      <w:r w:rsidRPr="005D6A18">
        <w:rPr>
          <w:rFonts w:ascii="Times New Roman" w:eastAsia="Times New Roman" w:hAnsi="Times New Roman" w:cs="Times New Roman"/>
          <w:sz w:val="24"/>
          <w:szCs w:val="24"/>
          <w:lang w:eastAsia="en-GB"/>
        </w:rPr>
        <w:t xml:space="preserve"> substantially exceeds that of either constituent alone. Scale-up, stability, quality control, and the design of first-in-human pharmacokinetic studies all represent non-trivial hurdles. Table 4 summarises the principal preclinical combination evidence described in this section, together with the proposed mechanisms and observed effects.</w:t>
      </w:r>
    </w:p>
    <w:p w14:paraId="1A81173B"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4. Preclinical Evidence for Phytochemical–Monoclonal Antibody Combinations in Cancer</w:t>
      </w:r>
    </w:p>
    <w:tbl>
      <w:tblPr>
        <w:tblStyle w:val="TableGrid"/>
        <w:tblW w:w="0" w:type="auto"/>
        <w:tblLook w:val="04A0" w:firstRow="1" w:lastRow="0" w:firstColumn="1" w:lastColumn="0" w:noHBand="0" w:noVBand="1"/>
      </w:tblPr>
      <w:tblGrid>
        <w:gridCol w:w="1689"/>
        <w:gridCol w:w="1624"/>
        <w:gridCol w:w="1963"/>
        <w:gridCol w:w="1846"/>
        <w:gridCol w:w="2120"/>
      </w:tblGrid>
      <w:tr w:rsidR="002E6E04" w:rsidRPr="005D6A18" w14:paraId="3805B2D1" w14:textId="77777777" w:rsidTr="005D6A18">
        <w:tc>
          <w:tcPr>
            <w:tcW w:w="0" w:type="auto"/>
            <w:hideMark/>
          </w:tcPr>
          <w:p w14:paraId="6564DF8A"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Phytochemical</w:t>
            </w:r>
          </w:p>
        </w:tc>
        <w:tc>
          <w:tcPr>
            <w:tcW w:w="0" w:type="auto"/>
            <w:hideMark/>
          </w:tcPr>
          <w:p w14:paraId="69E0984F" w14:textId="77777777" w:rsidR="002E6E04" w:rsidRPr="005D6A18" w:rsidRDefault="002E6E04" w:rsidP="002E6E04">
            <w:pPr>
              <w:jc w:val="center"/>
              <w:rPr>
                <w:rFonts w:ascii="Times New Roman" w:eastAsia="Times New Roman" w:hAnsi="Times New Roman" w:cs="Times New Roman"/>
                <w:b/>
                <w:bCs/>
                <w:sz w:val="24"/>
                <w:szCs w:val="24"/>
                <w:lang w:eastAsia="en-GB"/>
              </w:rPr>
            </w:pPr>
            <w:proofErr w:type="spellStart"/>
            <w:r w:rsidRPr="005D6A18">
              <w:rPr>
                <w:rFonts w:ascii="Times New Roman" w:eastAsia="Times New Roman" w:hAnsi="Times New Roman" w:cs="Times New Roman"/>
                <w:b/>
                <w:bCs/>
                <w:sz w:val="24"/>
                <w:szCs w:val="24"/>
                <w:lang w:eastAsia="en-GB"/>
              </w:rPr>
              <w:t>mAb</w:t>
            </w:r>
            <w:proofErr w:type="spellEnd"/>
            <w:r w:rsidRPr="005D6A18">
              <w:rPr>
                <w:rFonts w:ascii="Times New Roman" w:eastAsia="Times New Roman" w:hAnsi="Times New Roman" w:cs="Times New Roman"/>
                <w:b/>
                <w:bCs/>
                <w:sz w:val="24"/>
                <w:szCs w:val="24"/>
                <w:lang w:eastAsia="en-GB"/>
              </w:rPr>
              <w:t xml:space="preserve"> Partner</w:t>
            </w:r>
          </w:p>
        </w:tc>
        <w:tc>
          <w:tcPr>
            <w:tcW w:w="0" w:type="auto"/>
            <w:hideMark/>
          </w:tcPr>
          <w:p w14:paraId="683FED1B"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Cancer Model</w:t>
            </w:r>
          </w:p>
        </w:tc>
        <w:tc>
          <w:tcPr>
            <w:tcW w:w="0" w:type="auto"/>
            <w:hideMark/>
          </w:tcPr>
          <w:p w14:paraId="77781FEA"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Proposed Mechanism</w:t>
            </w:r>
          </w:p>
        </w:tc>
        <w:tc>
          <w:tcPr>
            <w:tcW w:w="0" w:type="auto"/>
            <w:hideMark/>
          </w:tcPr>
          <w:p w14:paraId="566D3E8E"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Observed Effect</w:t>
            </w:r>
          </w:p>
        </w:tc>
      </w:tr>
      <w:tr w:rsidR="002E6E04" w:rsidRPr="005D6A18" w14:paraId="285C0985" w14:textId="77777777" w:rsidTr="005D6A18">
        <w:tc>
          <w:tcPr>
            <w:tcW w:w="0" w:type="auto"/>
            <w:hideMark/>
          </w:tcPr>
          <w:p w14:paraId="4DA9BE9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Curcumin</w:t>
            </w:r>
          </w:p>
        </w:tc>
        <w:tc>
          <w:tcPr>
            <w:tcW w:w="0" w:type="auto"/>
            <w:hideMark/>
          </w:tcPr>
          <w:p w14:paraId="040259D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Trastuzumab</w:t>
            </w:r>
          </w:p>
        </w:tc>
        <w:tc>
          <w:tcPr>
            <w:tcW w:w="0" w:type="auto"/>
            <w:hideMark/>
          </w:tcPr>
          <w:p w14:paraId="693D478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breast cancer cell lines/xenografts</w:t>
            </w:r>
          </w:p>
        </w:tc>
        <w:tc>
          <w:tcPr>
            <w:tcW w:w="0" w:type="auto"/>
            <w:hideMark/>
          </w:tcPr>
          <w:p w14:paraId="6EEEB9C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downregulation; synergistic PI3K/Akt/mTOR inhibition</w:t>
            </w:r>
          </w:p>
        </w:tc>
        <w:tc>
          <w:tcPr>
            <w:tcW w:w="0" w:type="auto"/>
            <w:hideMark/>
          </w:tcPr>
          <w:p w14:paraId="5759BAB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Enhanced apoptosis; reduced proliferation</w:t>
            </w:r>
          </w:p>
        </w:tc>
      </w:tr>
      <w:tr w:rsidR="002E6E04" w:rsidRPr="005D6A18" w14:paraId="52D56E27" w14:textId="77777777" w:rsidTr="005D6A18">
        <w:tc>
          <w:tcPr>
            <w:tcW w:w="0" w:type="auto"/>
            <w:hideMark/>
          </w:tcPr>
          <w:p w14:paraId="6DE5F86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EGCG</w:t>
            </w:r>
          </w:p>
        </w:tc>
        <w:tc>
          <w:tcPr>
            <w:tcW w:w="0" w:type="auto"/>
            <w:hideMark/>
          </w:tcPr>
          <w:p w14:paraId="2A774D0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Cetuximab</w:t>
            </w:r>
          </w:p>
        </w:tc>
        <w:tc>
          <w:tcPr>
            <w:tcW w:w="0" w:type="auto"/>
            <w:hideMark/>
          </w:tcPr>
          <w:p w14:paraId="3DD2D5A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EGFR+ colorectal/NSCLC cell lines</w:t>
            </w:r>
          </w:p>
        </w:tc>
        <w:tc>
          <w:tcPr>
            <w:tcW w:w="0" w:type="auto"/>
            <w:hideMark/>
          </w:tcPr>
          <w:p w14:paraId="5C5AD51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Dual EGFR/HER2 pathway inhibition; VEGF suppression</w:t>
            </w:r>
          </w:p>
        </w:tc>
        <w:tc>
          <w:tcPr>
            <w:tcW w:w="0" w:type="auto"/>
            <w:hideMark/>
          </w:tcPr>
          <w:p w14:paraId="23AD8509"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Additive/synergistic growth inhibition</w:t>
            </w:r>
          </w:p>
        </w:tc>
      </w:tr>
      <w:tr w:rsidR="002E6E04" w:rsidRPr="005D6A18" w14:paraId="51CFC1B9" w14:textId="77777777" w:rsidTr="005D6A18">
        <w:tc>
          <w:tcPr>
            <w:tcW w:w="0" w:type="auto"/>
            <w:hideMark/>
          </w:tcPr>
          <w:p w14:paraId="60EFBDB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Resveratrol</w:t>
            </w:r>
          </w:p>
        </w:tc>
        <w:tc>
          <w:tcPr>
            <w:tcW w:w="0" w:type="auto"/>
            <w:hideMark/>
          </w:tcPr>
          <w:p w14:paraId="684EC0E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Anti-PD-L1 (atezolizumab)</w:t>
            </w:r>
          </w:p>
        </w:tc>
        <w:tc>
          <w:tcPr>
            <w:tcW w:w="0" w:type="auto"/>
            <w:hideMark/>
          </w:tcPr>
          <w:p w14:paraId="304AE4B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and breast cancer models</w:t>
            </w:r>
          </w:p>
        </w:tc>
        <w:tc>
          <w:tcPr>
            <w:tcW w:w="0" w:type="auto"/>
            <w:hideMark/>
          </w:tcPr>
          <w:p w14:paraId="4435EE71"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 glycosylation disruption; proteasomal degradation</w:t>
            </w:r>
          </w:p>
        </w:tc>
        <w:tc>
          <w:tcPr>
            <w:tcW w:w="0" w:type="auto"/>
            <w:hideMark/>
          </w:tcPr>
          <w:p w14:paraId="64093F5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Enhanced T-cell-mediated tumour killing</w:t>
            </w:r>
          </w:p>
        </w:tc>
      </w:tr>
      <w:tr w:rsidR="002E6E04" w:rsidRPr="005D6A18" w14:paraId="2178BFA6" w14:textId="77777777" w:rsidTr="005D6A18">
        <w:tc>
          <w:tcPr>
            <w:tcW w:w="0" w:type="auto"/>
            <w:hideMark/>
          </w:tcPr>
          <w:p w14:paraId="2A47BD3C"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Berberine</w:t>
            </w:r>
          </w:p>
        </w:tc>
        <w:tc>
          <w:tcPr>
            <w:tcW w:w="0" w:type="auto"/>
            <w:hideMark/>
          </w:tcPr>
          <w:p w14:paraId="1D33774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Anti-PD-1 </w:t>
            </w:r>
            <w:proofErr w:type="spellStart"/>
            <w:r w:rsidRPr="005D6A18">
              <w:rPr>
                <w:rFonts w:ascii="Times New Roman" w:eastAsia="Times New Roman" w:hAnsi="Times New Roman" w:cs="Times New Roman"/>
                <w:sz w:val="24"/>
                <w:szCs w:val="24"/>
                <w:lang w:eastAsia="en-GB"/>
              </w:rPr>
              <w:t>mAbs</w:t>
            </w:r>
            <w:proofErr w:type="spellEnd"/>
          </w:p>
        </w:tc>
        <w:tc>
          <w:tcPr>
            <w:tcW w:w="0" w:type="auto"/>
            <w:hideMark/>
          </w:tcPr>
          <w:p w14:paraId="5A736F0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Colon cancer cell lines/xenografts</w:t>
            </w:r>
          </w:p>
        </w:tc>
        <w:tc>
          <w:tcPr>
            <w:tcW w:w="0" w:type="auto"/>
            <w:hideMark/>
          </w:tcPr>
          <w:p w14:paraId="19782F8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 transcriptional suppression; MDSC reduction in TME</w:t>
            </w:r>
          </w:p>
        </w:tc>
        <w:tc>
          <w:tcPr>
            <w:tcW w:w="0" w:type="auto"/>
            <w:hideMark/>
          </w:tcPr>
          <w:p w14:paraId="32C3ED70"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Improved anti-tumour immune response</w:t>
            </w:r>
          </w:p>
        </w:tc>
      </w:tr>
      <w:tr w:rsidR="002E6E04" w:rsidRPr="005D6A18" w14:paraId="69D9BAD0" w14:textId="77777777" w:rsidTr="005D6A18">
        <w:tc>
          <w:tcPr>
            <w:tcW w:w="0" w:type="auto"/>
            <w:hideMark/>
          </w:tcPr>
          <w:p w14:paraId="305D149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Artesunate</w:t>
            </w:r>
          </w:p>
        </w:tc>
        <w:tc>
          <w:tcPr>
            <w:tcW w:w="0" w:type="auto"/>
            <w:hideMark/>
          </w:tcPr>
          <w:p w14:paraId="7DEC34DA"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Anti-PD-1/PD-L1 </w:t>
            </w:r>
            <w:proofErr w:type="spellStart"/>
            <w:r w:rsidRPr="005D6A18">
              <w:rPr>
                <w:rFonts w:ascii="Times New Roman" w:eastAsia="Times New Roman" w:hAnsi="Times New Roman" w:cs="Times New Roman"/>
                <w:sz w:val="24"/>
                <w:szCs w:val="24"/>
                <w:lang w:eastAsia="en-GB"/>
              </w:rPr>
              <w:t>mAbs</w:t>
            </w:r>
            <w:proofErr w:type="spellEnd"/>
          </w:p>
        </w:tc>
        <w:tc>
          <w:tcPr>
            <w:tcW w:w="0" w:type="auto"/>
            <w:hideMark/>
          </w:tcPr>
          <w:p w14:paraId="69B4986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Hepatocellular carcinoma models</w:t>
            </w:r>
          </w:p>
        </w:tc>
        <w:tc>
          <w:tcPr>
            <w:tcW w:w="0" w:type="auto"/>
            <w:hideMark/>
          </w:tcPr>
          <w:p w14:paraId="5046FE4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 downregulation; M2→M1 macrophage repolarisation</w:t>
            </w:r>
          </w:p>
        </w:tc>
        <w:tc>
          <w:tcPr>
            <w:tcW w:w="0" w:type="auto"/>
            <w:hideMark/>
          </w:tcPr>
          <w:p w14:paraId="4E95F4B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TME remodelling; augmented checkpoint inhibitor efficacy</w:t>
            </w:r>
          </w:p>
        </w:tc>
      </w:tr>
      <w:tr w:rsidR="002E6E04" w:rsidRPr="005D6A18" w14:paraId="53B68846" w14:textId="77777777" w:rsidTr="005D6A18">
        <w:tc>
          <w:tcPr>
            <w:tcW w:w="0" w:type="auto"/>
            <w:hideMark/>
          </w:tcPr>
          <w:p w14:paraId="60E0AF7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Curcumin</w:t>
            </w:r>
          </w:p>
        </w:tc>
        <w:tc>
          <w:tcPr>
            <w:tcW w:w="0" w:type="auto"/>
            <w:hideMark/>
          </w:tcPr>
          <w:p w14:paraId="26B7D294"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Bevacizumab</w:t>
            </w:r>
          </w:p>
        </w:tc>
        <w:tc>
          <w:tcPr>
            <w:tcW w:w="0" w:type="auto"/>
            <w:hideMark/>
          </w:tcPr>
          <w:p w14:paraId="75163EA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cancer cell lines/xenografts</w:t>
            </w:r>
          </w:p>
        </w:tc>
        <w:tc>
          <w:tcPr>
            <w:tcW w:w="0" w:type="auto"/>
            <w:hideMark/>
          </w:tcPr>
          <w:p w14:paraId="716E39B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-mediated VEGF transcriptional </w:t>
            </w:r>
            <w:r w:rsidRPr="005D6A18">
              <w:rPr>
                <w:rFonts w:ascii="Times New Roman" w:eastAsia="Times New Roman" w:hAnsi="Times New Roman" w:cs="Times New Roman"/>
                <w:sz w:val="24"/>
                <w:szCs w:val="24"/>
                <w:lang w:eastAsia="en-GB"/>
              </w:rPr>
              <w:lastRenderedPageBreak/>
              <w:t>suppression</w:t>
            </w:r>
          </w:p>
        </w:tc>
        <w:tc>
          <w:tcPr>
            <w:tcW w:w="0" w:type="auto"/>
            <w:hideMark/>
          </w:tcPr>
          <w:p w14:paraId="2CA86850"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Additive anti-angiogenic and anti-proliferative </w:t>
            </w:r>
            <w:r w:rsidRPr="005D6A18">
              <w:rPr>
                <w:rFonts w:ascii="Times New Roman" w:eastAsia="Times New Roman" w:hAnsi="Times New Roman" w:cs="Times New Roman"/>
                <w:sz w:val="24"/>
                <w:szCs w:val="24"/>
                <w:lang w:eastAsia="en-GB"/>
              </w:rPr>
              <w:lastRenderedPageBreak/>
              <w:t>effects</w:t>
            </w:r>
          </w:p>
        </w:tc>
      </w:tr>
    </w:tbl>
    <w:p w14:paraId="1C96BCA6"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Sources: Aggarwal &amp; Harikumar (2009);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xml:space="preserve"> (2017);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Khan et al. (2006); Phi et al. (2018); Verdura et al. (2020);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w:t>
      </w:r>
    </w:p>
    <w:p w14:paraId="5DCFF04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Note: Evidence in this table is derived predominantly from in vitro and in vivo preclinical studies. Clinical validation of these combination strategies in human subjects remains largely pending.</w:t>
      </w:r>
    </w:p>
    <w:p w14:paraId="0D4130E1"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18FCE8DB"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7. Clinical Translation and Regulatory Considerations</w:t>
      </w:r>
    </w:p>
    <w:p w14:paraId="397DC71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Moving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from preclinical models to clinical practice requires navigating a dense set of scientific, regulatory, and commercial challenges that must be squarely addressed. Unlike conventional synthetic drugs, phytochemicals derived from botanical sources are intrinsically susceptible to batch-to-batch variation in composition and potency, arising from differences in plant genetics, cultivation conditions, post-harvest processing, and storage. This variability creates real difficulties for dose standardisation and quality control. Regulatory agencies including the EMA and FDA apply rigorous standards of product quality, safety, and efficacy that have historically been difficult to satisfy for complex botanical preparations.</w:t>
      </w:r>
    </w:p>
    <w:p w14:paraId="294C8E2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Clinical trial design for these combinations adds further complexity. Standard oncology trial frameworks presuppose well-characterised, stably formulated single agents administered at reproducible doses; introducing </w:t>
      </w:r>
      <w:proofErr w:type="gramStart"/>
      <w:r w:rsidRPr="005D6A18">
        <w:rPr>
          <w:rFonts w:ascii="Times New Roman" w:eastAsia="Times New Roman" w:hAnsi="Times New Roman" w:cs="Times New Roman"/>
          <w:sz w:val="24"/>
          <w:szCs w:val="24"/>
          <w:lang w:eastAsia="en-GB"/>
        </w:rPr>
        <w:t>a</w:t>
      </w:r>
      <w:proofErr w:type="gramEnd"/>
      <w:r w:rsidRPr="005D6A18">
        <w:rPr>
          <w:rFonts w:ascii="Times New Roman" w:eastAsia="Times New Roman" w:hAnsi="Times New Roman" w:cs="Times New Roman"/>
          <w:sz w:val="24"/>
          <w:szCs w:val="24"/>
          <w:lang w:eastAsia="en-GB"/>
        </w:rPr>
        <w:t xml:space="preserve"> herbal phytochemical unsettles each of these assumptions. Inter-patient variability in phytochemical absorption and metabolism, the need for validated pharmacodynamic endpoints, potential herb–drug pharmacokinetic interactions, and appropriate primary endpoint selection all require careful a priori design (Prasad et al., 2014; Holohan et al., 2013). Phase I dose-escalation studies for such combinations must specifically characterise interactions between phytochemicals and their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or chemotherapy partners, since many phytochemicals modulate cytochrome P450 isoforms and ATP-binding cassette (ABC) efflux transporters in ways that could alter systemic drug exposure.</w:t>
      </w:r>
    </w:p>
    <w:p w14:paraId="78F6809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Resistance to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therapy — through target antigen loss, bypass signalling, immune exclusion, or CSC repopulation (Holohan et al., 2013; Phi et al., 2018) — also needs to be factored into trial design. The specific resistance mechanism most relevant to the chosen cancer type may determine which phytochemical partner is most rational, and predictive biomarker stratification of enrolled patients is essential for interpreting combination data. Adaptive trial designs, which permit protocol modification based on accumulating interim data including molecular biomarker results, offer a promising and efficient framework for this purpose.</w:t>
      </w:r>
    </w:p>
    <w:p w14:paraId="23AF84C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Intellectual property also shapes what combinations reach clinical evaluation. Natural products in their unmodified form are not patentable, which limits commercial investment in phytochemical clinical development. Novel formulations — proprietary nanocarriers, for instance — specific combination regimens, or structurally optimised synthetic analogues may attract patent protection, and academic–industry partnerships are likely necessary to bridge this gap. Public research funding and philanthropic investment will be important complementary mechanisms.</w:t>
      </w:r>
    </w:p>
    <w:p w14:paraId="1F84DBF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Finally, patient safety warrants explicit attention. Clinical surveys across cancer populations consistently show that a substantial fraction of patients use herbal products during anti-cancer treatment without disclosing this to their oncology team (Russo et al., 2012). The pharmacodynamic implications — immune stimulation during checkpoint inhibitor therapy, for instance — could be clinically meaningful. Oncology clinicians should routinely and non-judgementally enquire about herbal supplement use and provide evidence-based guidance on potential risks. Table 5 consolidates the principal translational barriers discussed in this section, together with the available mitigation strategies.</w:t>
      </w:r>
    </w:p>
    <w:p w14:paraId="46F79C9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5. Translational Barriers and Strategies for Herbal Drug–</w:t>
      </w:r>
      <w:proofErr w:type="spellStart"/>
      <w:r w:rsidRPr="005D6A18">
        <w:rPr>
          <w:rFonts w:ascii="Times New Roman" w:eastAsia="Times New Roman" w:hAnsi="Times New Roman" w:cs="Times New Roman"/>
          <w:b/>
          <w:bCs/>
          <w:sz w:val="24"/>
          <w:szCs w:val="24"/>
          <w:lang w:eastAsia="en-GB"/>
        </w:rPr>
        <w:t>mAb</w:t>
      </w:r>
      <w:proofErr w:type="spellEnd"/>
      <w:r w:rsidRPr="005D6A18">
        <w:rPr>
          <w:rFonts w:ascii="Times New Roman" w:eastAsia="Times New Roman" w:hAnsi="Times New Roman" w:cs="Times New Roman"/>
          <w:b/>
          <w:bCs/>
          <w:sz w:val="24"/>
          <w:szCs w:val="24"/>
          <w:lang w:eastAsia="en-GB"/>
        </w:rPr>
        <w:t xml:space="preserve"> Combination Development in Oncology</w:t>
      </w:r>
    </w:p>
    <w:tbl>
      <w:tblPr>
        <w:tblStyle w:val="TableGrid"/>
        <w:tblW w:w="0" w:type="auto"/>
        <w:tblLook w:val="04A0" w:firstRow="1" w:lastRow="0" w:firstColumn="1" w:lastColumn="0" w:noHBand="0" w:noVBand="1"/>
      </w:tblPr>
      <w:tblGrid>
        <w:gridCol w:w="2100"/>
        <w:gridCol w:w="2929"/>
        <w:gridCol w:w="4213"/>
      </w:tblGrid>
      <w:tr w:rsidR="002E6E04" w:rsidRPr="005D6A18" w14:paraId="40FDF36B" w14:textId="77777777" w:rsidTr="005D6A18">
        <w:tc>
          <w:tcPr>
            <w:tcW w:w="0" w:type="auto"/>
            <w:hideMark/>
          </w:tcPr>
          <w:p w14:paraId="243F7BD1"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Barrier</w:t>
            </w:r>
          </w:p>
        </w:tc>
        <w:tc>
          <w:tcPr>
            <w:tcW w:w="0" w:type="auto"/>
            <w:hideMark/>
          </w:tcPr>
          <w:p w14:paraId="327DB96C"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Nature of Challenge</w:t>
            </w:r>
          </w:p>
        </w:tc>
        <w:tc>
          <w:tcPr>
            <w:tcW w:w="0" w:type="auto"/>
            <w:hideMark/>
          </w:tcPr>
          <w:p w14:paraId="1C3F3C6D" w14:textId="77777777" w:rsidR="002E6E04" w:rsidRPr="005D6A18" w:rsidRDefault="002E6E04" w:rsidP="002E6E04">
            <w:pPr>
              <w:jc w:val="center"/>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Potential Mitigation Strategy</w:t>
            </w:r>
          </w:p>
        </w:tc>
      </w:tr>
      <w:tr w:rsidR="002E6E04" w:rsidRPr="005D6A18" w14:paraId="409EA0A7" w14:textId="77777777" w:rsidTr="005D6A18">
        <w:tc>
          <w:tcPr>
            <w:tcW w:w="0" w:type="auto"/>
            <w:hideMark/>
          </w:tcPr>
          <w:p w14:paraId="6970373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Phytochemical bioavailability</w:t>
            </w:r>
          </w:p>
        </w:tc>
        <w:tc>
          <w:tcPr>
            <w:tcW w:w="0" w:type="auto"/>
            <w:hideMark/>
          </w:tcPr>
          <w:p w14:paraId="1102658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Poor solubility; rapid first-pass metabolism; low systemic exposure</w:t>
            </w:r>
          </w:p>
        </w:tc>
        <w:tc>
          <w:tcPr>
            <w:tcW w:w="0" w:type="auto"/>
            <w:hideMark/>
          </w:tcPr>
          <w:p w14:paraId="23FD1F18" w14:textId="77777777" w:rsidR="002E6E04" w:rsidRPr="005D6A18" w:rsidRDefault="002E6E04" w:rsidP="002E6E04">
            <w:pPr>
              <w:rPr>
                <w:rFonts w:ascii="Times New Roman" w:eastAsia="Times New Roman" w:hAnsi="Times New Roman" w:cs="Times New Roman"/>
                <w:sz w:val="24"/>
                <w:szCs w:val="24"/>
                <w:lang w:eastAsia="en-GB"/>
              </w:rPr>
            </w:pPr>
            <w:proofErr w:type="spellStart"/>
            <w:r w:rsidRPr="005D6A18">
              <w:rPr>
                <w:rFonts w:ascii="Times New Roman" w:eastAsia="Times New Roman" w:hAnsi="Times New Roman" w:cs="Times New Roman"/>
                <w:sz w:val="24"/>
                <w:szCs w:val="24"/>
                <w:lang w:eastAsia="en-GB"/>
              </w:rPr>
              <w:t>Nanoformulations</w:t>
            </w:r>
            <w:proofErr w:type="spellEnd"/>
            <w:r w:rsidRPr="005D6A18">
              <w:rPr>
                <w:rFonts w:ascii="Times New Roman" w:eastAsia="Times New Roman" w:hAnsi="Times New Roman" w:cs="Times New Roman"/>
                <w:sz w:val="24"/>
                <w:szCs w:val="24"/>
                <w:lang w:eastAsia="en-GB"/>
              </w:rPr>
              <w:t xml:space="preserve"> (liposomes, polymeric nanoparticles, </w:t>
            </w:r>
            <w:proofErr w:type="spellStart"/>
            <w:r w:rsidRPr="005D6A18">
              <w:rPr>
                <w:rFonts w:ascii="Times New Roman" w:eastAsia="Times New Roman" w:hAnsi="Times New Roman" w:cs="Times New Roman"/>
                <w:sz w:val="24"/>
                <w:szCs w:val="24"/>
                <w:lang w:eastAsia="en-GB"/>
              </w:rPr>
              <w:t>nanoemulsions</w:t>
            </w:r>
            <w:proofErr w:type="spellEnd"/>
            <w:r w:rsidRPr="005D6A18">
              <w:rPr>
                <w:rFonts w:ascii="Times New Roman" w:eastAsia="Times New Roman" w:hAnsi="Times New Roman" w:cs="Times New Roman"/>
                <w:sz w:val="24"/>
                <w:szCs w:val="24"/>
                <w:lang w:eastAsia="en-GB"/>
              </w:rPr>
              <w:t>); piperine co-administration; structural analogue development</w:t>
            </w:r>
          </w:p>
        </w:tc>
      </w:tr>
      <w:tr w:rsidR="002E6E04" w:rsidRPr="005D6A18" w14:paraId="6508597E" w14:textId="77777777" w:rsidTr="005D6A18">
        <w:tc>
          <w:tcPr>
            <w:tcW w:w="0" w:type="auto"/>
            <w:hideMark/>
          </w:tcPr>
          <w:p w14:paraId="208604B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Product standardisation</w:t>
            </w:r>
          </w:p>
        </w:tc>
        <w:tc>
          <w:tcPr>
            <w:tcW w:w="0" w:type="auto"/>
            <w:hideMark/>
          </w:tcPr>
          <w:p w14:paraId="506F45A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Batch-to-batch variability in botanical preparations</w:t>
            </w:r>
          </w:p>
        </w:tc>
        <w:tc>
          <w:tcPr>
            <w:tcW w:w="0" w:type="auto"/>
            <w:hideMark/>
          </w:tcPr>
          <w:p w14:paraId="57D016D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Use of isolated, chemically characterised pure compounds; stringent quality control; standardised quantification</w:t>
            </w:r>
          </w:p>
        </w:tc>
      </w:tr>
      <w:tr w:rsidR="002E6E04" w:rsidRPr="005D6A18" w14:paraId="5D8429C3" w14:textId="77777777" w:rsidTr="005D6A18">
        <w:tc>
          <w:tcPr>
            <w:tcW w:w="0" w:type="auto"/>
            <w:hideMark/>
          </w:tcPr>
          <w:p w14:paraId="0C5E237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Pharmacokinetic interactions</w:t>
            </w:r>
          </w:p>
        </w:tc>
        <w:tc>
          <w:tcPr>
            <w:tcW w:w="0" w:type="auto"/>
            <w:hideMark/>
          </w:tcPr>
          <w:p w14:paraId="1284881F"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CYP enzyme modulation; ABC transporter effects on concurrent agents</w:t>
            </w:r>
          </w:p>
        </w:tc>
        <w:tc>
          <w:tcPr>
            <w:tcW w:w="0" w:type="auto"/>
            <w:hideMark/>
          </w:tcPr>
          <w:p w14:paraId="0166BD9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Rigorous Phase I PK characterisation; in vitro CYP and transporter inhibition profiling</w:t>
            </w:r>
          </w:p>
        </w:tc>
      </w:tr>
      <w:tr w:rsidR="002E6E04" w:rsidRPr="005D6A18" w14:paraId="23CB7F2E" w14:textId="77777777" w:rsidTr="005D6A18">
        <w:tc>
          <w:tcPr>
            <w:tcW w:w="0" w:type="auto"/>
            <w:hideMark/>
          </w:tcPr>
          <w:p w14:paraId="32430AD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Clinical trial design</w:t>
            </w:r>
          </w:p>
        </w:tc>
        <w:tc>
          <w:tcPr>
            <w:tcW w:w="0" w:type="auto"/>
            <w:hideMark/>
          </w:tcPr>
          <w:p w14:paraId="51048A3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Variable phytochemical exposure; endpoint selection; dose–schedule optimisation</w:t>
            </w:r>
          </w:p>
        </w:tc>
        <w:tc>
          <w:tcPr>
            <w:tcW w:w="0" w:type="auto"/>
            <w:hideMark/>
          </w:tcPr>
          <w:p w14:paraId="36382AB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Adaptive designs; biomarker-stratified enrolment; validated pharmacodynamic endpoints</w:t>
            </w:r>
          </w:p>
        </w:tc>
      </w:tr>
      <w:tr w:rsidR="002E6E04" w:rsidRPr="005D6A18" w14:paraId="77F0F4C6" w14:textId="77777777" w:rsidTr="005D6A18">
        <w:tc>
          <w:tcPr>
            <w:tcW w:w="0" w:type="auto"/>
            <w:hideMark/>
          </w:tcPr>
          <w:p w14:paraId="50DAD33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Regulatory pathway</w:t>
            </w:r>
          </w:p>
        </w:tc>
        <w:tc>
          <w:tcPr>
            <w:tcW w:w="0" w:type="auto"/>
            <w:hideMark/>
          </w:tcPr>
          <w:p w14:paraId="75E6A898"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No established framework for herbal–biologic combination products</w:t>
            </w:r>
          </w:p>
        </w:tc>
        <w:tc>
          <w:tcPr>
            <w:tcW w:w="0" w:type="auto"/>
            <w:hideMark/>
          </w:tcPr>
          <w:p w14:paraId="2CDEBC7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Early regulatory scientific advice; phased approval strategies; quality-by-design approaches</w:t>
            </w:r>
          </w:p>
        </w:tc>
      </w:tr>
      <w:tr w:rsidR="002E6E04" w:rsidRPr="005D6A18" w14:paraId="4C1E8F0D" w14:textId="77777777" w:rsidTr="005D6A18">
        <w:tc>
          <w:tcPr>
            <w:tcW w:w="0" w:type="auto"/>
            <w:hideMark/>
          </w:tcPr>
          <w:p w14:paraId="71EB3E12"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Commercial and IP constraints</w:t>
            </w:r>
          </w:p>
        </w:tc>
        <w:tc>
          <w:tcPr>
            <w:tcW w:w="0" w:type="auto"/>
            <w:hideMark/>
          </w:tcPr>
          <w:p w14:paraId="68B93957"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Limited patentability of natural compounds; reduced industry investment</w:t>
            </w:r>
          </w:p>
        </w:tc>
        <w:tc>
          <w:tcPr>
            <w:tcW w:w="0" w:type="auto"/>
            <w:hideMark/>
          </w:tcPr>
          <w:p w14:paraId="24D9A1BD"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Novel formulation patents; academic–industry consortia; public and philanthropic funding</w:t>
            </w:r>
          </w:p>
        </w:tc>
      </w:tr>
      <w:tr w:rsidR="002E6E04" w:rsidRPr="005D6A18" w14:paraId="67C636F1" w14:textId="77777777" w:rsidTr="005D6A18">
        <w:tc>
          <w:tcPr>
            <w:tcW w:w="0" w:type="auto"/>
            <w:hideMark/>
          </w:tcPr>
          <w:p w14:paraId="4B62B2D3"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Resistance mechanisms</w:t>
            </w:r>
          </w:p>
        </w:tc>
        <w:tc>
          <w:tcPr>
            <w:tcW w:w="0" w:type="auto"/>
            <w:hideMark/>
          </w:tcPr>
          <w:p w14:paraId="24731EF9"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Target antigen loss; bypass signalling; immune exclusion; CSC persistence</w:t>
            </w:r>
          </w:p>
        </w:tc>
        <w:tc>
          <w:tcPr>
            <w:tcW w:w="0" w:type="auto"/>
            <w:hideMark/>
          </w:tcPr>
          <w:p w14:paraId="6F77F38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Biomarker-guided partner selection; sequential therapy design; CSC-targeting strategies</w:t>
            </w:r>
          </w:p>
        </w:tc>
      </w:tr>
      <w:tr w:rsidR="002E6E04" w:rsidRPr="005D6A18" w14:paraId="08571FB3" w14:textId="77777777" w:rsidTr="005D6A18">
        <w:tc>
          <w:tcPr>
            <w:tcW w:w="0" w:type="auto"/>
            <w:hideMark/>
          </w:tcPr>
          <w:p w14:paraId="3A369EAE"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Patient safety risks</w:t>
            </w:r>
          </w:p>
        </w:tc>
        <w:tc>
          <w:tcPr>
            <w:tcW w:w="0" w:type="auto"/>
            <w:hideMark/>
          </w:tcPr>
          <w:p w14:paraId="5C725EF6"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Unsupervised herbal self-medication during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therapy</w:t>
            </w:r>
          </w:p>
        </w:tc>
        <w:tc>
          <w:tcPr>
            <w:tcW w:w="0" w:type="auto"/>
            <w:hideMark/>
          </w:tcPr>
          <w:p w14:paraId="2AB1F6D5" w14:textId="77777777" w:rsidR="002E6E04" w:rsidRPr="005D6A18" w:rsidRDefault="002E6E04" w:rsidP="002E6E04">
            <w:pPr>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Structured supplement disclosure at clinic visits; patient education; clinical pharmacist review</w:t>
            </w:r>
          </w:p>
        </w:tc>
      </w:tr>
    </w:tbl>
    <w:p w14:paraId="1167D31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Sources: Drago et al. (2021); Holohan et al. (2013);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 Phi et al. (2018); Prasad et al. (2014); Russo et al. (2012); Siddiqui et al. (2009);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w:t>
      </w:r>
    </w:p>
    <w:p w14:paraId="571A1AFB"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1F89F22B"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8. Future Directions</w:t>
      </w:r>
    </w:p>
    <w:p w14:paraId="0A1C0D1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integration of herbal pharmacology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oncotherapy is at a productive but early stage. Several research directions stand out as priorities for the coming decade.</w:t>
      </w:r>
    </w:p>
    <w:p w14:paraId="712E673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The most immediate need is rigorous, systematic characterisation of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pharmacodynamic and pharmacokinetic interactions. Most combination data to date come from cell culture studies or xenograft experiments without comprehensive assessment of how these agents interact at molecular, cellular, and systemic levels. Well-designed in vivo studies incorporating pharmacokinetic modelling, biomarker discovery, and detailed immune profiling are essential before first-in-human combination trials can be rationally designed. Equally important is the development of validated, clinically applicable pharmacodynamic assays — including tumour biopsy-based pathway activation readouts and circulating immune cell phenotyping — that can confirm mechanism of action in the clinical setting rather than merely inferring it from preclinical data.</w:t>
      </w:r>
    </w:p>
    <w:p w14:paraId="1C3BB17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Next-generation nanotechnology platforms represent a compelling engineering frontier. Nanocarriers incorporating stimuli-responsive drug release mechanisms — pH-sensitive, redox-sensitive, or enzyme-cleavable linkers — could enable selective payload release within the biochemical microenvironment of the tumour, improving the therapeutic ratio of combination approaches and allowing more predictable drug interactions at the site of disease. The co-delivery of phytochemicals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fragments through such platforms could overcome current limitations of administering agents with vastly different pharmacokinetic profiles simultaneously.</w:t>
      </w:r>
    </w:p>
    <w:p w14:paraId="391399C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Artificial intelligence and machine learning offer transformative potential in this space. Computational tools capable of integrating multi-</w:t>
      </w:r>
      <w:proofErr w:type="spellStart"/>
      <w:r w:rsidRPr="005D6A18">
        <w:rPr>
          <w:rFonts w:ascii="Times New Roman" w:eastAsia="Times New Roman" w:hAnsi="Times New Roman" w:cs="Times New Roman"/>
          <w:sz w:val="24"/>
          <w:szCs w:val="24"/>
          <w:lang w:eastAsia="en-GB"/>
        </w:rPr>
        <w:t>omic</w:t>
      </w:r>
      <w:proofErr w:type="spellEnd"/>
      <w:r w:rsidRPr="005D6A18">
        <w:rPr>
          <w:rFonts w:ascii="Times New Roman" w:eastAsia="Times New Roman" w:hAnsi="Times New Roman" w:cs="Times New Roman"/>
          <w:sz w:val="24"/>
          <w:szCs w:val="24"/>
          <w:lang w:eastAsia="en-GB"/>
        </w:rPr>
        <w:t xml:space="preserve"> datasets — genomics, transcriptomics, proteomics, metabolomics — with structural </w:t>
      </w:r>
      <w:proofErr w:type="spellStart"/>
      <w:r w:rsidRPr="005D6A18">
        <w:rPr>
          <w:rFonts w:ascii="Times New Roman" w:eastAsia="Times New Roman" w:hAnsi="Times New Roman" w:cs="Times New Roman"/>
          <w:sz w:val="24"/>
          <w:szCs w:val="24"/>
          <w:lang w:eastAsia="en-GB"/>
        </w:rPr>
        <w:t>pharmacochemistry</w:t>
      </w:r>
      <w:proofErr w:type="spellEnd"/>
      <w:r w:rsidRPr="005D6A18">
        <w:rPr>
          <w:rFonts w:ascii="Times New Roman" w:eastAsia="Times New Roman" w:hAnsi="Times New Roman" w:cs="Times New Roman"/>
          <w:sz w:val="24"/>
          <w:szCs w:val="24"/>
          <w:lang w:eastAsia="en-GB"/>
        </w:rPr>
        <w:t xml:space="preserve"> data from phytochemical libraries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binding profiles could rapidly narrow the combinatorial space to the most pharmacologically rational pairings. AI-driven patient stratification, using tumour molecular profiles to predict response to specific combinations, could substantially improve trial efficiency and the probability of clinical success.</w:t>
      </w:r>
    </w:p>
    <w:p w14:paraId="3FFEB9E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preclinical findings on phytochemical modulation of PD-L1 expression, MDSC function, and TME immunosuppression warrant dedicated early-phase clinical investigation. Carefully designed trials with built-in biomarker stratification — including PD-L1 expression level, tumour mutational burden, and serial tumour immunophenotyping — would provide the first robust human evidence for or against the immunomodulatory potential of phytochemicals in the context of checkpoint inhibitor therapy.</w:t>
      </w:r>
    </w:p>
    <w:p w14:paraId="2A2E107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gut microbiome represents another underexplored dimension. Several phytochemicals have prebiotic activity and can substantially alter microbiome composition; concurrently, microbiome composition is now recognised as a predictor of response to anti-PD-1 checkpoint inhibitors. The three-way interplay between phytochemicals, microbiome,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-mediated immune responses is mechanistically plausible and could yield important translational insights.</w:t>
      </w:r>
    </w:p>
    <w:p w14:paraId="443A2DE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Regulatory frameworks specifically designed for herbal–biologic combination products are needed. Early and proactive engagement with regulatory agencies will be essential to establish acceptable quality standards, safety assessment requirements, and efficient clinical development pathways. Finally, the equity dimension of this research agenda must be stated explicitly: anti-cancer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remain unaffordable in much of the world, precisely where cancer incidence is rising fastest. Phytochemical-based strategies, given their relative cost and accessibility, may have particular relevance in resource-limited settings — but only if adequate clinical evidence is generated for those populations.</w:t>
      </w:r>
    </w:p>
    <w:p w14:paraId="07009346"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3C1EA46B"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9. Conclusions</w:t>
      </w:r>
    </w:p>
    <w:p w14:paraId="7E967B5A"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Herbal drugs and monoclonal antibody-based immunotherapies represent two of the most scientifically productive and clinically impactful therapeutic strategies in contemporary cancer management. Plant-derived phytochemicals — curcumin, resveratrol, berberine, EGCG, artemisinin derivatives, and others — act through pleiotropic molecular mechanisms to inhibit tumour growth, induce cancer cell apoptosis, suppress angiogenesis, and remodel the immunosuppressive tumour microenvironment. Established plant-derived chemotherapeutics, particularly the taxanes and vinca alkaloids, remain irreplaceable components of standard oncological practice worldwide. Therapeutic monoclonal antibodies — naked antibodies, immune checkpoint inhibitors, ADCs, and bispecific constructs — have substantially extended survival across many cancer types and continue to evolve at a rapid pace.</w:t>
      </w:r>
    </w:p>
    <w:p w14:paraId="6E072DC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evidence reviewed here reveals a mechanistically coherent and scientifically credible rationale for integrating these two approaches. Shared oncogenic pathway targets, phytochemical modulation of checkpoint molecule expression, remodelling of the immunosuppressive TME, and the practical opportunities offered by nanotechnology-enabled co-delivery collectively constitute a sound foundation for combination development. That said, this potential remains overwhelmingly preclinical, and robust, well-designed clinical trials are essential before combinatorial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strategies can be considered for routine practice.</w:t>
      </w:r>
    </w:p>
    <w:p w14:paraId="2473C4F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Realising this potential will require sustained and coordinated effort from academia, industry, and regulatory agencies, guided by mechanistically rational drug development, adaptive clinical trial design, and rigorous biomarker science. The therapeutic integration of plant-derived pharmacology with the precision of modern antibody engineering may yet produce a meaningful new paradigm in cancer management. The scientific groundwork is encouraging; clinical translation is the work that remains.</w:t>
      </w:r>
    </w:p>
    <w:p w14:paraId="085929CE"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5FA57C08"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10. Limitations</w:t>
      </w:r>
    </w:p>
    <w:p w14:paraId="6A942196"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Several limitations of this review should be openly acknowledged. As a narrative rather than systematic review, the work reflects deliberate judgement in the selection, synthesis, and interpretation of the literature and is therefore subject to selection bias. The breadth of the topic — spanning phytochemistry, molecular oncology, immunology, antibody engineering, translational pharmacology, and clinical medicine — means that comprehensive coverage of all relevant sub-disciplines within a single article is not achievable, and some areas of the literature may have received more or less attention than their absolute weight in the field would strictly warrant.</w:t>
      </w:r>
    </w:p>
    <w:p w14:paraId="4FD959C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preclinical evidence base for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while growing, remains predominantly derived from in vitro cell culture and in vivo xenograft models. These systems do not adequately reproduce the immunological architecture of human tumours, particularly in the context of assessing immune-modulatory phytochemical effects that are proposed to enhance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immunotherapy. Findings from xenograft studies conducted in </w:t>
      </w:r>
      <w:r w:rsidRPr="005D6A18">
        <w:rPr>
          <w:rFonts w:ascii="Times New Roman" w:eastAsia="Times New Roman" w:hAnsi="Times New Roman" w:cs="Times New Roman"/>
          <w:sz w:val="24"/>
          <w:szCs w:val="24"/>
          <w:lang w:eastAsia="en-GB"/>
        </w:rPr>
        <w:lastRenderedPageBreak/>
        <w:t>immunodeficient mice are especially unsuitable for evaluating the immunomodulatory effects central to checkpoint inhibitor combinations. Clinical trial data specifically addressing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are still sparse, and definitive conclusions about efficacy and safety cannot yet be drawn from what is available.</w:t>
      </w:r>
    </w:p>
    <w:p w14:paraId="6056CCE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quality, reproducibility, and methodological rigor of phytochemical studies vary substantially across the literature, with many earlier investigations lacking standardised compound preparation, validated pharmacodynamic endpoints, or rigorous controls. This heterogeneity in study quality complicates synthesis and is a recognised limitation of narrative reviews in this domain. Finally, the rapidly evolving nature of both the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and phytochemical fields means that, although this review reflects the literature up to 27 March 2026, it will require timely updating as new clinical trial results, regulatory approvals, and mechanistic discoveries emerge. Readers should consult current primary literature and clinical guidelines for the most up-to-date recommendations.</w:t>
      </w:r>
    </w:p>
    <w:p w14:paraId="3A0F38D5" w14:textId="77777777" w:rsidR="00A51E9A" w:rsidRPr="000839CE" w:rsidRDefault="00A51E9A" w:rsidP="00A51E9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5040B88" w14:textId="77777777" w:rsidR="00A51E9A" w:rsidRPr="000839CE" w:rsidRDefault="00A51E9A" w:rsidP="00A51E9A">
      <w:pPr>
        <w:spacing w:after="0" w:line="240" w:lineRule="auto"/>
        <w:rPr>
          <w:rFonts w:ascii="Times New Roman" w:hAnsi="Times New Roman" w:cs="Times New Roman"/>
        </w:rPr>
      </w:pPr>
    </w:p>
    <w:p w14:paraId="373B5D8A" w14:textId="77777777" w:rsidR="00A51E9A" w:rsidRPr="000839CE" w:rsidRDefault="00A51E9A" w:rsidP="00A51E9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00E741" w14:textId="77777777" w:rsidR="002E6E04" w:rsidRPr="005D6A18" w:rsidRDefault="002E6E04" w:rsidP="002E6E04">
      <w:pPr>
        <w:spacing w:after="0" w:line="240" w:lineRule="auto"/>
        <w:rPr>
          <w:rFonts w:ascii="Times New Roman" w:eastAsia="Times New Roman" w:hAnsi="Times New Roman" w:cs="Times New Roman"/>
          <w:sz w:val="24"/>
          <w:szCs w:val="24"/>
          <w:lang w:eastAsia="en-GB"/>
        </w:rPr>
      </w:pPr>
    </w:p>
    <w:p w14:paraId="26B4A12D" w14:textId="77777777" w:rsidR="002E6E04" w:rsidRPr="005D6A18" w:rsidRDefault="002E6E04" w:rsidP="002E6E0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References</w:t>
      </w:r>
    </w:p>
    <w:p w14:paraId="7A97F8D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Aggarwal, B. B., &amp; Harikumar, K. B. (2009). Potential therapeutic effects of curcumin, the anti-inflammatory agent, against neurodegenerative, cardiovascular, pulmonary, metabolic, autoimmune and neoplastic diseases. </w:t>
      </w:r>
      <w:r w:rsidRPr="005D6A18">
        <w:rPr>
          <w:rFonts w:ascii="Times New Roman" w:eastAsia="Times New Roman" w:hAnsi="Times New Roman" w:cs="Times New Roman"/>
          <w:i/>
          <w:iCs/>
          <w:sz w:val="24"/>
          <w:szCs w:val="24"/>
          <w:lang w:eastAsia="en-GB"/>
        </w:rPr>
        <w:t>International Journal of Biochemistry &amp; Cell Biology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41</w:t>
      </w:r>
      <w:r w:rsidRPr="005D6A18">
        <w:rPr>
          <w:rFonts w:ascii="Times New Roman" w:eastAsia="Times New Roman" w:hAnsi="Times New Roman" w:cs="Times New Roman"/>
          <w:sz w:val="24"/>
          <w:szCs w:val="24"/>
          <w:lang w:eastAsia="en-GB"/>
        </w:rPr>
        <w:t xml:space="preserve">(1), 40–59. </w:t>
      </w:r>
      <w:r w:rsidRPr="005D6A18">
        <w:rPr>
          <w:rFonts w:ascii="Times New Roman" w:eastAsia="Times New Roman" w:hAnsi="Times New Roman" w:cs="Times New Roman"/>
          <w:color w:val="0000FF"/>
          <w:sz w:val="24"/>
          <w:szCs w:val="24"/>
          <w:u w:val="single"/>
          <w:lang w:eastAsia="en-GB"/>
        </w:rPr>
        <w:t>https://doi.org/10.1016/j.biocel.2008.06.010</w:t>
      </w:r>
    </w:p>
    <w:p w14:paraId="333314F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Baur, J. A., &amp; Sinclair, D. A. (2006). Therapeutic potential of resveratrol: The in vivo evidence. </w:t>
      </w:r>
      <w:r w:rsidRPr="005D6A18">
        <w:rPr>
          <w:rFonts w:ascii="Times New Roman" w:eastAsia="Times New Roman" w:hAnsi="Times New Roman" w:cs="Times New Roman"/>
          <w:i/>
          <w:iCs/>
          <w:sz w:val="24"/>
          <w:szCs w:val="24"/>
          <w:lang w:eastAsia="en-GB"/>
        </w:rPr>
        <w:t>Nature Reviews Drug Discovery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5</w:t>
      </w:r>
      <w:r w:rsidRPr="005D6A18">
        <w:rPr>
          <w:rFonts w:ascii="Times New Roman" w:eastAsia="Times New Roman" w:hAnsi="Times New Roman" w:cs="Times New Roman"/>
          <w:sz w:val="24"/>
          <w:szCs w:val="24"/>
          <w:lang w:eastAsia="en-GB"/>
        </w:rPr>
        <w:t xml:space="preserve">(6), 493–506. </w:t>
      </w:r>
      <w:r w:rsidRPr="005D6A18">
        <w:rPr>
          <w:rFonts w:ascii="Times New Roman" w:eastAsia="Times New Roman" w:hAnsi="Times New Roman" w:cs="Times New Roman"/>
          <w:color w:val="0000FF"/>
          <w:sz w:val="24"/>
          <w:szCs w:val="24"/>
          <w:u w:val="single"/>
          <w:lang w:eastAsia="en-GB"/>
        </w:rPr>
        <w:t>https://doi.org/10.1038/nrd2060</w:t>
      </w:r>
    </w:p>
    <w:p w14:paraId="49B944E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5D6A18">
        <w:rPr>
          <w:rFonts w:ascii="Times New Roman" w:eastAsia="Times New Roman" w:hAnsi="Times New Roman" w:cs="Times New Roman"/>
          <w:sz w:val="24"/>
          <w:szCs w:val="24"/>
          <w:lang w:eastAsia="en-GB"/>
        </w:rPr>
        <w:t>Borghaei</w:t>
      </w:r>
      <w:proofErr w:type="spellEnd"/>
      <w:r w:rsidRPr="005D6A18">
        <w:rPr>
          <w:rFonts w:ascii="Times New Roman" w:eastAsia="Times New Roman" w:hAnsi="Times New Roman" w:cs="Times New Roman"/>
          <w:sz w:val="24"/>
          <w:szCs w:val="24"/>
          <w:lang w:eastAsia="en-GB"/>
        </w:rPr>
        <w:t xml:space="preserve">, H., Paz-Ares, L., Horn, L., Spigel, D. R., Steins, M., Ready, N. E., Chow, L. Q., Vokes, E. E., Felip, E., Holgado, E., </w:t>
      </w:r>
      <w:proofErr w:type="spellStart"/>
      <w:r w:rsidRPr="005D6A18">
        <w:rPr>
          <w:rFonts w:ascii="Times New Roman" w:eastAsia="Times New Roman" w:hAnsi="Times New Roman" w:cs="Times New Roman"/>
          <w:sz w:val="24"/>
          <w:szCs w:val="24"/>
          <w:lang w:eastAsia="en-GB"/>
        </w:rPr>
        <w:t>Barlesi</w:t>
      </w:r>
      <w:proofErr w:type="spellEnd"/>
      <w:r w:rsidRPr="005D6A18">
        <w:rPr>
          <w:rFonts w:ascii="Times New Roman" w:eastAsia="Times New Roman" w:hAnsi="Times New Roman" w:cs="Times New Roman"/>
          <w:sz w:val="24"/>
          <w:szCs w:val="24"/>
          <w:lang w:eastAsia="en-GB"/>
        </w:rPr>
        <w:t xml:space="preserve">, F., </w:t>
      </w:r>
      <w:proofErr w:type="spellStart"/>
      <w:r w:rsidRPr="005D6A18">
        <w:rPr>
          <w:rFonts w:ascii="Times New Roman" w:eastAsia="Times New Roman" w:hAnsi="Times New Roman" w:cs="Times New Roman"/>
          <w:sz w:val="24"/>
          <w:szCs w:val="24"/>
          <w:lang w:eastAsia="en-GB"/>
        </w:rPr>
        <w:t>Kohlhäufl</w:t>
      </w:r>
      <w:proofErr w:type="spellEnd"/>
      <w:r w:rsidRPr="005D6A18">
        <w:rPr>
          <w:rFonts w:ascii="Times New Roman" w:eastAsia="Times New Roman" w:hAnsi="Times New Roman" w:cs="Times New Roman"/>
          <w:sz w:val="24"/>
          <w:szCs w:val="24"/>
          <w:lang w:eastAsia="en-GB"/>
        </w:rPr>
        <w:t xml:space="preserve">, M., Arrieta, O., Burgio, M. A., Fayette, J., Lena, H., </w:t>
      </w:r>
      <w:proofErr w:type="spellStart"/>
      <w:r w:rsidRPr="005D6A18">
        <w:rPr>
          <w:rFonts w:ascii="Times New Roman" w:eastAsia="Times New Roman" w:hAnsi="Times New Roman" w:cs="Times New Roman"/>
          <w:sz w:val="24"/>
          <w:szCs w:val="24"/>
          <w:lang w:eastAsia="en-GB"/>
        </w:rPr>
        <w:t>Poddubskaya</w:t>
      </w:r>
      <w:proofErr w:type="spellEnd"/>
      <w:r w:rsidRPr="005D6A18">
        <w:rPr>
          <w:rFonts w:ascii="Times New Roman" w:eastAsia="Times New Roman" w:hAnsi="Times New Roman" w:cs="Times New Roman"/>
          <w:sz w:val="24"/>
          <w:szCs w:val="24"/>
          <w:lang w:eastAsia="en-GB"/>
        </w:rPr>
        <w:t xml:space="preserve">, E., Gerber, D. E., Gettinger, S. N., … Brahmer, J. R. (2015). Nivolumab versus docetaxel in advanced </w:t>
      </w:r>
      <w:proofErr w:type="spellStart"/>
      <w:r w:rsidRPr="005D6A18">
        <w:rPr>
          <w:rFonts w:ascii="Times New Roman" w:eastAsia="Times New Roman" w:hAnsi="Times New Roman" w:cs="Times New Roman"/>
          <w:sz w:val="24"/>
          <w:szCs w:val="24"/>
          <w:lang w:eastAsia="en-GB"/>
        </w:rPr>
        <w:t>nonsquamous</w:t>
      </w:r>
      <w:proofErr w:type="spellEnd"/>
      <w:r w:rsidRPr="005D6A18">
        <w:rPr>
          <w:rFonts w:ascii="Times New Roman" w:eastAsia="Times New Roman" w:hAnsi="Times New Roman" w:cs="Times New Roman"/>
          <w:sz w:val="24"/>
          <w:szCs w:val="24"/>
          <w:lang w:eastAsia="en-GB"/>
        </w:rPr>
        <w:t xml:space="preserve"> non-small-cell lung cancer.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373</w:t>
      </w:r>
      <w:r w:rsidRPr="005D6A18">
        <w:rPr>
          <w:rFonts w:ascii="Times New Roman" w:eastAsia="Times New Roman" w:hAnsi="Times New Roman" w:cs="Times New Roman"/>
          <w:sz w:val="24"/>
          <w:szCs w:val="24"/>
          <w:lang w:eastAsia="en-GB"/>
        </w:rPr>
        <w:t xml:space="preserve">(17), 1627–1639. </w:t>
      </w:r>
      <w:r w:rsidRPr="005D6A18">
        <w:rPr>
          <w:rFonts w:ascii="Times New Roman" w:eastAsia="Times New Roman" w:hAnsi="Times New Roman" w:cs="Times New Roman"/>
          <w:color w:val="0000FF"/>
          <w:sz w:val="24"/>
          <w:szCs w:val="24"/>
          <w:u w:val="single"/>
          <w:lang w:eastAsia="en-GB"/>
        </w:rPr>
        <w:t>https://doi.org/10.1056/NEJMoa1507643</w:t>
      </w:r>
    </w:p>
    <w:p w14:paraId="6394B8E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Chen, L., &amp; Han, X. (2015). Anti-PD-1/PD-L1 therapy of human cancer: Past, present, and future. </w:t>
      </w:r>
      <w:r w:rsidRPr="005D6A18">
        <w:rPr>
          <w:rFonts w:ascii="Times New Roman" w:eastAsia="Times New Roman" w:hAnsi="Times New Roman" w:cs="Times New Roman"/>
          <w:i/>
          <w:iCs/>
          <w:sz w:val="24"/>
          <w:szCs w:val="24"/>
          <w:lang w:eastAsia="en-GB"/>
        </w:rPr>
        <w:t>Journal of Clinical Investigation</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125</w:t>
      </w:r>
      <w:r w:rsidRPr="005D6A18">
        <w:rPr>
          <w:rFonts w:ascii="Times New Roman" w:eastAsia="Times New Roman" w:hAnsi="Times New Roman" w:cs="Times New Roman"/>
          <w:sz w:val="24"/>
          <w:szCs w:val="24"/>
          <w:lang w:eastAsia="en-GB"/>
        </w:rPr>
        <w:t xml:space="preserve">(9), 3384–3391. </w:t>
      </w:r>
      <w:r w:rsidRPr="005D6A18">
        <w:rPr>
          <w:rFonts w:ascii="Times New Roman" w:eastAsia="Times New Roman" w:hAnsi="Times New Roman" w:cs="Times New Roman"/>
          <w:color w:val="0000FF"/>
          <w:sz w:val="24"/>
          <w:szCs w:val="24"/>
          <w:u w:val="single"/>
          <w:lang w:eastAsia="en-GB"/>
        </w:rPr>
        <w:t>https://doi.org/10.1172/JCI80011</w:t>
      </w:r>
    </w:p>
    <w:p w14:paraId="5B85E96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Cragg, G. M., &amp; Newman, D. J. (2005). Plants as a source of anti-cancer agents. </w:t>
      </w:r>
      <w:r w:rsidRPr="005D6A18">
        <w:rPr>
          <w:rFonts w:ascii="Times New Roman" w:eastAsia="Times New Roman" w:hAnsi="Times New Roman" w:cs="Times New Roman"/>
          <w:i/>
          <w:iCs/>
          <w:sz w:val="24"/>
          <w:szCs w:val="24"/>
          <w:lang w:eastAsia="en-GB"/>
        </w:rPr>
        <w:t>Journal of Ethnopharmacology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100</w:t>
      </w:r>
      <w:r w:rsidRPr="005D6A18">
        <w:rPr>
          <w:rFonts w:ascii="Times New Roman" w:eastAsia="Times New Roman" w:hAnsi="Times New Roman" w:cs="Times New Roman"/>
          <w:sz w:val="24"/>
          <w:szCs w:val="24"/>
          <w:lang w:eastAsia="en-GB"/>
        </w:rPr>
        <w:t xml:space="preserve">(1–2), 72–79. </w:t>
      </w:r>
      <w:r w:rsidRPr="005D6A18">
        <w:rPr>
          <w:rFonts w:ascii="Times New Roman" w:eastAsia="Times New Roman" w:hAnsi="Times New Roman" w:cs="Times New Roman"/>
          <w:color w:val="0000FF"/>
          <w:sz w:val="24"/>
          <w:szCs w:val="24"/>
          <w:u w:val="single"/>
          <w:lang w:eastAsia="en-GB"/>
        </w:rPr>
        <w:t>https://doi.org/10.1016/j.jep.2005.05.011</w:t>
      </w:r>
    </w:p>
    <w:p w14:paraId="3B5807C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Cunningham, D., </w:t>
      </w:r>
      <w:proofErr w:type="spellStart"/>
      <w:r w:rsidRPr="005D6A18">
        <w:rPr>
          <w:rFonts w:ascii="Times New Roman" w:eastAsia="Times New Roman" w:hAnsi="Times New Roman" w:cs="Times New Roman"/>
          <w:sz w:val="24"/>
          <w:szCs w:val="24"/>
          <w:lang w:eastAsia="en-GB"/>
        </w:rPr>
        <w:t>Humblet</w:t>
      </w:r>
      <w:proofErr w:type="spellEnd"/>
      <w:r w:rsidRPr="005D6A18">
        <w:rPr>
          <w:rFonts w:ascii="Times New Roman" w:eastAsia="Times New Roman" w:hAnsi="Times New Roman" w:cs="Times New Roman"/>
          <w:sz w:val="24"/>
          <w:szCs w:val="24"/>
          <w:lang w:eastAsia="en-GB"/>
        </w:rPr>
        <w:t xml:space="preserve">, Y., Siena, S., Khayat, D., Bleiberg, H., Santoro, A., Bets, D., </w:t>
      </w:r>
      <w:proofErr w:type="spellStart"/>
      <w:r w:rsidRPr="005D6A18">
        <w:rPr>
          <w:rFonts w:ascii="Times New Roman" w:eastAsia="Times New Roman" w:hAnsi="Times New Roman" w:cs="Times New Roman"/>
          <w:sz w:val="24"/>
          <w:szCs w:val="24"/>
          <w:lang w:eastAsia="en-GB"/>
        </w:rPr>
        <w:t>Mueser</w:t>
      </w:r>
      <w:proofErr w:type="spellEnd"/>
      <w:r w:rsidRPr="005D6A18">
        <w:rPr>
          <w:rFonts w:ascii="Times New Roman" w:eastAsia="Times New Roman" w:hAnsi="Times New Roman" w:cs="Times New Roman"/>
          <w:sz w:val="24"/>
          <w:szCs w:val="24"/>
          <w:lang w:eastAsia="en-GB"/>
        </w:rPr>
        <w:t xml:space="preserve">, M., Harstrick, A., </w:t>
      </w:r>
      <w:proofErr w:type="spellStart"/>
      <w:r w:rsidRPr="005D6A18">
        <w:rPr>
          <w:rFonts w:ascii="Times New Roman" w:eastAsia="Times New Roman" w:hAnsi="Times New Roman" w:cs="Times New Roman"/>
          <w:sz w:val="24"/>
          <w:szCs w:val="24"/>
          <w:lang w:eastAsia="en-GB"/>
        </w:rPr>
        <w:t>Verslype</w:t>
      </w:r>
      <w:proofErr w:type="spellEnd"/>
      <w:r w:rsidRPr="005D6A18">
        <w:rPr>
          <w:rFonts w:ascii="Times New Roman" w:eastAsia="Times New Roman" w:hAnsi="Times New Roman" w:cs="Times New Roman"/>
          <w:sz w:val="24"/>
          <w:szCs w:val="24"/>
          <w:lang w:eastAsia="en-GB"/>
        </w:rPr>
        <w:t xml:space="preserve">, C., Chau, I., &amp; Van Cutsem, E. (2004). Cetuximab monotherapy and cetuximab plus irinotecan in irinotecan-refractory metastatic colorectal cancer.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351</w:t>
      </w:r>
      <w:r w:rsidRPr="005D6A18">
        <w:rPr>
          <w:rFonts w:ascii="Times New Roman" w:eastAsia="Times New Roman" w:hAnsi="Times New Roman" w:cs="Times New Roman"/>
          <w:sz w:val="24"/>
          <w:szCs w:val="24"/>
          <w:lang w:eastAsia="en-GB"/>
        </w:rPr>
        <w:t xml:space="preserve">(4), 337–345. </w:t>
      </w:r>
      <w:r w:rsidRPr="005D6A18">
        <w:rPr>
          <w:rFonts w:ascii="Times New Roman" w:eastAsia="Times New Roman" w:hAnsi="Times New Roman" w:cs="Times New Roman"/>
          <w:color w:val="0000FF"/>
          <w:sz w:val="24"/>
          <w:szCs w:val="24"/>
          <w:u w:val="single"/>
          <w:lang w:eastAsia="en-GB"/>
        </w:rPr>
        <w:t>https://doi.org/10.1056/NEJMoa033025</w:t>
      </w:r>
    </w:p>
    <w:p w14:paraId="3B305F8D"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DeVita, V. T., &amp; Chu, E. (2008). A history of cancer chemotherapy. </w:t>
      </w:r>
      <w:r w:rsidRPr="005D6A18">
        <w:rPr>
          <w:rFonts w:ascii="Times New Roman" w:eastAsia="Times New Roman" w:hAnsi="Times New Roman" w:cs="Times New Roman"/>
          <w:i/>
          <w:iCs/>
          <w:sz w:val="24"/>
          <w:szCs w:val="24"/>
          <w:lang w:eastAsia="en-GB"/>
        </w:rPr>
        <w:t>Cancer Research</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68</w:t>
      </w:r>
      <w:r w:rsidRPr="005D6A18">
        <w:rPr>
          <w:rFonts w:ascii="Times New Roman" w:eastAsia="Times New Roman" w:hAnsi="Times New Roman" w:cs="Times New Roman"/>
          <w:sz w:val="24"/>
          <w:szCs w:val="24"/>
          <w:lang w:eastAsia="en-GB"/>
        </w:rPr>
        <w:t xml:space="preserve">(21), 8643–8653. </w:t>
      </w:r>
      <w:r w:rsidRPr="005D6A18">
        <w:rPr>
          <w:rFonts w:ascii="Times New Roman" w:eastAsia="Times New Roman" w:hAnsi="Times New Roman" w:cs="Times New Roman"/>
          <w:color w:val="0000FF"/>
          <w:sz w:val="24"/>
          <w:szCs w:val="24"/>
          <w:u w:val="single"/>
          <w:lang w:eastAsia="en-GB"/>
        </w:rPr>
        <w:t>https://doi.org/10.1158/0008-5472.CAN-07-6611</w:t>
      </w:r>
    </w:p>
    <w:p w14:paraId="49CE656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Drago, J. Z., Modi, S., &amp; </w:t>
      </w:r>
      <w:proofErr w:type="spellStart"/>
      <w:r w:rsidRPr="005D6A18">
        <w:rPr>
          <w:rFonts w:ascii="Times New Roman" w:eastAsia="Times New Roman" w:hAnsi="Times New Roman" w:cs="Times New Roman"/>
          <w:sz w:val="24"/>
          <w:szCs w:val="24"/>
          <w:lang w:eastAsia="en-GB"/>
        </w:rPr>
        <w:t>Chandarlapaty</w:t>
      </w:r>
      <w:proofErr w:type="spellEnd"/>
      <w:r w:rsidRPr="005D6A18">
        <w:rPr>
          <w:rFonts w:ascii="Times New Roman" w:eastAsia="Times New Roman" w:hAnsi="Times New Roman" w:cs="Times New Roman"/>
          <w:sz w:val="24"/>
          <w:szCs w:val="24"/>
          <w:lang w:eastAsia="en-GB"/>
        </w:rPr>
        <w:t xml:space="preserve">, S. (2021). Unlocking the potential of antibody–drug conjugates for cancer therapy. </w:t>
      </w:r>
      <w:r w:rsidRPr="005D6A18">
        <w:rPr>
          <w:rFonts w:ascii="Times New Roman" w:eastAsia="Times New Roman" w:hAnsi="Times New Roman" w:cs="Times New Roman"/>
          <w:i/>
          <w:iCs/>
          <w:sz w:val="24"/>
          <w:szCs w:val="24"/>
          <w:lang w:eastAsia="en-GB"/>
        </w:rPr>
        <w:t>Nature Reviews Clinical Oncology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18</w:t>
      </w:r>
      <w:r w:rsidRPr="005D6A18">
        <w:rPr>
          <w:rFonts w:ascii="Times New Roman" w:eastAsia="Times New Roman" w:hAnsi="Times New Roman" w:cs="Times New Roman"/>
          <w:sz w:val="24"/>
          <w:szCs w:val="24"/>
          <w:lang w:eastAsia="en-GB"/>
        </w:rPr>
        <w:t xml:space="preserve">(6), 327–344. </w:t>
      </w:r>
      <w:r w:rsidRPr="005D6A18">
        <w:rPr>
          <w:rFonts w:ascii="Times New Roman" w:eastAsia="Times New Roman" w:hAnsi="Times New Roman" w:cs="Times New Roman"/>
          <w:color w:val="0000FF"/>
          <w:sz w:val="24"/>
          <w:szCs w:val="24"/>
          <w:u w:val="single"/>
          <w:lang w:eastAsia="en-GB"/>
        </w:rPr>
        <w:t>https://doi.org/10.1038/s41571-021-00470-8</w:t>
      </w:r>
    </w:p>
    <w:p w14:paraId="0E15480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xml:space="preserve">, T. (2017). From ancient herb to modern drug: </w:t>
      </w:r>
      <w:r w:rsidRPr="005D6A18">
        <w:rPr>
          <w:rFonts w:ascii="Times New Roman" w:eastAsia="Times New Roman" w:hAnsi="Times New Roman" w:cs="Times New Roman"/>
          <w:i/>
          <w:iCs/>
          <w:sz w:val="24"/>
          <w:szCs w:val="24"/>
          <w:lang w:eastAsia="en-GB"/>
        </w:rPr>
        <w:t>Artemisia annua</w:t>
      </w:r>
      <w:r w:rsidRPr="005D6A18">
        <w:rPr>
          <w:rFonts w:ascii="Times New Roman" w:eastAsia="Times New Roman" w:hAnsi="Times New Roman" w:cs="Times New Roman"/>
          <w:sz w:val="24"/>
          <w:szCs w:val="24"/>
          <w:lang w:eastAsia="en-GB"/>
        </w:rPr>
        <w:t xml:space="preserve"> and artemisinin for cancer therapy. </w:t>
      </w:r>
      <w:r w:rsidRPr="005D6A18">
        <w:rPr>
          <w:rFonts w:ascii="Times New Roman" w:eastAsia="Times New Roman" w:hAnsi="Times New Roman" w:cs="Times New Roman"/>
          <w:i/>
          <w:iCs/>
          <w:sz w:val="24"/>
          <w:szCs w:val="24"/>
          <w:lang w:eastAsia="en-GB"/>
        </w:rPr>
        <w:t>Seminars in Cancer Biology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46</w:t>
      </w:r>
      <w:r w:rsidRPr="005D6A18">
        <w:rPr>
          <w:rFonts w:ascii="Times New Roman" w:eastAsia="Times New Roman" w:hAnsi="Times New Roman" w:cs="Times New Roman"/>
          <w:sz w:val="24"/>
          <w:szCs w:val="24"/>
          <w:lang w:eastAsia="en-GB"/>
        </w:rPr>
        <w:t xml:space="preserve">, 65–83. </w:t>
      </w:r>
      <w:r w:rsidRPr="005D6A18">
        <w:rPr>
          <w:rFonts w:ascii="Times New Roman" w:eastAsia="Times New Roman" w:hAnsi="Times New Roman" w:cs="Times New Roman"/>
          <w:color w:val="0000FF"/>
          <w:sz w:val="24"/>
          <w:szCs w:val="24"/>
          <w:u w:val="single"/>
          <w:lang w:eastAsia="en-GB"/>
        </w:rPr>
        <w:t>https://doi.org/10.1016/j.semcancer.2017.02.009</w:t>
      </w:r>
    </w:p>
    <w:p w14:paraId="61794168"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Ferrara, N., Hillan, K. J., Gerber, H.-P., &amp; Novotny, W. (2004). Discovery and development of bevacizumab, an anti-VEGF antibody for treating cancer. </w:t>
      </w:r>
      <w:r w:rsidRPr="005D6A18">
        <w:rPr>
          <w:rFonts w:ascii="Times New Roman" w:eastAsia="Times New Roman" w:hAnsi="Times New Roman" w:cs="Times New Roman"/>
          <w:i/>
          <w:iCs/>
          <w:sz w:val="24"/>
          <w:szCs w:val="24"/>
          <w:lang w:eastAsia="en-GB"/>
        </w:rPr>
        <w:t>Nature Reviews Drug Discovery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w:t>
      </w:r>
      <w:r w:rsidRPr="005D6A18">
        <w:rPr>
          <w:rFonts w:ascii="Times New Roman" w:eastAsia="Times New Roman" w:hAnsi="Times New Roman" w:cs="Times New Roman"/>
          <w:sz w:val="24"/>
          <w:szCs w:val="24"/>
          <w:lang w:eastAsia="en-GB"/>
        </w:rPr>
        <w:t xml:space="preserve">(5), 391–400. </w:t>
      </w:r>
      <w:r w:rsidRPr="005D6A18">
        <w:rPr>
          <w:rFonts w:ascii="Times New Roman" w:eastAsia="Times New Roman" w:hAnsi="Times New Roman" w:cs="Times New Roman"/>
          <w:color w:val="0000FF"/>
          <w:sz w:val="24"/>
          <w:szCs w:val="24"/>
          <w:u w:val="single"/>
          <w:lang w:eastAsia="en-GB"/>
        </w:rPr>
        <w:t>https://doi.org/10.1038/nrd1381</w:t>
      </w:r>
    </w:p>
    <w:p w14:paraId="03CF1F3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Green, B. N., Johnson, C. D., &amp; Adams, A. (2006). Writing narrative literature reviews for peer-reviewed journals: Secrets of the trade. </w:t>
      </w:r>
      <w:r w:rsidRPr="005D6A18">
        <w:rPr>
          <w:rFonts w:ascii="Times New Roman" w:eastAsia="Times New Roman" w:hAnsi="Times New Roman" w:cs="Times New Roman"/>
          <w:i/>
          <w:iCs/>
          <w:sz w:val="24"/>
          <w:szCs w:val="24"/>
          <w:lang w:eastAsia="en-GB"/>
        </w:rPr>
        <w:t>Journal of Chiropractic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5</w:t>
      </w:r>
      <w:r w:rsidRPr="005D6A18">
        <w:rPr>
          <w:rFonts w:ascii="Times New Roman" w:eastAsia="Times New Roman" w:hAnsi="Times New Roman" w:cs="Times New Roman"/>
          <w:sz w:val="24"/>
          <w:szCs w:val="24"/>
          <w:lang w:eastAsia="en-GB"/>
        </w:rPr>
        <w:t xml:space="preserve">(3), 101–117. </w:t>
      </w:r>
      <w:r w:rsidRPr="005D6A18">
        <w:rPr>
          <w:rFonts w:ascii="Times New Roman" w:eastAsia="Times New Roman" w:hAnsi="Times New Roman" w:cs="Times New Roman"/>
          <w:color w:val="0000FF"/>
          <w:sz w:val="24"/>
          <w:szCs w:val="24"/>
          <w:u w:val="single"/>
          <w:lang w:eastAsia="en-GB"/>
        </w:rPr>
        <w:t>https://doi.org/10.1016/S0899-3467(07)60142-6</w:t>
      </w:r>
    </w:p>
    <w:p w14:paraId="3BECE15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Hanahan, D. (2022). Hallmarks of cancer: New dimensions. </w:t>
      </w:r>
      <w:r w:rsidRPr="005D6A18">
        <w:rPr>
          <w:rFonts w:ascii="Times New Roman" w:eastAsia="Times New Roman" w:hAnsi="Times New Roman" w:cs="Times New Roman"/>
          <w:i/>
          <w:iCs/>
          <w:sz w:val="24"/>
          <w:szCs w:val="24"/>
          <w:lang w:eastAsia="en-GB"/>
        </w:rPr>
        <w:t>Cancer Discovery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12</w:t>
      </w:r>
      <w:r w:rsidRPr="005D6A18">
        <w:rPr>
          <w:rFonts w:ascii="Times New Roman" w:eastAsia="Times New Roman" w:hAnsi="Times New Roman" w:cs="Times New Roman"/>
          <w:sz w:val="24"/>
          <w:szCs w:val="24"/>
          <w:lang w:eastAsia="en-GB"/>
        </w:rPr>
        <w:t xml:space="preserve">(1), 31–46. </w:t>
      </w:r>
      <w:r w:rsidRPr="005D6A18">
        <w:rPr>
          <w:rFonts w:ascii="Times New Roman" w:eastAsia="Times New Roman" w:hAnsi="Times New Roman" w:cs="Times New Roman"/>
          <w:color w:val="0000FF"/>
          <w:sz w:val="24"/>
          <w:szCs w:val="24"/>
          <w:u w:val="single"/>
          <w:lang w:eastAsia="en-GB"/>
        </w:rPr>
        <w:t>https://doi.org/10.1158/2159-8290.CD-21-1059</w:t>
      </w:r>
    </w:p>
    <w:p w14:paraId="098E6D9A"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Hanahan, D., &amp; Weinberg, R. A. (2011). Hallmarks of cancer: The next generation. </w:t>
      </w:r>
      <w:r w:rsidRPr="005D6A18">
        <w:rPr>
          <w:rFonts w:ascii="Times New Roman" w:eastAsia="Times New Roman" w:hAnsi="Times New Roman" w:cs="Times New Roman"/>
          <w:i/>
          <w:iCs/>
          <w:sz w:val="24"/>
          <w:szCs w:val="24"/>
          <w:lang w:eastAsia="en-GB"/>
        </w:rPr>
        <w:t>Cell</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144</w:t>
      </w:r>
      <w:r w:rsidRPr="005D6A18">
        <w:rPr>
          <w:rFonts w:ascii="Times New Roman" w:eastAsia="Times New Roman" w:hAnsi="Times New Roman" w:cs="Times New Roman"/>
          <w:sz w:val="24"/>
          <w:szCs w:val="24"/>
          <w:lang w:eastAsia="en-GB"/>
        </w:rPr>
        <w:t xml:space="preserve">(5), 646–674. </w:t>
      </w:r>
      <w:r w:rsidRPr="005D6A18">
        <w:rPr>
          <w:rFonts w:ascii="Times New Roman" w:eastAsia="Times New Roman" w:hAnsi="Times New Roman" w:cs="Times New Roman"/>
          <w:color w:val="0000FF"/>
          <w:sz w:val="24"/>
          <w:szCs w:val="24"/>
          <w:u w:val="single"/>
          <w:lang w:eastAsia="en-GB"/>
        </w:rPr>
        <w:t>https://doi.org/10.1016/j.cell.2011.02.013</w:t>
      </w:r>
    </w:p>
    <w:p w14:paraId="380F64F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Hodi, F. S., O'Day, S. J., McDermott, D. F., Weber, R. W., </w:t>
      </w:r>
      <w:proofErr w:type="spellStart"/>
      <w:r w:rsidRPr="005D6A18">
        <w:rPr>
          <w:rFonts w:ascii="Times New Roman" w:eastAsia="Times New Roman" w:hAnsi="Times New Roman" w:cs="Times New Roman"/>
          <w:sz w:val="24"/>
          <w:szCs w:val="24"/>
          <w:lang w:eastAsia="en-GB"/>
        </w:rPr>
        <w:t>Sosman</w:t>
      </w:r>
      <w:proofErr w:type="spellEnd"/>
      <w:r w:rsidRPr="005D6A18">
        <w:rPr>
          <w:rFonts w:ascii="Times New Roman" w:eastAsia="Times New Roman" w:hAnsi="Times New Roman" w:cs="Times New Roman"/>
          <w:sz w:val="24"/>
          <w:szCs w:val="24"/>
          <w:lang w:eastAsia="en-GB"/>
        </w:rPr>
        <w:t xml:space="preserve">, J. A., Haanen, J. B., Gonzalez, R., Robert, C., </w:t>
      </w:r>
      <w:proofErr w:type="spellStart"/>
      <w:r w:rsidRPr="005D6A18">
        <w:rPr>
          <w:rFonts w:ascii="Times New Roman" w:eastAsia="Times New Roman" w:hAnsi="Times New Roman" w:cs="Times New Roman"/>
          <w:sz w:val="24"/>
          <w:szCs w:val="24"/>
          <w:lang w:eastAsia="en-GB"/>
        </w:rPr>
        <w:t>Schadendorf</w:t>
      </w:r>
      <w:proofErr w:type="spellEnd"/>
      <w:r w:rsidRPr="005D6A18">
        <w:rPr>
          <w:rFonts w:ascii="Times New Roman" w:eastAsia="Times New Roman" w:hAnsi="Times New Roman" w:cs="Times New Roman"/>
          <w:sz w:val="24"/>
          <w:szCs w:val="24"/>
          <w:lang w:eastAsia="en-GB"/>
        </w:rPr>
        <w:t xml:space="preserve">, D., Hassel, J. C., Akerley, W., van den Eertwegh, A. J. M., Lutzky, J., Lorigan, P., Vaubel, J. M., Linette, G. P., Hogg, D., </w:t>
      </w:r>
      <w:proofErr w:type="spellStart"/>
      <w:r w:rsidRPr="005D6A18">
        <w:rPr>
          <w:rFonts w:ascii="Times New Roman" w:eastAsia="Times New Roman" w:hAnsi="Times New Roman" w:cs="Times New Roman"/>
          <w:sz w:val="24"/>
          <w:szCs w:val="24"/>
          <w:lang w:eastAsia="en-GB"/>
        </w:rPr>
        <w:t>Ottensmeier</w:t>
      </w:r>
      <w:proofErr w:type="spellEnd"/>
      <w:r w:rsidRPr="005D6A18">
        <w:rPr>
          <w:rFonts w:ascii="Times New Roman" w:eastAsia="Times New Roman" w:hAnsi="Times New Roman" w:cs="Times New Roman"/>
          <w:sz w:val="24"/>
          <w:szCs w:val="24"/>
          <w:lang w:eastAsia="en-GB"/>
        </w:rPr>
        <w:t xml:space="preserve">, C. H., </w:t>
      </w:r>
      <w:proofErr w:type="spellStart"/>
      <w:r w:rsidRPr="005D6A18">
        <w:rPr>
          <w:rFonts w:ascii="Times New Roman" w:eastAsia="Times New Roman" w:hAnsi="Times New Roman" w:cs="Times New Roman"/>
          <w:sz w:val="24"/>
          <w:szCs w:val="24"/>
          <w:lang w:eastAsia="en-GB"/>
        </w:rPr>
        <w:t>Lebbé</w:t>
      </w:r>
      <w:proofErr w:type="spellEnd"/>
      <w:r w:rsidRPr="005D6A18">
        <w:rPr>
          <w:rFonts w:ascii="Times New Roman" w:eastAsia="Times New Roman" w:hAnsi="Times New Roman" w:cs="Times New Roman"/>
          <w:sz w:val="24"/>
          <w:szCs w:val="24"/>
          <w:lang w:eastAsia="en-GB"/>
        </w:rPr>
        <w:t xml:space="preserve">, C., …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xml:space="preserve">, J. D. (2010). Improved survival with ipilimumab in patients with metastatic melanoma.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363</w:t>
      </w:r>
      <w:r w:rsidRPr="005D6A18">
        <w:rPr>
          <w:rFonts w:ascii="Times New Roman" w:eastAsia="Times New Roman" w:hAnsi="Times New Roman" w:cs="Times New Roman"/>
          <w:sz w:val="24"/>
          <w:szCs w:val="24"/>
          <w:lang w:eastAsia="en-GB"/>
        </w:rPr>
        <w:t xml:space="preserve">(8), 711–723. </w:t>
      </w:r>
      <w:r w:rsidRPr="005D6A18">
        <w:rPr>
          <w:rFonts w:ascii="Times New Roman" w:eastAsia="Times New Roman" w:hAnsi="Times New Roman" w:cs="Times New Roman"/>
          <w:color w:val="0000FF"/>
          <w:sz w:val="24"/>
          <w:szCs w:val="24"/>
          <w:u w:val="single"/>
          <w:lang w:eastAsia="en-GB"/>
        </w:rPr>
        <w:t>https://doi.org/10.1056/NEJMoa1003466</w:t>
      </w:r>
    </w:p>
    <w:p w14:paraId="41A2390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Holohan, C., Van Schaeybroeck, S., Longley, D. B., &amp; Johnston, P. G. (2013). Cancer drug resistance: An evolving paradigm. </w:t>
      </w:r>
      <w:r w:rsidRPr="005D6A18">
        <w:rPr>
          <w:rFonts w:ascii="Times New Roman" w:eastAsia="Times New Roman" w:hAnsi="Times New Roman" w:cs="Times New Roman"/>
          <w:i/>
          <w:iCs/>
          <w:sz w:val="24"/>
          <w:szCs w:val="24"/>
          <w:lang w:eastAsia="en-GB"/>
        </w:rPr>
        <w:t>Nature Reviews Cancer</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13</w:t>
      </w:r>
      <w:r w:rsidRPr="005D6A18">
        <w:rPr>
          <w:rFonts w:ascii="Times New Roman" w:eastAsia="Times New Roman" w:hAnsi="Times New Roman" w:cs="Times New Roman"/>
          <w:sz w:val="24"/>
          <w:szCs w:val="24"/>
          <w:lang w:eastAsia="en-GB"/>
        </w:rPr>
        <w:t xml:space="preserve">(10), 714–726. </w:t>
      </w:r>
      <w:r w:rsidRPr="005D6A18">
        <w:rPr>
          <w:rFonts w:ascii="Times New Roman" w:eastAsia="Times New Roman" w:hAnsi="Times New Roman" w:cs="Times New Roman"/>
          <w:color w:val="0000FF"/>
          <w:sz w:val="24"/>
          <w:szCs w:val="24"/>
          <w:u w:val="single"/>
          <w:lang w:eastAsia="en-GB"/>
        </w:rPr>
        <w:t>https://doi.org/10.1038/nrc3599</w:t>
      </w:r>
    </w:p>
    <w:p w14:paraId="07723901"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Hurwitz, H., Fehrenbacher, L., Novotny, W., Cartwright, T., Hainsworth, J., Heim, W., Berlin, J., Baron, A., Griffing, S., Holmgren, E., Ferrara, N., Fyfe, G., Rogers, B., Ross, R., &amp; </w:t>
      </w:r>
      <w:proofErr w:type="spellStart"/>
      <w:r w:rsidRPr="005D6A18">
        <w:rPr>
          <w:rFonts w:ascii="Times New Roman" w:eastAsia="Times New Roman" w:hAnsi="Times New Roman" w:cs="Times New Roman"/>
          <w:sz w:val="24"/>
          <w:szCs w:val="24"/>
          <w:lang w:eastAsia="en-GB"/>
        </w:rPr>
        <w:t>Kabbinavar</w:t>
      </w:r>
      <w:proofErr w:type="spellEnd"/>
      <w:r w:rsidRPr="005D6A18">
        <w:rPr>
          <w:rFonts w:ascii="Times New Roman" w:eastAsia="Times New Roman" w:hAnsi="Times New Roman" w:cs="Times New Roman"/>
          <w:sz w:val="24"/>
          <w:szCs w:val="24"/>
          <w:lang w:eastAsia="en-GB"/>
        </w:rPr>
        <w:t xml:space="preserve">, F. (2004). Bevacizumab plus irinotecan, fluorouracil, and leucovorin for metastatic colorectal cancer.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350</w:t>
      </w:r>
      <w:r w:rsidRPr="005D6A18">
        <w:rPr>
          <w:rFonts w:ascii="Times New Roman" w:eastAsia="Times New Roman" w:hAnsi="Times New Roman" w:cs="Times New Roman"/>
          <w:sz w:val="24"/>
          <w:szCs w:val="24"/>
          <w:lang w:eastAsia="en-GB"/>
        </w:rPr>
        <w:t xml:space="preserve">(23), 2335–2342. </w:t>
      </w:r>
      <w:r w:rsidRPr="005D6A18">
        <w:rPr>
          <w:rFonts w:ascii="Times New Roman" w:eastAsia="Times New Roman" w:hAnsi="Times New Roman" w:cs="Times New Roman"/>
          <w:color w:val="0000FF"/>
          <w:sz w:val="24"/>
          <w:szCs w:val="24"/>
          <w:u w:val="single"/>
          <w:lang w:eastAsia="en-GB"/>
        </w:rPr>
        <w:t>https://doi.org/10.1056/NEJMoa032691</w:t>
      </w:r>
    </w:p>
    <w:p w14:paraId="44019A1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M., &amp; Hosseinzadeh, H. (2016). </w:t>
      </w:r>
      <w:r w:rsidRPr="005D6A18">
        <w:rPr>
          <w:rFonts w:ascii="Times New Roman" w:eastAsia="Times New Roman" w:hAnsi="Times New Roman" w:cs="Times New Roman"/>
          <w:i/>
          <w:iCs/>
          <w:sz w:val="24"/>
          <w:szCs w:val="24"/>
          <w:lang w:eastAsia="en-GB"/>
        </w:rPr>
        <w:t>Berberis vulgaris</w:t>
      </w:r>
      <w:r w:rsidRPr="005D6A18">
        <w:rPr>
          <w:rFonts w:ascii="Times New Roman" w:eastAsia="Times New Roman" w:hAnsi="Times New Roman" w:cs="Times New Roman"/>
          <w:sz w:val="24"/>
          <w:szCs w:val="24"/>
          <w:lang w:eastAsia="en-GB"/>
        </w:rPr>
        <w:t xml:space="preserve"> and berberine: An update review. </w:t>
      </w:r>
      <w:r w:rsidRPr="005D6A18">
        <w:rPr>
          <w:rFonts w:ascii="Times New Roman" w:eastAsia="Times New Roman" w:hAnsi="Times New Roman" w:cs="Times New Roman"/>
          <w:i/>
          <w:iCs/>
          <w:sz w:val="24"/>
          <w:szCs w:val="24"/>
          <w:lang w:eastAsia="en-GB"/>
        </w:rPr>
        <w:t>Phytotherapy Research</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30</w:t>
      </w:r>
      <w:r w:rsidRPr="005D6A18">
        <w:rPr>
          <w:rFonts w:ascii="Times New Roman" w:eastAsia="Times New Roman" w:hAnsi="Times New Roman" w:cs="Times New Roman"/>
          <w:sz w:val="24"/>
          <w:szCs w:val="24"/>
          <w:lang w:eastAsia="en-GB"/>
        </w:rPr>
        <w:t xml:space="preserve">(11), 1745–1764. </w:t>
      </w:r>
      <w:r w:rsidRPr="005D6A18">
        <w:rPr>
          <w:rFonts w:ascii="Times New Roman" w:eastAsia="Times New Roman" w:hAnsi="Times New Roman" w:cs="Times New Roman"/>
          <w:color w:val="0000FF"/>
          <w:sz w:val="24"/>
          <w:szCs w:val="24"/>
          <w:u w:val="single"/>
          <w:lang w:eastAsia="en-GB"/>
        </w:rPr>
        <w:t>https://doi.org/10.1002/ptr.5693</w:t>
      </w:r>
    </w:p>
    <w:p w14:paraId="0C80CC6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Jordan, M. A., &amp; Wilson, L. (2004). Microtubules as a target for anticancer drugs. </w:t>
      </w:r>
      <w:r w:rsidRPr="005D6A18">
        <w:rPr>
          <w:rFonts w:ascii="Times New Roman" w:eastAsia="Times New Roman" w:hAnsi="Times New Roman" w:cs="Times New Roman"/>
          <w:i/>
          <w:iCs/>
          <w:sz w:val="24"/>
          <w:szCs w:val="24"/>
          <w:lang w:eastAsia="en-GB"/>
        </w:rPr>
        <w:t>Nature Reviews Cancer</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4</w:t>
      </w:r>
      <w:r w:rsidRPr="005D6A18">
        <w:rPr>
          <w:rFonts w:ascii="Times New Roman" w:eastAsia="Times New Roman" w:hAnsi="Times New Roman" w:cs="Times New Roman"/>
          <w:sz w:val="24"/>
          <w:szCs w:val="24"/>
          <w:lang w:eastAsia="en-GB"/>
        </w:rPr>
        <w:t xml:space="preserve">(4), 253–265. </w:t>
      </w:r>
      <w:r w:rsidRPr="005D6A18">
        <w:rPr>
          <w:rFonts w:ascii="Times New Roman" w:eastAsia="Times New Roman" w:hAnsi="Times New Roman" w:cs="Times New Roman"/>
          <w:color w:val="0000FF"/>
          <w:sz w:val="24"/>
          <w:szCs w:val="24"/>
          <w:u w:val="single"/>
          <w:lang w:eastAsia="en-GB"/>
        </w:rPr>
        <w:t>https://doi.org/10.1038/nrc1317</w:t>
      </w:r>
    </w:p>
    <w:p w14:paraId="442D7A48"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Khan, N., Afaq, F., Saleem, M., Ahmad, N., &amp; Mukhtar, H. (2006). Targeting multiple </w:t>
      </w:r>
      <w:proofErr w:type="spellStart"/>
      <w:r w:rsidRPr="005D6A18">
        <w:rPr>
          <w:rFonts w:ascii="Times New Roman" w:eastAsia="Times New Roman" w:hAnsi="Times New Roman" w:cs="Times New Roman"/>
          <w:sz w:val="24"/>
          <w:szCs w:val="24"/>
          <w:lang w:eastAsia="en-GB"/>
        </w:rPr>
        <w:t>signaling</w:t>
      </w:r>
      <w:proofErr w:type="spellEnd"/>
      <w:r w:rsidRPr="005D6A18">
        <w:rPr>
          <w:rFonts w:ascii="Times New Roman" w:eastAsia="Times New Roman" w:hAnsi="Times New Roman" w:cs="Times New Roman"/>
          <w:sz w:val="24"/>
          <w:szCs w:val="24"/>
          <w:lang w:eastAsia="en-GB"/>
        </w:rPr>
        <w:t xml:space="preserve"> pathways by green tea polyphenol (−)-epigallocatechin-3-gallate. </w:t>
      </w:r>
      <w:r w:rsidRPr="005D6A18">
        <w:rPr>
          <w:rFonts w:ascii="Times New Roman" w:eastAsia="Times New Roman" w:hAnsi="Times New Roman" w:cs="Times New Roman"/>
          <w:i/>
          <w:iCs/>
          <w:sz w:val="24"/>
          <w:szCs w:val="24"/>
          <w:lang w:eastAsia="en-GB"/>
        </w:rPr>
        <w:t>Cancer Research</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66</w:t>
      </w:r>
      <w:r w:rsidRPr="005D6A18">
        <w:rPr>
          <w:rFonts w:ascii="Times New Roman" w:eastAsia="Times New Roman" w:hAnsi="Times New Roman" w:cs="Times New Roman"/>
          <w:sz w:val="24"/>
          <w:szCs w:val="24"/>
          <w:lang w:eastAsia="en-GB"/>
        </w:rPr>
        <w:t xml:space="preserve">(5), 2500–2505. </w:t>
      </w:r>
      <w:r w:rsidRPr="005D6A18">
        <w:rPr>
          <w:rFonts w:ascii="Times New Roman" w:eastAsia="Times New Roman" w:hAnsi="Times New Roman" w:cs="Times New Roman"/>
          <w:color w:val="0000FF"/>
          <w:sz w:val="24"/>
          <w:szCs w:val="24"/>
          <w:u w:val="single"/>
          <w:lang w:eastAsia="en-GB"/>
        </w:rPr>
        <w:t>https://doi.org/10.1158/0008-5472.CAN-05-3636</w:t>
      </w:r>
    </w:p>
    <w:p w14:paraId="1FB8FC3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Labrijn, A. F., Janmaat, M. L., Reichert, J. M., &amp; Parren, P. W. H. I. (2019). Bispecific antibodies: A mechanistic review of the pipeline. </w:t>
      </w:r>
      <w:r w:rsidRPr="005D6A18">
        <w:rPr>
          <w:rFonts w:ascii="Times New Roman" w:eastAsia="Times New Roman" w:hAnsi="Times New Roman" w:cs="Times New Roman"/>
          <w:i/>
          <w:iCs/>
          <w:sz w:val="24"/>
          <w:szCs w:val="24"/>
          <w:lang w:eastAsia="en-GB"/>
        </w:rPr>
        <w:t>Nature Reviews Drug Discovery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18</w:t>
      </w:r>
      <w:r w:rsidRPr="005D6A18">
        <w:rPr>
          <w:rFonts w:ascii="Times New Roman" w:eastAsia="Times New Roman" w:hAnsi="Times New Roman" w:cs="Times New Roman"/>
          <w:sz w:val="24"/>
          <w:szCs w:val="24"/>
          <w:lang w:eastAsia="en-GB"/>
        </w:rPr>
        <w:t xml:space="preserve">(8), 585–608. </w:t>
      </w:r>
      <w:r w:rsidRPr="005D6A18">
        <w:rPr>
          <w:rFonts w:ascii="Times New Roman" w:eastAsia="Times New Roman" w:hAnsi="Times New Roman" w:cs="Times New Roman"/>
          <w:color w:val="0000FF"/>
          <w:sz w:val="24"/>
          <w:szCs w:val="24"/>
          <w:u w:val="single"/>
          <w:lang w:eastAsia="en-GB"/>
        </w:rPr>
        <w:t>https://doi.org/10.1038/s41573-019-0028-1</w:t>
      </w:r>
    </w:p>
    <w:p w14:paraId="16B09E9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Maloney, D. G., Grillo-López, A. J., White, C. A., Bodkin, D., Schilder, R. J., Neidhart, J. A., Janakiraman, N., Foon, K. A., Liles, T.-M., Dallaire, B. K., Wey, K., Royston, I., Davis, T., &amp; Levy, R. (1997). IDEC-C2B8 (rituximab) anti-CD20 monoclonal antibody therapy in patients with relapsed low-grade non-Hodgkin's lymphoma. </w:t>
      </w:r>
      <w:r w:rsidRPr="005D6A18">
        <w:rPr>
          <w:rFonts w:ascii="Times New Roman" w:eastAsia="Times New Roman" w:hAnsi="Times New Roman" w:cs="Times New Roman"/>
          <w:i/>
          <w:iCs/>
          <w:sz w:val="24"/>
          <w:szCs w:val="24"/>
          <w:lang w:eastAsia="en-GB"/>
        </w:rPr>
        <w:t>Blood</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90</w:t>
      </w:r>
      <w:r w:rsidRPr="005D6A18">
        <w:rPr>
          <w:rFonts w:ascii="Times New Roman" w:eastAsia="Times New Roman" w:hAnsi="Times New Roman" w:cs="Times New Roman"/>
          <w:sz w:val="24"/>
          <w:szCs w:val="24"/>
          <w:lang w:eastAsia="en-GB"/>
        </w:rPr>
        <w:t xml:space="preserve">(6), 2188–2195. </w:t>
      </w:r>
      <w:r w:rsidRPr="005D6A18">
        <w:rPr>
          <w:rFonts w:ascii="Times New Roman" w:eastAsia="Times New Roman" w:hAnsi="Times New Roman" w:cs="Times New Roman"/>
          <w:color w:val="0000FF"/>
          <w:sz w:val="24"/>
          <w:szCs w:val="24"/>
          <w:u w:val="single"/>
          <w:lang w:eastAsia="en-GB"/>
        </w:rPr>
        <w:t>https://doi.org/10.1182/blood.V90.6.2188</w:t>
      </w:r>
    </w:p>
    <w:p w14:paraId="10C04A0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Newman, D. J., &amp; Cragg, G. M. (2020). Natural products as sources of new drugs over the nearly four decades from 01/1981 to 09/2019. </w:t>
      </w:r>
      <w:r w:rsidRPr="005D6A18">
        <w:rPr>
          <w:rFonts w:ascii="Times New Roman" w:eastAsia="Times New Roman" w:hAnsi="Times New Roman" w:cs="Times New Roman"/>
          <w:i/>
          <w:iCs/>
          <w:sz w:val="24"/>
          <w:szCs w:val="24"/>
          <w:lang w:eastAsia="en-GB"/>
        </w:rPr>
        <w:t>Journal of Natural Products</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83</w:t>
      </w:r>
      <w:r w:rsidRPr="005D6A18">
        <w:rPr>
          <w:rFonts w:ascii="Times New Roman" w:eastAsia="Times New Roman" w:hAnsi="Times New Roman" w:cs="Times New Roman"/>
          <w:sz w:val="24"/>
          <w:szCs w:val="24"/>
          <w:lang w:eastAsia="en-GB"/>
        </w:rPr>
        <w:t xml:space="preserve">(3), 770–803. </w:t>
      </w:r>
      <w:r w:rsidRPr="005D6A18">
        <w:rPr>
          <w:rFonts w:ascii="Times New Roman" w:eastAsia="Times New Roman" w:hAnsi="Times New Roman" w:cs="Times New Roman"/>
          <w:color w:val="0000FF"/>
          <w:sz w:val="24"/>
          <w:szCs w:val="24"/>
          <w:u w:val="single"/>
          <w:lang w:eastAsia="en-GB"/>
        </w:rPr>
        <w:t>https://doi.org/10.1021/acs.jnatprod.9b01285</w:t>
      </w:r>
    </w:p>
    <w:p w14:paraId="3BE4426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Phi, L. T. H., Sari, I. N., Yang, Y.-G., Lee, S.-H., Jun, N., Kim, K. S., Lee, Y. K., &amp; Kwon, H. Y. (2018). Cancer stem cells (CSCs) in drug resistance and their therapeutic implications in cancer treatment. </w:t>
      </w:r>
      <w:r w:rsidRPr="005D6A18">
        <w:rPr>
          <w:rFonts w:ascii="Times New Roman" w:eastAsia="Times New Roman" w:hAnsi="Times New Roman" w:cs="Times New Roman"/>
          <w:i/>
          <w:iCs/>
          <w:sz w:val="24"/>
          <w:szCs w:val="24"/>
          <w:lang w:eastAsia="en-GB"/>
        </w:rPr>
        <w:t>Stem Cells International</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2018</w:t>
      </w:r>
      <w:r w:rsidRPr="005D6A18">
        <w:rPr>
          <w:rFonts w:ascii="Times New Roman" w:eastAsia="Times New Roman" w:hAnsi="Times New Roman" w:cs="Times New Roman"/>
          <w:sz w:val="24"/>
          <w:szCs w:val="24"/>
          <w:lang w:eastAsia="en-GB"/>
        </w:rPr>
        <w:t xml:space="preserve">, 5416923. </w:t>
      </w:r>
      <w:r w:rsidRPr="005D6A18">
        <w:rPr>
          <w:rFonts w:ascii="Times New Roman" w:eastAsia="Times New Roman" w:hAnsi="Times New Roman" w:cs="Times New Roman"/>
          <w:color w:val="0000FF"/>
          <w:sz w:val="24"/>
          <w:szCs w:val="24"/>
          <w:u w:val="single"/>
          <w:lang w:eastAsia="en-GB"/>
        </w:rPr>
        <w:t>https://doi.org/10.1155/2018/5416923</w:t>
      </w:r>
    </w:p>
    <w:p w14:paraId="3ED4908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Prasad, S., Tyagi, A. K., &amp; Aggarwal, B. B. (2014). Recent developments in delivery, bioavailability, absorption and metabolism of curcumin: The golden pigment from golden spice. </w:t>
      </w:r>
      <w:r w:rsidRPr="005D6A18">
        <w:rPr>
          <w:rFonts w:ascii="Times New Roman" w:eastAsia="Times New Roman" w:hAnsi="Times New Roman" w:cs="Times New Roman"/>
          <w:i/>
          <w:iCs/>
          <w:sz w:val="24"/>
          <w:szCs w:val="24"/>
          <w:lang w:eastAsia="en-GB"/>
        </w:rPr>
        <w:t>Cancer Research and Treatment</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46</w:t>
      </w:r>
      <w:r w:rsidRPr="005D6A18">
        <w:rPr>
          <w:rFonts w:ascii="Times New Roman" w:eastAsia="Times New Roman" w:hAnsi="Times New Roman" w:cs="Times New Roman"/>
          <w:sz w:val="24"/>
          <w:szCs w:val="24"/>
          <w:lang w:eastAsia="en-GB"/>
        </w:rPr>
        <w:t xml:space="preserve">(1), 2–18. </w:t>
      </w:r>
      <w:r w:rsidRPr="005D6A18">
        <w:rPr>
          <w:rFonts w:ascii="Times New Roman" w:eastAsia="Times New Roman" w:hAnsi="Times New Roman" w:cs="Times New Roman"/>
          <w:color w:val="0000FF"/>
          <w:sz w:val="24"/>
          <w:szCs w:val="24"/>
          <w:u w:val="single"/>
          <w:lang w:eastAsia="en-GB"/>
        </w:rPr>
        <w:t>https://doi.org/10.4143/crt.2014.46.1.2</w:t>
      </w:r>
    </w:p>
    <w:p w14:paraId="7BB8A74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Ribas, A., &amp;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xml:space="preserve">, J. D. (2018). Cancer immunotherapy using checkpoint blockade. </w:t>
      </w:r>
      <w:r w:rsidRPr="005D6A18">
        <w:rPr>
          <w:rFonts w:ascii="Times New Roman" w:eastAsia="Times New Roman" w:hAnsi="Times New Roman" w:cs="Times New Roman"/>
          <w:i/>
          <w:iCs/>
          <w:sz w:val="24"/>
          <w:szCs w:val="24"/>
          <w:lang w:eastAsia="en-GB"/>
        </w:rPr>
        <w:t>Science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359</w:t>
      </w:r>
      <w:r w:rsidRPr="005D6A18">
        <w:rPr>
          <w:rFonts w:ascii="Times New Roman" w:eastAsia="Times New Roman" w:hAnsi="Times New Roman" w:cs="Times New Roman"/>
          <w:sz w:val="24"/>
          <w:szCs w:val="24"/>
          <w:lang w:eastAsia="en-GB"/>
        </w:rPr>
        <w:t xml:space="preserve">(6382), 1350–1355. </w:t>
      </w:r>
      <w:r w:rsidRPr="005D6A18">
        <w:rPr>
          <w:rFonts w:ascii="Times New Roman" w:eastAsia="Times New Roman" w:hAnsi="Times New Roman" w:cs="Times New Roman"/>
          <w:color w:val="0000FF"/>
          <w:sz w:val="24"/>
          <w:szCs w:val="24"/>
          <w:u w:val="single"/>
          <w:lang w:eastAsia="en-GB"/>
        </w:rPr>
        <w:t>https://doi.org/10.1126/science.aar4060</w:t>
      </w:r>
    </w:p>
    <w:p w14:paraId="75F78AF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Rittmeyer, A., </w:t>
      </w:r>
      <w:proofErr w:type="spellStart"/>
      <w:r w:rsidRPr="005D6A18">
        <w:rPr>
          <w:rFonts w:ascii="Times New Roman" w:eastAsia="Times New Roman" w:hAnsi="Times New Roman" w:cs="Times New Roman"/>
          <w:sz w:val="24"/>
          <w:szCs w:val="24"/>
          <w:lang w:eastAsia="en-GB"/>
        </w:rPr>
        <w:t>Barlesi</w:t>
      </w:r>
      <w:proofErr w:type="spellEnd"/>
      <w:r w:rsidRPr="005D6A18">
        <w:rPr>
          <w:rFonts w:ascii="Times New Roman" w:eastAsia="Times New Roman" w:hAnsi="Times New Roman" w:cs="Times New Roman"/>
          <w:sz w:val="24"/>
          <w:szCs w:val="24"/>
          <w:lang w:eastAsia="en-GB"/>
        </w:rPr>
        <w:t xml:space="preserve">, F., </w:t>
      </w:r>
      <w:proofErr w:type="spellStart"/>
      <w:r w:rsidRPr="005D6A18">
        <w:rPr>
          <w:rFonts w:ascii="Times New Roman" w:eastAsia="Times New Roman" w:hAnsi="Times New Roman" w:cs="Times New Roman"/>
          <w:sz w:val="24"/>
          <w:szCs w:val="24"/>
          <w:lang w:eastAsia="en-GB"/>
        </w:rPr>
        <w:t>Waterkamp</w:t>
      </w:r>
      <w:proofErr w:type="spellEnd"/>
      <w:r w:rsidRPr="005D6A18">
        <w:rPr>
          <w:rFonts w:ascii="Times New Roman" w:eastAsia="Times New Roman" w:hAnsi="Times New Roman" w:cs="Times New Roman"/>
          <w:sz w:val="24"/>
          <w:szCs w:val="24"/>
          <w:lang w:eastAsia="en-GB"/>
        </w:rPr>
        <w:t xml:space="preserve">, D., Park, K., Ciardiello, F., von Pawel, J., </w:t>
      </w:r>
      <w:proofErr w:type="spellStart"/>
      <w:r w:rsidRPr="005D6A18">
        <w:rPr>
          <w:rFonts w:ascii="Times New Roman" w:eastAsia="Times New Roman" w:hAnsi="Times New Roman" w:cs="Times New Roman"/>
          <w:sz w:val="24"/>
          <w:szCs w:val="24"/>
          <w:lang w:eastAsia="en-GB"/>
        </w:rPr>
        <w:t>Gadgeel</w:t>
      </w:r>
      <w:proofErr w:type="spellEnd"/>
      <w:r w:rsidRPr="005D6A18">
        <w:rPr>
          <w:rFonts w:ascii="Times New Roman" w:eastAsia="Times New Roman" w:hAnsi="Times New Roman" w:cs="Times New Roman"/>
          <w:sz w:val="24"/>
          <w:szCs w:val="24"/>
          <w:lang w:eastAsia="en-GB"/>
        </w:rPr>
        <w:t xml:space="preserve">, S. M., Hida, T., Kowalski, D. M., Dols, M. C., </w:t>
      </w:r>
      <w:proofErr w:type="spellStart"/>
      <w:r w:rsidRPr="005D6A18">
        <w:rPr>
          <w:rFonts w:ascii="Times New Roman" w:eastAsia="Times New Roman" w:hAnsi="Times New Roman" w:cs="Times New Roman"/>
          <w:sz w:val="24"/>
          <w:szCs w:val="24"/>
          <w:lang w:eastAsia="en-GB"/>
        </w:rPr>
        <w:t>Cortinovis</w:t>
      </w:r>
      <w:proofErr w:type="spellEnd"/>
      <w:r w:rsidRPr="005D6A18">
        <w:rPr>
          <w:rFonts w:ascii="Times New Roman" w:eastAsia="Times New Roman" w:hAnsi="Times New Roman" w:cs="Times New Roman"/>
          <w:sz w:val="24"/>
          <w:szCs w:val="24"/>
          <w:lang w:eastAsia="en-GB"/>
        </w:rPr>
        <w:t xml:space="preserve">, D. L., Leach, J., Polikoff, J., Barrios, C., </w:t>
      </w:r>
      <w:proofErr w:type="spellStart"/>
      <w:r w:rsidRPr="005D6A18">
        <w:rPr>
          <w:rFonts w:ascii="Times New Roman" w:eastAsia="Times New Roman" w:hAnsi="Times New Roman" w:cs="Times New Roman"/>
          <w:sz w:val="24"/>
          <w:szCs w:val="24"/>
          <w:lang w:eastAsia="en-GB"/>
        </w:rPr>
        <w:t>Kabbinavar</w:t>
      </w:r>
      <w:proofErr w:type="spellEnd"/>
      <w:r w:rsidRPr="005D6A18">
        <w:rPr>
          <w:rFonts w:ascii="Times New Roman" w:eastAsia="Times New Roman" w:hAnsi="Times New Roman" w:cs="Times New Roman"/>
          <w:sz w:val="24"/>
          <w:szCs w:val="24"/>
          <w:lang w:eastAsia="en-GB"/>
        </w:rPr>
        <w:t xml:space="preserve">, F., Frontera, O. A., De Marinis, F., Turna, H., Lee, J.-S., … Sandler, A. (2017). Atezolizumab versus docetaxel in patients with previously treated non-small-cell lung cancer (OAK): A multicentre, open-label, randomised controlled phase 3 trial. </w:t>
      </w:r>
      <w:r w:rsidRPr="005D6A18">
        <w:rPr>
          <w:rFonts w:ascii="Times New Roman" w:eastAsia="Times New Roman" w:hAnsi="Times New Roman" w:cs="Times New Roman"/>
          <w:i/>
          <w:iCs/>
          <w:sz w:val="24"/>
          <w:szCs w:val="24"/>
          <w:lang w:eastAsia="en-GB"/>
        </w:rPr>
        <w:t>Lancet</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389</w:t>
      </w:r>
      <w:r w:rsidRPr="005D6A18">
        <w:rPr>
          <w:rFonts w:ascii="Times New Roman" w:eastAsia="Times New Roman" w:hAnsi="Times New Roman" w:cs="Times New Roman"/>
          <w:sz w:val="24"/>
          <w:szCs w:val="24"/>
          <w:lang w:eastAsia="en-GB"/>
        </w:rPr>
        <w:t xml:space="preserve">(10066), 255–265. </w:t>
      </w:r>
      <w:r w:rsidRPr="005D6A18">
        <w:rPr>
          <w:rFonts w:ascii="Times New Roman" w:eastAsia="Times New Roman" w:hAnsi="Times New Roman" w:cs="Times New Roman"/>
          <w:color w:val="0000FF"/>
          <w:sz w:val="24"/>
          <w:szCs w:val="24"/>
          <w:u w:val="single"/>
          <w:lang w:eastAsia="en-GB"/>
        </w:rPr>
        <w:t>https://doi.org/10.1016/S0140-6736(16)32517-X</w:t>
      </w:r>
    </w:p>
    <w:p w14:paraId="349B1CF1"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Robert, C., Schachter, J., Long, G. V., </w:t>
      </w:r>
      <w:proofErr w:type="spellStart"/>
      <w:r w:rsidRPr="005D6A18">
        <w:rPr>
          <w:rFonts w:ascii="Times New Roman" w:eastAsia="Times New Roman" w:hAnsi="Times New Roman" w:cs="Times New Roman"/>
          <w:sz w:val="24"/>
          <w:szCs w:val="24"/>
          <w:lang w:eastAsia="en-GB"/>
        </w:rPr>
        <w:t>Arance</w:t>
      </w:r>
      <w:proofErr w:type="spellEnd"/>
      <w:r w:rsidRPr="005D6A18">
        <w:rPr>
          <w:rFonts w:ascii="Times New Roman" w:eastAsia="Times New Roman" w:hAnsi="Times New Roman" w:cs="Times New Roman"/>
          <w:sz w:val="24"/>
          <w:szCs w:val="24"/>
          <w:lang w:eastAsia="en-GB"/>
        </w:rPr>
        <w:t xml:space="preserve">, A., Grob, J. J., Mortier, L., Daud, A., Carlino, M. S., McNeil, C., Lotem, M., Larkin, J., Lorigan, P., Neyns, B., Blank, C. U., Hamid, O., Mateus, C., Shapira-Frommer, R., Kosh, M., Zhou, H., … Ribas, A. (2015). Pembrolizumab versus ipilimumab in advanced melanoma.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372</w:t>
      </w:r>
      <w:r w:rsidRPr="005D6A18">
        <w:rPr>
          <w:rFonts w:ascii="Times New Roman" w:eastAsia="Times New Roman" w:hAnsi="Times New Roman" w:cs="Times New Roman"/>
          <w:sz w:val="24"/>
          <w:szCs w:val="24"/>
          <w:lang w:eastAsia="en-GB"/>
        </w:rPr>
        <w:t xml:space="preserve">(26), 2521–2532. </w:t>
      </w:r>
      <w:r w:rsidRPr="005D6A18">
        <w:rPr>
          <w:rFonts w:ascii="Times New Roman" w:eastAsia="Times New Roman" w:hAnsi="Times New Roman" w:cs="Times New Roman"/>
          <w:color w:val="0000FF"/>
          <w:sz w:val="24"/>
          <w:szCs w:val="24"/>
          <w:u w:val="single"/>
          <w:lang w:eastAsia="en-GB"/>
        </w:rPr>
        <w:t>https://doi.org/10.1056/NEJMoa1503093</w:t>
      </w:r>
    </w:p>
    <w:p w14:paraId="3DB2231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Russo, M., Spagnuolo, C., Tedesco, I., Bilotto, S., &amp; Russo, G. L. (2012). The flavonoid quercetin in disease prevention and therapy: Facts and fancies. </w:t>
      </w:r>
      <w:r w:rsidRPr="005D6A18">
        <w:rPr>
          <w:rFonts w:ascii="Times New Roman" w:eastAsia="Times New Roman" w:hAnsi="Times New Roman" w:cs="Times New Roman"/>
          <w:i/>
          <w:iCs/>
          <w:sz w:val="24"/>
          <w:szCs w:val="24"/>
          <w:lang w:eastAsia="en-GB"/>
        </w:rPr>
        <w:t>Biochemical Pharmacology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83</w:t>
      </w:r>
      <w:r w:rsidRPr="005D6A18">
        <w:rPr>
          <w:rFonts w:ascii="Times New Roman" w:eastAsia="Times New Roman" w:hAnsi="Times New Roman" w:cs="Times New Roman"/>
          <w:sz w:val="24"/>
          <w:szCs w:val="24"/>
          <w:lang w:eastAsia="en-GB"/>
        </w:rPr>
        <w:t xml:space="preserve">(1), 6–15. </w:t>
      </w:r>
      <w:r w:rsidRPr="005D6A18">
        <w:rPr>
          <w:rFonts w:ascii="Times New Roman" w:eastAsia="Times New Roman" w:hAnsi="Times New Roman" w:cs="Times New Roman"/>
          <w:color w:val="0000FF"/>
          <w:sz w:val="24"/>
          <w:szCs w:val="24"/>
          <w:u w:val="single"/>
          <w:lang w:eastAsia="en-GB"/>
        </w:rPr>
        <w:t>https://doi.org/10.1016/j.bcp.2011.08.010</w:t>
      </w:r>
    </w:p>
    <w:p w14:paraId="75F90584"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Scott, A. M.,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xml:space="preserve">, J. D., &amp; Old, L. J. (2012). Antibody therapy of cancer. </w:t>
      </w:r>
      <w:r w:rsidRPr="005D6A18">
        <w:rPr>
          <w:rFonts w:ascii="Times New Roman" w:eastAsia="Times New Roman" w:hAnsi="Times New Roman" w:cs="Times New Roman"/>
          <w:i/>
          <w:iCs/>
          <w:sz w:val="24"/>
          <w:szCs w:val="24"/>
          <w:lang w:eastAsia="en-GB"/>
        </w:rPr>
        <w:t>Nature Reviews Cancer</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12</w:t>
      </w:r>
      <w:r w:rsidRPr="005D6A18">
        <w:rPr>
          <w:rFonts w:ascii="Times New Roman" w:eastAsia="Times New Roman" w:hAnsi="Times New Roman" w:cs="Times New Roman"/>
          <w:sz w:val="24"/>
          <w:szCs w:val="24"/>
          <w:lang w:eastAsia="en-GB"/>
        </w:rPr>
        <w:t xml:space="preserve">(4), 278–287. </w:t>
      </w:r>
      <w:r w:rsidRPr="005D6A18">
        <w:rPr>
          <w:rFonts w:ascii="Times New Roman" w:eastAsia="Times New Roman" w:hAnsi="Times New Roman" w:cs="Times New Roman"/>
          <w:color w:val="0000FF"/>
          <w:sz w:val="24"/>
          <w:szCs w:val="24"/>
          <w:u w:val="single"/>
          <w:lang w:eastAsia="en-GB"/>
        </w:rPr>
        <w:t>https://doi.org/10.1038/nrc3236</w:t>
      </w:r>
    </w:p>
    <w:p w14:paraId="6D5582D3"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Sharma, P., &amp; Allison, J. P. (2015). The future of immune checkpoint therapy. </w:t>
      </w:r>
      <w:r w:rsidRPr="005D6A18">
        <w:rPr>
          <w:rFonts w:ascii="Times New Roman" w:eastAsia="Times New Roman" w:hAnsi="Times New Roman" w:cs="Times New Roman"/>
          <w:i/>
          <w:iCs/>
          <w:sz w:val="24"/>
          <w:szCs w:val="24"/>
          <w:lang w:eastAsia="en-GB"/>
        </w:rPr>
        <w:t>Science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348</w:t>
      </w:r>
      <w:r w:rsidRPr="005D6A18">
        <w:rPr>
          <w:rFonts w:ascii="Times New Roman" w:eastAsia="Times New Roman" w:hAnsi="Times New Roman" w:cs="Times New Roman"/>
          <w:sz w:val="24"/>
          <w:szCs w:val="24"/>
          <w:lang w:eastAsia="en-GB"/>
        </w:rPr>
        <w:t xml:space="preserve">(6230), 56–61. </w:t>
      </w:r>
      <w:r w:rsidRPr="005D6A18">
        <w:rPr>
          <w:rFonts w:ascii="Times New Roman" w:eastAsia="Times New Roman" w:hAnsi="Times New Roman" w:cs="Times New Roman"/>
          <w:color w:val="0000FF"/>
          <w:sz w:val="24"/>
          <w:szCs w:val="24"/>
          <w:u w:val="single"/>
          <w:lang w:eastAsia="en-GB"/>
        </w:rPr>
        <w:t>https://doi.org/10.1126/science.aaa8172</w:t>
      </w:r>
    </w:p>
    <w:p w14:paraId="0488CBD2"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Shoba, G., Joy, D., Joseph, T., Majeed, M., Rajendran, R., &amp; Srinivas, P. S. S. R. (1998). Influence of piperine on the pharmacokinetics of curcumin in animals and human volunteers. </w:t>
      </w:r>
      <w:r w:rsidRPr="005D6A18">
        <w:rPr>
          <w:rFonts w:ascii="Times New Roman" w:eastAsia="Times New Roman" w:hAnsi="Times New Roman" w:cs="Times New Roman"/>
          <w:i/>
          <w:iCs/>
          <w:sz w:val="24"/>
          <w:szCs w:val="24"/>
          <w:lang w:eastAsia="en-GB"/>
        </w:rPr>
        <w:t>Planta Medica</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64</w:t>
      </w:r>
      <w:r w:rsidRPr="005D6A18">
        <w:rPr>
          <w:rFonts w:ascii="Times New Roman" w:eastAsia="Times New Roman" w:hAnsi="Times New Roman" w:cs="Times New Roman"/>
          <w:sz w:val="24"/>
          <w:szCs w:val="24"/>
          <w:lang w:eastAsia="en-GB"/>
        </w:rPr>
        <w:t xml:space="preserve">(4), 353–356. </w:t>
      </w:r>
      <w:r w:rsidRPr="005D6A18">
        <w:rPr>
          <w:rFonts w:ascii="Times New Roman" w:eastAsia="Times New Roman" w:hAnsi="Times New Roman" w:cs="Times New Roman"/>
          <w:color w:val="0000FF"/>
          <w:sz w:val="24"/>
          <w:szCs w:val="24"/>
          <w:u w:val="single"/>
          <w:lang w:eastAsia="en-GB"/>
        </w:rPr>
        <w:t>https://doi.org/10.1055/s-2006-957450</w:t>
      </w:r>
    </w:p>
    <w:p w14:paraId="0EFFF1D0"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hAnsi="Times New Roman" w:cs="Times New Roman"/>
        </w:rPr>
        <w:t xml:space="preserve">Siddiqui, I. A., Adhami, V. M., Bharali, D. J., Hafeez, B. B., Asim, M., Khwaja, S. I., Ahmad, N., Cui, H., Mousa, S. A., &amp; Mukhtar, H. (2009). Introducing </w:t>
      </w:r>
      <w:proofErr w:type="spellStart"/>
      <w:r w:rsidRPr="005D6A18">
        <w:rPr>
          <w:rFonts w:ascii="Times New Roman" w:hAnsi="Times New Roman" w:cs="Times New Roman"/>
        </w:rPr>
        <w:t>nanochemoprevention</w:t>
      </w:r>
      <w:proofErr w:type="spellEnd"/>
      <w:r w:rsidRPr="005D6A18">
        <w:rPr>
          <w:rFonts w:ascii="Times New Roman" w:hAnsi="Times New Roman" w:cs="Times New Roman"/>
        </w:rPr>
        <w:t xml:space="preserve"> as a novel approach for cancer control: Proof of principle with green tea polyphenol epigallocatechin-3-gallate. Cancer Research, 69(5), 1712–1716. https://doi.org/10.1158/0008-5472.CAN-08-3978</w:t>
      </w:r>
    </w:p>
    <w:p w14:paraId="0BEC66B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Siegel, R. L., Miller, K. D., Wagle, N. S., &amp; Jemal, A. (2023). Cancer statistics, 2023. </w:t>
      </w:r>
      <w:r w:rsidRPr="005D6A18">
        <w:rPr>
          <w:rFonts w:ascii="Times New Roman" w:eastAsia="Times New Roman" w:hAnsi="Times New Roman" w:cs="Times New Roman"/>
          <w:i/>
          <w:iCs/>
          <w:sz w:val="24"/>
          <w:szCs w:val="24"/>
          <w:lang w:eastAsia="en-GB"/>
        </w:rPr>
        <w:t>CA: A Cancer Journal for Clinicians</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73</w:t>
      </w:r>
      <w:r w:rsidRPr="005D6A18">
        <w:rPr>
          <w:rFonts w:ascii="Times New Roman" w:eastAsia="Times New Roman" w:hAnsi="Times New Roman" w:cs="Times New Roman"/>
          <w:sz w:val="24"/>
          <w:szCs w:val="24"/>
          <w:lang w:eastAsia="en-GB"/>
        </w:rPr>
        <w:t xml:space="preserve">(1), 17–48. </w:t>
      </w:r>
      <w:r w:rsidRPr="005D6A18">
        <w:rPr>
          <w:rFonts w:ascii="Times New Roman" w:eastAsia="Times New Roman" w:hAnsi="Times New Roman" w:cs="Times New Roman"/>
          <w:color w:val="0000FF"/>
          <w:sz w:val="24"/>
          <w:szCs w:val="24"/>
          <w:u w:val="single"/>
          <w:lang w:eastAsia="en-GB"/>
        </w:rPr>
        <w:t>https://doi.org/10.3322/caac.21763</w:t>
      </w:r>
    </w:p>
    <w:p w14:paraId="072D767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Slamon, D. J., Leyland-Jones, B., Shak, S., Fuchs, H., Paton, V., Bajamonde, A., Fleming, T., Eiermann, W., Wolter, J., Pegram, M., Baselga, J., &amp; Norton, L. (2001). Use of chemotherapy plus a monoclonal antibody against HER2 for metastatic breast cancer that overexpresses HER2.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344</w:t>
      </w:r>
      <w:r w:rsidRPr="005D6A18">
        <w:rPr>
          <w:rFonts w:ascii="Times New Roman" w:eastAsia="Times New Roman" w:hAnsi="Times New Roman" w:cs="Times New Roman"/>
          <w:sz w:val="24"/>
          <w:szCs w:val="24"/>
          <w:lang w:eastAsia="en-GB"/>
        </w:rPr>
        <w:t xml:space="preserve">(11), 783–792. </w:t>
      </w:r>
      <w:r w:rsidRPr="005D6A18">
        <w:rPr>
          <w:rFonts w:ascii="Times New Roman" w:eastAsia="Times New Roman" w:hAnsi="Times New Roman" w:cs="Times New Roman"/>
          <w:color w:val="0000FF"/>
          <w:sz w:val="24"/>
          <w:szCs w:val="24"/>
          <w:u w:val="single"/>
          <w:lang w:eastAsia="en-GB"/>
        </w:rPr>
        <w:t>https://doi.org/10.1056/NEJM200103153441101</w:t>
      </w:r>
    </w:p>
    <w:p w14:paraId="7627647C"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Sung, H., </w:t>
      </w:r>
      <w:proofErr w:type="spellStart"/>
      <w:r w:rsidRPr="005D6A18">
        <w:rPr>
          <w:rFonts w:ascii="Times New Roman" w:eastAsia="Times New Roman" w:hAnsi="Times New Roman" w:cs="Times New Roman"/>
          <w:sz w:val="24"/>
          <w:szCs w:val="24"/>
          <w:lang w:eastAsia="en-GB"/>
        </w:rPr>
        <w:t>Ferlay</w:t>
      </w:r>
      <w:proofErr w:type="spellEnd"/>
      <w:r w:rsidRPr="005D6A18">
        <w:rPr>
          <w:rFonts w:ascii="Times New Roman" w:eastAsia="Times New Roman" w:hAnsi="Times New Roman" w:cs="Times New Roman"/>
          <w:sz w:val="24"/>
          <w:szCs w:val="24"/>
          <w:lang w:eastAsia="en-GB"/>
        </w:rPr>
        <w:t xml:space="preserve">, J., Siegel, R. L., </w:t>
      </w:r>
      <w:proofErr w:type="spellStart"/>
      <w:r w:rsidRPr="005D6A18">
        <w:rPr>
          <w:rFonts w:ascii="Times New Roman" w:eastAsia="Times New Roman" w:hAnsi="Times New Roman" w:cs="Times New Roman"/>
          <w:sz w:val="24"/>
          <w:szCs w:val="24"/>
          <w:lang w:eastAsia="en-GB"/>
        </w:rPr>
        <w:t>Laversanne</w:t>
      </w:r>
      <w:proofErr w:type="spellEnd"/>
      <w:r w:rsidRPr="005D6A18">
        <w:rPr>
          <w:rFonts w:ascii="Times New Roman" w:eastAsia="Times New Roman" w:hAnsi="Times New Roman" w:cs="Times New Roman"/>
          <w:sz w:val="24"/>
          <w:szCs w:val="24"/>
          <w:lang w:eastAsia="en-GB"/>
        </w:rPr>
        <w:t xml:space="preserve">, M., </w:t>
      </w:r>
      <w:proofErr w:type="spellStart"/>
      <w:r w:rsidRPr="005D6A18">
        <w:rPr>
          <w:rFonts w:ascii="Times New Roman" w:eastAsia="Times New Roman" w:hAnsi="Times New Roman" w:cs="Times New Roman"/>
          <w:sz w:val="24"/>
          <w:szCs w:val="24"/>
          <w:lang w:eastAsia="en-GB"/>
        </w:rPr>
        <w:t>Soerjomataram</w:t>
      </w:r>
      <w:proofErr w:type="spellEnd"/>
      <w:r w:rsidRPr="005D6A18">
        <w:rPr>
          <w:rFonts w:ascii="Times New Roman" w:eastAsia="Times New Roman" w:hAnsi="Times New Roman" w:cs="Times New Roman"/>
          <w:sz w:val="24"/>
          <w:szCs w:val="24"/>
          <w:lang w:eastAsia="en-GB"/>
        </w:rPr>
        <w:t xml:space="preserve">, I., Jemal, A., &amp; Bray, F. (2021). Global cancer statistics 2020: GLOBOCAN estimates of incidence and mortality worldwide for 36 cancers in 185 countries. </w:t>
      </w:r>
      <w:r w:rsidRPr="005D6A18">
        <w:rPr>
          <w:rFonts w:ascii="Times New Roman" w:eastAsia="Times New Roman" w:hAnsi="Times New Roman" w:cs="Times New Roman"/>
          <w:i/>
          <w:iCs/>
          <w:sz w:val="24"/>
          <w:szCs w:val="24"/>
          <w:lang w:eastAsia="en-GB"/>
        </w:rPr>
        <w:t>CA: A Cancer Journal for Clinicians</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71</w:t>
      </w:r>
      <w:r w:rsidRPr="005D6A18">
        <w:rPr>
          <w:rFonts w:ascii="Times New Roman" w:eastAsia="Times New Roman" w:hAnsi="Times New Roman" w:cs="Times New Roman"/>
          <w:sz w:val="24"/>
          <w:szCs w:val="24"/>
          <w:lang w:eastAsia="en-GB"/>
        </w:rPr>
        <w:t xml:space="preserve">(3), 209–249. </w:t>
      </w:r>
      <w:r w:rsidRPr="005D6A18">
        <w:rPr>
          <w:rFonts w:ascii="Times New Roman" w:eastAsia="Times New Roman" w:hAnsi="Times New Roman" w:cs="Times New Roman"/>
          <w:color w:val="0000FF"/>
          <w:sz w:val="24"/>
          <w:szCs w:val="24"/>
          <w:u w:val="single"/>
          <w:lang w:eastAsia="en-GB"/>
        </w:rPr>
        <w:t>https://doi.org/10.3322/caac.21660</w:t>
      </w:r>
    </w:p>
    <w:p w14:paraId="6046E966"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Topalian, S. L., Drake, C. G., &amp; </w:t>
      </w:r>
      <w:proofErr w:type="spellStart"/>
      <w:r w:rsidRPr="005D6A18">
        <w:rPr>
          <w:rFonts w:ascii="Times New Roman" w:eastAsia="Times New Roman" w:hAnsi="Times New Roman" w:cs="Times New Roman"/>
          <w:sz w:val="24"/>
          <w:szCs w:val="24"/>
          <w:lang w:eastAsia="en-GB"/>
        </w:rPr>
        <w:t>Pardoll</w:t>
      </w:r>
      <w:proofErr w:type="spellEnd"/>
      <w:r w:rsidRPr="005D6A18">
        <w:rPr>
          <w:rFonts w:ascii="Times New Roman" w:eastAsia="Times New Roman" w:hAnsi="Times New Roman" w:cs="Times New Roman"/>
          <w:sz w:val="24"/>
          <w:szCs w:val="24"/>
          <w:lang w:eastAsia="en-GB"/>
        </w:rPr>
        <w:t xml:space="preserve">, D. M. (2015). Immune checkpoint blockade: A common denominator approach to cancer therapy. </w:t>
      </w:r>
      <w:r w:rsidRPr="005D6A18">
        <w:rPr>
          <w:rFonts w:ascii="Times New Roman" w:eastAsia="Times New Roman" w:hAnsi="Times New Roman" w:cs="Times New Roman"/>
          <w:i/>
          <w:iCs/>
          <w:sz w:val="24"/>
          <w:szCs w:val="24"/>
          <w:lang w:eastAsia="en-GB"/>
        </w:rPr>
        <w:t>Cancer Cell</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27</w:t>
      </w:r>
      <w:r w:rsidRPr="005D6A18">
        <w:rPr>
          <w:rFonts w:ascii="Times New Roman" w:eastAsia="Times New Roman" w:hAnsi="Times New Roman" w:cs="Times New Roman"/>
          <w:sz w:val="24"/>
          <w:szCs w:val="24"/>
          <w:lang w:eastAsia="en-GB"/>
        </w:rPr>
        <w:t xml:space="preserve">(4), 450–461. </w:t>
      </w:r>
      <w:r w:rsidRPr="005D6A18">
        <w:rPr>
          <w:rFonts w:ascii="Times New Roman" w:eastAsia="Times New Roman" w:hAnsi="Times New Roman" w:cs="Times New Roman"/>
          <w:color w:val="0000FF"/>
          <w:sz w:val="24"/>
          <w:szCs w:val="24"/>
          <w:u w:val="single"/>
          <w:lang w:eastAsia="en-GB"/>
        </w:rPr>
        <w:t>https://doi.org/10.1016/j.ccell.2015.03.001</w:t>
      </w:r>
    </w:p>
    <w:p w14:paraId="1B74CDB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Topalian, S. L., Hodi, F. S., Brahmer, J. R., Gettinger, S. N., Smith, D. C., McDermott, D. F., Powderly, J. D., Carvajal, R. D., </w:t>
      </w:r>
      <w:proofErr w:type="spellStart"/>
      <w:r w:rsidRPr="005D6A18">
        <w:rPr>
          <w:rFonts w:ascii="Times New Roman" w:eastAsia="Times New Roman" w:hAnsi="Times New Roman" w:cs="Times New Roman"/>
          <w:sz w:val="24"/>
          <w:szCs w:val="24"/>
          <w:lang w:eastAsia="en-GB"/>
        </w:rPr>
        <w:t>Sosman</w:t>
      </w:r>
      <w:proofErr w:type="spellEnd"/>
      <w:r w:rsidRPr="005D6A18">
        <w:rPr>
          <w:rFonts w:ascii="Times New Roman" w:eastAsia="Times New Roman" w:hAnsi="Times New Roman" w:cs="Times New Roman"/>
          <w:sz w:val="24"/>
          <w:szCs w:val="24"/>
          <w:lang w:eastAsia="en-GB"/>
        </w:rPr>
        <w:t xml:space="preserve">, J. A., Atkins, M. B., Leming, P. D., Spigel, D. R., Antonia, S. J., Horn, L., Drake, C. G., </w:t>
      </w:r>
      <w:proofErr w:type="spellStart"/>
      <w:r w:rsidRPr="005D6A18">
        <w:rPr>
          <w:rFonts w:ascii="Times New Roman" w:eastAsia="Times New Roman" w:hAnsi="Times New Roman" w:cs="Times New Roman"/>
          <w:sz w:val="24"/>
          <w:szCs w:val="24"/>
          <w:lang w:eastAsia="en-GB"/>
        </w:rPr>
        <w:t>Pardoll</w:t>
      </w:r>
      <w:proofErr w:type="spellEnd"/>
      <w:r w:rsidRPr="005D6A18">
        <w:rPr>
          <w:rFonts w:ascii="Times New Roman" w:eastAsia="Times New Roman" w:hAnsi="Times New Roman" w:cs="Times New Roman"/>
          <w:sz w:val="24"/>
          <w:szCs w:val="24"/>
          <w:lang w:eastAsia="en-GB"/>
        </w:rPr>
        <w:t xml:space="preserve">, D. M., Chen, L., Sharfman, W. H., Anders, R. A., … </w:t>
      </w:r>
      <w:proofErr w:type="spellStart"/>
      <w:r w:rsidRPr="005D6A18">
        <w:rPr>
          <w:rFonts w:ascii="Times New Roman" w:eastAsia="Times New Roman" w:hAnsi="Times New Roman" w:cs="Times New Roman"/>
          <w:sz w:val="24"/>
          <w:szCs w:val="24"/>
          <w:lang w:eastAsia="en-GB"/>
        </w:rPr>
        <w:t>Sznol</w:t>
      </w:r>
      <w:proofErr w:type="spellEnd"/>
      <w:r w:rsidRPr="005D6A18">
        <w:rPr>
          <w:rFonts w:ascii="Times New Roman" w:eastAsia="Times New Roman" w:hAnsi="Times New Roman" w:cs="Times New Roman"/>
          <w:sz w:val="24"/>
          <w:szCs w:val="24"/>
          <w:lang w:eastAsia="en-GB"/>
        </w:rPr>
        <w:t xml:space="preserve">, M. (2012). Safety, activity, and immune correlates of anti-PD-1 antibody in cancer.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366</w:t>
      </w:r>
      <w:r w:rsidRPr="005D6A18">
        <w:rPr>
          <w:rFonts w:ascii="Times New Roman" w:eastAsia="Times New Roman" w:hAnsi="Times New Roman" w:cs="Times New Roman"/>
          <w:sz w:val="24"/>
          <w:szCs w:val="24"/>
          <w:lang w:eastAsia="en-GB"/>
        </w:rPr>
        <w:t xml:space="preserve">(26), 2443–2454. </w:t>
      </w:r>
      <w:r w:rsidRPr="005D6A18">
        <w:rPr>
          <w:rFonts w:ascii="Times New Roman" w:eastAsia="Times New Roman" w:hAnsi="Times New Roman" w:cs="Times New Roman"/>
          <w:color w:val="0000FF"/>
          <w:sz w:val="24"/>
          <w:szCs w:val="24"/>
          <w:u w:val="single"/>
          <w:lang w:eastAsia="en-GB"/>
        </w:rPr>
        <w:t>https://doi.org/10.1056/NEJMoa1200690</w:t>
      </w:r>
    </w:p>
    <w:p w14:paraId="6B05A3C6"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van der Heijden, R., Jacobs, D. I., </w:t>
      </w:r>
      <w:proofErr w:type="spellStart"/>
      <w:r w:rsidRPr="005D6A18">
        <w:rPr>
          <w:rFonts w:ascii="Times New Roman" w:eastAsia="Times New Roman" w:hAnsi="Times New Roman" w:cs="Times New Roman"/>
          <w:sz w:val="24"/>
          <w:szCs w:val="24"/>
          <w:lang w:eastAsia="en-GB"/>
        </w:rPr>
        <w:t>Snoeijer</w:t>
      </w:r>
      <w:proofErr w:type="spellEnd"/>
      <w:r w:rsidRPr="005D6A18">
        <w:rPr>
          <w:rFonts w:ascii="Times New Roman" w:eastAsia="Times New Roman" w:hAnsi="Times New Roman" w:cs="Times New Roman"/>
          <w:sz w:val="24"/>
          <w:szCs w:val="24"/>
          <w:lang w:eastAsia="en-GB"/>
        </w:rPr>
        <w:t xml:space="preserve">, W., Hallard, D., &amp; </w:t>
      </w:r>
      <w:proofErr w:type="spellStart"/>
      <w:r w:rsidRPr="005D6A18">
        <w:rPr>
          <w:rFonts w:ascii="Times New Roman" w:eastAsia="Times New Roman" w:hAnsi="Times New Roman" w:cs="Times New Roman"/>
          <w:sz w:val="24"/>
          <w:szCs w:val="24"/>
          <w:lang w:eastAsia="en-GB"/>
        </w:rPr>
        <w:t>Verpoorte</w:t>
      </w:r>
      <w:proofErr w:type="spellEnd"/>
      <w:r w:rsidRPr="005D6A18">
        <w:rPr>
          <w:rFonts w:ascii="Times New Roman" w:eastAsia="Times New Roman" w:hAnsi="Times New Roman" w:cs="Times New Roman"/>
          <w:sz w:val="24"/>
          <w:szCs w:val="24"/>
          <w:lang w:eastAsia="en-GB"/>
        </w:rPr>
        <w:t xml:space="preserve">, R. (2004). The </w:t>
      </w:r>
      <w:r w:rsidRPr="005D6A18">
        <w:rPr>
          <w:rFonts w:ascii="Times New Roman" w:eastAsia="Times New Roman" w:hAnsi="Times New Roman" w:cs="Times New Roman"/>
          <w:i/>
          <w:iCs/>
          <w:sz w:val="24"/>
          <w:szCs w:val="24"/>
          <w:lang w:eastAsia="en-GB"/>
        </w:rPr>
        <w:t>Catharanthus</w:t>
      </w:r>
      <w:r w:rsidRPr="005D6A18">
        <w:rPr>
          <w:rFonts w:ascii="Times New Roman" w:eastAsia="Times New Roman" w:hAnsi="Times New Roman" w:cs="Times New Roman"/>
          <w:sz w:val="24"/>
          <w:szCs w:val="24"/>
          <w:lang w:eastAsia="en-GB"/>
        </w:rPr>
        <w:t xml:space="preserve"> alkaloids: Pharmacognosy and biotechnology. </w:t>
      </w:r>
      <w:r w:rsidRPr="005D6A18">
        <w:rPr>
          <w:rFonts w:ascii="Times New Roman" w:eastAsia="Times New Roman" w:hAnsi="Times New Roman" w:cs="Times New Roman"/>
          <w:i/>
          <w:iCs/>
          <w:sz w:val="24"/>
          <w:szCs w:val="24"/>
          <w:lang w:eastAsia="en-GB"/>
        </w:rPr>
        <w:t>Current Medicinal Chemistry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11</w:t>
      </w:r>
      <w:r w:rsidRPr="005D6A18">
        <w:rPr>
          <w:rFonts w:ascii="Times New Roman" w:eastAsia="Times New Roman" w:hAnsi="Times New Roman" w:cs="Times New Roman"/>
          <w:sz w:val="24"/>
          <w:szCs w:val="24"/>
          <w:lang w:eastAsia="en-GB"/>
        </w:rPr>
        <w:t xml:space="preserve">(5), 607–628. </w:t>
      </w:r>
      <w:r w:rsidRPr="005D6A18">
        <w:rPr>
          <w:rFonts w:ascii="Times New Roman" w:eastAsia="Times New Roman" w:hAnsi="Times New Roman" w:cs="Times New Roman"/>
          <w:color w:val="0000FF"/>
          <w:sz w:val="24"/>
          <w:szCs w:val="24"/>
          <w:u w:val="single"/>
          <w:lang w:eastAsia="en-GB"/>
        </w:rPr>
        <w:t>https://doi.org/10.2174/0929867043455846</w:t>
      </w:r>
    </w:p>
    <w:p w14:paraId="5268D425"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hAnsi="Times New Roman" w:cs="Times New Roman"/>
        </w:rPr>
        <w:t xml:space="preserve">Verdura, S., </w:t>
      </w:r>
      <w:proofErr w:type="spellStart"/>
      <w:r w:rsidRPr="005D6A18">
        <w:rPr>
          <w:rFonts w:ascii="Times New Roman" w:hAnsi="Times New Roman" w:cs="Times New Roman"/>
        </w:rPr>
        <w:t>Cuyàs</w:t>
      </w:r>
      <w:proofErr w:type="spellEnd"/>
      <w:r w:rsidRPr="005D6A18">
        <w:rPr>
          <w:rFonts w:ascii="Times New Roman" w:hAnsi="Times New Roman" w:cs="Times New Roman"/>
        </w:rPr>
        <w:t xml:space="preserve">, E., Cortada, E., Brunet, J., Lopez-Bonet, E., Martin-Castillo, B., Bosch-Barrera, J., </w:t>
      </w:r>
      <w:proofErr w:type="spellStart"/>
      <w:r w:rsidRPr="005D6A18">
        <w:rPr>
          <w:rFonts w:ascii="Times New Roman" w:hAnsi="Times New Roman" w:cs="Times New Roman"/>
        </w:rPr>
        <w:t>Encinar</w:t>
      </w:r>
      <w:proofErr w:type="spellEnd"/>
      <w:r w:rsidRPr="005D6A18">
        <w:rPr>
          <w:rFonts w:ascii="Times New Roman" w:hAnsi="Times New Roman" w:cs="Times New Roman"/>
        </w:rPr>
        <w:t>, J. A., &amp; Menendez, J. A. (2020). Resveratrol targets PD-L1 glycosylation and dimerization to enhance antitumor T-cell immunity. Aging (Albany NY), 12(1), 8–34. https://doi.org/10.18632/aging.102646</w:t>
      </w:r>
    </w:p>
    <w:p w14:paraId="1A9F7AF7"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Verma, S., Miles, D., Gianni, L., Krop, I. E., </w:t>
      </w:r>
      <w:proofErr w:type="spellStart"/>
      <w:r w:rsidRPr="005D6A18">
        <w:rPr>
          <w:rFonts w:ascii="Times New Roman" w:eastAsia="Times New Roman" w:hAnsi="Times New Roman" w:cs="Times New Roman"/>
          <w:sz w:val="24"/>
          <w:szCs w:val="24"/>
          <w:lang w:eastAsia="en-GB"/>
        </w:rPr>
        <w:t>Welslau</w:t>
      </w:r>
      <w:proofErr w:type="spellEnd"/>
      <w:r w:rsidRPr="005D6A18">
        <w:rPr>
          <w:rFonts w:ascii="Times New Roman" w:eastAsia="Times New Roman" w:hAnsi="Times New Roman" w:cs="Times New Roman"/>
          <w:sz w:val="24"/>
          <w:szCs w:val="24"/>
          <w:lang w:eastAsia="en-GB"/>
        </w:rPr>
        <w:t xml:space="preserve">, M., Baselga, J., Pegram, M., Oh, D.-Y., </w:t>
      </w:r>
      <w:proofErr w:type="spellStart"/>
      <w:r w:rsidRPr="005D6A18">
        <w:rPr>
          <w:rFonts w:ascii="Times New Roman" w:eastAsia="Times New Roman" w:hAnsi="Times New Roman" w:cs="Times New Roman"/>
          <w:sz w:val="24"/>
          <w:szCs w:val="24"/>
          <w:lang w:eastAsia="en-GB"/>
        </w:rPr>
        <w:t>Diéras</w:t>
      </w:r>
      <w:proofErr w:type="spellEnd"/>
      <w:r w:rsidRPr="005D6A18">
        <w:rPr>
          <w:rFonts w:ascii="Times New Roman" w:eastAsia="Times New Roman" w:hAnsi="Times New Roman" w:cs="Times New Roman"/>
          <w:sz w:val="24"/>
          <w:szCs w:val="24"/>
          <w:lang w:eastAsia="en-GB"/>
        </w:rPr>
        <w:t xml:space="preserve">, V., Guardino, E., Fang, L., Lu, M. W., Olsen, S., &amp; Blackwell, K. (2012). </w:t>
      </w:r>
      <w:r w:rsidRPr="005D6A18">
        <w:rPr>
          <w:rFonts w:ascii="Times New Roman" w:eastAsia="Times New Roman" w:hAnsi="Times New Roman" w:cs="Times New Roman"/>
          <w:sz w:val="24"/>
          <w:szCs w:val="24"/>
          <w:lang w:eastAsia="en-GB"/>
        </w:rPr>
        <w:lastRenderedPageBreak/>
        <w:t xml:space="preserve">Trastuzumab emtansine for HER2-positive advanced breast cancer. </w:t>
      </w:r>
      <w:r w:rsidRPr="005D6A18">
        <w:rPr>
          <w:rFonts w:ascii="Times New Roman" w:eastAsia="Times New Roman" w:hAnsi="Times New Roman" w:cs="Times New Roman"/>
          <w:i/>
          <w:iCs/>
          <w:sz w:val="24"/>
          <w:szCs w:val="24"/>
          <w:lang w:eastAsia="en-GB"/>
        </w:rPr>
        <w:t>New England Journal of Medicine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367</w:t>
      </w:r>
      <w:r w:rsidRPr="005D6A18">
        <w:rPr>
          <w:rFonts w:ascii="Times New Roman" w:eastAsia="Times New Roman" w:hAnsi="Times New Roman" w:cs="Times New Roman"/>
          <w:sz w:val="24"/>
          <w:szCs w:val="24"/>
          <w:lang w:eastAsia="en-GB"/>
        </w:rPr>
        <w:t xml:space="preserve">(19), 1783–1791. </w:t>
      </w:r>
      <w:r w:rsidRPr="005D6A18">
        <w:rPr>
          <w:rFonts w:ascii="Times New Roman" w:eastAsia="Times New Roman" w:hAnsi="Times New Roman" w:cs="Times New Roman"/>
          <w:color w:val="0000FF"/>
          <w:sz w:val="24"/>
          <w:szCs w:val="24"/>
          <w:u w:val="single"/>
          <w:lang w:eastAsia="en-GB"/>
        </w:rPr>
        <w:t>https://doi.org/10.1056/NEJMoa1209124</w:t>
      </w:r>
    </w:p>
    <w:p w14:paraId="733D224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Wani, M. C., Taylor, H. L., Wall, M. E., Coggon, P., &amp; McPhail, A. T. (1971). Plant antitumor agents. VI. The isolation and structure of </w:t>
      </w:r>
      <w:proofErr w:type="spellStart"/>
      <w:r w:rsidRPr="005D6A18">
        <w:rPr>
          <w:rFonts w:ascii="Times New Roman" w:eastAsia="Times New Roman" w:hAnsi="Times New Roman" w:cs="Times New Roman"/>
          <w:sz w:val="24"/>
          <w:szCs w:val="24"/>
          <w:lang w:eastAsia="en-GB"/>
        </w:rPr>
        <w:t>taxol</w:t>
      </w:r>
      <w:proofErr w:type="spellEnd"/>
      <w:r w:rsidRPr="005D6A18">
        <w:rPr>
          <w:rFonts w:ascii="Times New Roman" w:eastAsia="Times New Roman" w:hAnsi="Times New Roman" w:cs="Times New Roman"/>
          <w:sz w:val="24"/>
          <w:szCs w:val="24"/>
          <w:lang w:eastAsia="en-GB"/>
        </w:rPr>
        <w:t xml:space="preserve">, a novel antileukemic and antitumor agent from </w:t>
      </w: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Journal of the American Chemical Society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93</w:t>
      </w:r>
      <w:r w:rsidRPr="005D6A18">
        <w:rPr>
          <w:rFonts w:ascii="Times New Roman" w:eastAsia="Times New Roman" w:hAnsi="Times New Roman" w:cs="Times New Roman"/>
          <w:sz w:val="24"/>
          <w:szCs w:val="24"/>
          <w:lang w:eastAsia="en-GB"/>
        </w:rPr>
        <w:t xml:space="preserve">(9), 2325–2327. </w:t>
      </w:r>
      <w:r w:rsidRPr="005D6A18">
        <w:rPr>
          <w:rFonts w:ascii="Times New Roman" w:eastAsia="Times New Roman" w:hAnsi="Times New Roman" w:cs="Times New Roman"/>
          <w:color w:val="0000FF"/>
          <w:sz w:val="24"/>
          <w:szCs w:val="24"/>
          <w:u w:val="single"/>
          <w:lang w:eastAsia="en-GB"/>
        </w:rPr>
        <w:t>https://doi.org/10.1021/ja00738a045</w:t>
      </w:r>
    </w:p>
    <w:p w14:paraId="0B59FC9B"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Weiner, L. M., Surana, R., &amp; Wang, S. (2010). Monoclonal antibodies: Versatile platforms for cancer immunotherapy. </w:t>
      </w:r>
      <w:r w:rsidRPr="005D6A18">
        <w:rPr>
          <w:rFonts w:ascii="Times New Roman" w:eastAsia="Times New Roman" w:hAnsi="Times New Roman" w:cs="Times New Roman"/>
          <w:i/>
          <w:iCs/>
          <w:sz w:val="24"/>
          <w:szCs w:val="24"/>
          <w:lang w:eastAsia="en-GB"/>
        </w:rPr>
        <w:t>Nature Reviews Immunology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10</w:t>
      </w:r>
      <w:r w:rsidRPr="005D6A18">
        <w:rPr>
          <w:rFonts w:ascii="Times New Roman" w:eastAsia="Times New Roman" w:hAnsi="Times New Roman" w:cs="Times New Roman"/>
          <w:sz w:val="24"/>
          <w:szCs w:val="24"/>
          <w:lang w:eastAsia="en-GB"/>
        </w:rPr>
        <w:t xml:space="preserve">(5), 317–327. </w:t>
      </w:r>
      <w:r w:rsidRPr="005D6A18">
        <w:rPr>
          <w:rFonts w:ascii="Times New Roman" w:eastAsia="Times New Roman" w:hAnsi="Times New Roman" w:cs="Times New Roman"/>
          <w:color w:val="0000FF"/>
          <w:sz w:val="24"/>
          <w:szCs w:val="24"/>
          <w:u w:val="single"/>
          <w:lang w:eastAsia="en-GB"/>
        </w:rPr>
        <w:t>https://doi.org/10.1038/nri2744</w:t>
      </w:r>
    </w:p>
    <w:p w14:paraId="163C79F0"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Whiteside, T. L. (2008). The </w:t>
      </w:r>
      <w:proofErr w:type="spellStart"/>
      <w:r w:rsidRPr="005D6A18">
        <w:rPr>
          <w:rFonts w:ascii="Times New Roman" w:eastAsia="Times New Roman" w:hAnsi="Times New Roman" w:cs="Times New Roman"/>
          <w:sz w:val="24"/>
          <w:szCs w:val="24"/>
          <w:lang w:eastAsia="en-GB"/>
        </w:rPr>
        <w:t>tumor</w:t>
      </w:r>
      <w:proofErr w:type="spellEnd"/>
      <w:r w:rsidRPr="005D6A18">
        <w:rPr>
          <w:rFonts w:ascii="Times New Roman" w:eastAsia="Times New Roman" w:hAnsi="Times New Roman" w:cs="Times New Roman"/>
          <w:sz w:val="24"/>
          <w:szCs w:val="24"/>
          <w:lang w:eastAsia="en-GB"/>
        </w:rPr>
        <w:t xml:space="preserve"> microenvironment and its role in promoting tumour growth. </w:t>
      </w:r>
      <w:r w:rsidRPr="005D6A18">
        <w:rPr>
          <w:rFonts w:ascii="Times New Roman" w:eastAsia="Times New Roman" w:hAnsi="Times New Roman" w:cs="Times New Roman"/>
          <w:i/>
          <w:iCs/>
          <w:sz w:val="24"/>
          <w:szCs w:val="24"/>
          <w:lang w:eastAsia="en-GB"/>
        </w:rPr>
        <w:t>Oncogene</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27</w:t>
      </w:r>
      <w:r w:rsidRPr="005D6A18">
        <w:rPr>
          <w:rFonts w:ascii="Times New Roman" w:eastAsia="Times New Roman" w:hAnsi="Times New Roman" w:cs="Times New Roman"/>
          <w:sz w:val="24"/>
          <w:szCs w:val="24"/>
          <w:lang w:eastAsia="en-GB"/>
        </w:rPr>
        <w:t xml:space="preserve">(45), 5904–5912. </w:t>
      </w:r>
      <w:r w:rsidRPr="005D6A18">
        <w:rPr>
          <w:rFonts w:ascii="Times New Roman" w:eastAsia="Times New Roman" w:hAnsi="Times New Roman" w:cs="Times New Roman"/>
          <w:color w:val="0000FF"/>
          <w:sz w:val="24"/>
          <w:szCs w:val="24"/>
          <w:u w:val="single"/>
          <w:lang w:eastAsia="en-GB"/>
        </w:rPr>
        <w:t>https://doi.org/10.1038/onc.2008.271</w:t>
      </w:r>
    </w:p>
    <w:p w14:paraId="291EA56F"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hAnsi="Times New Roman" w:cs="Times New Roman"/>
        </w:rPr>
        <w:t>World Health Organization. (2024, February 1). Global cancer burden growing, amidst mounting need for services. https://www.who.int/news/item/01-02-2024-global-cancer-burden-growing--amidst-mounting-need-for-services</w:t>
      </w:r>
    </w:p>
    <w:p w14:paraId="17BD6479"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M. M., Jaggi, M., &amp; Chauhan, S. C. (2012). Curcumin </w:t>
      </w:r>
      <w:proofErr w:type="spellStart"/>
      <w:r w:rsidRPr="005D6A18">
        <w:rPr>
          <w:rFonts w:ascii="Times New Roman" w:eastAsia="Times New Roman" w:hAnsi="Times New Roman" w:cs="Times New Roman"/>
          <w:sz w:val="24"/>
          <w:szCs w:val="24"/>
          <w:lang w:eastAsia="en-GB"/>
        </w:rPr>
        <w:t>nanoformulations</w:t>
      </w:r>
      <w:proofErr w:type="spellEnd"/>
      <w:r w:rsidRPr="005D6A18">
        <w:rPr>
          <w:rFonts w:ascii="Times New Roman" w:eastAsia="Times New Roman" w:hAnsi="Times New Roman" w:cs="Times New Roman"/>
          <w:sz w:val="24"/>
          <w:szCs w:val="24"/>
          <w:lang w:eastAsia="en-GB"/>
        </w:rPr>
        <w:t xml:space="preserve">: A future nanomedicine for cancer. </w:t>
      </w:r>
      <w:r w:rsidRPr="005D6A18">
        <w:rPr>
          <w:rFonts w:ascii="Times New Roman" w:eastAsia="Times New Roman" w:hAnsi="Times New Roman" w:cs="Times New Roman"/>
          <w:i/>
          <w:iCs/>
          <w:sz w:val="24"/>
          <w:szCs w:val="24"/>
          <w:lang w:eastAsia="en-GB"/>
        </w:rPr>
        <w:t>Drug Discovery Today</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17</w:t>
      </w:r>
      <w:r w:rsidRPr="005D6A18">
        <w:rPr>
          <w:rFonts w:ascii="Times New Roman" w:eastAsia="Times New Roman" w:hAnsi="Times New Roman" w:cs="Times New Roman"/>
          <w:sz w:val="24"/>
          <w:szCs w:val="24"/>
          <w:lang w:eastAsia="en-GB"/>
        </w:rPr>
        <w:t xml:space="preserve">(1–2), 71–80. </w:t>
      </w:r>
      <w:r w:rsidRPr="005D6A18">
        <w:rPr>
          <w:rFonts w:ascii="Times New Roman" w:eastAsia="Times New Roman" w:hAnsi="Times New Roman" w:cs="Times New Roman"/>
          <w:color w:val="0000FF"/>
          <w:sz w:val="24"/>
          <w:szCs w:val="24"/>
          <w:u w:val="single"/>
          <w:lang w:eastAsia="en-GB"/>
        </w:rPr>
        <w:t>https://doi.org/10.1016/j.drudis.2011.09.009</w:t>
      </w:r>
    </w:p>
    <w:p w14:paraId="57C444EE" w14:textId="77777777" w:rsidR="002E6E04" w:rsidRPr="005D6A18" w:rsidRDefault="002E6E04" w:rsidP="002E6E04">
      <w:pPr>
        <w:spacing w:before="100" w:beforeAutospacing="1" w:after="100" w:afterAutospacing="1" w:line="240" w:lineRule="auto"/>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Zahavi, D., &amp; Weiner, L. (2020). Monoclonal antibodies in cancer therapy. </w:t>
      </w:r>
      <w:r w:rsidRPr="005D6A18">
        <w:rPr>
          <w:rFonts w:ascii="Times New Roman" w:eastAsia="Times New Roman" w:hAnsi="Times New Roman" w:cs="Times New Roman"/>
          <w:i/>
          <w:iCs/>
          <w:sz w:val="24"/>
          <w:szCs w:val="24"/>
          <w:lang w:eastAsia="en-GB"/>
        </w:rPr>
        <w:t>Antibodies</w:t>
      </w:r>
      <w:r w:rsidRPr="005D6A18">
        <w:rPr>
          <w:rFonts w:ascii="Times New Roman" w:eastAsia="Times New Roman" w:hAnsi="Times New Roman" w:cs="Times New Roman"/>
          <w:sz w:val="24"/>
          <w:szCs w:val="24"/>
          <w:lang w:eastAsia="en-GB"/>
        </w:rPr>
        <w:t xml:space="preserve">, </w:t>
      </w:r>
      <w:r w:rsidRPr="005D6A18">
        <w:rPr>
          <w:rFonts w:ascii="Times New Roman" w:eastAsia="Times New Roman" w:hAnsi="Times New Roman" w:cs="Times New Roman"/>
          <w:i/>
          <w:iCs/>
          <w:sz w:val="24"/>
          <w:szCs w:val="24"/>
          <w:lang w:eastAsia="en-GB"/>
        </w:rPr>
        <w:t>9</w:t>
      </w:r>
      <w:r w:rsidRPr="005D6A18">
        <w:rPr>
          <w:rFonts w:ascii="Times New Roman" w:eastAsia="Times New Roman" w:hAnsi="Times New Roman" w:cs="Times New Roman"/>
          <w:sz w:val="24"/>
          <w:szCs w:val="24"/>
          <w:lang w:eastAsia="en-GB"/>
        </w:rPr>
        <w:t xml:space="preserve">(3), 34. </w:t>
      </w:r>
      <w:r w:rsidRPr="005D6A18">
        <w:rPr>
          <w:rFonts w:ascii="Times New Roman" w:eastAsia="Times New Roman" w:hAnsi="Times New Roman" w:cs="Times New Roman"/>
          <w:color w:val="0000FF"/>
          <w:sz w:val="24"/>
          <w:szCs w:val="24"/>
          <w:u w:val="single"/>
          <w:lang w:eastAsia="en-GB"/>
        </w:rPr>
        <w:t>https://doi.org/10.3390/antib9030034</w:t>
      </w:r>
    </w:p>
    <w:p w14:paraId="1F954989" w14:textId="77777777" w:rsidR="004841B3" w:rsidRPr="005D6A18" w:rsidRDefault="004841B3">
      <w:pPr>
        <w:rPr>
          <w:rFonts w:ascii="Times New Roman" w:hAnsi="Times New Roman" w:cs="Times New Roman"/>
        </w:rPr>
      </w:pPr>
    </w:p>
    <w:sectPr w:rsidR="004841B3" w:rsidRPr="005D6A18"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79DA" w14:textId="77777777" w:rsidR="00605583" w:rsidRDefault="00605583" w:rsidP="007032AF">
      <w:pPr>
        <w:spacing w:after="0" w:line="240" w:lineRule="auto"/>
      </w:pPr>
      <w:r>
        <w:separator/>
      </w:r>
    </w:p>
  </w:endnote>
  <w:endnote w:type="continuationSeparator" w:id="0">
    <w:p w14:paraId="3CB99099" w14:textId="77777777" w:rsidR="00605583" w:rsidRDefault="00605583" w:rsidP="00703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4CC8" w14:textId="77777777" w:rsidR="007032AF" w:rsidRDefault="00703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C68E" w14:textId="77777777" w:rsidR="007032AF" w:rsidRDefault="00703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E3BB" w14:textId="77777777" w:rsidR="007032AF" w:rsidRDefault="00703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5032" w14:textId="77777777" w:rsidR="00605583" w:rsidRDefault="00605583" w:rsidP="007032AF">
      <w:pPr>
        <w:spacing w:after="0" w:line="240" w:lineRule="auto"/>
      </w:pPr>
      <w:r>
        <w:separator/>
      </w:r>
    </w:p>
  </w:footnote>
  <w:footnote w:type="continuationSeparator" w:id="0">
    <w:p w14:paraId="371D228D" w14:textId="77777777" w:rsidR="00605583" w:rsidRDefault="00605583" w:rsidP="00703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4F23" w14:textId="014AABF7" w:rsidR="007032AF" w:rsidRDefault="007032AF">
    <w:pPr>
      <w:pStyle w:val="Header"/>
    </w:pPr>
    <w:r>
      <w:rPr>
        <w:noProof/>
      </w:rPr>
      <w:pict w14:anchorId="7187C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8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90A4" w14:textId="6740CECC" w:rsidR="007032AF" w:rsidRDefault="007032AF">
    <w:pPr>
      <w:pStyle w:val="Header"/>
    </w:pPr>
    <w:r>
      <w:rPr>
        <w:noProof/>
      </w:rPr>
      <w:pict w14:anchorId="7F728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8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8CC4" w14:textId="538ECA80" w:rsidR="007032AF" w:rsidRDefault="007032AF">
    <w:pPr>
      <w:pStyle w:val="Header"/>
    </w:pPr>
    <w:r>
      <w:rPr>
        <w:noProof/>
      </w:rPr>
      <w:pict w14:anchorId="4488EA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8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6E04"/>
    <w:rsid w:val="002E6E04"/>
    <w:rsid w:val="00336C67"/>
    <w:rsid w:val="00345F3B"/>
    <w:rsid w:val="004841B3"/>
    <w:rsid w:val="005D6A18"/>
    <w:rsid w:val="00605583"/>
    <w:rsid w:val="007032AF"/>
    <w:rsid w:val="00824882"/>
    <w:rsid w:val="008B7148"/>
    <w:rsid w:val="00911FF3"/>
    <w:rsid w:val="00A51E9A"/>
    <w:rsid w:val="00E12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FBF6E"/>
  <w15:docId w15:val="{4BC49AA5-4E52-4994-9E04-34FEA77D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E6E0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E6E0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E6E0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2E6E0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2E6E0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E6E0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E6E04"/>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2E6E04"/>
    <w:rPr>
      <w:rFonts w:ascii="Times New Roman" w:eastAsia="Times New Roman" w:hAnsi="Times New Roman" w:cs="Times New Roman"/>
      <w:b/>
      <w:bCs/>
      <w:sz w:val="20"/>
      <w:szCs w:val="20"/>
      <w:lang w:eastAsia="en-GB"/>
    </w:rPr>
  </w:style>
  <w:style w:type="paragraph" w:customStyle="1" w:styleId="font-claude-response-body">
    <w:name w:val="font-claude-response-body"/>
    <w:basedOn w:val="Normal"/>
    <w:rsid w:val="002E6E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E6E04"/>
    <w:rPr>
      <w:b/>
      <w:bCs/>
    </w:rPr>
  </w:style>
  <w:style w:type="character" w:styleId="Emphasis">
    <w:name w:val="Emphasis"/>
    <w:basedOn w:val="DefaultParagraphFont"/>
    <w:uiPriority w:val="20"/>
    <w:qFormat/>
    <w:rsid w:val="002E6E04"/>
    <w:rPr>
      <w:i/>
      <w:iCs/>
    </w:rPr>
  </w:style>
  <w:style w:type="character" w:styleId="Hyperlink">
    <w:name w:val="Hyperlink"/>
    <w:basedOn w:val="DefaultParagraphFont"/>
    <w:uiPriority w:val="99"/>
    <w:semiHidden/>
    <w:unhideWhenUsed/>
    <w:rsid w:val="002E6E04"/>
    <w:rPr>
      <w:color w:val="0000FF"/>
      <w:u w:val="single"/>
    </w:rPr>
  </w:style>
  <w:style w:type="table" w:styleId="TableGrid">
    <w:name w:val="Table Grid"/>
    <w:basedOn w:val="TableNormal"/>
    <w:uiPriority w:val="59"/>
    <w:rsid w:val="005D6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2AF"/>
  </w:style>
  <w:style w:type="paragraph" w:styleId="Footer">
    <w:name w:val="footer"/>
    <w:basedOn w:val="Normal"/>
    <w:link w:val="FooterChar"/>
    <w:uiPriority w:val="99"/>
    <w:unhideWhenUsed/>
    <w:rsid w:val="00703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35515">
      <w:bodyDiv w:val="1"/>
      <w:marLeft w:val="0"/>
      <w:marRight w:val="0"/>
      <w:marTop w:val="0"/>
      <w:marBottom w:val="0"/>
      <w:divBdr>
        <w:top w:val="none" w:sz="0" w:space="0" w:color="auto"/>
        <w:left w:val="none" w:sz="0" w:space="0" w:color="auto"/>
        <w:bottom w:val="none" w:sz="0" w:space="0" w:color="auto"/>
        <w:right w:val="none" w:sz="0" w:space="0" w:color="auto"/>
      </w:divBdr>
      <w:divsChild>
        <w:div w:id="1004935557">
          <w:marLeft w:val="0"/>
          <w:marRight w:val="0"/>
          <w:marTop w:val="0"/>
          <w:marBottom w:val="0"/>
          <w:divBdr>
            <w:top w:val="none" w:sz="0" w:space="0" w:color="auto"/>
            <w:left w:val="none" w:sz="0" w:space="0" w:color="auto"/>
            <w:bottom w:val="none" w:sz="0" w:space="0" w:color="auto"/>
            <w:right w:val="none" w:sz="0" w:space="0" w:color="auto"/>
          </w:divBdr>
        </w:div>
        <w:div w:id="433210888">
          <w:marLeft w:val="0"/>
          <w:marRight w:val="0"/>
          <w:marTop w:val="0"/>
          <w:marBottom w:val="0"/>
          <w:divBdr>
            <w:top w:val="none" w:sz="0" w:space="0" w:color="auto"/>
            <w:left w:val="none" w:sz="0" w:space="0" w:color="auto"/>
            <w:bottom w:val="none" w:sz="0" w:space="0" w:color="auto"/>
            <w:right w:val="none" w:sz="0" w:space="0" w:color="auto"/>
          </w:divBdr>
        </w:div>
        <w:div w:id="1302267302">
          <w:marLeft w:val="0"/>
          <w:marRight w:val="0"/>
          <w:marTop w:val="0"/>
          <w:marBottom w:val="0"/>
          <w:divBdr>
            <w:top w:val="none" w:sz="0" w:space="0" w:color="auto"/>
            <w:left w:val="none" w:sz="0" w:space="0" w:color="auto"/>
            <w:bottom w:val="none" w:sz="0" w:space="0" w:color="auto"/>
            <w:right w:val="none" w:sz="0" w:space="0" w:color="auto"/>
          </w:divBdr>
        </w:div>
        <w:div w:id="762800615">
          <w:marLeft w:val="0"/>
          <w:marRight w:val="0"/>
          <w:marTop w:val="0"/>
          <w:marBottom w:val="0"/>
          <w:divBdr>
            <w:top w:val="none" w:sz="0" w:space="0" w:color="auto"/>
            <w:left w:val="none" w:sz="0" w:space="0" w:color="auto"/>
            <w:bottom w:val="none" w:sz="0" w:space="0" w:color="auto"/>
            <w:right w:val="none" w:sz="0" w:space="0" w:color="auto"/>
          </w:divBdr>
        </w:div>
        <w:div w:id="1538591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12088</Words>
  <Characters>68902</Characters>
  <Application>Microsoft Office Word</Application>
  <DocSecurity>0</DocSecurity>
  <Lines>574</Lines>
  <Paragraphs>161</Paragraphs>
  <ScaleCrop>false</ScaleCrop>
  <Company>HP</Company>
  <LinksUpToDate>false</LinksUpToDate>
  <CharactersWithSpaces>80829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7</cp:revision>
  <dcterms:created xsi:type="dcterms:W3CDTF">2026-06-27T07:32:00Z</dcterms:created>
  <dcterms:modified xsi:type="dcterms:W3CDTF">2026-06-29T13:16:00Z</dcterms:modified>
</cp:coreProperties>
</file>