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6CD20" w14:textId="77777777" w:rsidR="00120262" w:rsidRPr="00120262" w:rsidRDefault="00120262" w:rsidP="00120262">
      <w:pPr>
        <w:pStyle w:val="Title"/>
        <w:jc w:val="both"/>
        <w:rPr>
          <w:rFonts w:ascii="Arial" w:hAnsi="Arial" w:cs="Arial"/>
          <w:bCs/>
          <w:i/>
          <w:iCs/>
          <w:u w:val="single"/>
        </w:rPr>
      </w:pPr>
      <w:r w:rsidRPr="00120262">
        <w:rPr>
          <w:rFonts w:ascii="Arial" w:hAnsi="Arial" w:cs="Arial"/>
          <w:bCs/>
          <w:i/>
          <w:iCs/>
          <w:u w:val="single"/>
        </w:rPr>
        <w:t>Review Article</w:t>
      </w:r>
    </w:p>
    <w:p w14:paraId="64522E7C" w14:textId="77777777" w:rsidR="00754C9A" w:rsidRDefault="00754C9A" w:rsidP="00441B6F">
      <w:pPr>
        <w:pStyle w:val="Title"/>
        <w:spacing w:after="0"/>
        <w:jc w:val="both"/>
        <w:rPr>
          <w:rFonts w:ascii="Arial" w:hAnsi="Arial" w:cs="Arial"/>
        </w:rPr>
      </w:pPr>
    </w:p>
    <w:p w14:paraId="33C5EA62" w14:textId="38D8115B" w:rsidR="00970BDB" w:rsidRDefault="00970BDB" w:rsidP="00970BDB">
      <w:pPr>
        <w:jc w:val="both"/>
        <w:rPr>
          <w:rFonts w:ascii="Times New Roman" w:hAnsi="Times New Roman"/>
          <w:b/>
          <w:bCs/>
          <w:sz w:val="52"/>
          <w:szCs w:val="52"/>
        </w:rPr>
      </w:pPr>
      <w:r w:rsidRPr="00970BDB">
        <w:rPr>
          <w:rFonts w:ascii="Arial" w:hAnsi="Arial" w:cs="Arial"/>
          <w:b/>
          <w:bCs/>
          <w:sz w:val="36"/>
          <w:szCs w:val="36"/>
        </w:rPr>
        <w:t xml:space="preserve">Recent Progress in </w:t>
      </w:r>
      <w:proofErr w:type="spellStart"/>
      <w:r w:rsidRPr="00970BDB">
        <w:rPr>
          <w:rFonts w:ascii="Arial" w:hAnsi="Arial" w:cs="Arial"/>
          <w:b/>
          <w:bCs/>
          <w:sz w:val="36"/>
          <w:szCs w:val="36"/>
        </w:rPr>
        <w:t>Cubosome</w:t>
      </w:r>
      <w:proofErr w:type="spellEnd"/>
      <w:r w:rsidRPr="00970BDB">
        <w:rPr>
          <w:rFonts w:ascii="Arial" w:hAnsi="Arial" w:cs="Arial"/>
          <w:b/>
          <w:bCs/>
          <w:sz w:val="36"/>
          <w:szCs w:val="36"/>
        </w:rPr>
        <w:t xml:space="preserve"> Technology: Formulation Principles, Characterization Techniques, And Biomedical Applications</w:t>
      </w:r>
    </w:p>
    <w:p w14:paraId="3FCE27BC" w14:textId="4ABD763C" w:rsidR="00163BC4" w:rsidRPr="00163BC4" w:rsidRDefault="00163BC4" w:rsidP="00441B6F">
      <w:pPr>
        <w:pStyle w:val="Author"/>
        <w:spacing w:line="240" w:lineRule="auto"/>
        <w:rPr>
          <w:rFonts w:ascii="Arial" w:hAnsi="Arial" w:cs="Arial"/>
          <w:bCs/>
          <w:iCs/>
          <w:kern w:val="28"/>
          <w:sz w:val="36"/>
        </w:rPr>
      </w:pPr>
    </w:p>
    <w:p w14:paraId="62D72538" w14:textId="77777777" w:rsidR="00A258C3" w:rsidRPr="00790ADA" w:rsidRDefault="00A258C3" w:rsidP="00441B6F">
      <w:pPr>
        <w:pStyle w:val="Author"/>
        <w:spacing w:line="240" w:lineRule="auto"/>
        <w:jc w:val="both"/>
        <w:rPr>
          <w:rFonts w:ascii="Arial" w:hAnsi="Arial" w:cs="Arial"/>
          <w:sz w:val="36"/>
        </w:rPr>
      </w:pPr>
    </w:p>
    <w:p w14:paraId="55531E06" w14:textId="77777777" w:rsidR="002C57D2" w:rsidRPr="00FB3A86" w:rsidRDefault="002C57D2" w:rsidP="00441B6F">
      <w:pPr>
        <w:pStyle w:val="Affiliation"/>
        <w:spacing w:after="0" w:line="240" w:lineRule="auto"/>
        <w:jc w:val="both"/>
        <w:rPr>
          <w:rFonts w:ascii="Arial" w:hAnsi="Arial" w:cs="Arial"/>
        </w:rPr>
      </w:pPr>
    </w:p>
    <w:p w14:paraId="70B39FCC" w14:textId="06766821" w:rsidR="00B01FCD" w:rsidRPr="00FB3A86" w:rsidRDefault="009125BB" w:rsidP="00441B6F">
      <w:pPr>
        <w:pStyle w:val="Copyright"/>
        <w:spacing w:after="0" w:line="240" w:lineRule="auto"/>
        <w:jc w:val="both"/>
        <w:rPr>
          <w:rFonts w:ascii="Arial" w:hAnsi="Arial" w:cs="Arial"/>
        </w:rPr>
        <w:sectPr w:rsidR="00B01FCD" w:rsidRPr="00FB3A86" w:rsidSect="00A17719">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5F292265" wp14:editId="158E12DD">
                <wp:extent cx="5303520" cy="635"/>
                <wp:effectExtent l="9525" t="12700" r="11430" b="15875"/>
                <wp:docPr id="123072964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87A9F0"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Pr>
          <w:rFonts w:ascii="Arial" w:hAnsi="Arial" w:cs="Arial"/>
        </w:rPr>
        <w:t>.</w:t>
      </w:r>
    </w:p>
    <w:p w14:paraId="36064A39" w14:textId="62B2DEDF"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2A5A42F3" w14:textId="77777777" w:rsidR="00790ADA" w:rsidRPr="00FB3A86" w:rsidRDefault="00790ADA" w:rsidP="00441B6F">
      <w:pPr>
        <w:pStyle w:val="AbstHead"/>
        <w:spacing w:after="0"/>
        <w:jc w:val="both"/>
        <w:rPr>
          <w:rFonts w:ascii="Arial" w:hAnsi="Arial" w:cs="Arial"/>
        </w:rPr>
      </w:pPr>
    </w:p>
    <w:p w14:paraId="239886F2" w14:textId="77777777" w:rsidR="00E75478" w:rsidRPr="00085512" w:rsidRDefault="00E75478" w:rsidP="00E75478">
      <w:pPr>
        <w:spacing w:before="100" w:beforeAutospacing="1" w:after="100" w:afterAutospacing="1"/>
        <w:rPr>
          <w:rFonts w:ascii="Times New Roman" w:hAnsi="Times New Roman"/>
          <w:sz w:val="24"/>
          <w:szCs w:val="24"/>
          <w:lang w:eastAsia="en-GB"/>
        </w:rPr>
      </w:pPr>
      <w:proofErr w:type="spellStart"/>
      <w:r w:rsidRPr="00085512">
        <w:rPr>
          <w:rFonts w:ascii="Times New Roman" w:hAnsi="Times New Roman"/>
          <w:sz w:val="24"/>
          <w:szCs w:val="24"/>
          <w:lang w:eastAsia="en-GB"/>
        </w:rPr>
        <w:t>Cubosomes</w:t>
      </w:r>
      <w:proofErr w:type="spellEnd"/>
      <w:r w:rsidRPr="00085512">
        <w:rPr>
          <w:rFonts w:ascii="Times New Roman" w:hAnsi="Times New Roman"/>
          <w:sz w:val="24"/>
          <w:szCs w:val="24"/>
          <w:lang w:eastAsia="en-GB"/>
        </w:rPr>
        <w:t xml:space="preserve"> are nanostructured lipid-based carriers formed from </w:t>
      </w:r>
      <w:proofErr w:type="spellStart"/>
      <w:r w:rsidRPr="00085512">
        <w:rPr>
          <w:rFonts w:ascii="Times New Roman" w:hAnsi="Times New Roman"/>
          <w:sz w:val="24"/>
          <w:szCs w:val="24"/>
          <w:lang w:eastAsia="en-GB"/>
        </w:rPr>
        <w:t>bicontinuous</w:t>
      </w:r>
      <w:proofErr w:type="spellEnd"/>
      <w:r w:rsidRPr="00085512">
        <w:rPr>
          <w:rFonts w:ascii="Times New Roman" w:hAnsi="Times New Roman"/>
          <w:sz w:val="24"/>
          <w:szCs w:val="24"/>
          <w:lang w:eastAsia="en-GB"/>
        </w:rPr>
        <w:t xml:space="preserve"> cubic liquid crystalline phases. They are commonly prepared using amphiphilic lipids such as glyceryl monooleate or </w:t>
      </w:r>
      <w:proofErr w:type="spellStart"/>
      <w:r w:rsidRPr="00085512">
        <w:rPr>
          <w:rFonts w:ascii="Times New Roman" w:hAnsi="Times New Roman"/>
          <w:sz w:val="24"/>
          <w:szCs w:val="24"/>
          <w:lang w:eastAsia="en-GB"/>
        </w:rPr>
        <w:t>phytantriol</w:t>
      </w:r>
      <w:proofErr w:type="spellEnd"/>
      <w:r w:rsidRPr="00085512">
        <w:rPr>
          <w:rFonts w:ascii="Times New Roman" w:hAnsi="Times New Roman"/>
          <w:sz w:val="24"/>
          <w:szCs w:val="24"/>
          <w:lang w:eastAsia="en-GB"/>
        </w:rPr>
        <w:t xml:space="preserve"> in combination with stabilizers such as Pluronic F127. Their internal architecture consists of lipid bilayers arranged within interconnected aqueous channels, allowing the incorporation of hydrophilic, hydrophobic, and amphiphilic molecules. This review summarizes recent progress in </w:t>
      </w:r>
      <w:proofErr w:type="spellStart"/>
      <w:r w:rsidRPr="00085512">
        <w:rPr>
          <w:rFonts w:ascii="Times New Roman" w:hAnsi="Times New Roman"/>
          <w:sz w:val="24"/>
          <w:szCs w:val="24"/>
          <w:lang w:eastAsia="en-GB"/>
        </w:rPr>
        <w:t>cubosome</w:t>
      </w:r>
      <w:proofErr w:type="spellEnd"/>
      <w:r w:rsidRPr="00085512">
        <w:rPr>
          <w:rFonts w:ascii="Times New Roman" w:hAnsi="Times New Roman"/>
          <w:sz w:val="24"/>
          <w:szCs w:val="24"/>
          <w:lang w:eastAsia="en-GB"/>
        </w:rPr>
        <w:t xml:space="preserve"> technology with emphasis on formulation principles, characterization approaches, drug loading strategies, release behavior, surface modification, and biomedical applications. Key formulation aspects include the selection of lipid matrices, stabilizers, preparation methods, and strategies for improving colloidal stability and drug encapsulation. Commonly used characterization techniques such as small-angle X-ray scattering, cryogenic transmission electron microscopy, dynamic light scattering, zeta potential analysis, differential scanning calorimetry, Fourier-transform infrared spectroscopy, and in vitro release testing are discussed in relation to </w:t>
      </w:r>
      <w:proofErr w:type="spellStart"/>
      <w:r w:rsidRPr="00085512">
        <w:rPr>
          <w:rFonts w:ascii="Times New Roman" w:hAnsi="Times New Roman"/>
          <w:sz w:val="24"/>
          <w:szCs w:val="24"/>
          <w:lang w:eastAsia="en-GB"/>
        </w:rPr>
        <w:t>cubosome</w:t>
      </w:r>
      <w:proofErr w:type="spellEnd"/>
      <w:r w:rsidRPr="00085512">
        <w:rPr>
          <w:rFonts w:ascii="Times New Roman" w:hAnsi="Times New Roman"/>
          <w:sz w:val="24"/>
          <w:szCs w:val="24"/>
          <w:lang w:eastAsia="en-GB"/>
        </w:rPr>
        <w:t xml:space="preserve"> structure and performance. The review also considers surface engineering approaches, including PEGylation, ligand-mediated targeting, and stimuli-responsive systems. Biomedical applications include anticancer drug delivery, antimicrobial therapy, ocular, transdermal, oral, and brain-targeted delivery, as well as vaccine-related applications. Although </w:t>
      </w:r>
      <w:proofErr w:type="spellStart"/>
      <w:r w:rsidRPr="00085512">
        <w:rPr>
          <w:rFonts w:ascii="Times New Roman" w:hAnsi="Times New Roman"/>
          <w:sz w:val="24"/>
          <w:szCs w:val="24"/>
          <w:lang w:eastAsia="en-GB"/>
        </w:rPr>
        <w:t>cubosomes</w:t>
      </w:r>
      <w:proofErr w:type="spellEnd"/>
      <w:r w:rsidRPr="00085512">
        <w:rPr>
          <w:rFonts w:ascii="Times New Roman" w:hAnsi="Times New Roman"/>
          <w:sz w:val="24"/>
          <w:szCs w:val="24"/>
          <w:lang w:eastAsia="en-GB"/>
        </w:rPr>
        <w:t xml:space="preserve"> show considerable potential as versatile nanocarriers, their clinical translation remains limited by challenges related to large-scale manufacturing, formulation stability, safety evaluation, and regulatory standardization. Continued research using systematic formulation design, robust characterization, and relevant preclinical models is needed to support their further development for pharmaceutical and biomedical use.</w:t>
      </w:r>
    </w:p>
    <w:p w14:paraId="4691853F" w14:textId="77777777" w:rsidR="00636EB2" w:rsidRDefault="00636EB2" w:rsidP="00441B6F">
      <w:pPr>
        <w:pStyle w:val="Body"/>
        <w:spacing w:after="0"/>
        <w:rPr>
          <w:rFonts w:ascii="Arial" w:hAnsi="Arial" w:cs="Arial"/>
          <w:i/>
        </w:rPr>
      </w:pPr>
    </w:p>
    <w:p w14:paraId="57B197FA" w14:textId="6E6BBAC8" w:rsidR="00A24E7E" w:rsidRDefault="00A24E7E" w:rsidP="00441B6F">
      <w:pPr>
        <w:pStyle w:val="Body"/>
        <w:spacing w:after="0"/>
        <w:rPr>
          <w:rFonts w:ascii="Arial" w:hAnsi="Arial" w:cs="Arial"/>
          <w:i/>
        </w:rPr>
      </w:pPr>
      <w:r>
        <w:rPr>
          <w:rFonts w:ascii="Arial" w:hAnsi="Arial" w:cs="Arial"/>
          <w:i/>
        </w:rPr>
        <w:lastRenderedPageBreak/>
        <w:t xml:space="preserve">Keywords: </w:t>
      </w:r>
      <w:proofErr w:type="spellStart"/>
      <w:r w:rsidR="00623636">
        <w:rPr>
          <w:rFonts w:ascii="Arial" w:hAnsi="Arial" w:cs="Arial"/>
          <w:i/>
        </w:rPr>
        <w:t>Cubosomes</w:t>
      </w:r>
      <w:proofErr w:type="spellEnd"/>
      <w:r w:rsidR="00623636">
        <w:rPr>
          <w:rFonts w:ascii="Arial" w:hAnsi="Arial" w:cs="Arial"/>
          <w:i/>
        </w:rPr>
        <w:t xml:space="preserve">, lipid – based nanocarriers, glyceryl monooleate, controlled drug delivery, nanomedicine, targeted drug delivery. </w:t>
      </w:r>
    </w:p>
    <w:p w14:paraId="532046B5" w14:textId="77777777" w:rsidR="00790ADA" w:rsidRDefault="00790ADA" w:rsidP="00441B6F">
      <w:pPr>
        <w:pStyle w:val="Body"/>
        <w:spacing w:after="0"/>
        <w:rPr>
          <w:rFonts w:ascii="Arial" w:hAnsi="Arial" w:cs="Arial"/>
          <w:i/>
        </w:rPr>
      </w:pPr>
    </w:p>
    <w:p w14:paraId="2046D5B0" w14:textId="77777777" w:rsidR="00505F06" w:rsidRPr="00A24E7E" w:rsidRDefault="00505F06" w:rsidP="00441B6F">
      <w:pPr>
        <w:pStyle w:val="Body"/>
        <w:spacing w:after="0"/>
        <w:rPr>
          <w:rFonts w:ascii="Arial" w:hAnsi="Arial" w:cs="Arial"/>
          <w:i/>
        </w:rPr>
      </w:pPr>
    </w:p>
    <w:p w14:paraId="58809382" w14:textId="53DE5102" w:rsidR="007F7B32" w:rsidRDefault="00902823" w:rsidP="00623636">
      <w:pPr>
        <w:pStyle w:val="AbstHead"/>
        <w:spacing w:after="0"/>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57A7C282" w14:textId="77777777" w:rsidR="00790ADA" w:rsidRPr="00FB3A86" w:rsidRDefault="00790ADA" w:rsidP="00441B6F">
      <w:pPr>
        <w:pStyle w:val="AbstHead"/>
        <w:spacing w:after="0"/>
        <w:jc w:val="both"/>
        <w:rPr>
          <w:rFonts w:ascii="Arial" w:hAnsi="Arial" w:cs="Arial"/>
        </w:rPr>
      </w:pPr>
    </w:p>
    <w:p w14:paraId="2FCDEF62" w14:textId="52A08666" w:rsidR="00926A7D" w:rsidRPr="00926A7D" w:rsidRDefault="00926A7D" w:rsidP="00926A7D">
      <w:pPr>
        <w:spacing w:before="80" w:after="120" w:line="360" w:lineRule="auto"/>
        <w:jc w:val="both"/>
        <w:rPr>
          <w:rFonts w:ascii="Arial" w:hAnsi="Arial" w:cs="Arial"/>
          <w:vertAlign w:val="superscript"/>
        </w:rPr>
      </w:pPr>
      <w:r w:rsidRPr="00926A7D">
        <w:rPr>
          <w:rFonts w:ascii="Arial" w:hAnsi="Arial" w:cs="Arial"/>
        </w:rPr>
        <w:t>The field of nanomedicine has witnessed transformative growth over the past two decades, driven by the urgent need to improve the bioavailability, therapeutic index, and targeted delivery of pharmacologically active compounds.</w:t>
      </w:r>
      <w:r w:rsidRPr="00926A7D">
        <w:rPr>
          <w:rFonts w:ascii="Arial" w:hAnsi="Arial" w:cs="Arial"/>
          <w:vertAlign w:val="superscript"/>
        </w:rPr>
        <w:t>1,2</w:t>
      </w:r>
      <w:r w:rsidRPr="00926A7D">
        <w:rPr>
          <w:rFonts w:ascii="Arial" w:hAnsi="Arial" w:cs="Arial"/>
        </w:rPr>
        <w:t xml:space="preserve"> Among the diverse landscape of lipid-based nanocarrier systems—which include liposomes, </w:t>
      </w:r>
      <w:proofErr w:type="spellStart"/>
      <w:r w:rsidRPr="00926A7D">
        <w:rPr>
          <w:rFonts w:ascii="Arial" w:hAnsi="Arial" w:cs="Arial"/>
        </w:rPr>
        <w:t>niosomes</w:t>
      </w:r>
      <w:proofErr w:type="spellEnd"/>
      <w:r w:rsidRPr="00926A7D">
        <w:rPr>
          <w:rFonts w:ascii="Arial" w:hAnsi="Arial" w:cs="Arial"/>
        </w:rPr>
        <w:t>, solid lipid nanoparticles (SLNs), nanostructured lipid carriers (NLCs), and emulsions—</w:t>
      </w:r>
      <w:proofErr w:type="spellStart"/>
      <w:r w:rsidRPr="00926A7D">
        <w:rPr>
          <w:rFonts w:ascii="Arial" w:hAnsi="Arial" w:cs="Arial"/>
        </w:rPr>
        <w:t>cubosomes</w:t>
      </w:r>
      <w:proofErr w:type="spellEnd"/>
      <w:r w:rsidRPr="00926A7D">
        <w:rPr>
          <w:rFonts w:ascii="Arial" w:hAnsi="Arial" w:cs="Arial"/>
        </w:rPr>
        <w:t xml:space="preserve"> have emerged as a particularly compelling and scientifically fascinating platform owing to their unique structural attributes and functional versatility.</w:t>
      </w:r>
      <w:r w:rsidRPr="00926A7D">
        <w:rPr>
          <w:rFonts w:ascii="Arial" w:hAnsi="Arial" w:cs="Arial"/>
          <w:vertAlign w:val="superscript"/>
        </w:rPr>
        <w:t>3,4</w:t>
      </w:r>
    </w:p>
    <w:p w14:paraId="0A654358" w14:textId="4958C9A4" w:rsidR="00926A7D" w:rsidRDefault="00926A7D" w:rsidP="00926A7D">
      <w:pPr>
        <w:spacing w:before="80" w:after="120" w:line="360" w:lineRule="auto"/>
        <w:jc w:val="both"/>
        <w:rPr>
          <w:rFonts w:ascii="Arial" w:hAnsi="Arial" w:cs="Arial"/>
        </w:rPr>
      </w:pPr>
      <w:proofErr w:type="spellStart"/>
      <w:r w:rsidRPr="00926A7D">
        <w:rPr>
          <w:rFonts w:ascii="Arial" w:hAnsi="Arial" w:cs="Arial"/>
        </w:rPr>
        <w:t>Cubosomes</w:t>
      </w:r>
      <w:proofErr w:type="spellEnd"/>
      <w:r w:rsidRPr="00926A7D">
        <w:rPr>
          <w:rFonts w:ascii="Arial" w:hAnsi="Arial" w:cs="Arial"/>
        </w:rPr>
        <w:t xml:space="preserve"> are nanostructured dispersions of the </w:t>
      </w:r>
      <w:proofErr w:type="spellStart"/>
      <w:r w:rsidRPr="00926A7D">
        <w:rPr>
          <w:rFonts w:ascii="Arial" w:hAnsi="Arial" w:cs="Arial"/>
        </w:rPr>
        <w:t>bicontinuous</w:t>
      </w:r>
      <w:proofErr w:type="spellEnd"/>
      <w:r w:rsidRPr="00926A7D">
        <w:rPr>
          <w:rFonts w:ascii="Arial" w:hAnsi="Arial" w:cs="Arial"/>
        </w:rPr>
        <w:t xml:space="preserve"> cubic liquid crystalline phase, a thermodynamically stable mesophase that spontaneously assembles when certain amphiphilic lipids (most notably monoglycerides) are hydrated at appropriate compositions and temperatures.</w:t>
      </w:r>
      <w:r w:rsidRPr="00926A7D">
        <w:rPr>
          <w:rFonts w:ascii="Arial" w:hAnsi="Arial" w:cs="Arial"/>
          <w:vertAlign w:val="superscript"/>
        </w:rPr>
        <w:t>5,6</w:t>
      </w:r>
      <w:r w:rsidRPr="00926A7D">
        <w:rPr>
          <w:rFonts w:ascii="Arial" w:hAnsi="Arial" w:cs="Arial"/>
        </w:rPr>
        <w:t xml:space="preserve"> The internal architecture of a </w:t>
      </w:r>
      <w:proofErr w:type="spellStart"/>
      <w:r w:rsidRPr="00926A7D">
        <w:rPr>
          <w:rFonts w:ascii="Arial" w:hAnsi="Arial" w:cs="Arial"/>
        </w:rPr>
        <w:t>cubosome</w:t>
      </w:r>
      <w:proofErr w:type="spellEnd"/>
      <w:r w:rsidRPr="00926A7D">
        <w:rPr>
          <w:rFonts w:ascii="Arial" w:hAnsi="Arial" w:cs="Arial"/>
        </w:rPr>
        <w:t xml:space="preserve"> particle is characterized by a highly ordered, three-dimensional periodic network of interwoven lipid bilayers interpenetrating two non-intersecting water channel networks, generating an extensive internal surface area that can</w:t>
      </w:r>
      <w:r w:rsidRPr="00760B96">
        <w:rPr>
          <w:rFonts w:ascii="Times New Roman" w:hAnsi="Times New Roman"/>
          <w:sz w:val="24"/>
          <w:szCs w:val="24"/>
        </w:rPr>
        <w:t xml:space="preserve"> </w:t>
      </w:r>
      <w:r w:rsidRPr="00902DBE">
        <w:rPr>
          <w:rFonts w:ascii="Arial" w:hAnsi="Arial" w:cs="Arial"/>
        </w:rPr>
        <w:t xml:space="preserve">exceed 400 m² per gram of lipid, which endows </w:t>
      </w:r>
      <w:proofErr w:type="spellStart"/>
      <w:r w:rsidRPr="00902DBE">
        <w:rPr>
          <w:rFonts w:ascii="Arial" w:hAnsi="Arial" w:cs="Arial"/>
        </w:rPr>
        <w:t>cubosomes</w:t>
      </w:r>
      <w:proofErr w:type="spellEnd"/>
      <w:r w:rsidRPr="00902DBE">
        <w:rPr>
          <w:rFonts w:ascii="Arial" w:hAnsi="Arial" w:cs="Arial"/>
        </w:rPr>
        <w:t xml:space="preserve"> with a remarkable suite of </w:t>
      </w:r>
      <w:proofErr w:type="spellStart"/>
      <w:r w:rsidRPr="00902DBE">
        <w:rPr>
          <w:rFonts w:ascii="Arial" w:hAnsi="Arial" w:cs="Arial"/>
        </w:rPr>
        <w:t>biopharmaceutically</w:t>
      </w:r>
      <w:proofErr w:type="spellEnd"/>
      <w:r w:rsidRPr="00902DBE">
        <w:rPr>
          <w:rFonts w:ascii="Arial" w:hAnsi="Arial" w:cs="Arial"/>
        </w:rPr>
        <w:t xml:space="preserve"> relevant properties.</w:t>
      </w:r>
      <w:r w:rsidRPr="00902DBE">
        <w:rPr>
          <w:rFonts w:ascii="Arial" w:hAnsi="Arial" w:cs="Arial"/>
          <w:vertAlign w:val="superscript"/>
        </w:rPr>
        <w:t>7</w:t>
      </w:r>
      <w:r w:rsidR="00902DBE">
        <w:rPr>
          <w:rFonts w:ascii="Arial" w:hAnsi="Arial" w:cs="Arial"/>
          <w:vertAlign w:val="superscript"/>
        </w:rPr>
        <w:t xml:space="preserve"> </w:t>
      </w:r>
    </w:p>
    <w:p w14:paraId="090223CC" w14:textId="19299D1A" w:rsidR="00902DBE" w:rsidRDefault="00902DBE" w:rsidP="00926A7D">
      <w:pPr>
        <w:spacing w:before="80" w:after="120" w:line="360" w:lineRule="auto"/>
        <w:jc w:val="both"/>
        <w:rPr>
          <w:rFonts w:ascii="Arial" w:hAnsi="Arial" w:cs="Arial"/>
        </w:rPr>
      </w:pPr>
      <w:r>
        <w:rPr>
          <w:noProof/>
        </w:rPr>
        <w:drawing>
          <wp:inline distT="0" distB="0" distL="0" distR="0" wp14:anchorId="6BC08291" wp14:editId="535DEFB5">
            <wp:extent cx="5059680" cy="2471420"/>
            <wp:effectExtent l="0" t="0" r="7620" b="5080"/>
            <wp:docPr id="1426246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9680" cy="2471420"/>
                    </a:xfrm>
                    <a:prstGeom prst="rect">
                      <a:avLst/>
                    </a:prstGeom>
                    <a:noFill/>
                    <a:ln>
                      <a:noFill/>
                    </a:ln>
                  </pic:spPr>
                </pic:pic>
              </a:graphicData>
            </a:graphic>
          </wp:inline>
        </w:drawing>
      </w:r>
    </w:p>
    <w:p w14:paraId="0455A2FD" w14:textId="2185855A" w:rsidR="00902DBE" w:rsidRDefault="00902DBE" w:rsidP="00902DBE">
      <w:pPr>
        <w:spacing w:before="80" w:after="120" w:line="360" w:lineRule="auto"/>
        <w:jc w:val="center"/>
        <w:rPr>
          <w:rFonts w:ascii="Arial" w:hAnsi="Arial" w:cs="Arial"/>
          <w:b/>
          <w:bCs/>
        </w:rPr>
      </w:pPr>
      <w:r w:rsidRPr="00902DBE">
        <w:rPr>
          <w:rFonts w:ascii="Arial" w:hAnsi="Arial" w:cs="Arial"/>
          <w:b/>
          <w:bCs/>
        </w:rPr>
        <w:t>Fig</w:t>
      </w:r>
      <w:r w:rsidR="008D1D63">
        <w:rPr>
          <w:rFonts w:ascii="Arial" w:hAnsi="Arial" w:cs="Arial"/>
          <w:b/>
          <w:bCs/>
        </w:rPr>
        <w:t xml:space="preserve">. </w:t>
      </w:r>
      <w:r w:rsidRPr="00902DBE">
        <w:rPr>
          <w:rFonts w:ascii="Arial" w:hAnsi="Arial" w:cs="Arial"/>
          <w:b/>
          <w:bCs/>
        </w:rPr>
        <w:t xml:space="preserve">1: Structure of </w:t>
      </w:r>
      <w:proofErr w:type="spellStart"/>
      <w:r w:rsidRPr="00902DBE">
        <w:rPr>
          <w:rFonts w:ascii="Arial" w:hAnsi="Arial" w:cs="Arial"/>
          <w:b/>
          <w:bCs/>
        </w:rPr>
        <w:t>cubosome</w:t>
      </w:r>
      <w:proofErr w:type="spellEnd"/>
    </w:p>
    <w:p w14:paraId="6998E5D9" w14:textId="77777777" w:rsidR="00902DBE" w:rsidRPr="00902DBE" w:rsidRDefault="00902DBE" w:rsidP="00902DBE">
      <w:pPr>
        <w:spacing w:line="360" w:lineRule="auto"/>
        <w:jc w:val="both"/>
        <w:rPr>
          <w:rFonts w:ascii="Arial" w:hAnsi="Arial" w:cs="Arial"/>
          <w:vertAlign w:val="superscript"/>
        </w:rPr>
      </w:pPr>
      <w:r w:rsidRPr="00902DBE">
        <w:rPr>
          <w:rFonts w:ascii="Arial" w:hAnsi="Arial" w:cs="Arial"/>
        </w:rPr>
        <w:t>The term '</w:t>
      </w:r>
      <w:proofErr w:type="spellStart"/>
      <w:r w:rsidRPr="00902DBE">
        <w:rPr>
          <w:rFonts w:ascii="Arial" w:hAnsi="Arial" w:cs="Arial"/>
        </w:rPr>
        <w:t>cubosome</w:t>
      </w:r>
      <w:proofErr w:type="spellEnd"/>
      <w:r w:rsidRPr="00902DBE">
        <w:rPr>
          <w:rFonts w:ascii="Arial" w:hAnsi="Arial" w:cs="Arial"/>
        </w:rPr>
        <w:t xml:space="preserve">' was coined by Larsson in 1989 to describe the colloidal dispersions of the cubic phase, and subsequent stabilizer-mediated dispersion approaches — particularly </w:t>
      </w:r>
      <w:r w:rsidRPr="00902DBE">
        <w:rPr>
          <w:rFonts w:ascii="Arial" w:hAnsi="Arial" w:cs="Arial"/>
        </w:rPr>
        <w:lastRenderedPageBreak/>
        <w:t>with poloxamers such as Pluronic F127 enabled their transformation into processable pharmaceutical nanomaterials.</w:t>
      </w:r>
      <w:r w:rsidRPr="00902DBE">
        <w:rPr>
          <w:rFonts w:ascii="Arial" w:hAnsi="Arial" w:cs="Arial"/>
          <w:vertAlign w:val="superscript"/>
        </w:rPr>
        <w:t>8</w:t>
      </w:r>
    </w:p>
    <w:p w14:paraId="29B694D8" w14:textId="77777777" w:rsidR="00902DBE" w:rsidRPr="00902DBE" w:rsidRDefault="00902DBE" w:rsidP="00902DBE">
      <w:pPr>
        <w:spacing w:line="360" w:lineRule="auto"/>
        <w:jc w:val="both"/>
        <w:rPr>
          <w:rFonts w:ascii="Arial" w:hAnsi="Arial" w:cs="Arial"/>
          <w:vertAlign w:val="superscript"/>
        </w:rPr>
      </w:pPr>
      <w:r w:rsidRPr="00902DBE">
        <w:rPr>
          <w:rFonts w:ascii="Arial" w:hAnsi="Arial" w:cs="Arial"/>
        </w:rPr>
        <w:t xml:space="preserve">In recent years, </w:t>
      </w:r>
      <w:proofErr w:type="spellStart"/>
      <w:r w:rsidRPr="00902DBE">
        <w:rPr>
          <w:rFonts w:ascii="Arial" w:hAnsi="Arial" w:cs="Arial"/>
        </w:rPr>
        <w:t>cubosome</w:t>
      </w:r>
      <w:proofErr w:type="spellEnd"/>
      <w:r w:rsidRPr="00902DBE">
        <w:rPr>
          <w:rFonts w:ascii="Arial" w:hAnsi="Arial" w:cs="Arial"/>
        </w:rPr>
        <w:t xml:space="preserve"> technology has advanced significantly beyond fundamental physicochemical characterization toward application-driven design and translational research. The ability of </w:t>
      </w:r>
      <w:proofErr w:type="spellStart"/>
      <w:r w:rsidRPr="00902DBE">
        <w:rPr>
          <w:rFonts w:ascii="Arial" w:hAnsi="Arial" w:cs="Arial"/>
        </w:rPr>
        <w:t>cubosomes</w:t>
      </w:r>
      <w:proofErr w:type="spellEnd"/>
      <w:r w:rsidRPr="00902DBE">
        <w:rPr>
          <w:rFonts w:ascii="Arial" w:hAnsi="Arial" w:cs="Arial"/>
        </w:rPr>
        <w:t xml:space="preserve"> to encapsulate hydrophilic, lipophilic, and amphiphilic molecules within distinct domains of their </w:t>
      </w:r>
      <w:proofErr w:type="spellStart"/>
      <w:r w:rsidRPr="00902DBE">
        <w:rPr>
          <w:rFonts w:ascii="Arial" w:hAnsi="Arial" w:cs="Arial"/>
        </w:rPr>
        <w:t>bicontinuous</w:t>
      </w:r>
      <w:proofErr w:type="spellEnd"/>
      <w:r w:rsidRPr="00902DBE">
        <w:rPr>
          <w:rFonts w:ascii="Arial" w:hAnsi="Arial" w:cs="Arial"/>
        </w:rPr>
        <w:t xml:space="preserve"> structure has positioned them as highly versatile carriers for dermal, oral, ocular, and parenteral drug delivery systems.</w:t>
      </w:r>
      <w:r w:rsidRPr="00902DBE">
        <w:rPr>
          <w:rFonts w:ascii="Arial" w:hAnsi="Arial" w:cs="Arial"/>
          <w:vertAlign w:val="superscript"/>
        </w:rPr>
        <w:t>9,10</w:t>
      </w:r>
      <w:r w:rsidRPr="00902DBE">
        <w:rPr>
          <w:rFonts w:ascii="Arial" w:hAnsi="Arial" w:cs="Arial"/>
        </w:rPr>
        <w:t xml:space="preserve"> Furthermore, their </w:t>
      </w:r>
      <w:proofErr w:type="spellStart"/>
      <w:r w:rsidRPr="00902DBE">
        <w:rPr>
          <w:rFonts w:ascii="Arial" w:hAnsi="Arial" w:cs="Arial"/>
        </w:rPr>
        <w:t>bioadhesive</w:t>
      </w:r>
      <w:proofErr w:type="spellEnd"/>
      <w:r w:rsidRPr="00902DBE">
        <w:rPr>
          <w:rFonts w:ascii="Arial" w:hAnsi="Arial" w:cs="Arial"/>
        </w:rPr>
        <w:t xml:space="preserve"> nature, controlled release behavior, and potential for surface functionalization have enabled targeted and stimuli-responsive delivery strategies, particularly in the fields of cancer therapy, antimicrobial treatment, and gene delivery.</w:t>
      </w:r>
      <w:r w:rsidRPr="00902DBE">
        <w:rPr>
          <w:rFonts w:ascii="Arial" w:hAnsi="Arial" w:cs="Arial"/>
          <w:vertAlign w:val="superscript"/>
        </w:rPr>
        <w:t>3,11</w:t>
      </w:r>
    </w:p>
    <w:p w14:paraId="09980950" w14:textId="739E8FEB" w:rsidR="00790ADA" w:rsidRPr="00FB3A86" w:rsidRDefault="00902DBE" w:rsidP="00902DBE">
      <w:pPr>
        <w:spacing w:line="360" w:lineRule="auto"/>
        <w:jc w:val="both"/>
        <w:rPr>
          <w:rFonts w:ascii="Arial" w:hAnsi="Arial" w:cs="Arial"/>
        </w:rPr>
      </w:pPr>
      <w:r w:rsidRPr="00902DBE">
        <w:rPr>
          <w:rFonts w:ascii="Arial" w:hAnsi="Arial" w:cs="Arial"/>
        </w:rPr>
        <w:t>Concurrently, substantial progress has been made in formulation optimization strategies, including the use of quality-by-design (</w:t>
      </w:r>
      <w:proofErr w:type="spellStart"/>
      <w:r w:rsidRPr="00902DBE">
        <w:rPr>
          <w:rFonts w:ascii="Arial" w:hAnsi="Arial" w:cs="Arial"/>
        </w:rPr>
        <w:t>QbD</w:t>
      </w:r>
      <w:proofErr w:type="spellEnd"/>
      <w:r w:rsidRPr="00902DBE">
        <w:rPr>
          <w:rFonts w:ascii="Arial" w:hAnsi="Arial" w:cs="Arial"/>
        </w:rPr>
        <w:t>) approaches, advanced stabilizers, and scalable manufacturing techniques such as high-pressure homogenization and microfluidization.</w:t>
      </w:r>
      <w:r w:rsidRPr="00902DBE">
        <w:rPr>
          <w:rFonts w:ascii="Arial" w:hAnsi="Arial" w:cs="Arial"/>
          <w:vertAlign w:val="superscript"/>
        </w:rPr>
        <w:t xml:space="preserve">9,10 </w:t>
      </w:r>
      <w:r w:rsidRPr="00902DBE">
        <w:rPr>
          <w:rFonts w:ascii="Arial" w:hAnsi="Arial" w:cs="Arial"/>
        </w:rPr>
        <w:t>Modern characterization tools—such as small-angle X-ray scattering (SAXS), cryogenic transmission electron microscopy (cryo-TEM), and dynamic light scattering (DLS)—have further deepened the</w:t>
      </w:r>
      <w:r w:rsidRPr="00ED761E">
        <w:rPr>
          <w:rFonts w:ascii="Times New Roman" w:hAnsi="Times New Roman"/>
          <w:sz w:val="24"/>
          <w:szCs w:val="24"/>
        </w:rPr>
        <w:t xml:space="preserve"> </w:t>
      </w:r>
      <w:r w:rsidRPr="00902DBE">
        <w:rPr>
          <w:rFonts w:ascii="Arial" w:hAnsi="Arial" w:cs="Arial"/>
        </w:rPr>
        <w:t xml:space="preserve">understanding of </w:t>
      </w:r>
      <w:proofErr w:type="spellStart"/>
      <w:r w:rsidRPr="00902DBE">
        <w:rPr>
          <w:rFonts w:ascii="Arial" w:hAnsi="Arial" w:cs="Arial"/>
        </w:rPr>
        <w:t>cubosome</w:t>
      </w:r>
      <w:proofErr w:type="spellEnd"/>
      <w:r w:rsidRPr="00902DBE">
        <w:rPr>
          <w:rFonts w:ascii="Arial" w:hAnsi="Arial" w:cs="Arial"/>
        </w:rPr>
        <w:t xml:space="preserve"> internal architecture and stability.</w:t>
      </w:r>
      <w:r w:rsidRPr="00902DBE">
        <w:rPr>
          <w:rFonts w:ascii="Arial" w:hAnsi="Arial" w:cs="Arial"/>
          <w:vertAlign w:val="superscript"/>
        </w:rPr>
        <w:t>10,12</w:t>
      </w:r>
      <w:r w:rsidRPr="00902DBE">
        <w:rPr>
          <w:rFonts w:ascii="Arial" w:hAnsi="Arial" w:cs="Arial"/>
        </w:rPr>
        <w:t xml:space="preserve"> In light of these developments, the present review aims to comprehensively discuss recent progress in </w:t>
      </w:r>
      <w:proofErr w:type="spellStart"/>
      <w:r w:rsidRPr="00902DBE">
        <w:rPr>
          <w:rFonts w:ascii="Arial" w:hAnsi="Arial" w:cs="Arial"/>
        </w:rPr>
        <w:t>cubosome</w:t>
      </w:r>
      <w:proofErr w:type="spellEnd"/>
      <w:r w:rsidRPr="00902DBE">
        <w:rPr>
          <w:rFonts w:ascii="Arial" w:hAnsi="Arial" w:cs="Arial"/>
        </w:rPr>
        <w:t xml:space="preserve"> technology, focusing on formulation principles, characterization methodologies, and emerging biomedical applications, while also highlighting current challenges and future perspectives.</w:t>
      </w:r>
      <w:r w:rsidRPr="00902DBE">
        <w:rPr>
          <w:rFonts w:ascii="Arial" w:hAnsi="Arial" w:cs="Arial"/>
          <w:vertAlign w:val="superscript"/>
        </w:rPr>
        <w:t>3,9</w:t>
      </w:r>
    </w:p>
    <w:p w14:paraId="1DCFCEB1" w14:textId="7465FFC8" w:rsidR="00790ADA" w:rsidRPr="00985E76" w:rsidRDefault="00902823" w:rsidP="00985E76">
      <w:pPr>
        <w:spacing w:line="360" w:lineRule="auto"/>
        <w:rPr>
          <w:rFonts w:ascii="Times New Roman" w:hAnsi="Times New Roman"/>
          <w:b/>
          <w:bCs/>
          <w:sz w:val="36"/>
          <w:szCs w:val="36"/>
        </w:rPr>
      </w:pPr>
      <w:r w:rsidRPr="00902DBE">
        <w:rPr>
          <w:rFonts w:ascii="Arial" w:hAnsi="Arial" w:cs="Arial"/>
          <w:b/>
          <w:bCs/>
        </w:rPr>
        <w:t>2.</w:t>
      </w:r>
      <w:r>
        <w:rPr>
          <w:rFonts w:ascii="Arial" w:hAnsi="Arial" w:cs="Arial"/>
        </w:rPr>
        <w:t xml:space="preserve"> </w:t>
      </w:r>
      <w:r w:rsidR="00902DBE" w:rsidRPr="00902DBE">
        <w:rPr>
          <w:rFonts w:ascii="Arial" w:hAnsi="Arial" w:cs="Arial"/>
          <w:b/>
          <w:bCs/>
          <w:sz w:val="22"/>
          <w:szCs w:val="22"/>
        </w:rPr>
        <w:t>FORMULATION PRINCIPLES AND COMPOSITION DESIGN</w:t>
      </w:r>
    </w:p>
    <w:p w14:paraId="33828693" w14:textId="77777777" w:rsidR="00902DBE" w:rsidRDefault="00902DBE" w:rsidP="00902DBE">
      <w:pPr>
        <w:spacing w:line="360" w:lineRule="auto"/>
        <w:rPr>
          <w:rFonts w:ascii="Arial" w:hAnsi="Arial" w:cs="Arial"/>
          <w:b/>
          <w:bCs/>
          <w:sz w:val="22"/>
          <w:szCs w:val="22"/>
        </w:rPr>
      </w:pPr>
      <w:r w:rsidRPr="00902DBE">
        <w:rPr>
          <w:rFonts w:ascii="Arial" w:hAnsi="Arial" w:cs="Arial"/>
          <w:b/>
          <w:bCs/>
          <w:sz w:val="22"/>
          <w:szCs w:val="22"/>
        </w:rPr>
        <w:t xml:space="preserve">2.1. Lipid Matrices for </w:t>
      </w:r>
      <w:proofErr w:type="spellStart"/>
      <w:r w:rsidRPr="00902DBE">
        <w:rPr>
          <w:rFonts w:ascii="Arial" w:hAnsi="Arial" w:cs="Arial"/>
          <w:b/>
          <w:bCs/>
          <w:sz w:val="22"/>
          <w:szCs w:val="22"/>
        </w:rPr>
        <w:t>Cubosome</w:t>
      </w:r>
      <w:proofErr w:type="spellEnd"/>
      <w:r w:rsidRPr="00902DBE">
        <w:rPr>
          <w:rFonts w:ascii="Arial" w:hAnsi="Arial" w:cs="Arial"/>
          <w:b/>
          <w:bCs/>
          <w:sz w:val="22"/>
          <w:szCs w:val="22"/>
        </w:rPr>
        <w:t xml:space="preserve"> Formation</w:t>
      </w:r>
    </w:p>
    <w:p w14:paraId="487816FE" w14:textId="77777777" w:rsidR="00902DBE" w:rsidRPr="0080458F" w:rsidRDefault="00902DBE" w:rsidP="00902DBE">
      <w:pPr>
        <w:pStyle w:val="Heading3"/>
        <w:rPr>
          <w:rFonts w:ascii="Arial" w:hAnsi="Arial" w:cs="Arial"/>
          <w:b/>
          <w:bCs/>
          <w:color w:val="auto"/>
          <w:sz w:val="20"/>
          <w:szCs w:val="20"/>
        </w:rPr>
      </w:pPr>
      <w:r w:rsidRPr="0080458F">
        <w:rPr>
          <w:rFonts w:ascii="Arial" w:hAnsi="Arial" w:cs="Arial"/>
          <w:b/>
          <w:bCs/>
          <w:color w:val="auto"/>
          <w:sz w:val="20"/>
          <w:szCs w:val="20"/>
        </w:rPr>
        <w:t xml:space="preserve">Glyceryl Monooleate (GMO / Monoolein) </w:t>
      </w:r>
      <w:r w:rsidRPr="000F1E45">
        <w:rPr>
          <w:rFonts w:ascii="Arial" w:hAnsi="Arial" w:cs="Arial"/>
          <w:b/>
          <w:bCs/>
          <w:color w:val="auto"/>
          <w:sz w:val="20"/>
          <w:szCs w:val="20"/>
        </w:rPr>
        <w:t>-</w:t>
      </w:r>
      <w:r w:rsidRPr="0080458F">
        <w:rPr>
          <w:rFonts w:ascii="Arial" w:hAnsi="Arial" w:cs="Arial"/>
          <w:color w:val="auto"/>
          <w:sz w:val="20"/>
          <w:szCs w:val="20"/>
        </w:rPr>
        <w:t xml:space="preserve"> </w:t>
      </w:r>
    </w:p>
    <w:p w14:paraId="01F357E0" w14:textId="3A35E3FB" w:rsidR="0080458F" w:rsidRPr="0080458F" w:rsidRDefault="0080458F" w:rsidP="0080458F">
      <w:pPr>
        <w:spacing w:before="80" w:after="120" w:line="360" w:lineRule="auto"/>
        <w:jc w:val="both"/>
        <w:rPr>
          <w:rFonts w:ascii="Arial" w:hAnsi="Arial" w:cs="Arial"/>
          <w:vertAlign w:val="superscript"/>
        </w:rPr>
      </w:pPr>
      <w:r w:rsidRPr="0080458F">
        <w:rPr>
          <w:rFonts w:ascii="Arial" w:hAnsi="Arial" w:cs="Arial"/>
        </w:rPr>
        <w:t xml:space="preserve">Glyceryl monooleate, is by far the most extensively studied </w:t>
      </w:r>
      <w:proofErr w:type="spellStart"/>
      <w:r w:rsidRPr="0080458F">
        <w:rPr>
          <w:rFonts w:ascii="Arial" w:hAnsi="Arial" w:cs="Arial"/>
        </w:rPr>
        <w:t>cubosome</w:t>
      </w:r>
      <w:proofErr w:type="spellEnd"/>
      <w:r w:rsidRPr="0080458F">
        <w:rPr>
          <w:rFonts w:ascii="Arial" w:hAnsi="Arial" w:cs="Arial"/>
        </w:rPr>
        <w:t>-forming lipid. GMO is a naturally occurring mono-unsaturated monoglyceride with a molecular formula of C</w:t>
      </w:r>
      <w:r w:rsidRPr="0080458F">
        <w:rPr>
          <w:rFonts w:ascii="Arial" w:hAnsi="Arial" w:cs="Arial"/>
          <w:vertAlign w:val="subscript"/>
        </w:rPr>
        <w:t>21</w:t>
      </w:r>
      <w:r w:rsidRPr="0080458F">
        <w:rPr>
          <w:rFonts w:ascii="Arial" w:hAnsi="Arial" w:cs="Arial"/>
        </w:rPr>
        <w:t>H</w:t>
      </w:r>
      <w:r w:rsidRPr="0080458F">
        <w:rPr>
          <w:rFonts w:ascii="Arial" w:hAnsi="Arial" w:cs="Arial"/>
          <w:vertAlign w:val="subscript"/>
        </w:rPr>
        <w:t>40</w:t>
      </w:r>
      <w:r w:rsidRPr="0080458F">
        <w:rPr>
          <w:rFonts w:ascii="Arial" w:hAnsi="Arial" w:cs="Arial"/>
        </w:rPr>
        <w:t>O</w:t>
      </w:r>
      <w:r w:rsidRPr="0080458F">
        <w:rPr>
          <w:rFonts w:ascii="Arial" w:hAnsi="Arial" w:cs="Arial"/>
          <w:vertAlign w:val="subscript"/>
        </w:rPr>
        <w:t>4</w:t>
      </w:r>
      <w:r w:rsidRPr="0080458F">
        <w:rPr>
          <w:rFonts w:ascii="Arial" w:hAnsi="Arial" w:cs="Arial"/>
        </w:rPr>
        <w:t xml:space="preserve"> (MW = 356.54 g/mol), consisting of a glycerol backbone esterified at the sn-1 or sn-2 position with oleic acid. The cis double bond at Δ9 of the oleoyl chain introduces a characteristic kink that prevents tight packing of the hydrophobic tails, increases the effective tail volume, and promotes negative interfacial curvature, thereby favoring the formation of inverse </w:t>
      </w:r>
      <w:proofErr w:type="spellStart"/>
      <w:r w:rsidRPr="0080458F">
        <w:rPr>
          <w:rFonts w:ascii="Arial" w:hAnsi="Arial" w:cs="Arial"/>
        </w:rPr>
        <w:t>bicontinuous</w:t>
      </w:r>
      <w:proofErr w:type="spellEnd"/>
      <w:r w:rsidRPr="0080458F">
        <w:rPr>
          <w:rFonts w:ascii="Arial" w:hAnsi="Arial" w:cs="Arial"/>
        </w:rPr>
        <w:t xml:space="preserve"> cubic phases.</w:t>
      </w:r>
      <w:r w:rsidRPr="0080458F">
        <w:rPr>
          <w:rFonts w:ascii="Arial" w:hAnsi="Arial" w:cs="Arial"/>
          <w:vertAlign w:val="superscript"/>
        </w:rPr>
        <w:t>13</w:t>
      </w:r>
    </w:p>
    <w:p w14:paraId="6F7EE3BF" w14:textId="77777777" w:rsidR="0080458F" w:rsidRPr="0080458F" w:rsidRDefault="0080458F" w:rsidP="0080458F">
      <w:pPr>
        <w:spacing w:before="80" w:after="120" w:line="360" w:lineRule="auto"/>
        <w:jc w:val="both"/>
        <w:rPr>
          <w:rFonts w:ascii="Arial" w:hAnsi="Arial" w:cs="Arial"/>
          <w:vertAlign w:val="superscript"/>
        </w:rPr>
      </w:pPr>
      <w:r w:rsidRPr="0080458F">
        <w:rPr>
          <w:rFonts w:ascii="Arial" w:hAnsi="Arial" w:cs="Arial"/>
        </w:rPr>
        <w:t>GMO is generally recognized as safe (GRAS) by the US FDA and is widely used as a food emulsifier (E471), providing a strong safety precedent for pharmaceutical applications.</w:t>
      </w:r>
      <w:r w:rsidRPr="0080458F">
        <w:rPr>
          <w:rFonts w:ascii="Arial" w:hAnsi="Arial" w:cs="Arial"/>
          <w:vertAlign w:val="superscript"/>
        </w:rPr>
        <w:t>14</w:t>
      </w:r>
      <w:r w:rsidRPr="0080458F">
        <w:rPr>
          <w:rFonts w:ascii="Arial" w:hAnsi="Arial" w:cs="Arial"/>
        </w:rPr>
        <w:t xml:space="preserve"> However, GMO is susceptible to hydrolysis and oxidation of the double bond, which can compromise long-term stability and alter phase </w:t>
      </w:r>
      <w:proofErr w:type="spellStart"/>
      <w:r w:rsidRPr="0080458F">
        <w:rPr>
          <w:rFonts w:ascii="Arial" w:hAnsi="Arial" w:cs="Arial"/>
        </w:rPr>
        <w:t>behaviour</w:t>
      </w:r>
      <w:proofErr w:type="spellEnd"/>
      <w:r w:rsidRPr="0080458F">
        <w:rPr>
          <w:rFonts w:ascii="Arial" w:hAnsi="Arial" w:cs="Arial"/>
        </w:rPr>
        <w:t xml:space="preserve">. This limitation has spurred interest </w:t>
      </w:r>
      <w:r w:rsidRPr="0080458F">
        <w:rPr>
          <w:rFonts w:ascii="Arial" w:hAnsi="Arial" w:cs="Arial"/>
        </w:rPr>
        <w:lastRenderedPageBreak/>
        <w:t xml:space="preserve">in more chemically stable alternatives and the use of antioxidants (e.g., α-tocopherol, butylated hydroxytoluene) in GMO-based </w:t>
      </w:r>
      <w:proofErr w:type="spellStart"/>
      <w:r w:rsidRPr="0080458F">
        <w:rPr>
          <w:rFonts w:ascii="Arial" w:hAnsi="Arial" w:cs="Arial"/>
        </w:rPr>
        <w:t>cubosome</w:t>
      </w:r>
      <w:proofErr w:type="spellEnd"/>
      <w:r w:rsidRPr="0080458F">
        <w:rPr>
          <w:rFonts w:ascii="Arial" w:hAnsi="Arial" w:cs="Arial"/>
        </w:rPr>
        <w:t xml:space="preserve"> formulations.</w:t>
      </w:r>
      <w:r w:rsidRPr="0080458F">
        <w:rPr>
          <w:rFonts w:ascii="Arial" w:hAnsi="Arial" w:cs="Arial"/>
          <w:vertAlign w:val="superscript"/>
        </w:rPr>
        <w:t>15,16</w:t>
      </w:r>
    </w:p>
    <w:p w14:paraId="64FE6B1F" w14:textId="77777777" w:rsidR="000F1E45" w:rsidRPr="000F1E45" w:rsidRDefault="000F1E45" w:rsidP="000F1E45">
      <w:pPr>
        <w:spacing w:line="360" w:lineRule="auto"/>
        <w:rPr>
          <w:rFonts w:ascii="Arial" w:hAnsi="Arial" w:cs="Arial"/>
          <w:b/>
          <w:bCs/>
          <w:lang w:val="en-IN"/>
        </w:rPr>
      </w:pPr>
      <w:proofErr w:type="spellStart"/>
      <w:r w:rsidRPr="000F1E45">
        <w:rPr>
          <w:rFonts w:ascii="Arial" w:hAnsi="Arial" w:cs="Arial"/>
          <w:b/>
          <w:bCs/>
          <w:lang w:val="en-IN"/>
        </w:rPr>
        <w:t>Phytantriol</w:t>
      </w:r>
      <w:proofErr w:type="spellEnd"/>
      <w:r w:rsidRPr="000F1E45">
        <w:rPr>
          <w:rFonts w:ascii="Arial" w:hAnsi="Arial" w:cs="Arial"/>
          <w:b/>
          <w:bCs/>
          <w:lang w:val="en-IN"/>
        </w:rPr>
        <w:t xml:space="preserve"> -</w:t>
      </w:r>
    </w:p>
    <w:p w14:paraId="65EFE1C3" w14:textId="77777777" w:rsidR="000F1E45" w:rsidRPr="000F1E45" w:rsidRDefault="000F1E45" w:rsidP="000F1E45">
      <w:pPr>
        <w:spacing w:line="360" w:lineRule="auto"/>
        <w:jc w:val="both"/>
        <w:rPr>
          <w:rFonts w:ascii="Arial" w:hAnsi="Arial" w:cs="Arial"/>
          <w:vertAlign w:val="superscript"/>
          <w:lang w:val="en-IN"/>
        </w:rPr>
      </w:pPr>
      <w:proofErr w:type="spellStart"/>
      <w:r w:rsidRPr="000F1E45">
        <w:rPr>
          <w:rFonts w:ascii="Arial" w:hAnsi="Arial" w:cs="Arial"/>
          <w:lang w:val="en-IN"/>
        </w:rPr>
        <w:t>Phytantriol</w:t>
      </w:r>
      <w:proofErr w:type="spellEnd"/>
      <w:r w:rsidRPr="000F1E45">
        <w:rPr>
          <w:rFonts w:ascii="Arial" w:hAnsi="Arial" w:cs="Arial"/>
          <w:lang w:val="en-IN"/>
        </w:rPr>
        <w:t xml:space="preserve"> (3,7,11,15-tetramethylhexadecane-1,2,3-triol) is a fully saturated, branched-chain triol that forms cubic phase structures in water, offering significantly improved chemical stability compared to GMO due to the absence of oxidizable double bonds. It is generally regarded as safe for topical applications and has been used in cosmetic formulations, but its regulatory status for parenteral use is less well established than that of GMO, which represents a consideration for clinical translation. The </w:t>
      </w:r>
      <w:proofErr w:type="spellStart"/>
      <w:r w:rsidRPr="000F1E45">
        <w:rPr>
          <w:rFonts w:ascii="Arial" w:hAnsi="Arial" w:cs="Arial"/>
          <w:lang w:val="en-IN"/>
        </w:rPr>
        <w:t>phytantriol</w:t>
      </w:r>
      <w:proofErr w:type="spellEnd"/>
      <w:r w:rsidRPr="000F1E45">
        <w:rPr>
          <w:rFonts w:ascii="Arial" w:hAnsi="Arial" w:cs="Arial"/>
          <w:lang w:val="en-IN"/>
        </w:rPr>
        <w:t xml:space="preserve"> cubic phase undergoes a transition to the inverse hexagonal phase at lower temperatures than GMO, which can affect in vivo behaviour, particularly for topical or transdermal applications where formulation temperature may fluctuate.</w:t>
      </w:r>
      <w:r w:rsidRPr="000F1E45">
        <w:rPr>
          <w:rFonts w:ascii="Arial" w:hAnsi="Arial" w:cs="Arial"/>
          <w:vertAlign w:val="superscript"/>
          <w:lang w:val="en-IN"/>
        </w:rPr>
        <w:t>17,18,19</w:t>
      </w:r>
    </w:p>
    <w:p w14:paraId="7B1BF54F" w14:textId="77777777" w:rsidR="000F1E45" w:rsidRPr="000F1E45" w:rsidRDefault="000F1E45" w:rsidP="000F1E45">
      <w:pPr>
        <w:spacing w:line="360" w:lineRule="auto"/>
        <w:rPr>
          <w:rFonts w:ascii="Arial" w:hAnsi="Arial" w:cs="Arial"/>
          <w:b/>
          <w:bCs/>
          <w:lang w:val="en-IN"/>
        </w:rPr>
      </w:pPr>
      <w:r w:rsidRPr="000F1E45">
        <w:rPr>
          <w:rFonts w:ascii="Arial" w:hAnsi="Arial" w:cs="Arial"/>
          <w:b/>
          <w:bCs/>
          <w:lang w:val="en-IN"/>
        </w:rPr>
        <w:t>Other Emerging Lipid Systems -</w:t>
      </w:r>
    </w:p>
    <w:p w14:paraId="606AAAC5" w14:textId="77777777" w:rsidR="000F1E45" w:rsidRPr="000F1E45" w:rsidRDefault="000F1E45" w:rsidP="000F1E45">
      <w:pPr>
        <w:spacing w:line="360" w:lineRule="auto"/>
        <w:jc w:val="both"/>
        <w:rPr>
          <w:rFonts w:ascii="Arial" w:hAnsi="Arial" w:cs="Arial"/>
          <w:vertAlign w:val="superscript"/>
        </w:rPr>
      </w:pPr>
      <w:r w:rsidRPr="000F1E45">
        <w:rPr>
          <w:rFonts w:ascii="Arial" w:hAnsi="Arial" w:cs="Arial"/>
        </w:rPr>
        <w:t xml:space="preserve">Beyond glyceryl monooleate (GMO) and </w:t>
      </w:r>
      <w:proofErr w:type="spellStart"/>
      <w:r w:rsidRPr="000F1E45">
        <w:rPr>
          <w:rFonts w:ascii="Arial" w:hAnsi="Arial" w:cs="Arial"/>
        </w:rPr>
        <w:t>phytantriol</w:t>
      </w:r>
      <w:proofErr w:type="spellEnd"/>
      <w:r w:rsidRPr="000F1E45">
        <w:rPr>
          <w:rFonts w:ascii="Arial" w:hAnsi="Arial" w:cs="Arial"/>
        </w:rPr>
        <w:t xml:space="preserve">, several alternative lipid materials have been explored for </w:t>
      </w:r>
      <w:proofErr w:type="spellStart"/>
      <w:r w:rsidRPr="000F1E45">
        <w:rPr>
          <w:rFonts w:ascii="Arial" w:hAnsi="Arial" w:cs="Arial"/>
        </w:rPr>
        <w:t>cubosome</w:t>
      </w:r>
      <w:proofErr w:type="spellEnd"/>
      <w:r w:rsidRPr="000F1E45">
        <w:rPr>
          <w:rFonts w:ascii="Arial" w:hAnsi="Arial" w:cs="Arial"/>
        </w:rPr>
        <w:t xml:space="preserve"> formation. Glyceryl </w:t>
      </w:r>
      <w:proofErr w:type="spellStart"/>
      <w:r w:rsidRPr="000F1E45">
        <w:rPr>
          <w:rFonts w:ascii="Arial" w:hAnsi="Arial" w:cs="Arial"/>
        </w:rPr>
        <w:t>monolinoleate</w:t>
      </w:r>
      <w:proofErr w:type="spellEnd"/>
      <w:r w:rsidRPr="000F1E45">
        <w:rPr>
          <w:rFonts w:ascii="Arial" w:hAnsi="Arial" w:cs="Arial"/>
        </w:rPr>
        <w:t xml:space="preserve"> (GML), which carries two cis double bonds per acyl chain, produces cubic phases with comparatively wider water channels than GMO. This structural difference makes GML potentially more suitable for loading larger hydrophilic payloads, including proteins and nucleic acids.</w:t>
      </w:r>
      <w:r w:rsidRPr="000F1E45">
        <w:rPr>
          <w:rFonts w:ascii="Arial" w:hAnsi="Arial" w:cs="Arial"/>
          <w:vertAlign w:val="superscript"/>
        </w:rPr>
        <w:t>20</w:t>
      </w:r>
      <w:r w:rsidRPr="000F1E45">
        <w:rPr>
          <w:rFonts w:ascii="Arial" w:hAnsi="Arial" w:cs="Arial"/>
        </w:rPr>
        <w:t xml:space="preserve"> Medium-chain </w:t>
      </w:r>
      <w:proofErr w:type="spellStart"/>
      <w:r w:rsidRPr="000F1E45">
        <w:rPr>
          <w:rFonts w:ascii="Arial" w:hAnsi="Arial" w:cs="Arial"/>
        </w:rPr>
        <w:t>monoacyl</w:t>
      </w:r>
      <w:proofErr w:type="spellEnd"/>
      <w:r w:rsidRPr="000F1E45">
        <w:rPr>
          <w:rFonts w:ascii="Arial" w:hAnsi="Arial" w:cs="Arial"/>
        </w:rPr>
        <w:t xml:space="preserve"> </w:t>
      </w:r>
      <w:proofErr w:type="spellStart"/>
      <w:r w:rsidRPr="000F1E45">
        <w:rPr>
          <w:rFonts w:ascii="Arial" w:hAnsi="Arial" w:cs="Arial"/>
        </w:rPr>
        <w:t>glycerols</w:t>
      </w:r>
      <w:proofErr w:type="spellEnd"/>
      <w:r w:rsidRPr="000F1E45">
        <w:rPr>
          <w:rFonts w:ascii="Arial" w:hAnsi="Arial" w:cs="Arial"/>
        </w:rPr>
        <w:t xml:space="preserve"> (C8–C12) have also been investigated, primarily for their inherent antimicrobial activity alongside cubic phase formation.</w:t>
      </w:r>
      <w:r w:rsidRPr="000F1E45">
        <w:rPr>
          <w:rFonts w:ascii="Arial" w:hAnsi="Arial" w:cs="Arial"/>
          <w:vertAlign w:val="superscript"/>
        </w:rPr>
        <w:t>12</w:t>
      </w:r>
    </w:p>
    <w:p w14:paraId="77263DBA" w14:textId="0DAB4417" w:rsidR="000F1E45" w:rsidRDefault="000F1E45" w:rsidP="000F1E45">
      <w:pPr>
        <w:spacing w:line="360" w:lineRule="auto"/>
        <w:jc w:val="both"/>
        <w:rPr>
          <w:rFonts w:ascii="Arial" w:hAnsi="Arial" w:cs="Arial"/>
        </w:rPr>
      </w:pPr>
      <w:r w:rsidRPr="000F1E45">
        <w:rPr>
          <w:rFonts w:ascii="Arial" w:hAnsi="Arial" w:cs="Arial"/>
        </w:rPr>
        <w:t xml:space="preserve">Phospholipid-based cubic phases, particularly those derived from </w:t>
      </w:r>
      <w:proofErr w:type="spellStart"/>
      <w:r w:rsidRPr="000F1E45">
        <w:rPr>
          <w:rFonts w:ascii="Arial" w:hAnsi="Arial" w:cs="Arial"/>
        </w:rPr>
        <w:t>diphytanoyl</w:t>
      </w:r>
      <w:proofErr w:type="spellEnd"/>
      <w:r w:rsidRPr="000F1E45">
        <w:rPr>
          <w:rFonts w:ascii="Arial" w:hAnsi="Arial" w:cs="Arial"/>
        </w:rPr>
        <w:t xml:space="preserve"> phosphatidylcholine (</w:t>
      </w:r>
      <w:proofErr w:type="spellStart"/>
      <w:r w:rsidRPr="000F1E45">
        <w:rPr>
          <w:rFonts w:ascii="Arial" w:hAnsi="Arial" w:cs="Arial"/>
        </w:rPr>
        <w:t>DiPhPC</w:t>
      </w:r>
      <w:proofErr w:type="spellEnd"/>
      <w:r w:rsidRPr="000F1E45">
        <w:rPr>
          <w:rFonts w:ascii="Arial" w:hAnsi="Arial" w:cs="Arial"/>
        </w:rPr>
        <w:t>), have been well characterized for membrane protein reconstitution and structural biology studies. However, their use in drug delivery remains limited due to relatively high cost and lower encapsulation efficiency compared to monoglyceride-based systems.</w:t>
      </w:r>
      <w:r w:rsidRPr="000F1E45">
        <w:rPr>
          <w:rFonts w:ascii="Arial" w:hAnsi="Arial" w:cs="Arial"/>
          <w:vertAlign w:val="superscript"/>
        </w:rPr>
        <w:t xml:space="preserve">21 </w:t>
      </w:r>
      <w:r w:rsidRPr="000F1E45">
        <w:rPr>
          <w:rFonts w:ascii="Arial" w:hAnsi="Arial" w:cs="Arial"/>
        </w:rPr>
        <w:t xml:space="preserve">More recently, hybrid lipid formulations combining GMO or </w:t>
      </w:r>
      <w:proofErr w:type="spellStart"/>
      <w:r w:rsidRPr="000F1E45">
        <w:rPr>
          <w:rFonts w:ascii="Arial" w:hAnsi="Arial" w:cs="Arial"/>
        </w:rPr>
        <w:t>phytantriol</w:t>
      </w:r>
      <w:proofErr w:type="spellEnd"/>
      <w:r w:rsidRPr="000F1E45">
        <w:rPr>
          <w:rFonts w:ascii="Arial" w:hAnsi="Arial" w:cs="Arial"/>
        </w:rPr>
        <w:t xml:space="preserve"> with phospholipids, glycolipids, or bioactive lipids have gained interest. These blended systems allow modulation of phase behavior and offer improved biocompatibility, expanding the design space for </w:t>
      </w:r>
      <w:proofErr w:type="spellStart"/>
      <w:r w:rsidRPr="000F1E45">
        <w:rPr>
          <w:rFonts w:ascii="Arial" w:hAnsi="Arial" w:cs="Arial"/>
        </w:rPr>
        <w:t>cubosome</w:t>
      </w:r>
      <w:proofErr w:type="spellEnd"/>
      <w:r w:rsidRPr="000F1E45">
        <w:rPr>
          <w:rFonts w:ascii="Arial" w:hAnsi="Arial" w:cs="Arial"/>
        </w:rPr>
        <w:t>-based drug delivery.</w:t>
      </w:r>
      <w:r w:rsidRPr="000F1E45">
        <w:rPr>
          <w:rFonts w:ascii="Arial" w:hAnsi="Arial" w:cs="Arial"/>
          <w:vertAlign w:val="superscript"/>
        </w:rPr>
        <w:t>22</w:t>
      </w:r>
      <w:r>
        <w:rPr>
          <w:rFonts w:ascii="Arial" w:hAnsi="Arial" w:cs="Arial"/>
          <w:vertAlign w:val="superscript"/>
        </w:rPr>
        <w:t xml:space="preserve"> </w:t>
      </w:r>
    </w:p>
    <w:p w14:paraId="65039F5E" w14:textId="77777777" w:rsidR="000F1E45" w:rsidRPr="000F1E45" w:rsidRDefault="000F1E45" w:rsidP="000F1E45">
      <w:pPr>
        <w:spacing w:line="360" w:lineRule="auto"/>
        <w:jc w:val="both"/>
        <w:rPr>
          <w:rFonts w:ascii="Times New Roman" w:hAnsi="Times New Roman"/>
          <w:sz w:val="24"/>
          <w:szCs w:val="24"/>
        </w:rPr>
      </w:pPr>
    </w:p>
    <w:p w14:paraId="4D38212A" w14:textId="34EB840F" w:rsidR="00985E76" w:rsidRPr="00985E76" w:rsidRDefault="000F1E45" w:rsidP="00985E76">
      <w:pPr>
        <w:pStyle w:val="Heading2"/>
        <w:jc w:val="both"/>
        <w:rPr>
          <w:rFonts w:ascii="Arial" w:hAnsi="Arial" w:cs="Arial"/>
          <w:b/>
          <w:bCs/>
          <w:color w:val="auto"/>
          <w:sz w:val="22"/>
          <w:szCs w:val="22"/>
        </w:rPr>
      </w:pPr>
      <w:r w:rsidRPr="00985E76">
        <w:rPr>
          <w:rFonts w:ascii="Arial" w:hAnsi="Arial" w:cs="Arial"/>
          <w:b/>
          <w:bCs/>
          <w:color w:val="auto"/>
          <w:sz w:val="22"/>
          <w:szCs w:val="22"/>
        </w:rPr>
        <w:t>2.2. Stabilizers and Dispersion Agents</w:t>
      </w:r>
    </w:p>
    <w:p w14:paraId="672654F2" w14:textId="77777777" w:rsidR="000F1E45" w:rsidRPr="00985E76" w:rsidRDefault="000F1E45" w:rsidP="000F1E45">
      <w:pPr>
        <w:jc w:val="both"/>
        <w:rPr>
          <w:rFonts w:ascii="Arial" w:hAnsi="Arial" w:cs="Arial"/>
        </w:rPr>
      </w:pPr>
      <w:r w:rsidRPr="00985E76">
        <w:rPr>
          <w:rFonts w:ascii="Arial" w:hAnsi="Arial" w:cs="Arial"/>
          <w:b/>
          <w:bCs/>
        </w:rPr>
        <w:t xml:space="preserve">Pluronic F127 </w:t>
      </w:r>
      <w:r w:rsidRPr="00985E76">
        <w:rPr>
          <w:rFonts w:ascii="Arial" w:hAnsi="Arial" w:cs="Arial"/>
        </w:rPr>
        <w:t>–</w:t>
      </w:r>
    </w:p>
    <w:p w14:paraId="4495BE73" w14:textId="77777777" w:rsidR="000F1E45" w:rsidRPr="00985E76" w:rsidRDefault="000F1E45" w:rsidP="000F1E45">
      <w:pPr>
        <w:spacing w:line="360" w:lineRule="auto"/>
        <w:jc w:val="both"/>
        <w:rPr>
          <w:rFonts w:ascii="Arial" w:hAnsi="Arial" w:cs="Arial"/>
          <w:vertAlign w:val="superscript"/>
        </w:rPr>
      </w:pPr>
      <w:r w:rsidRPr="00985E76">
        <w:rPr>
          <w:rFonts w:ascii="Arial" w:hAnsi="Arial" w:cs="Arial"/>
        </w:rPr>
        <w:t xml:space="preserve">The dispersion of bulk cubic phases into stable </w:t>
      </w:r>
      <w:proofErr w:type="spellStart"/>
      <w:r w:rsidRPr="00985E76">
        <w:rPr>
          <w:rFonts w:ascii="Arial" w:hAnsi="Arial" w:cs="Arial"/>
        </w:rPr>
        <w:t>cubosome</w:t>
      </w:r>
      <w:proofErr w:type="spellEnd"/>
      <w:r w:rsidRPr="00985E76">
        <w:rPr>
          <w:rFonts w:ascii="Arial" w:hAnsi="Arial" w:cs="Arial"/>
        </w:rPr>
        <w:t xml:space="preserve"> nanoparticles requires an effective stabilizer to prevent aggregation and coalescence. Pluronic F127 (poloxamer 407), a triblock copolymer composed of poly (ethylene oxide)–poly (propylene oxide)–poly (ethylene oxide) (PEO–PPO–PEO; approximately PEO</w:t>
      </w:r>
      <w:r w:rsidRPr="00985E76">
        <w:rPr>
          <w:rFonts w:ascii="Cambria Math" w:hAnsi="Cambria Math" w:cs="Cambria Math"/>
        </w:rPr>
        <w:t>₁₀₀</w:t>
      </w:r>
      <w:r w:rsidRPr="00985E76">
        <w:rPr>
          <w:rFonts w:ascii="Arial" w:hAnsi="Arial" w:cs="Arial"/>
        </w:rPr>
        <w:t>–PPO</w:t>
      </w:r>
      <w:r w:rsidRPr="00985E76">
        <w:rPr>
          <w:rFonts w:ascii="Cambria Math" w:hAnsi="Cambria Math" w:cs="Cambria Math"/>
        </w:rPr>
        <w:t>₆₅</w:t>
      </w:r>
      <w:r w:rsidRPr="00985E76">
        <w:rPr>
          <w:rFonts w:ascii="Arial" w:hAnsi="Arial" w:cs="Arial"/>
        </w:rPr>
        <w:t>–PEO</w:t>
      </w:r>
      <w:r w:rsidRPr="00985E76">
        <w:rPr>
          <w:rFonts w:ascii="Cambria Math" w:hAnsi="Cambria Math" w:cs="Cambria Math"/>
        </w:rPr>
        <w:t>₁₀₀</w:t>
      </w:r>
      <w:r w:rsidRPr="00985E76">
        <w:rPr>
          <w:rFonts w:ascii="Arial" w:hAnsi="Arial" w:cs="Arial"/>
        </w:rPr>
        <w:t xml:space="preserve">, MW ≈ 12,600 g/mol), is the most widely used stabilizer for this purpose. It has been extensively applied in </w:t>
      </w:r>
      <w:proofErr w:type="spellStart"/>
      <w:r w:rsidRPr="00985E76">
        <w:rPr>
          <w:rFonts w:ascii="Arial" w:hAnsi="Arial" w:cs="Arial"/>
        </w:rPr>
        <w:t>cubosome</w:t>
      </w:r>
      <w:proofErr w:type="spellEnd"/>
      <w:r w:rsidRPr="00985E76">
        <w:rPr>
          <w:rFonts w:ascii="Arial" w:hAnsi="Arial" w:cs="Arial"/>
        </w:rPr>
        <w:t xml:space="preserve"> </w:t>
      </w:r>
      <w:r w:rsidRPr="00985E76">
        <w:rPr>
          <w:rFonts w:ascii="Arial" w:hAnsi="Arial" w:cs="Arial"/>
        </w:rPr>
        <w:lastRenderedPageBreak/>
        <w:t>formulations since its introduction as a steric stabilizer for lipid nanoparticles and remains the gold standard due to its biocompatibility and efficiency.</w:t>
      </w:r>
      <w:r w:rsidRPr="00985E76">
        <w:rPr>
          <w:rFonts w:ascii="Arial" w:hAnsi="Arial" w:cs="Arial"/>
          <w:vertAlign w:val="superscript"/>
        </w:rPr>
        <w:t>3</w:t>
      </w:r>
    </w:p>
    <w:p w14:paraId="3FB82941" w14:textId="77777777" w:rsidR="000F1E45" w:rsidRPr="00985E76" w:rsidRDefault="000F1E45" w:rsidP="000F1E45">
      <w:pPr>
        <w:spacing w:line="360" w:lineRule="auto"/>
        <w:jc w:val="both"/>
        <w:rPr>
          <w:rFonts w:ascii="Arial" w:hAnsi="Arial" w:cs="Arial"/>
          <w:vertAlign w:val="superscript"/>
        </w:rPr>
      </w:pPr>
      <w:r w:rsidRPr="00985E76">
        <w:rPr>
          <w:rFonts w:ascii="Arial" w:hAnsi="Arial" w:cs="Arial"/>
        </w:rPr>
        <w:t xml:space="preserve">The stabilization mechanism of Pluronic F127 is primarily based on steric hindrance. The hydrophobic PPO block adsorbs onto the lipid–water interface, while the hydrophilic PEO chains extend into the surrounding aqueous medium, forming a protective layer around the particles. This hydrated PEO corona generates steric repulsion between adjacent </w:t>
      </w:r>
      <w:proofErr w:type="spellStart"/>
      <w:r w:rsidRPr="00985E76">
        <w:rPr>
          <w:rFonts w:ascii="Arial" w:hAnsi="Arial" w:cs="Arial"/>
        </w:rPr>
        <w:t>cubosomes</w:t>
      </w:r>
      <w:proofErr w:type="spellEnd"/>
      <w:r w:rsidRPr="00985E76">
        <w:rPr>
          <w:rFonts w:ascii="Arial" w:hAnsi="Arial" w:cs="Arial"/>
        </w:rPr>
        <w:t>, thereby preventing flocculation and aggregation. Due to its high PEO content (≈70% w/w), F127 provides strong stabilization even at relatively low concentrations, typically in the range of 0.5–3% w/w of the lipid phase.</w:t>
      </w:r>
      <w:r w:rsidRPr="00985E76">
        <w:rPr>
          <w:rFonts w:ascii="Arial" w:hAnsi="Arial" w:cs="Arial"/>
          <w:vertAlign w:val="superscript"/>
        </w:rPr>
        <w:t>23</w:t>
      </w:r>
    </w:p>
    <w:p w14:paraId="17137689" w14:textId="77777777" w:rsidR="000F1E45" w:rsidRPr="00985E76" w:rsidRDefault="000F1E45" w:rsidP="000F1E45">
      <w:pPr>
        <w:spacing w:line="360" w:lineRule="auto"/>
        <w:jc w:val="both"/>
        <w:rPr>
          <w:rFonts w:ascii="Arial" w:hAnsi="Arial" w:cs="Arial"/>
          <w:vertAlign w:val="superscript"/>
        </w:rPr>
      </w:pPr>
      <w:r w:rsidRPr="00985E76">
        <w:rPr>
          <w:rFonts w:ascii="Arial" w:hAnsi="Arial" w:cs="Arial"/>
        </w:rPr>
        <w:t>However, Pluronic F127 is not completely inert with respect to the internal cubic phase structure. At concentrations above its critical micelle concentration (CMC ≈ 0.7–4 mM at physiological temperatures), F127 can form micelles that may partially incorporate into the lipid matrix. This can influence the structural parameters of the cubic phase, including lattice spacing and aqueous channel dimensions. Such effects are particularly important when performing structural characterization using techniques like small-angle X-ray scattering (SAXS), and therefore must be carefully considered during formulation design.</w:t>
      </w:r>
      <w:r w:rsidRPr="00985E76">
        <w:rPr>
          <w:rFonts w:ascii="Arial" w:hAnsi="Arial" w:cs="Arial"/>
          <w:vertAlign w:val="superscript"/>
        </w:rPr>
        <w:t>24</w:t>
      </w:r>
    </w:p>
    <w:p w14:paraId="60B72A07" w14:textId="77777777" w:rsidR="000F1E45" w:rsidRPr="00985E76" w:rsidRDefault="000F1E45" w:rsidP="000F1E45">
      <w:pPr>
        <w:pStyle w:val="Heading3"/>
        <w:jc w:val="both"/>
        <w:rPr>
          <w:rFonts w:ascii="Arial" w:hAnsi="Arial" w:cs="Arial"/>
          <w:color w:val="auto"/>
          <w:sz w:val="20"/>
          <w:szCs w:val="20"/>
        </w:rPr>
      </w:pPr>
      <w:r w:rsidRPr="00985E76">
        <w:rPr>
          <w:rFonts w:ascii="Arial" w:hAnsi="Arial" w:cs="Arial"/>
          <w:b/>
          <w:bCs/>
          <w:color w:val="auto"/>
          <w:sz w:val="20"/>
          <w:szCs w:val="20"/>
        </w:rPr>
        <w:t xml:space="preserve">Alternative Stabilizers </w:t>
      </w:r>
      <w:r w:rsidRPr="00985E76">
        <w:rPr>
          <w:rFonts w:ascii="Arial" w:hAnsi="Arial" w:cs="Arial"/>
          <w:color w:val="auto"/>
          <w:sz w:val="20"/>
          <w:szCs w:val="20"/>
        </w:rPr>
        <w:t>-</w:t>
      </w:r>
    </w:p>
    <w:p w14:paraId="6DD43A96" w14:textId="77777777" w:rsidR="000F1E45" w:rsidRPr="00985E76" w:rsidRDefault="000F1E45" w:rsidP="000F1E45">
      <w:pPr>
        <w:spacing w:before="80" w:after="120" w:line="360" w:lineRule="auto"/>
        <w:jc w:val="both"/>
        <w:rPr>
          <w:rFonts w:ascii="Arial" w:hAnsi="Arial" w:cs="Arial"/>
          <w:vertAlign w:val="superscript"/>
        </w:rPr>
      </w:pPr>
      <w:r w:rsidRPr="00985E76">
        <w:rPr>
          <w:rFonts w:ascii="Arial" w:hAnsi="Arial" w:cs="Arial"/>
        </w:rPr>
        <w:t>While Pluronic F127 remains the most widely used stabilizer, its relatively high molecular weight and potential for opsonization (despite its PEO content) have motivated exploration of alternative stabilizing agents. Smaller amphiphilic polymers such as Brij 96V (</w:t>
      </w:r>
      <w:proofErr w:type="spellStart"/>
      <w:r w:rsidRPr="00985E76">
        <w:rPr>
          <w:rFonts w:ascii="Arial" w:hAnsi="Arial" w:cs="Arial"/>
        </w:rPr>
        <w:t>polyoxyethylene</w:t>
      </w:r>
      <w:proofErr w:type="spellEnd"/>
      <w:r w:rsidRPr="00985E76">
        <w:rPr>
          <w:rFonts w:ascii="Arial" w:hAnsi="Arial" w:cs="Arial"/>
        </w:rPr>
        <w:t xml:space="preserve"> 10 oleyl ether) and Cremophor EL have been evaluated as co-stabilizers.</w:t>
      </w:r>
      <w:r w:rsidRPr="00985E76">
        <w:rPr>
          <w:rFonts w:ascii="Arial" w:hAnsi="Arial" w:cs="Arial"/>
          <w:vertAlign w:val="superscript"/>
        </w:rPr>
        <w:t>12</w:t>
      </w:r>
      <w:r w:rsidRPr="00985E76">
        <w:rPr>
          <w:rFonts w:ascii="Arial" w:hAnsi="Arial" w:cs="Arial"/>
        </w:rPr>
        <w:t xml:space="preserve"> Polysorbate 80 (Tween 80), a nonionic surfactant, has been employed both as a primary stabilizer and as a component of mixed stabilizer systems.</w:t>
      </w:r>
      <w:r w:rsidRPr="00985E76">
        <w:rPr>
          <w:rFonts w:ascii="Arial" w:hAnsi="Arial" w:cs="Arial"/>
          <w:vertAlign w:val="superscript"/>
        </w:rPr>
        <w:t>25</w:t>
      </w:r>
    </w:p>
    <w:p w14:paraId="01D889DA" w14:textId="79913769" w:rsidR="000F1E45" w:rsidRDefault="000F1E45" w:rsidP="000F1E45">
      <w:pPr>
        <w:spacing w:before="80" w:after="120" w:line="360" w:lineRule="auto"/>
        <w:jc w:val="both"/>
        <w:rPr>
          <w:rFonts w:ascii="Arial" w:hAnsi="Arial" w:cs="Arial"/>
        </w:rPr>
      </w:pPr>
      <w:r w:rsidRPr="00985E76">
        <w:rPr>
          <w:rFonts w:ascii="Arial" w:hAnsi="Arial" w:cs="Arial"/>
        </w:rPr>
        <w:t xml:space="preserve">Biopolymer-based stabilizers represent an interesting alternative approach. Chitosan, a cationic polysaccharide derived from chitin, has been used to coat GMO-based </w:t>
      </w:r>
      <w:proofErr w:type="spellStart"/>
      <w:r w:rsidRPr="00985E76">
        <w:rPr>
          <w:rFonts w:ascii="Arial" w:hAnsi="Arial" w:cs="Arial"/>
        </w:rPr>
        <w:t>cubosomes</w:t>
      </w:r>
      <w:proofErr w:type="spellEnd"/>
      <w:r w:rsidRPr="00985E76">
        <w:rPr>
          <w:rFonts w:ascii="Arial" w:hAnsi="Arial" w:cs="Arial"/>
        </w:rPr>
        <w:t>, simultaneously providing colloidal stability and enabling mucoadhesive or cell-penetrating properties relevant to oral and nasal delivery applications.</w:t>
      </w:r>
      <w:r w:rsidRPr="00985E76">
        <w:rPr>
          <w:rFonts w:ascii="Arial" w:hAnsi="Arial" w:cs="Arial"/>
          <w:vertAlign w:val="superscript"/>
        </w:rPr>
        <w:t>26</w:t>
      </w:r>
      <w:r w:rsidRPr="00985E76">
        <w:rPr>
          <w:rFonts w:ascii="Arial" w:hAnsi="Arial" w:cs="Arial"/>
        </w:rPr>
        <w:t xml:space="preserve"> Hyaluronic acid coating confers </w:t>
      </w:r>
      <w:proofErr w:type="spellStart"/>
      <w:r w:rsidRPr="00985E76">
        <w:rPr>
          <w:rFonts w:ascii="Arial" w:hAnsi="Arial" w:cs="Arial"/>
        </w:rPr>
        <w:t>bioadhesive</w:t>
      </w:r>
      <w:proofErr w:type="spellEnd"/>
      <w:r w:rsidRPr="00985E76">
        <w:rPr>
          <w:rFonts w:ascii="Arial" w:hAnsi="Arial" w:cs="Arial"/>
        </w:rPr>
        <w:t xml:space="preserve"> and CD44-targeting properties.</w:t>
      </w:r>
      <w:r w:rsidRPr="00985E76">
        <w:rPr>
          <w:rFonts w:ascii="Arial" w:hAnsi="Arial" w:cs="Arial"/>
          <w:vertAlign w:val="superscript"/>
        </w:rPr>
        <w:t>27</w:t>
      </w:r>
      <w:r w:rsidRPr="00985E76">
        <w:rPr>
          <w:rFonts w:ascii="Arial" w:hAnsi="Arial" w:cs="Arial"/>
        </w:rPr>
        <w:t xml:space="preserve"> Casein and other food-grade proteins have been investigated as stabilizers for applications in functional food and nutraceutical delivery.</w:t>
      </w:r>
      <w:r w:rsidRPr="00985E76">
        <w:rPr>
          <w:rFonts w:ascii="Arial" w:hAnsi="Arial" w:cs="Arial"/>
          <w:vertAlign w:val="superscript"/>
        </w:rPr>
        <w:t>28</w:t>
      </w:r>
      <w:r w:rsidR="00985E76">
        <w:rPr>
          <w:rFonts w:ascii="Arial" w:hAnsi="Arial" w:cs="Arial"/>
          <w:vertAlign w:val="superscript"/>
        </w:rPr>
        <w:t xml:space="preserve"> </w:t>
      </w:r>
    </w:p>
    <w:p w14:paraId="02FC43D1" w14:textId="77777777" w:rsidR="00985E76" w:rsidRPr="00985E76" w:rsidRDefault="00985E76" w:rsidP="000F1E45">
      <w:pPr>
        <w:spacing w:before="80" w:after="120" w:line="360" w:lineRule="auto"/>
        <w:jc w:val="both"/>
        <w:rPr>
          <w:rFonts w:ascii="Arial" w:hAnsi="Arial" w:cs="Arial"/>
        </w:rPr>
      </w:pPr>
    </w:p>
    <w:p w14:paraId="4AD1A693" w14:textId="77777777" w:rsidR="00985E76" w:rsidRPr="00985E76" w:rsidRDefault="00985E76" w:rsidP="00985E76">
      <w:pPr>
        <w:spacing w:line="360" w:lineRule="auto"/>
        <w:jc w:val="both"/>
        <w:rPr>
          <w:rFonts w:ascii="Arial" w:hAnsi="Arial" w:cs="Arial"/>
          <w:b/>
          <w:bCs/>
          <w:sz w:val="22"/>
          <w:szCs w:val="22"/>
          <w:vertAlign w:val="superscript"/>
        </w:rPr>
      </w:pPr>
      <w:r w:rsidRPr="00985E76">
        <w:rPr>
          <w:rFonts w:ascii="Arial" w:hAnsi="Arial" w:cs="Arial"/>
          <w:b/>
          <w:bCs/>
          <w:sz w:val="22"/>
          <w:szCs w:val="22"/>
        </w:rPr>
        <w:t xml:space="preserve">2.3. Preparation Methods </w:t>
      </w:r>
      <w:r w:rsidRPr="00985E76">
        <w:rPr>
          <w:rFonts w:ascii="Arial" w:hAnsi="Arial" w:cs="Arial"/>
          <w:sz w:val="22"/>
          <w:szCs w:val="22"/>
          <w:vertAlign w:val="superscript"/>
        </w:rPr>
        <w:t>4,9,28</w:t>
      </w:r>
    </w:p>
    <w:p w14:paraId="67F02905" w14:textId="77777777" w:rsidR="00985E76" w:rsidRPr="00985E76" w:rsidRDefault="00985E76" w:rsidP="00985E76">
      <w:pPr>
        <w:spacing w:line="360" w:lineRule="auto"/>
        <w:jc w:val="both"/>
        <w:rPr>
          <w:rFonts w:ascii="Arial" w:hAnsi="Arial" w:cs="Arial"/>
        </w:rPr>
      </w:pPr>
      <w:proofErr w:type="spellStart"/>
      <w:r w:rsidRPr="00985E76">
        <w:rPr>
          <w:rFonts w:ascii="Arial" w:hAnsi="Arial" w:cs="Arial"/>
        </w:rPr>
        <w:t>Cubosome</w:t>
      </w:r>
      <w:proofErr w:type="spellEnd"/>
      <w:r w:rsidRPr="00985E76">
        <w:rPr>
          <w:rFonts w:ascii="Arial" w:hAnsi="Arial" w:cs="Arial"/>
        </w:rPr>
        <w:t xml:space="preserve"> preparation methods are broadly </w:t>
      </w:r>
      <w:proofErr w:type="spellStart"/>
      <w:r w:rsidRPr="00985E76">
        <w:rPr>
          <w:rFonts w:ascii="Arial" w:hAnsi="Arial" w:cs="Arial"/>
        </w:rPr>
        <w:t>categorised</w:t>
      </w:r>
      <w:proofErr w:type="spellEnd"/>
      <w:r w:rsidRPr="00985E76">
        <w:rPr>
          <w:rFonts w:ascii="Arial" w:hAnsi="Arial" w:cs="Arial"/>
        </w:rPr>
        <w:t xml:space="preserve"> into two principal strategies: the top-down(high–energy) approach and the bottom-up (low-energy) approach.  In addition, several </w:t>
      </w:r>
      <w:proofErr w:type="spellStart"/>
      <w:r w:rsidRPr="00985E76">
        <w:rPr>
          <w:rFonts w:ascii="Arial" w:hAnsi="Arial" w:cs="Arial"/>
        </w:rPr>
        <w:t>specialised</w:t>
      </w:r>
      <w:proofErr w:type="spellEnd"/>
      <w:r w:rsidRPr="00985E76">
        <w:rPr>
          <w:rFonts w:ascii="Arial" w:hAnsi="Arial" w:cs="Arial"/>
        </w:rPr>
        <w:t xml:space="preserve"> and emerging techniques – including spray drying, melt dispersion emulsification, solvent injection, and microfluidics-based methods are used.</w:t>
      </w:r>
    </w:p>
    <w:p w14:paraId="036299EF" w14:textId="77777777" w:rsidR="00985E76" w:rsidRPr="00985E76" w:rsidRDefault="00985E76" w:rsidP="00985E76">
      <w:pPr>
        <w:spacing w:line="360" w:lineRule="auto"/>
        <w:jc w:val="both"/>
        <w:rPr>
          <w:rFonts w:ascii="Arial" w:hAnsi="Arial" w:cs="Arial"/>
          <w:b/>
          <w:bCs/>
        </w:rPr>
      </w:pPr>
      <w:r w:rsidRPr="00985E76">
        <w:rPr>
          <w:rFonts w:ascii="Arial" w:hAnsi="Arial" w:cs="Arial"/>
          <w:b/>
          <w:bCs/>
        </w:rPr>
        <w:lastRenderedPageBreak/>
        <w:t xml:space="preserve">Top-Down Approach </w:t>
      </w:r>
      <w:r w:rsidRPr="00985E76">
        <w:rPr>
          <w:rFonts w:ascii="Arial" w:hAnsi="Arial" w:cs="Arial"/>
        </w:rPr>
        <w:t>-</w:t>
      </w:r>
    </w:p>
    <w:p w14:paraId="78B815A0" w14:textId="77777777" w:rsidR="00985E76" w:rsidRPr="00985E76" w:rsidRDefault="00985E76" w:rsidP="00985E76">
      <w:pPr>
        <w:spacing w:line="360" w:lineRule="auto"/>
        <w:jc w:val="both"/>
        <w:rPr>
          <w:rFonts w:ascii="Arial" w:hAnsi="Arial" w:cs="Arial"/>
        </w:rPr>
      </w:pPr>
      <w:r w:rsidRPr="00985E76">
        <w:rPr>
          <w:rFonts w:ascii="Arial" w:hAnsi="Arial" w:cs="Arial"/>
        </w:rPr>
        <w:t xml:space="preserve">The top-down approach is the most widely used method for the preparation of </w:t>
      </w:r>
      <w:proofErr w:type="spellStart"/>
      <w:r w:rsidRPr="00985E76">
        <w:rPr>
          <w:rFonts w:ascii="Arial" w:hAnsi="Arial" w:cs="Arial"/>
        </w:rPr>
        <w:t>cubosomes</w:t>
      </w:r>
      <w:proofErr w:type="spellEnd"/>
      <w:r w:rsidRPr="00985E76">
        <w:rPr>
          <w:rFonts w:ascii="Arial" w:hAnsi="Arial" w:cs="Arial"/>
        </w:rPr>
        <w:t xml:space="preserve">. It involves the fragmentation of a bulk cubic phase into nanosized particles using high-energy input. Initially, a viscous bulk cubic phase is formed by mixing a lipid (commonly glyceryl monooleate or </w:t>
      </w:r>
      <w:proofErr w:type="spellStart"/>
      <w:r w:rsidRPr="00985E76">
        <w:rPr>
          <w:rFonts w:ascii="Arial" w:hAnsi="Arial" w:cs="Arial"/>
        </w:rPr>
        <w:t>phytantriol</w:t>
      </w:r>
      <w:proofErr w:type="spellEnd"/>
      <w:r w:rsidRPr="00985E76">
        <w:rPr>
          <w:rFonts w:ascii="Arial" w:hAnsi="Arial" w:cs="Arial"/>
        </w:rPr>
        <w:t xml:space="preserve">) with a suitable stabilizer such as poloxamer 407. This bulk phase is then dispersed into an aqueous medium using high-energy techniques such as high-pressure homogenization or ultrasonication, resulting in the formation of </w:t>
      </w:r>
      <w:proofErr w:type="spellStart"/>
      <w:r w:rsidRPr="00985E76">
        <w:rPr>
          <w:rFonts w:ascii="Arial" w:hAnsi="Arial" w:cs="Arial"/>
        </w:rPr>
        <w:t>cubosomes</w:t>
      </w:r>
      <w:proofErr w:type="spellEnd"/>
      <w:r w:rsidRPr="00985E76">
        <w:rPr>
          <w:rFonts w:ascii="Arial" w:hAnsi="Arial" w:cs="Arial"/>
        </w:rPr>
        <w:t xml:space="preserve">. </w:t>
      </w:r>
    </w:p>
    <w:p w14:paraId="492296FB" w14:textId="77777777" w:rsidR="00985E76" w:rsidRPr="00985E76" w:rsidRDefault="00985E76" w:rsidP="00985E76">
      <w:pPr>
        <w:spacing w:line="360" w:lineRule="auto"/>
        <w:jc w:val="both"/>
        <w:rPr>
          <w:rFonts w:ascii="Arial" w:hAnsi="Arial" w:cs="Arial"/>
          <w:b/>
          <w:bCs/>
        </w:rPr>
      </w:pPr>
      <w:r w:rsidRPr="00985E76">
        <w:rPr>
          <w:rFonts w:ascii="Arial" w:hAnsi="Arial" w:cs="Arial"/>
        </w:rPr>
        <w:t xml:space="preserve">This method produces </w:t>
      </w:r>
      <w:proofErr w:type="spellStart"/>
      <w:r w:rsidRPr="00985E76">
        <w:rPr>
          <w:rFonts w:ascii="Arial" w:hAnsi="Arial" w:cs="Arial"/>
        </w:rPr>
        <w:t>cubosomes</w:t>
      </w:r>
      <w:proofErr w:type="spellEnd"/>
      <w:r w:rsidRPr="00985E76">
        <w:rPr>
          <w:rFonts w:ascii="Arial" w:hAnsi="Arial" w:cs="Arial"/>
        </w:rPr>
        <w:t xml:space="preserve"> with good physical stability, often remaining stable for extended periods. However, the requirement for high energy input and mechanical stress makes it less suitable for thermolabile drugs such as proteins and peptides. Additionally, vesicular structures may coexist with </w:t>
      </w:r>
      <w:proofErr w:type="spellStart"/>
      <w:r w:rsidRPr="00985E76">
        <w:rPr>
          <w:rFonts w:ascii="Arial" w:hAnsi="Arial" w:cs="Arial"/>
        </w:rPr>
        <w:t>cubosomes</w:t>
      </w:r>
      <w:proofErr w:type="spellEnd"/>
      <w:r w:rsidRPr="00985E76">
        <w:rPr>
          <w:rFonts w:ascii="Arial" w:hAnsi="Arial" w:cs="Arial"/>
        </w:rPr>
        <w:t xml:space="preserve"> in the final dispersion</w:t>
      </w:r>
      <w:r w:rsidRPr="00985E76">
        <w:rPr>
          <w:rFonts w:ascii="Arial" w:hAnsi="Arial" w:cs="Arial"/>
          <w:b/>
          <w:bCs/>
        </w:rPr>
        <w:t>.</w:t>
      </w:r>
    </w:p>
    <w:p w14:paraId="4F06FEC3" w14:textId="77777777" w:rsidR="00985E76" w:rsidRPr="00985E76" w:rsidRDefault="00985E76" w:rsidP="00985E76">
      <w:pPr>
        <w:spacing w:line="360" w:lineRule="auto"/>
        <w:jc w:val="both"/>
        <w:rPr>
          <w:rFonts w:ascii="Arial" w:hAnsi="Arial" w:cs="Arial"/>
          <w:b/>
          <w:bCs/>
        </w:rPr>
      </w:pPr>
      <w:r w:rsidRPr="00985E76">
        <w:rPr>
          <w:rFonts w:ascii="Arial" w:hAnsi="Arial" w:cs="Arial"/>
          <w:b/>
          <w:bCs/>
        </w:rPr>
        <w:t xml:space="preserve">Bottom-Up Approach (Solvent Dilution Method) </w:t>
      </w:r>
      <w:r w:rsidRPr="00985E76">
        <w:rPr>
          <w:rFonts w:ascii="Arial" w:hAnsi="Arial" w:cs="Arial"/>
        </w:rPr>
        <w:t>-</w:t>
      </w:r>
    </w:p>
    <w:p w14:paraId="5A68680A" w14:textId="77777777" w:rsidR="00985E76" w:rsidRPr="00985E76" w:rsidRDefault="00985E76" w:rsidP="00985E76">
      <w:pPr>
        <w:spacing w:line="360" w:lineRule="auto"/>
        <w:jc w:val="both"/>
        <w:rPr>
          <w:rFonts w:ascii="Arial" w:hAnsi="Arial" w:cs="Arial"/>
        </w:rPr>
      </w:pPr>
      <w:r w:rsidRPr="00985E76">
        <w:rPr>
          <w:rFonts w:ascii="Arial" w:hAnsi="Arial" w:cs="Arial"/>
        </w:rPr>
        <w:t xml:space="preserve">The bottom-up approach, also known as the solvent dilution or liquid precursor method, is a low-energy technique that has gained significant attention in recent years. In this method, </w:t>
      </w:r>
      <w:proofErr w:type="spellStart"/>
      <w:r w:rsidRPr="00985E76">
        <w:rPr>
          <w:rFonts w:ascii="Arial" w:hAnsi="Arial" w:cs="Arial"/>
        </w:rPr>
        <w:t>cubosomes</w:t>
      </w:r>
      <w:proofErr w:type="spellEnd"/>
      <w:r w:rsidRPr="00985E76">
        <w:rPr>
          <w:rFonts w:ascii="Arial" w:hAnsi="Arial" w:cs="Arial"/>
        </w:rPr>
        <w:t xml:space="preserve"> are formed through the controlled self-assembly of lipid molecules from molecular precursors. A mixture of lipid, stabilizer, and </w:t>
      </w:r>
      <w:proofErr w:type="spellStart"/>
      <w:r w:rsidRPr="00985E76">
        <w:rPr>
          <w:rFonts w:ascii="Arial" w:hAnsi="Arial" w:cs="Arial"/>
        </w:rPr>
        <w:t>hydrotrope</w:t>
      </w:r>
      <w:proofErr w:type="spellEnd"/>
      <w:r w:rsidRPr="00985E76">
        <w:rPr>
          <w:rFonts w:ascii="Arial" w:hAnsi="Arial" w:cs="Arial"/>
        </w:rPr>
        <w:t xml:space="preserve"> is first prepared, and upon dilution with excess water, </w:t>
      </w:r>
      <w:proofErr w:type="spellStart"/>
      <w:r w:rsidRPr="00985E76">
        <w:rPr>
          <w:rFonts w:ascii="Arial" w:hAnsi="Arial" w:cs="Arial"/>
        </w:rPr>
        <w:t>cubosomes</w:t>
      </w:r>
      <w:proofErr w:type="spellEnd"/>
      <w:r w:rsidRPr="00985E76">
        <w:rPr>
          <w:rFonts w:ascii="Arial" w:hAnsi="Arial" w:cs="Arial"/>
        </w:rPr>
        <w:t xml:space="preserve"> are spontaneously formed. </w:t>
      </w:r>
    </w:p>
    <w:p w14:paraId="726C225E" w14:textId="77777777" w:rsidR="00985E76" w:rsidRPr="00985E76" w:rsidRDefault="00985E76" w:rsidP="00985E76">
      <w:pPr>
        <w:spacing w:line="360" w:lineRule="auto"/>
        <w:jc w:val="both"/>
        <w:rPr>
          <w:rFonts w:ascii="Arial" w:hAnsi="Arial" w:cs="Arial"/>
        </w:rPr>
      </w:pPr>
      <w:proofErr w:type="spellStart"/>
      <w:r w:rsidRPr="00985E76">
        <w:rPr>
          <w:rFonts w:ascii="Arial" w:hAnsi="Arial" w:cs="Arial"/>
        </w:rPr>
        <w:t>Hydrotropes</w:t>
      </w:r>
      <w:proofErr w:type="spellEnd"/>
      <w:r w:rsidRPr="00985E76">
        <w:rPr>
          <w:rFonts w:ascii="Arial" w:hAnsi="Arial" w:cs="Arial"/>
        </w:rPr>
        <w:t xml:space="preserve"> play a crucial role in this method by solubilizing hydrophobic lipids and preventing premature liquid crystalline phase formation. Compared to the top-down approach, this method requires less energy, is suitable for temperature-sensitive compounds, and often produces smaller particles with higher entrapment efficiency. However, it may lead to the coexistence of vesicles and has limitations related to </w:t>
      </w:r>
      <w:proofErr w:type="spellStart"/>
      <w:r w:rsidRPr="00985E76">
        <w:rPr>
          <w:rFonts w:ascii="Arial" w:hAnsi="Arial" w:cs="Arial"/>
        </w:rPr>
        <w:t>hydrotrope</w:t>
      </w:r>
      <w:proofErr w:type="spellEnd"/>
      <w:r w:rsidRPr="00985E76">
        <w:rPr>
          <w:rFonts w:ascii="Arial" w:hAnsi="Arial" w:cs="Arial"/>
        </w:rPr>
        <w:t xml:space="preserve"> use and formulation stability.</w:t>
      </w:r>
    </w:p>
    <w:p w14:paraId="396F6F14" w14:textId="77777777" w:rsidR="00985E76" w:rsidRPr="00985E76" w:rsidRDefault="00985E76" w:rsidP="00985E76">
      <w:pPr>
        <w:spacing w:line="360" w:lineRule="auto"/>
        <w:jc w:val="both"/>
        <w:rPr>
          <w:rFonts w:ascii="Arial" w:hAnsi="Arial" w:cs="Arial"/>
          <w:b/>
          <w:bCs/>
        </w:rPr>
      </w:pPr>
      <w:r w:rsidRPr="00985E76">
        <w:rPr>
          <w:rFonts w:ascii="Arial" w:hAnsi="Arial" w:cs="Arial"/>
          <w:b/>
          <w:bCs/>
        </w:rPr>
        <w:t>Solvent Evaporation Method</w:t>
      </w:r>
    </w:p>
    <w:p w14:paraId="030520B8" w14:textId="77777777" w:rsidR="00985E76" w:rsidRPr="00985E76" w:rsidRDefault="00985E76" w:rsidP="00985E76">
      <w:pPr>
        <w:spacing w:line="360" w:lineRule="auto"/>
        <w:jc w:val="both"/>
        <w:rPr>
          <w:rFonts w:ascii="Arial" w:hAnsi="Arial" w:cs="Arial"/>
        </w:rPr>
      </w:pPr>
      <w:r w:rsidRPr="00985E76">
        <w:rPr>
          <w:rFonts w:ascii="Arial" w:hAnsi="Arial" w:cs="Arial"/>
        </w:rPr>
        <w:t xml:space="preserve">In this method, lipids are dissolved in an organic solvent and subsequently mixed with an aqueous phase containing a stabilizer. The organic solvent is then evaporated, leading to the formation of </w:t>
      </w:r>
      <w:proofErr w:type="spellStart"/>
      <w:r w:rsidRPr="00985E76">
        <w:rPr>
          <w:rFonts w:ascii="Arial" w:hAnsi="Arial" w:cs="Arial"/>
        </w:rPr>
        <w:t>cubosomes</w:t>
      </w:r>
      <w:proofErr w:type="spellEnd"/>
      <w:r w:rsidRPr="00985E76">
        <w:rPr>
          <w:rFonts w:ascii="Arial" w:hAnsi="Arial" w:cs="Arial"/>
        </w:rPr>
        <w:t xml:space="preserve">. This technique can produce particles with smaller size and improved uniformity. However, issues such as residual solvent toxicity and high polydispersity index may limit its applicability. </w:t>
      </w:r>
    </w:p>
    <w:p w14:paraId="76C4ED23" w14:textId="77777777" w:rsidR="00985E76" w:rsidRPr="00985E76" w:rsidRDefault="00985E76" w:rsidP="00985E76">
      <w:pPr>
        <w:spacing w:line="360" w:lineRule="auto"/>
        <w:jc w:val="both"/>
        <w:rPr>
          <w:rFonts w:ascii="Arial" w:hAnsi="Arial" w:cs="Arial"/>
          <w:b/>
          <w:bCs/>
        </w:rPr>
      </w:pPr>
      <w:r w:rsidRPr="00985E76">
        <w:rPr>
          <w:rFonts w:ascii="Arial" w:hAnsi="Arial" w:cs="Arial"/>
          <w:b/>
          <w:bCs/>
        </w:rPr>
        <w:t xml:space="preserve">Spray Drying Method </w:t>
      </w:r>
      <w:r w:rsidRPr="00985E76">
        <w:rPr>
          <w:rFonts w:ascii="Arial" w:hAnsi="Arial" w:cs="Arial"/>
        </w:rPr>
        <w:t>-</w:t>
      </w:r>
    </w:p>
    <w:p w14:paraId="7BCA3DB1" w14:textId="77777777" w:rsidR="00985E76" w:rsidRPr="00985E76" w:rsidRDefault="00985E76" w:rsidP="00985E76">
      <w:pPr>
        <w:spacing w:line="360" w:lineRule="auto"/>
        <w:jc w:val="both"/>
        <w:rPr>
          <w:rFonts w:ascii="Arial" w:hAnsi="Arial" w:cs="Arial"/>
        </w:rPr>
      </w:pPr>
      <w:r w:rsidRPr="00985E76">
        <w:rPr>
          <w:rFonts w:ascii="Arial" w:hAnsi="Arial" w:cs="Arial"/>
        </w:rPr>
        <w:t xml:space="preserve">Spray drying is used to produce dry powder precursors of </w:t>
      </w:r>
      <w:proofErr w:type="spellStart"/>
      <w:r w:rsidRPr="00985E76">
        <w:rPr>
          <w:rFonts w:ascii="Arial" w:hAnsi="Arial" w:cs="Arial"/>
        </w:rPr>
        <w:t>cubosomes</w:t>
      </w:r>
      <w:proofErr w:type="spellEnd"/>
      <w:r w:rsidRPr="00985E76">
        <w:rPr>
          <w:rFonts w:ascii="Arial" w:hAnsi="Arial" w:cs="Arial"/>
        </w:rPr>
        <w:t>, which can be reconstituted upon hydration. This method is advantageous for large-scale production and for stabilizing sensitive biomolecules such as proteins and vaccines. However, rapid formation of cubic phases during hydration may complicate the process and affect reproducibility.</w:t>
      </w:r>
    </w:p>
    <w:p w14:paraId="18ADA850" w14:textId="77777777" w:rsidR="00985E76" w:rsidRPr="00985E76" w:rsidRDefault="00985E76" w:rsidP="00985E76">
      <w:pPr>
        <w:spacing w:line="360" w:lineRule="auto"/>
        <w:jc w:val="both"/>
        <w:rPr>
          <w:rFonts w:ascii="Arial" w:hAnsi="Arial" w:cs="Arial"/>
          <w:b/>
          <w:bCs/>
        </w:rPr>
      </w:pPr>
      <w:r w:rsidRPr="00985E76">
        <w:rPr>
          <w:rFonts w:ascii="Arial" w:hAnsi="Arial" w:cs="Arial"/>
          <w:b/>
          <w:bCs/>
        </w:rPr>
        <w:t xml:space="preserve">Other Dispersion Techniques </w:t>
      </w:r>
      <w:r w:rsidRPr="00985E76">
        <w:rPr>
          <w:rFonts w:ascii="Arial" w:hAnsi="Arial" w:cs="Arial"/>
        </w:rPr>
        <w:t>-</w:t>
      </w:r>
    </w:p>
    <w:p w14:paraId="591EC606" w14:textId="77777777" w:rsidR="00985E76" w:rsidRDefault="00985E76" w:rsidP="00985E76">
      <w:pPr>
        <w:spacing w:line="360" w:lineRule="auto"/>
        <w:jc w:val="both"/>
        <w:rPr>
          <w:rFonts w:ascii="Arial" w:hAnsi="Arial" w:cs="Arial"/>
        </w:rPr>
      </w:pPr>
      <w:r w:rsidRPr="00985E76">
        <w:rPr>
          <w:rFonts w:ascii="Arial" w:hAnsi="Arial" w:cs="Arial"/>
        </w:rPr>
        <w:t xml:space="preserve">Additional techniques such as spontaneous emulsification, sonication, and high-pressure homogenization are often used either independently or in combination with the above methods </w:t>
      </w:r>
      <w:r w:rsidRPr="00985E76">
        <w:rPr>
          <w:rFonts w:ascii="Arial" w:hAnsi="Arial" w:cs="Arial"/>
        </w:rPr>
        <w:lastRenderedPageBreak/>
        <w:t xml:space="preserve">to obtain stable </w:t>
      </w:r>
      <w:proofErr w:type="spellStart"/>
      <w:r w:rsidRPr="00985E76">
        <w:rPr>
          <w:rFonts w:ascii="Arial" w:hAnsi="Arial" w:cs="Arial"/>
        </w:rPr>
        <w:t>cubosomal</w:t>
      </w:r>
      <w:proofErr w:type="spellEnd"/>
      <w:r w:rsidRPr="00985E76">
        <w:rPr>
          <w:rFonts w:ascii="Arial" w:hAnsi="Arial" w:cs="Arial"/>
        </w:rPr>
        <w:t xml:space="preserve"> dispersions. These techniques influence particle size, morphology, and stability of the final formulation.</w:t>
      </w:r>
    </w:p>
    <w:p w14:paraId="3111E369" w14:textId="77777777" w:rsidR="00985E76" w:rsidRPr="00985E76" w:rsidRDefault="00985E76" w:rsidP="00985E76">
      <w:pPr>
        <w:spacing w:line="360" w:lineRule="auto"/>
        <w:jc w:val="both"/>
        <w:rPr>
          <w:rFonts w:ascii="Arial" w:hAnsi="Arial" w:cs="Arial"/>
        </w:rPr>
      </w:pPr>
    </w:p>
    <w:p w14:paraId="5D905251" w14:textId="061AB998" w:rsidR="00985E76" w:rsidRDefault="00985E76" w:rsidP="00985E76">
      <w:pPr>
        <w:spacing w:line="360" w:lineRule="auto"/>
        <w:jc w:val="both"/>
        <w:rPr>
          <w:rFonts w:ascii="Arial" w:hAnsi="Arial" w:cs="Arial"/>
          <w:b/>
          <w:bCs/>
          <w:sz w:val="22"/>
          <w:szCs w:val="22"/>
        </w:rPr>
      </w:pPr>
      <w:r w:rsidRPr="00985E76">
        <w:rPr>
          <w:rFonts w:ascii="Arial" w:hAnsi="Arial" w:cs="Arial"/>
          <w:b/>
          <w:bCs/>
          <w:sz w:val="22"/>
          <w:szCs w:val="22"/>
        </w:rPr>
        <w:t>3. DRUG LOADING STRATEGIES AND ENCAPSULATION MECHANISMS</w:t>
      </w:r>
    </w:p>
    <w:p w14:paraId="1714A634" w14:textId="77777777" w:rsidR="00985E76" w:rsidRPr="00985E76" w:rsidRDefault="00985E76" w:rsidP="00985E76">
      <w:pPr>
        <w:spacing w:line="360" w:lineRule="auto"/>
        <w:jc w:val="both"/>
        <w:rPr>
          <w:rFonts w:ascii="Arial" w:hAnsi="Arial" w:cs="Arial"/>
          <w:b/>
          <w:bCs/>
          <w:sz w:val="22"/>
          <w:szCs w:val="22"/>
        </w:rPr>
      </w:pPr>
      <w:r w:rsidRPr="00985E76">
        <w:rPr>
          <w:rFonts w:ascii="Arial" w:hAnsi="Arial" w:cs="Arial"/>
          <w:b/>
          <w:bCs/>
          <w:sz w:val="22"/>
          <w:szCs w:val="22"/>
        </w:rPr>
        <w:t>3.1. Hydrophobic Drugs</w:t>
      </w:r>
    </w:p>
    <w:p w14:paraId="0E38D85C" w14:textId="77777777" w:rsidR="00985E76" w:rsidRPr="00985E76" w:rsidRDefault="00985E76" w:rsidP="00985E76">
      <w:pPr>
        <w:spacing w:line="360" w:lineRule="auto"/>
        <w:jc w:val="both"/>
        <w:rPr>
          <w:rFonts w:ascii="Arial" w:hAnsi="Arial" w:cs="Arial"/>
          <w:vertAlign w:val="superscript"/>
        </w:rPr>
      </w:pPr>
      <w:r w:rsidRPr="00985E76">
        <w:rPr>
          <w:rFonts w:ascii="Arial" w:hAnsi="Arial" w:cs="Arial"/>
        </w:rPr>
        <w:t xml:space="preserve">Hydrophobic drugs embed within the lipid bilayer regions of </w:t>
      </w:r>
      <w:proofErr w:type="spellStart"/>
      <w:r w:rsidRPr="00985E76">
        <w:rPr>
          <w:rFonts w:ascii="Arial" w:hAnsi="Arial" w:cs="Arial"/>
        </w:rPr>
        <w:t>cubosomes</w:t>
      </w:r>
      <w:proofErr w:type="spellEnd"/>
      <w:r w:rsidRPr="00985E76">
        <w:rPr>
          <w:rFonts w:ascii="Arial" w:hAnsi="Arial" w:cs="Arial"/>
        </w:rPr>
        <w:t xml:space="preserve">, intercalating between the acyl chains of GMO or </w:t>
      </w:r>
      <w:proofErr w:type="spellStart"/>
      <w:r w:rsidRPr="00985E76">
        <w:rPr>
          <w:rFonts w:ascii="Arial" w:hAnsi="Arial" w:cs="Arial"/>
        </w:rPr>
        <w:t>phytantriol</w:t>
      </w:r>
      <w:proofErr w:type="spellEnd"/>
      <w:r w:rsidRPr="00985E76">
        <w:rPr>
          <w:rFonts w:ascii="Arial" w:hAnsi="Arial" w:cs="Arial"/>
        </w:rPr>
        <w:t xml:space="preserve"> molecules. The primary driving force is the hydrophobic effect, supplemented by van der Waals and π–π stacking interactions for aromatic compounds. </w:t>
      </w:r>
      <w:proofErr w:type="spellStart"/>
      <w:r w:rsidRPr="00985E76">
        <w:rPr>
          <w:rFonts w:ascii="Arial" w:hAnsi="Arial" w:cs="Arial"/>
        </w:rPr>
        <w:t>Cubosomes</w:t>
      </w:r>
      <w:proofErr w:type="spellEnd"/>
      <w:r w:rsidRPr="00985E76">
        <w:rPr>
          <w:rFonts w:ascii="Arial" w:hAnsi="Arial" w:cs="Arial"/>
        </w:rPr>
        <w:t xml:space="preserve"> can encapsulate hydrophobic, hydrophilic, and amphiphilic compounds, and their cubic structure provides a large internal surface area that supports high drug loading and sustained release.</w:t>
      </w:r>
      <w:r w:rsidRPr="00985E76">
        <w:rPr>
          <w:rFonts w:ascii="Arial" w:hAnsi="Arial" w:cs="Arial"/>
          <w:vertAlign w:val="superscript"/>
        </w:rPr>
        <w:t>20</w:t>
      </w:r>
    </w:p>
    <w:p w14:paraId="2B729730" w14:textId="5C35140C" w:rsidR="00985E76" w:rsidRPr="00985E76" w:rsidRDefault="00985E76" w:rsidP="00985E76">
      <w:pPr>
        <w:spacing w:line="360" w:lineRule="auto"/>
        <w:jc w:val="both"/>
        <w:rPr>
          <w:rFonts w:ascii="Arial" w:hAnsi="Arial" w:cs="Arial"/>
          <w:vertAlign w:val="superscript"/>
        </w:rPr>
      </w:pPr>
      <w:r w:rsidRPr="00985E76">
        <w:rPr>
          <w:rFonts w:ascii="Arial" w:hAnsi="Arial" w:cs="Arial"/>
        </w:rPr>
        <w:t xml:space="preserve">Two main loading strategies exist: passive loading (co-dissolving drug with GMO and Pluronic F127 before hydration) and post-loading (incubating pre-formed </w:t>
      </w:r>
      <w:proofErr w:type="spellStart"/>
      <w:r w:rsidRPr="00985E76">
        <w:rPr>
          <w:rFonts w:ascii="Arial" w:hAnsi="Arial" w:cs="Arial"/>
        </w:rPr>
        <w:t>cubosomes</w:t>
      </w:r>
      <w:proofErr w:type="spellEnd"/>
      <w:r w:rsidRPr="00985E76">
        <w:rPr>
          <w:rFonts w:ascii="Arial" w:hAnsi="Arial" w:cs="Arial"/>
        </w:rPr>
        <w:t xml:space="preserve"> with drug solution). Passive loading generally yields higher encapsulation efficiency, especially for highly lipophilic drugs (log P &gt; 3), since the drug can partition into the forming cubic phase during self-assembly. For hydrophobic drugs like AT101, encapsulating them within the lipid membrane of </w:t>
      </w:r>
      <w:proofErr w:type="spellStart"/>
      <w:r w:rsidRPr="00985E76">
        <w:rPr>
          <w:rFonts w:ascii="Arial" w:hAnsi="Arial" w:cs="Arial"/>
        </w:rPr>
        <w:t>cubosomes</w:t>
      </w:r>
      <w:proofErr w:type="spellEnd"/>
      <w:r w:rsidRPr="00985E76">
        <w:rPr>
          <w:rFonts w:ascii="Arial" w:hAnsi="Arial" w:cs="Arial"/>
        </w:rPr>
        <w:t xml:space="preserve"> significantly improves bioavailability and reduces protein binding compared to unconjugated drug.</w:t>
      </w:r>
      <w:r w:rsidRPr="00985E76">
        <w:rPr>
          <w:rFonts w:ascii="Arial" w:hAnsi="Arial" w:cs="Arial"/>
          <w:vertAlign w:val="superscript"/>
        </w:rPr>
        <w:t xml:space="preserve">4 </w:t>
      </w:r>
    </w:p>
    <w:p w14:paraId="661EC9E0" w14:textId="77777777" w:rsidR="00985E76" w:rsidRPr="00985E76" w:rsidRDefault="00985E76" w:rsidP="00985E76">
      <w:pPr>
        <w:spacing w:line="360" w:lineRule="auto"/>
        <w:jc w:val="both"/>
        <w:rPr>
          <w:rFonts w:ascii="Arial" w:hAnsi="Arial" w:cs="Arial"/>
          <w:b/>
          <w:bCs/>
          <w:sz w:val="22"/>
          <w:szCs w:val="22"/>
        </w:rPr>
      </w:pPr>
      <w:r w:rsidRPr="00985E76">
        <w:rPr>
          <w:rFonts w:ascii="Arial" w:hAnsi="Arial" w:cs="Arial"/>
          <w:b/>
          <w:bCs/>
          <w:sz w:val="22"/>
          <w:szCs w:val="22"/>
        </w:rPr>
        <w:t>3.2. Hydrophilic Drugs</w:t>
      </w:r>
    </w:p>
    <w:p w14:paraId="4633947B" w14:textId="77777777" w:rsidR="00985E76" w:rsidRPr="00985E76" w:rsidRDefault="00985E76" w:rsidP="00985E76">
      <w:pPr>
        <w:spacing w:line="360" w:lineRule="auto"/>
        <w:jc w:val="both"/>
        <w:rPr>
          <w:rFonts w:ascii="Arial" w:hAnsi="Arial" w:cs="Arial"/>
          <w:vertAlign w:val="superscript"/>
        </w:rPr>
      </w:pPr>
      <w:r w:rsidRPr="00985E76">
        <w:rPr>
          <w:rFonts w:ascii="Arial" w:hAnsi="Arial" w:cs="Arial"/>
        </w:rPr>
        <w:t xml:space="preserve">Hydrophilic drugs and macromolecules are hosted within the aqueous channel networks of the cubic phase. The unique </w:t>
      </w:r>
      <w:proofErr w:type="spellStart"/>
      <w:r w:rsidRPr="00985E76">
        <w:rPr>
          <w:rFonts w:ascii="Arial" w:hAnsi="Arial" w:cs="Arial"/>
        </w:rPr>
        <w:t>bicontinuous</w:t>
      </w:r>
      <w:proofErr w:type="spellEnd"/>
      <w:r w:rsidRPr="00985E76">
        <w:rPr>
          <w:rFonts w:ascii="Arial" w:hAnsi="Arial" w:cs="Arial"/>
        </w:rPr>
        <w:t xml:space="preserve"> structure of </w:t>
      </w:r>
      <w:proofErr w:type="spellStart"/>
      <w:r w:rsidRPr="00985E76">
        <w:rPr>
          <w:rFonts w:ascii="Arial" w:hAnsi="Arial" w:cs="Arial"/>
        </w:rPr>
        <w:t>cubosomes</w:t>
      </w:r>
      <w:proofErr w:type="spellEnd"/>
      <w:r w:rsidRPr="00985E76">
        <w:rPr>
          <w:rFonts w:ascii="Arial" w:hAnsi="Arial" w:cs="Arial"/>
        </w:rPr>
        <w:t xml:space="preserve"> — two non-intersecting water channels separated by a twisted lipid bilayer — enables loading of both hydrophilic and hydrophobic drugs, ranging from small molecules to proteins and peptides.</w:t>
      </w:r>
      <w:r w:rsidRPr="00985E76">
        <w:rPr>
          <w:rFonts w:ascii="Arial" w:hAnsi="Arial" w:cs="Arial"/>
          <w:vertAlign w:val="superscript"/>
        </w:rPr>
        <w:t>29</w:t>
      </w:r>
    </w:p>
    <w:p w14:paraId="43D4010F" w14:textId="77777777" w:rsidR="00985E76" w:rsidRPr="00985E76" w:rsidRDefault="00985E76" w:rsidP="00985E76">
      <w:pPr>
        <w:spacing w:line="360" w:lineRule="auto"/>
        <w:jc w:val="both"/>
        <w:rPr>
          <w:rFonts w:ascii="Arial" w:hAnsi="Arial" w:cs="Arial"/>
        </w:rPr>
      </w:pPr>
      <w:r w:rsidRPr="00985E76">
        <w:rPr>
          <w:rFonts w:ascii="Arial" w:hAnsi="Arial" w:cs="Arial"/>
        </w:rPr>
        <w:t xml:space="preserve">Encapsulation of hydrophilic compounds is thermodynamically less </w:t>
      </w:r>
      <w:proofErr w:type="spellStart"/>
      <w:r w:rsidRPr="00985E76">
        <w:rPr>
          <w:rFonts w:ascii="Arial" w:hAnsi="Arial" w:cs="Arial"/>
        </w:rPr>
        <w:t>favourable</w:t>
      </w:r>
      <w:proofErr w:type="spellEnd"/>
      <w:r w:rsidRPr="00985E76">
        <w:rPr>
          <w:rFonts w:ascii="Arial" w:hAnsi="Arial" w:cs="Arial"/>
        </w:rPr>
        <w:t xml:space="preserve"> than bilayer intercalation, so encapsulation efficiencies (EE%) are typically lower, ranging from 20% to 60%. Several strategies can improve EE%:</w:t>
      </w:r>
    </w:p>
    <w:p w14:paraId="37397624" w14:textId="77777777" w:rsidR="00985E76" w:rsidRPr="00985E76" w:rsidRDefault="00985E76" w:rsidP="00985E76">
      <w:pPr>
        <w:pStyle w:val="ListParagraph"/>
        <w:numPr>
          <w:ilvl w:val="0"/>
          <w:numId w:val="31"/>
        </w:numPr>
        <w:spacing w:line="360" w:lineRule="auto"/>
        <w:jc w:val="both"/>
        <w:rPr>
          <w:rFonts w:ascii="Arial" w:hAnsi="Arial" w:cs="Arial"/>
          <w:sz w:val="20"/>
          <w:szCs w:val="20"/>
        </w:rPr>
      </w:pPr>
      <w:r w:rsidRPr="00985E76">
        <w:rPr>
          <w:rFonts w:ascii="Arial" w:hAnsi="Arial" w:cs="Arial"/>
          <w:sz w:val="20"/>
          <w:szCs w:val="20"/>
        </w:rPr>
        <w:t>Preparing in a hypertonic environment to limit drug diffusion out of aqueous channels</w:t>
      </w:r>
    </w:p>
    <w:p w14:paraId="327606D1" w14:textId="77777777" w:rsidR="00985E76" w:rsidRPr="00985E76" w:rsidRDefault="00985E76" w:rsidP="00985E76">
      <w:pPr>
        <w:pStyle w:val="ListParagraph"/>
        <w:numPr>
          <w:ilvl w:val="0"/>
          <w:numId w:val="31"/>
        </w:numPr>
        <w:spacing w:line="360" w:lineRule="auto"/>
        <w:jc w:val="both"/>
        <w:rPr>
          <w:rFonts w:ascii="Arial" w:hAnsi="Arial" w:cs="Arial"/>
          <w:sz w:val="20"/>
          <w:szCs w:val="20"/>
        </w:rPr>
      </w:pPr>
      <w:r w:rsidRPr="00985E76">
        <w:rPr>
          <w:rFonts w:ascii="Arial" w:hAnsi="Arial" w:cs="Arial"/>
          <w:sz w:val="20"/>
          <w:szCs w:val="20"/>
        </w:rPr>
        <w:t>Adding viscosity-enhancing agents to the aqueous phase</w:t>
      </w:r>
    </w:p>
    <w:p w14:paraId="74F03B31" w14:textId="77777777" w:rsidR="00985E76" w:rsidRPr="00985E76" w:rsidRDefault="00985E76" w:rsidP="00985E76">
      <w:pPr>
        <w:pStyle w:val="ListParagraph"/>
        <w:numPr>
          <w:ilvl w:val="0"/>
          <w:numId w:val="31"/>
        </w:numPr>
        <w:spacing w:line="360" w:lineRule="auto"/>
        <w:jc w:val="both"/>
        <w:rPr>
          <w:rFonts w:ascii="Arial" w:hAnsi="Arial" w:cs="Arial"/>
          <w:sz w:val="20"/>
          <w:szCs w:val="20"/>
        </w:rPr>
      </w:pPr>
      <w:r w:rsidRPr="00985E76">
        <w:rPr>
          <w:rFonts w:ascii="Arial" w:hAnsi="Arial" w:cs="Arial"/>
          <w:sz w:val="20"/>
          <w:szCs w:val="20"/>
        </w:rPr>
        <w:t>Ion-pairing cationic drugs with anionic lipid components</w:t>
      </w:r>
    </w:p>
    <w:p w14:paraId="3F1BBAA4" w14:textId="77777777" w:rsidR="00985E76" w:rsidRPr="00985E76" w:rsidRDefault="00985E76" w:rsidP="00985E76">
      <w:pPr>
        <w:pStyle w:val="ListParagraph"/>
        <w:numPr>
          <w:ilvl w:val="0"/>
          <w:numId w:val="31"/>
        </w:numPr>
        <w:spacing w:line="360" w:lineRule="auto"/>
        <w:jc w:val="both"/>
        <w:rPr>
          <w:rFonts w:ascii="Arial" w:hAnsi="Arial" w:cs="Arial"/>
          <w:sz w:val="20"/>
          <w:szCs w:val="20"/>
        </w:rPr>
      </w:pPr>
      <w:r w:rsidRPr="00985E76">
        <w:rPr>
          <w:rFonts w:ascii="Arial" w:hAnsi="Arial" w:cs="Arial"/>
          <w:sz w:val="20"/>
          <w:szCs w:val="20"/>
        </w:rPr>
        <w:t>Incorporating charged lipids to generate electrostatic anchoring of drug molecules</w:t>
      </w:r>
    </w:p>
    <w:p w14:paraId="25D3F887" w14:textId="77777777" w:rsidR="00985E76" w:rsidRPr="00985E76" w:rsidRDefault="00985E76" w:rsidP="00985E76">
      <w:pPr>
        <w:spacing w:line="360" w:lineRule="auto"/>
        <w:jc w:val="both"/>
        <w:rPr>
          <w:rFonts w:ascii="Arial" w:hAnsi="Arial" w:cs="Arial"/>
          <w:vertAlign w:val="superscript"/>
        </w:rPr>
      </w:pPr>
      <w:r w:rsidRPr="00985E76">
        <w:rPr>
          <w:rFonts w:ascii="Arial" w:hAnsi="Arial" w:cs="Arial"/>
        </w:rPr>
        <w:t xml:space="preserve">Lower encapsulation efficiency of hydrophilic drugs remains one of the challenges that restricts certain </w:t>
      </w:r>
      <w:proofErr w:type="spellStart"/>
      <w:r w:rsidRPr="00985E76">
        <w:rPr>
          <w:rFonts w:ascii="Arial" w:hAnsi="Arial" w:cs="Arial"/>
        </w:rPr>
        <w:t>cubosome</w:t>
      </w:r>
      <w:proofErr w:type="spellEnd"/>
      <w:r w:rsidRPr="00985E76">
        <w:rPr>
          <w:rFonts w:ascii="Arial" w:hAnsi="Arial" w:cs="Arial"/>
        </w:rPr>
        <w:t xml:space="preserve"> applications, though their liquid crystalline structure still aids in </w:t>
      </w:r>
      <w:proofErr w:type="spellStart"/>
      <w:r w:rsidRPr="00985E76">
        <w:rPr>
          <w:rFonts w:ascii="Arial" w:hAnsi="Arial" w:cs="Arial"/>
        </w:rPr>
        <w:t>bioadhesion</w:t>
      </w:r>
      <w:proofErr w:type="spellEnd"/>
      <w:r w:rsidRPr="00985E76">
        <w:rPr>
          <w:rFonts w:ascii="Arial" w:hAnsi="Arial" w:cs="Arial"/>
        </w:rPr>
        <w:t>, retention, and sustained release.</w:t>
      </w:r>
      <w:r w:rsidRPr="00985E76">
        <w:rPr>
          <w:rFonts w:ascii="Arial" w:hAnsi="Arial" w:cs="Arial"/>
          <w:vertAlign w:val="superscript"/>
        </w:rPr>
        <w:t>12</w:t>
      </w:r>
    </w:p>
    <w:p w14:paraId="4FF20971" w14:textId="77777777" w:rsidR="00985E76" w:rsidRPr="00985E76" w:rsidRDefault="00985E76" w:rsidP="00985E76">
      <w:pPr>
        <w:spacing w:line="360" w:lineRule="auto"/>
        <w:jc w:val="both"/>
        <w:rPr>
          <w:rFonts w:ascii="Arial" w:hAnsi="Arial" w:cs="Arial"/>
          <w:b/>
          <w:bCs/>
        </w:rPr>
      </w:pPr>
      <w:r w:rsidRPr="00985E76">
        <w:rPr>
          <w:rFonts w:ascii="Arial" w:hAnsi="Arial" w:cs="Arial"/>
          <w:b/>
          <w:bCs/>
        </w:rPr>
        <w:t>3.3. Amphiphilic Drugs</w:t>
      </w:r>
    </w:p>
    <w:p w14:paraId="136108F3" w14:textId="77777777" w:rsidR="00985E76" w:rsidRPr="00985E76" w:rsidRDefault="00985E76" w:rsidP="00985E76">
      <w:pPr>
        <w:spacing w:line="360" w:lineRule="auto"/>
        <w:jc w:val="both"/>
        <w:rPr>
          <w:rFonts w:ascii="Arial" w:hAnsi="Arial" w:cs="Arial"/>
          <w:vertAlign w:val="superscript"/>
        </w:rPr>
      </w:pPr>
      <w:r w:rsidRPr="00985E76">
        <w:rPr>
          <w:rFonts w:ascii="Arial" w:hAnsi="Arial" w:cs="Arial"/>
        </w:rPr>
        <w:lastRenderedPageBreak/>
        <w:t xml:space="preserve">Amphiphilic drugs — molecules with both hydrophilic and hydrophobic regions — preferentially localize at the lipid–water interface of the </w:t>
      </w:r>
      <w:proofErr w:type="spellStart"/>
      <w:r w:rsidRPr="00985E76">
        <w:rPr>
          <w:rFonts w:ascii="Arial" w:hAnsi="Arial" w:cs="Arial"/>
        </w:rPr>
        <w:t>cubosome</w:t>
      </w:r>
      <w:proofErr w:type="spellEnd"/>
      <w:r w:rsidRPr="00985E76">
        <w:rPr>
          <w:rFonts w:ascii="Arial" w:hAnsi="Arial" w:cs="Arial"/>
        </w:rPr>
        <w:t xml:space="preserve"> bilayer. This interfacial positioning offers thermodynamic stability, typically yielding high encapsulation efficiencies. </w:t>
      </w:r>
      <w:proofErr w:type="spellStart"/>
      <w:r w:rsidRPr="00985E76">
        <w:rPr>
          <w:rFonts w:ascii="Arial" w:hAnsi="Arial" w:cs="Arial"/>
        </w:rPr>
        <w:t>Cubosomes</w:t>
      </w:r>
      <w:proofErr w:type="spellEnd"/>
      <w:r w:rsidRPr="00985E76">
        <w:rPr>
          <w:rFonts w:ascii="Arial" w:hAnsi="Arial" w:cs="Arial"/>
        </w:rPr>
        <w:t xml:space="preserve">' internal </w:t>
      </w:r>
      <w:proofErr w:type="spellStart"/>
      <w:r w:rsidRPr="00985E76">
        <w:rPr>
          <w:rFonts w:ascii="Arial" w:hAnsi="Arial" w:cs="Arial"/>
        </w:rPr>
        <w:t>bicontinuous</w:t>
      </w:r>
      <w:proofErr w:type="spellEnd"/>
      <w:r w:rsidRPr="00985E76">
        <w:rPr>
          <w:rFonts w:ascii="Arial" w:hAnsi="Arial" w:cs="Arial"/>
        </w:rPr>
        <w:t xml:space="preserve"> cubic phases enable simultaneous encapsulation of both hydrophilic and lipophilic therapeutics, imparting superior </w:t>
      </w:r>
      <w:proofErr w:type="spellStart"/>
      <w:r w:rsidRPr="00985E76">
        <w:rPr>
          <w:rFonts w:ascii="Arial" w:hAnsi="Arial" w:cs="Arial"/>
        </w:rPr>
        <w:t>bioadhesion</w:t>
      </w:r>
      <w:proofErr w:type="spellEnd"/>
      <w:r w:rsidRPr="00985E76">
        <w:rPr>
          <w:rFonts w:ascii="Arial" w:hAnsi="Arial" w:cs="Arial"/>
        </w:rPr>
        <w:t xml:space="preserve"> and sustained drug release.</w:t>
      </w:r>
      <w:r w:rsidRPr="00985E76">
        <w:rPr>
          <w:rFonts w:ascii="Arial" w:hAnsi="Arial" w:cs="Arial"/>
          <w:vertAlign w:val="superscript"/>
        </w:rPr>
        <w:t>30</w:t>
      </w:r>
    </w:p>
    <w:p w14:paraId="0CA0FE0A" w14:textId="61AC73FB" w:rsidR="00985E76" w:rsidRDefault="00985E76" w:rsidP="00985E76">
      <w:pPr>
        <w:spacing w:line="360" w:lineRule="auto"/>
        <w:jc w:val="both"/>
        <w:rPr>
          <w:rFonts w:ascii="Arial" w:hAnsi="Arial" w:cs="Arial"/>
        </w:rPr>
      </w:pPr>
      <w:r w:rsidRPr="00985E76">
        <w:rPr>
          <w:rFonts w:ascii="Arial" w:hAnsi="Arial" w:cs="Arial"/>
        </w:rPr>
        <w:t xml:space="preserve">Peptide drugs are a key subclass here: short peptides with hydrophobic residues can penetrate the bilayer while polar termini remain in contact with the aqueous channels, anchoring the peptide at the interface. This </w:t>
      </w:r>
      <w:proofErr w:type="spellStart"/>
      <w:r w:rsidRPr="00985E76">
        <w:rPr>
          <w:rFonts w:ascii="Arial" w:hAnsi="Arial" w:cs="Arial"/>
        </w:rPr>
        <w:t>behaviour</w:t>
      </w:r>
      <w:proofErr w:type="spellEnd"/>
      <w:r w:rsidRPr="00985E76">
        <w:rPr>
          <w:rFonts w:ascii="Arial" w:hAnsi="Arial" w:cs="Arial"/>
        </w:rPr>
        <w:t xml:space="preserve"> has been exploited for loading antimicrobial peptides, cell-penetrating peptides, and insulin analogs. </w:t>
      </w:r>
      <w:proofErr w:type="spellStart"/>
      <w:r w:rsidRPr="00985E76">
        <w:rPr>
          <w:rFonts w:ascii="Arial" w:hAnsi="Arial" w:cs="Arial"/>
        </w:rPr>
        <w:t>Cubosomes</w:t>
      </w:r>
      <w:proofErr w:type="spellEnd"/>
      <w:r w:rsidRPr="00985E76">
        <w:rPr>
          <w:rFonts w:ascii="Arial" w:hAnsi="Arial" w:cs="Arial"/>
        </w:rPr>
        <w:t>' 3D structures and tunable properties support a wide range of applications including peptide, protein, nucleic acid, and imaging agent delivery. The bilayer environment may also conformationally stabilize labile peptide structures against enzymatic degradation.</w:t>
      </w:r>
      <w:r w:rsidRPr="00985E76">
        <w:rPr>
          <w:rFonts w:ascii="Arial" w:hAnsi="Arial" w:cs="Arial"/>
          <w:vertAlign w:val="superscript"/>
        </w:rPr>
        <w:t>31</w:t>
      </w:r>
      <w:r w:rsidR="006A7383">
        <w:rPr>
          <w:rFonts w:ascii="Arial" w:hAnsi="Arial" w:cs="Arial"/>
          <w:vertAlign w:val="superscript"/>
        </w:rPr>
        <w:t xml:space="preserve"> </w:t>
      </w:r>
    </w:p>
    <w:p w14:paraId="5DD3D8CD" w14:textId="77777777" w:rsidR="006A7383" w:rsidRPr="006A7383" w:rsidRDefault="006A7383" w:rsidP="00985E76">
      <w:pPr>
        <w:spacing w:line="360" w:lineRule="auto"/>
        <w:jc w:val="both"/>
        <w:rPr>
          <w:rFonts w:ascii="Arial" w:hAnsi="Arial" w:cs="Arial"/>
        </w:rPr>
      </w:pPr>
    </w:p>
    <w:p w14:paraId="2070E249" w14:textId="3FB3D0C3" w:rsidR="00985E76" w:rsidRPr="00985E76" w:rsidRDefault="00985E76" w:rsidP="00985E76">
      <w:pPr>
        <w:spacing w:line="360" w:lineRule="auto"/>
        <w:jc w:val="both"/>
        <w:rPr>
          <w:rFonts w:ascii="Arial" w:hAnsi="Arial" w:cs="Arial"/>
          <w:b/>
          <w:bCs/>
          <w:sz w:val="22"/>
          <w:szCs w:val="22"/>
        </w:rPr>
      </w:pPr>
      <w:r w:rsidRPr="00985E76">
        <w:rPr>
          <w:rFonts w:ascii="Arial" w:hAnsi="Arial" w:cs="Arial"/>
          <w:b/>
          <w:bCs/>
          <w:sz w:val="22"/>
          <w:szCs w:val="22"/>
        </w:rPr>
        <w:t xml:space="preserve">4. CHARACTERIZATION TECHNIQUES FOR CUBOSOME DISPERSIONS </w:t>
      </w:r>
    </w:p>
    <w:p w14:paraId="25A5BE4C" w14:textId="77777777" w:rsidR="00985E76" w:rsidRPr="00985E76" w:rsidRDefault="00985E76" w:rsidP="00985E76">
      <w:pPr>
        <w:spacing w:line="360" w:lineRule="auto"/>
        <w:jc w:val="both"/>
        <w:rPr>
          <w:rFonts w:ascii="Arial" w:hAnsi="Arial" w:cs="Arial"/>
          <w:b/>
          <w:bCs/>
          <w:sz w:val="22"/>
          <w:szCs w:val="22"/>
        </w:rPr>
      </w:pPr>
      <w:r w:rsidRPr="00985E76">
        <w:rPr>
          <w:rFonts w:ascii="Arial" w:hAnsi="Arial" w:cs="Arial"/>
          <w:b/>
          <w:bCs/>
          <w:sz w:val="22"/>
          <w:szCs w:val="22"/>
        </w:rPr>
        <w:t>4.1. Small-Angle X-ray Scattering (SAXS)</w:t>
      </w:r>
    </w:p>
    <w:p w14:paraId="628230CA" w14:textId="77777777" w:rsidR="00985E76" w:rsidRPr="00985E76" w:rsidRDefault="00985E76" w:rsidP="00985E76">
      <w:pPr>
        <w:spacing w:line="360" w:lineRule="auto"/>
        <w:jc w:val="both"/>
        <w:rPr>
          <w:rFonts w:ascii="Arial" w:hAnsi="Arial" w:cs="Arial"/>
          <w:vertAlign w:val="superscript"/>
        </w:rPr>
      </w:pPr>
      <w:r w:rsidRPr="00985E76">
        <w:rPr>
          <w:rFonts w:ascii="Arial" w:hAnsi="Arial" w:cs="Arial"/>
        </w:rPr>
        <w:t xml:space="preserve">SAXS is the gold standard for confirming the internal cubic phase symmetry of </w:t>
      </w:r>
      <w:proofErr w:type="spellStart"/>
      <w:r w:rsidRPr="00985E76">
        <w:rPr>
          <w:rFonts w:ascii="Arial" w:hAnsi="Arial" w:cs="Arial"/>
        </w:rPr>
        <w:t>cubosomes</w:t>
      </w:r>
      <w:proofErr w:type="spellEnd"/>
      <w:r w:rsidRPr="00985E76">
        <w:rPr>
          <w:rFonts w:ascii="Arial" w:hAnsi="Arial" w:cs="Arial"/>
        </w:rPr>
        <w:t xml:space="preserve"> and measuring the lattice parameter precisely. An X-ray beam (monochromatic, x = 0.1-0.15 nm) is directed at the </w:t>
      </w:r>
      <w:proofErr w:type="spellStart"/>
      <w:r w:rsidRPr="00985E76">
        <w:rPr>
          <w:rFonts w:ascii="Arial" w:hAnsi="Arial" w:cs="Arial"/>
        </w:rPr>
        <w:t>cubosome</w:t>
      </w:r>
      <w:proofErr w:type="spellEnd"/>
      <w:r w:rsidRPr="00985E76">
        <w:rPr>
          <w:rFonts w:ascii="Arial" w:hAnsi="Arial" w:cs="Arial"/>
        </w:rPr>
        <w:t xml:space="preserve"> dispersion, and the scattered intensity is recorded as a function of the scattering vector q = 4π sin(θ)/λ.</w:t>
      </w:r>
      <w:r w:rsidRPr="00985E76">
        <w:rPr>
          <w:rFonts w:ascii="Arial" w:hAnsi="Arial" w:cs="Arial"/>
          <w:vertAlign w:val="superscript"/>
        </w:rPr>
        <w:t>23</w:t>
      </w:r>
    </w:p>
    <w:p w14:paraId="3796A4A7" w14:textId="77777777" w:rsidR="00985E76" w:rsidRPr="00985E76" w:rsidRDefault="00985E76" w:rsidP="00985E76">
      <w:pPr>
        <w:spacing w:line="360" w:lineRule="auto"/>
        <w:jc w:val="both"/>
        <w:rPr>
          <w:rFonts w:ascii="Arial" w:hAnsi="Arial" w:cs="Arial"/>
          <w:sz w:val="22"/>
          <w:szCs w:val="22"/>
        </w:rPr>
      </w:pPr>
      <w:r w:rsidRPr="00985E76">
        <w:rPr>
          <w:rFonts w:ascii="Arial" w:hAnsi="Arial" w:cs="Arial"/>
          <w:b/>
          <w:bCs/>
          <w:sz w:val="22"/>
          <w:szCs w:val="22"/>
        </w:rPr>
        <w:t>4.2. Cryo-Transmission Electron Microscopy (Cryo-TEM)</w:t>
      </w:r>
    </w:p>
    <w:p w14:paraId="29376A65" w14:textId="77777777" w:rsidR="00985E76" w:rsidRPr="00985E76" w:rsidRDefault="00985E76" w:rsidP="00985E76">
      <w:pPr>
        <w:spacing w:line="360" w:lineRule="auto"/>
        <w:jc w:val="both"/>
        <w:rPr>
          <w:rFonts w:ascii="Arial" w:hAnsi="Arial" w:cs="Arial"/>
        </w:rPr>
      </w:pPr>
      <w:r w:rsidRPr="00985E76">
        <w:rPr>
          <w:rFonts w:ascii="Arial" w:hAnsi="Arial" w:cs="Arial"/>
        </w:rPr>
        <w:t xml:space="preserve">Cryo-TEM provides direct visual proof of the internal nanostructure of </w:t>
      </w:r>
      <w:proofErr w:type="spellStart"/>
      <w:r w:rsidRPr="00985E76">
        <w:rPr>
          <w:rFonts w:ascii="Arial" w:hAnsi="Arial" w:cs="Arial"/>
        </w:rPr>
        <w:t>cubosomes</w:t>
      </w:r>
      <w:proofErr w:type="spellEnd"/>
      <w:r w:rsidRPr="00985E76">
        <w:rPr>
          <w:rFonts w:ascii="Arial" w:hAnsi="Arial" w:cs="Arial"/>
        </w:rPr>
        <w:t xml:space="preserve"> in their native hydrated state-without dehydration or staining artifacts. The sample is vitrified in liquid ethane and imaged at cryogenic temperatures (typically -170°C or below), revealing the periodic internal lattice as alternating light and dark bands.</w:t>
      </w:r>
      <w:r w:rsidRPr="00985E76">
        <w:rPr>
          <w:rFonts w:ascii="Arial" w:hAnsi="Arial" w:cs="Arial"/>
          <w:vertAlign w:val="superscript"/>
        </w:rPr>
        <w:t>23,31</w:t>
      </w:r>
    </w:p>
    <w:p w14:paraId="4DF9625B" w14:textId="77777777" w:rsidR="00985E76" w:rsidRPr="00985E76" w:rsidRDefault="00985E76" w:rsidP="00985E76">
      <w:pPr>
        <w:spacing w:line="360" w:lineRule="auto"/>
        <w:jc w:val="both"/>
        <w:rPr>
          <w:rFonts w:ascii="Arial" w:hAnsi="Arial" w:cs="Arial"/>
          <w:b/>
          <w:bCs/>
          <w:sz w:val="22"/>
          <w:szCs w:val="22"/>
        </w:rPr>
      </w:pPr>
      <w:r w:rsidRPr="00985E76">
        <w:rPr>
          <w:rFonts w:ascii="Arial" w:hAnsi="Arial" w:cs="Arial"/>
          <w:b/>
          <w:bCs/>
          <w:sz w:val="22"/>
          <w:szCs w:val="22"/>
        </w:rPr>
        <w:t>4.3. Dynamic Light Scattering (DLS) and Nanoparticle Tracking Analysis (NTA)</w:t>
      </w:r>
    </w:p>
    <w:p w14:paraId="733F29B4" w14:textId="77777777" w:rsidR="00985E76" w:rsidRPr="00985E76" w:rsidRDefault="00985E76" w:rsidP="00985E76">
      <w:pPr>
        <w:spacing w:line="360" w:lineRule="auto"/>
        <w:jc w:val="both"/>
        <w:rPr>
          <w:rFonts w:ascii="Arial" w:hAnsi="Arial" w:cs="Arial"/>
          <w:b/>
          <w:bCs/>
          <w:vertAlign w:val="superscript"/>
        </w:rPr>
      </w:pPr>
      <w:r w:rsidRPr="00985E76">
        <w:rPr>
          <w:rFonts w:ascii="Arial" w:hAnsi="Arial" w:cs="Arial"/>
        </w:rPr>
        <w:t xml:space="preserve">DLS is the most commonly used routine technique for measuring the hydrodynamic diameter (Z-average) and polydispersity index (PDI) of </w:t>
      </w:r>
      <w:proofErr w:type="spellStart"/>
      <w:r w:rsidRPr="00985E76">
        <w:rPr>
          <w:rFonts w:ascii="Arial" w:hAnsi="Arial" w:cs="Arial"/>
        </w:rPr>
        <w:t>cubosomes</w:t>
      </w:r>
      <w:proofErr w:type="spellEnd"/>
      <w:r w:rsidRPr="00985E76">
        <w:rPr>
          <w:rFonts w:ascii="Arial" w:hAnsi="Arial" w:cs="Arial"/>
        </w:rPr>
        <w:t>. It detects time-dependent fluctuations in scattered laser intensity caused by Brownian motion, and converts the translational diffusion coefficient to particle size via the Stokes-Einstein equation.</w:t>
      </w:r>
      <w:r w:rsidRPr="00985E76">
        <w:rPr>
          <w:rFonts w:ascii="Arial" w:hAnsi="Arial" w:cs="Arial"/>
          <w:vertAlign w:val="superscript"/>
        </w:rPr>
        <w:t>20,32</w:t>
      </w:r>
    </w:p>
    <w:p w14:paraId="592FC6C4" w14:textId="77777777" w:rsidR="00985E76" w:rsidRPr="00985E76" w:rsidRDefault="00985E76" w:rsidP="00985E76">
      <w:pPr>
        <w:spacing w:line="360" w:lineRule="auto"/>
        <w:jc w:val="both"/>
        <w:rPr>
          <w:rFonts w:ascii="Arial" w:hAnsi="Arial" w:cs="Arial"/>
        </w:rPr>
      </w:pPr>
      <w:r w:rsidRPr="00985E76">
        <w:rPr>
          <w:rFonts w:ascii="Arial" w:hAnsi="Arial" w:cs="Arial"/>
        </w:rPr>
        <w:t xml:space="preserve">Standard </w:t>
      </w:r>
      <w:proofErr w:type="spellStart"/>
      <w:r w:rsidRPr="00985E76">
        <w:rPr>
          <w:rFonts w:ascii="Arial" w:hAnsi="Arial" w:cs="Arial"/>
        </w:rPr>
        <w:t>cubosomes</w:t>
      </w:r>
      <w:proofErr w:type="spellEnd"/>
      <w:r w:rsidRPr="00985E76">
        <w:rPr>
          <w:rFonts w:ascii="Arial" w:hAnsi="Arial" w:cs="Arial"/>
        </w:rPr>
        <w:t xml:space="preserve"> prepared by emulsification show Z-average diameters of 100-400 nm with PDI values of 0.1-0.3.</w:t>
      </w:r>
      <w:r w:rsidRPr="00985E76">
        <w:rPr>
          <w:rFonts w:ascii="Arial" w:hAnsi="Arial" w:cs="Arial"/>
          <w:vertAlign w:val="superscript"/>
        </w:rPr>
        <w:t>33</w:t>
      </w:r>
      <w:r w:rsidRPr="00985E76">
        <w:rPr>
          <w:rFonts w:ascii="Arial" w:hAnsi="Arial" w:cs="Arial"/>
        </w:rPr>
        <w:t xml:space="preserve"> </w:t>
      </w:r>
    </w:p>
    <w:p w14:paraId="18E92818" w14:textId="77777777" w:rsidR="00985E76" w:rsidRPr="00985E76" w:rsidRDefault="00985E76" w:rsidP="00985E76">
      <w:pPr>
        <w:spacing w:line="360" w:lineRule="auto"/>
        <w:jc w:val="both"/>
        <w:rPr>
          <w:rFonts w:ascii="Arial" w:hAnsi="Arial" w:cs="Arial"/>
          <w:vertAlign w:val="superscript"/>
        </w:rPr>
      </w:pPr>
      <w:r w:rsidRPr="00985E76">
        <w:rPr>
          <w:rFonts w:ascii="Arial" w:hAnsi="Arial" w:cs="Arial"/>
        </w:rPr>
        <w:t>Limitation: DLS overestimates size in polydisperse samples due to disproportionate scattering by large aggregates. NTA (Nanoparticle Tracking Analysis), which tracks individual particle Brownian motion via video microscopy, provides particle-by-particle size distributions and is less susceptible to this bias.</w:t>
      </w:r>
      <w:r w:rsidRPr="00985E76">
        <w:rPr>
          <w:rFonts w:ascii="Arial" w:hAnsi="Arial" w:cs="Arial"/>
          <w:vertAlign w:val="superscript"/>
        </w:rPr>
        <w:t>23</w:t>
      </w:r>
    </w:p>
    <w:p w14:paraId="43B3E0DC" w14:textId="77777777" w:rsidR="00985E76" w:rsidRPr="009459DF" w:rsidRDefault="00985E76" w:rsidP="00985E76">
      <w:pPr>
        <w:spacing w:line="360" w:lineRule="auto"/>
        <w:jc w:val="both"/>
        <w:rPr>
          <w:rFonts w:ascii="Arial" w:hAnsi="Arial" w:cs="Arial"/>
          <w:b/>
          <w:bCs/>
          <w:sz w:val="22"/>
          <w:szCs w:val="22"/>
        </w:rPr>
      </w:pPr>
      <w:r w:rsidRPr="009459DF">
        <w:rPr>
          <w:rFonts w:ascii="Arial" w:hAnsi="Arial" w:cs="Arial"/>
          <w:b/>
          <w:bCs/>
          <w:sz w:val="22"/>
          <w:szCs w:val="22"/>
        </w:rPr>
        <w:lastRenderedPageBreak/>
        <w:t>4.4. Zeta Potential Measurement</w:t>
      </w:r>
    </w:p>
    <w:p w14:paraId="66C61DFA" w14:textId="77777777" w:rsidR="00985E76" w:rsidRPr="00985E76" w:rsidRDefault="00985E76" w:rsidP="00985E76">
      <w:pPr>
        <w:spacing w:line="360" w:lineRule="auto"/>
        <w:jc w:val="both"/>
        <w:rPr>
          <w:rFonts w:ascii="Arial" w:hAnsi="Arial" w:cs="Arial"/>
          <w:b/>
          <w:bCs/>
          <w:vertAlign w:val="superscript"/>
        </w:rPr>
      </w:pPr>
      <w:r w:rsidRPr="00985E76">
        <w:rPr>
          <w:rFonts w:ascii="Arial" w:hAnsi="Arial" w:cs="Arial"/>
        </w:rPr>
        <w:t xml:space="preserve">Zeta potential (Z) measures the surface charge of </w:t>
      </w:r>
      <w:proofErr w:type="spellStart"/>
      <w:r w:rsidRPr="00985E76">
        <w:rPr>
          <w:rFonts w:ascii="Arial" w:hAnsi="Arial" w:cs="Arial"/>
        </w:rPr>
        <w:t>cubosome</w:t>
      </w:r>
      <w:proofErr w:type="spellEnd"/>
      <w:r w:rsidRPr="00985E76">
        <w:rPr>
          <w:rFonts w:ascii="Arial" w:hAnsi="Arial" w:cs="Arial"/>
        </w:rPr>
        <w:t xml:space="preserve"> particles, which governs colloidal stability, interaction with biological membranes, and in vivo biodistribution. It is measured by laser Doppler electrophoresis combined with phase analysis light scattering (M3-PALS) using instruments such as the Malvern </w:t>
      </w:r>
      <w:proofErr w:type="spellStart"/>
      <w:r w:rsidRPr="00985E76">
        <w:rPr>
          <w:rFonts w:ascii="Arial" w:hAnsi="Arial" w:cs="Arial"/>
        </w:rPr>
        <w:t>Zetasizer</w:t>
      </w:r>
      <w:proofErr w:type="spellEnd"/>
      <w:r w:rsidRPr="00985E76">
        <w:rPr>
          <w:rFonts w:ascii="Arial" w:hAnsi="Arial" w:cs="Arial"/>
        </w:rPr>
        <w:t xml:space="preserve"> Nano.</w:t>
      </w:r>
      <w:r w:rsidRPr="00985E76">
        <w:rPr>
          <w:rFonts w:ascii="Arial" w:hAnsi="Arial" w:cs="Arial"/>
          <w:vertAlign w:val="superscript"/>
        </w:rPr>
        <w:t>34,35</w:t>
      </w:r>
    </w:p>
    <w:p w14:paraId="5978F9A7" w14:textId="77777777" w:rsidR="00985E76" w:rsidRPr="00985E76" w:rsidRDefault="00985E76" w:rsidP="00985E76">
      <w:pPr>
        <w:spacing w:line="360" w:lineRule="auto"/>
        <w:jc w:val="both"/>
        <w:rPr>
          <w:rFonts w:ascii="Arial" w:hAnsi="Arial" w:cs="Arial"/>
          <w:vertAlign w:val="superscript"/>
        </w:rPr>
      </w:pPr>
      <w:r w:rsidRPr="00985E76">
        <w:rPr>
          <w:rFonts w:ascii="Arial" w:hAnsi="Arial" w:cs="Arial"/>
        </w:rPr>
        <w:t xml:space="preserve">Unmodified GMO/Pluronic F127 </w:t>
      </w:r>
      <w:proofErr w:type="spellStart"/>
      <w:r w:rsidRPr="00985E76">
        <w:rPr>
          <w:rFonts w:ascii="Arial" w:hAnsi="Arial" w:cs="Arial"/>
        </w:rPr>
        <w:t>cubosomes</w:t>
      </w:r>
      <w:proofErr w:type="spellEnd"/>
      <w:r w:rsidRPr="00985E76">
        <w:rPr>
          <w:rFonts w:ascii="Arial" w:hAnsi="Arial" w:cs="Arial"/>
        </w:rPr>
        <w:t xml:space="preserve"> typically exhibit a near-neutral to weakly negative zeta potential (-5 to-20 mV at physiological pH) due to trace fatty acid impurities and the PEO corona from F127. Cationic </w:t>
      </w:r>
      <w:proofErr w:type="spellStart"/>
      <w:r w:rsidRPr="00985E76">
        <w:rPr>
          <w:rFonts w:ascii="Arial" w:hAnsi="Arial" w:cs="Arial"/>
        </w:rPr>
        <w:t>cubosomes</w:t>
      </w:r>
      <w:proofErr w:type="spellEnd"/>
      <w:r w:rsidRPr="00985E76">
        <w:rPr>
          <w:rFonts w:ascii="Arial" w:hAnsi="Arial" w:cs="Arial"/>
        </w:rPr>
        <w:t xml:space="preserve"> (with DOTAP, CTAB, or </w:t>
      </w:r>
      <w:proofErr w:type="spellStart"/>
      <w:r w:rsidRPr="00985E76">
        <w:rPr>
          <w:rFonts w:ascii="Arial" w:hAnsi="Arial" w:cs="Arial"/>
        </w:rPr>
        <w:t>cetylpyridinium</w:t>
      </w:r>
      <w:proofErr w:type="spellEnd"/>
      <w:r w:rsidRPr="00985E76">
        <w:rPr>
          <w:rFonts w:ascii="Arial" w:hAnsi="Arial" w:cs="Arial"/>
        </w:rPr>
        <w:t xml:space="preserve"> chloride) show strongly positive values (&gt; +30 mV) and are used for gene delivery and antimicrobial applications.</w:t>
      </w:r>
      <w:r w:rsidRPr="00985E76">
        <w:rPr>
          <w:rFonts w:ascii="Arial" w:hAnsi="Arial" w:cs="Arial"/>
          <w:vertAlign w:val="superscript"/>
        </w:rPr>
        <w:t>23,31</w:t>
      </w:r>
    </w:p>
    <w:p w14:paraId="110E62D9" w14:textId="77777777" w:rsidR="00985E76" w:rsidRPr="009459DF" w:rsidRDefault="00985E76" w:rsidP="00985E76">
      <w:pPr>
        <w:spacing w:line="360" w:lineRule="auto"/>
        <w:jc w:val="both"/>
        <w:rPr>
          <w:rFonts w:ascii="Arial" w:hAnsi="Arial" w:cs="Arial"/>
          <w:b/>
          <w:bCs/>
          <w:sz w:val="22"/>
          <w:szCs w:val="22"/>
        </w:rPr>
      </w:pPr>
      <w:r w:rsidRPr="009459DF">
        <w:rPr>
          <w:rFonts w:ascii="Arial" w:hAnsi="Arial" w:cs="Arial"/>
          <w:b/>
          <w:bCs/>
          <w:sz w:val="22"/>
          <w:szCs w:val="22"/>
        </w:rPr>
        <w:t>4.5. Differential Scanning Calorimetry (DSC)</w:t>
      </w:r>
    </w:p>
    <w:p w14:paraId="6FF2D6E0" w14:textId="77777777" w:rsidR="00985E76" w:rsidRPr="00985E76" w:rsidRDefault="00985E76" w:rsidP="00985E76">
      <w:pPr>
        <w:spacing w:line="360" w:lineRule="auto"/>
        <w:jc w:val="both"/>
        <w:rPr>
          <w:rFonts w:ascii="Arial" w:hAnsi="Arial" w:cs="Arial"/>
          <w:vertAlign w:val="superscript"/>
        </w:rPr>
      </w:pPr>
      <w:r w:rsidRPr="00985E76">
        <w:rPr>
          <w:rFonts w:ascii="Arial" w:hAnsi="Arial" w:cs="Arial"/>
        </w:rPr>
        <w:t xml:space="preserve">DSC characterizes the thermal </w:t>
      </w:r>
      <w:proofErr w:type="spellStart"/>
      <w:r w:rsidRPr="00985E76">
        <w:rPr>
          <w:rFonts w:ascii="Arial" w:hAnsi="Arial" w:cs="Arial"/>
        </w:rPr>
        <w:t>behaviour</w:t>
      </w:r>
      <w:proofErr w:type="spellEnd"/>
      <w:r w:rsidRPr="00985E76">
        <w:rPr>
          <w:rFonts w:ascii="Arial" w:hAnsi="Arial" w:cs="Arial"/>
        </w:rPr>
        <w:t xml:space="preserve"> of </w:t>
      </w:r>
      <w:proofErr w:type="spellStart"/>
      <w:r w:rsidRPr="00985E76">
        <w:rPr>
          <w:rFonts w:ascii="Arial" w:hAnsi="Arial" w:cs="Arial"/>
        </w:rPr>
        <w:t>cubosome</w:t>
      </w:r>
      <w:proofErr w:type="spellEnd"/>
      <w:r w:rsidRPr="00985E76">
        <w:rPr>
          <w:rFonts w:ascii="Arial" w:hAnsi="Arial" w:cs="Arial"/>
        </w:rPr>
        <w:t xml:space="preserve"> formulations, including lipid melting transitions, cubic-to-isotropic phase transition temperatures, and the effect of drug loading on thermal stability. In pure GMO/water systems, the endothermic transition for the cubic phase bilayer occurs at approximately 80-85°C; this shifts with drug or co-lipid addition.</w:t>
      </w:r>
      <w:r w:rsidRPr="00985E76">
        <w:rPr>
          <w:rFonts w:ascii="Arial" w:hAnsi="Arial" w:cs="Arial"/>
          <w:vertAlign w:val="superscript"/>
        </w:rPr>
        <w:t>31</w:t>
      </w:r>
    </w:p>
    <w:p w14:paraId="522A4A7B" w14:textId="77777777" w:rsidR="00985E76" w:rsidRPr="009459DF" w:rsidRDefault="00985E76" w:rsidP="00985E76">
      <w:pPr>
        <w:spacing w:line="360" w:lineRule="auto"/>
        <w:jc w:val="both"/>
        <w:rPr>
          <w:rFonts w:ascii="Arial" w:hAnsi="Arial" w:cs="Arial"/>
          <w:sz w:val="22"/>
          <w:szCs w:val="22"/>
          <w:vertAlign w:val="superscript"/>
        </w:rPr>
      </w:pPr>
      <w:r w:rsidRPr="009459DF">
        <w:rPr>
          <w:rFonts w:ascii="Arial" w:hAnsi="Arial" w:cs="Arial"/>
          <w:b/>
          <w:bCs/>
          <w:sz w:val="22"/>
          <w:szCs w:val="22"/>
        </w:rPr>
        <w:t>4.6. Fourier-Transform Infrared Spectroscopy (FTIR)</w:t>
      </w:r>
    </w:p>
    <w:p w14:paraId="3B783B4F" w14:textId="77777777" w:rsidR="00985E76" w:rsidRPr="00985E76" w:rsidRDefault="00985E76" w:rsidP="00985E76">
      <w:pPr>
        <w:spacing w:line="360" w:lineRule="auto"/>
        <w:jc w:val="both"/>
        <w:rPr>
          <w:rFonts w:ascii="Arial" w:hAnsi="Arial" w:cs="Arial"/>
          <w:vertAlign w:val="superscript"/>
        </w:rPr>
      </w:pPr>
      <w:r w:rsidRPr="00985E76">
        <w:rPr>
          <w:rFonts w:ascii="Arial" w:hAnsi="Arial" w:cs="Arial"/>
        </w:rPr>
        <w:t xml:space="preserve">FTIR confirms the chemical integrity of lipid components, detects drug-lipid interactions, and verifies surface functionalization (e.g., loss of </w:t>
      </w:r>
      <w:proofErr w:type="spellStart"/>
      <w:r w:rsidRPr="00985E76">
        <w:rPr>
          <w:rFonts w:ascii="Arial" w:hAnsi="Arial" w:cs="Arial"/>
        </w:rPr>
        <w:t>azide</w:t>
      </w:r>
      <w:proofErr w:type="spellEnd"/>
      <w:r w:rsidRPr="00985E76">
        <w:rPr>
          <w:rFonts w:ascii="Arial" w:hAnsi="Arial" w:cs="Arial"/>
        </w:rPr>
        <w:t xml:space="preserve"> groups after HА conjugation). Characteristic C=O stretching (~1730 cm¯¹) and C-H stretching bands of the lipid, and the drug's functional group peaks, are routinely monitored.</w:t>
      </w:r>
      <w:r w:rsidRPr="00985E76">
        <w:rPr>
          <w:rFonts w:ascii="Arial" w:hAnsi="Arial" w:cs="Arial"/>
          <w:vertAlign w:val="superscript"/>
        </w:rPr>
        <w:t>27</w:t>
      </w:r>
    </w:p>
    <w:p w14:paraId="0E880B63" w14:textId="77777777" w:rsidR="00985E76" w:rsidRPr="009459DF" w:rsidRDefault="00985E76" w:rsidP="00985E76">
      <w:pPr>
        <w:spacing w:line="360" w:lineRule="auto"/>
        <w:jc w:val="both"/>
        <w:rPr>
          <w:rFonts w:ascii="Arial" w:hAnsi="Arial" w:cs="Arial"/>
          <w:b/>
          <w:bCs/>
          <w:sz w:val="22"/>
          <w:szCs w:val="22"/>
        </w:rPr>
      </w:pPr>
      <w:r w:rsidRPr="009459DF">
        <w:rPr>
          <w:rFonts w:ascii="Arial" w:hAnsi="Arial" w:cs="Arial"/>
          <w:b/>
          <w:bCs/>
          <w:sz w:val="22"/>
          <w:szCs w:val="22"/>
        </w:rPr>
        <w:t>4.7. Encapsulation/Entrapment Efficiency (EE%) by UV-Vis Spectrophotometry</w:t>
      </w:r>
    </w:p>
    <w:p w14:paraId="14298599" w14:textId="77777777" w:rsidR="00985E76" w:rsidRPr="00985E76" w:rsidRDefault="00985E76" w:rsidP="00985E76">
      <w:pPr>
        <w:spacing w:line="360" w:lineRule="auto"/>
        <w:jc w:val="both"/>
        <w:rPr>
          <w:rFonts w:ascii="Arial" w:hAnsi="Arial" w:cs="Arial"/>
          <w:vertAlign w:val="superscript"/>
        </w:rPr>
      </w:pPr>
      <w:r w:rsidRPr="00985E76">
        <w:rPr>
          <w:rFonts w:ascii="Arial" w:hAnsi="Arial" w:cs="Arial"/>
        </w:rPr>
        <w:t xml:space="preserve">The drug encapsulation efficiency-the fraction of drug successfully loaded into the </w:t>
      </w:r>
      <w:proofErr w:type="spellStart"/>
      <w:r w:rsidRPr="00985E76">
        <w:rPr>
          <w:rFonts w:ascii="Arial" w:hAnsi="Arial" w:cs="Arial"/>
        </w:rPr>
        <w:t>cubosome</w:t>
      </w:r>
      <w:proofErr w:type="spellEnd"/>
      <w:r w:rsidRPr="00985E76">
        <w:rPr>
          <w:rFonts w:ascii="Arial" w:hAnsi="Arial" w:cs="Arial"/>
        </w:rPr>
        <w:t xml:space="preserve"> is determined by separating free drug (via centrifugation, ultracentrifugation, or dialysis) and quantifying the unentrapped drug in the supernatant using UV-</w:t>
      </w:r>
      <w:proofErr w:type="gramStart"/>
      <w:r w:rsidRPr="00985E76">
        <w:rPr>
          <w:rFonts w:ascii="Arial" w:hAnsi="Arial" w:cs="Arial"/>
        </w:rPr>
        <w:t>Vis</w:t>
      </w:r>
      <w:proofErr w:type="gramEnd"/>
      <w:r w:rsidRPr="00985E76">
        <w:rPr>
          <w:rFonts w:ascii="Arial" w:hAnsi="Arial" w:cs="Arial"/>
        </w:rPr>
        <w:t xml:space="preserve"> spectrophotometry. EE% typically exceeds 80-93% for well-optimized formulations.</w:t>
      </w:r>
      <w:r w:rsidRPr="00985E76">
        <w:rPr>
          <w:rFonts w:ascii="Arial" w:hAnsi="Arial" w:cs="Arial"/>
          <w:vertAlign w:val="superscript"/>
        </w:rPr>
        <w:t>33</w:t>
      </w:r>
    </w:p>
    <w:p w14:paraId="17F6EDA4" w14:textId="77777777" w:rsidR="00985E76" w:rsidRPr="009459DF" w:rsidRDefault="00985E76" w:rsidP="00985E76">
      <w:pPr>
        <w:spacing w:line="360" w:lineRule="auto"/>
        <w:jc w:val="both"/>
        <w:rPr>
          <w:rFonts w:ascii="Arial" w:hAnsi="Arial" w:cs="Arial"/>
          <w:b/>
          <w:bCs/>
          <w:sz w:val="22"/>
          <w:szCs w:val="22"/>
        </w:rPr>
      </w:pPr>
      <w:r w:rsidRPr="009459DF">
        <w:rPr>
          <w:rFonts w:ascii="Arial" w:hAnsi="Arial" w:cs="Arial"/>
          <w:b/>
          <w:bCs/>
          <w:sz w:val="22"/>
          <w:szCs w:val="22"/>
        </w:rPr>
        <w:t>4.8.  In Vitro Drug Release Studies</w:t>
      </w:r>
    </w:p>
    <w:p w14:paraId="770762C0" w14:textId="77777777" w:rsidR="00985E76" w:rsidRPr="00985E76" w:rsidRDefault="00985E76" w:rsidP="00985E76">
      <w:pPr>
        <w:spacing w:line="360" w:lineRule="auto"/>
        <w:jc w:val="both"/>
        <w:rPr>
          <w:rFonts w:ascii="Arial" w:hAnsi="Arial" w:cs="Arial"/>
          <w:vertAlign w:val="superscript"/>
        </w:rPr>
      </w:pPr>
      <w:r w:rsidRPr="00985E76">
        <w:rPr>
          <w:rFonts w:ascii="Arial" w:hAnsi="Arial" w:cs="Arial"/>
        </w:rPr>
        <w:t xml:space="preserve">Drug release from </w:t>
      </w:r>
      <w:proofErr w:type="spellStart"/>
      <w:r w:rsidRPr="00985E76">
        <w:rPr>
          <w:rFonts w:ascii="Arial" w:hAnsi="Arial" w:cs="Arial"/>
        </w:rPr>
        <w:t>cubosomes</w:t>
      </w:r>
      <w:proofErr w:type="spellEnd"/>
      <w:r w:rsidRPr="00985E76">
        <w:rPr>
          <w:rFonts w:ascii="Arial" w:hAnsi="Arial" w:cs="Arial"/>
        </w:rPr>
        <w:t xml:space="preserve"> is studied using dialysis membrane bags (MWCO 12-14 </w:t>
      </w:r>
      <w:proofErr w:type="spellStart"/>
      <w:r w:rsidRPr="00985E76">
        <w:rPr>
          <w:rFonts w:ascii="Arial" w:hAnsi="Arial" w:cs="Arial"/>
        </w:rPr>
        <w:t>kDa</w:t>
      </w:r>
      <w:proofErr w:type="spellEnd"/>
      <w:r w:rsidRPr="00985E76">
        <w:rPr>
          <w:rFonts w:ascii="Arial" w:hAnsi="Arial" w:cs="Arial"/>
        </w:rPr>
        <w:t xml:space="preserve">) in simulated physiological media (PBS, SGF, SIF) at 37°C with constant stirring. Aliquots are withdrawn at fixed time intervals and </w:t>
      </w:r>
      <w:proofErr w:type="spellStart"/>
      <w:r w:rsidRPr="00985E76">
        <w:rPr>
          <w:rFonts w:ascii="Arial" w:hAnsi="Arial" w:cs="Arial"/>
        </w:rPr>
        <w:t>analysed</w:t>
      </w:r>
      <w:proofErr w:type="spellEnd"/>
      <w:r w:rsidRPr="00985E76">
        <w:rPr>
          <w:rFonts w:ascii="Arial" w:hAnsi="Arial" w:cs="Arial"/>
        </w:rPr>
        <w:t xml:space="preserve"> by UV-Vis or HPLC. </w:t>
      </w:r>
      <w:proofErr w:type="spellStart"/>
      <w:r w:rsidRPr="00985E76">
        <w:rPr>
          <w:rFonts w:ascii="Arial" w:hAnsi="Arial" w:cs="Arial"/>
        </w:rPr>
        <w:t>Cubosomes</w:t>
      </w:r>
      <w:proofErr w:type="spellEnd"/>
      <w:r w:rsidRPr="00985E76">
        <w:rPr>
          <w:rFonts w:ascii="Arial" w:hAnsi="Arial" w:cs="Arial"/>
        </w:rPr>
        <w:t xml:space="preserve"> typically demonstrate a biphasic release profile: a rapid initial burst followed by sustained, controlled release over 12-48 hours.</w:t>
      </w:r>
      <w:r w:rsidRPr="00985E76">
        <w:rPr>
          <w:rFonts w:ascii="Arial" w:hAnsi="Arial" w:cs="Arial"/>
          <w:vertAlign w:val="superscript"/>
        </w:rPr>
        <w:t>20,35</w:t>
      </w:r>
    </w:p>
    <w:p w14:paraId="71644619" w14:textId="77777777" w:rsidR="00985E76" w:rsidRPr="009459DF" w:rsidRDefault="00985E76" w:rsidP="00985E76">
      <w:pPr>
        <w:spacing w:line="360" w:lineRule="auto"/>
        <w:jc w:val="both"/>
        <w:rPr>
          <w:rFonts w:ascii="Arial" w:hAnsi="Arial" w:cs="Arial"/>
          <w:b/>
          <w:bCs/>
          <w:sz w:val="22"/>
          <w:szCs w:val="22"/>
        </w:rPr>
      </w:pPr>
      <w:r w:rsidRPr="009459DF">
        <w:rPr>
          <w:rFonts w:ascii="Arial" w:hAnsi="Arial" w:cs="Arial"/>
          <w:b/>
          <w:bCs/>
          <w:sz w:val="22"/>
          <w:szCs w:val="22"/>
        </w:rPr>
        <w:t>4.9. Powder X-ray Diffraction (PXRD)</w:t>
      </w:r>
    </w:p>
    <w:p w14:paraId="2EE23215" w14:textId="77777777" w:rsidR="00985E76" w:rsidRPr="00985E76" w:rsidRDefault="00985E76" w:rsidP="00985E76">
      <w:pPr>
        <w:spacing w:line="360" w:lineRule="auto"/>
        <w:jc w:val="both"/>
        <w:rPr>
          <w:rFonts w:ascii="Arial" w:hAnsi="Arial" w:cs="Arial"/>
          <w:vertAlign w:val="superscript"/>
        </w:rPr>
      </w:pPr>
      <w:r w:rsidRPr="00985E76">
        <w:rPr>
          <w:rFonts w:ascii="Arial" w:hAnsi="Arial" w:cs="Arial"/>
        </w:rPr>
        <w:t xml:space="preserve">Powder XRD can confirm the amorphous nature of the drug within the </w:t>
      </w:r>
      <w:proofErr w:type="spellStart"/>
      <w:r w:rsidRPr="00985E76">
        <w:rPr>
          <w:rFonts w:ascii="Arial" w:hAnsi="Arial" w:cs="Arial"/>
        </w:rPr>
        <w:t>cubosome</w:t>
      </w:r>
      <w:proofErr w:type="spellEnd"/>
      <w:r w:rsidRPr="00985E76">
        <w:rPr>
          <w:rFonts w:ascii="Arial" w:hAnsi="Arial" w:cs="Arial"/>
        </w:rPr>
        <w:t xml:space="preserve"> matrix (loss of sharp drug crystallinity peaks) and detect any residual crystalline drug. This confirms successful drug encapsulation and dissolution in the lipid phase.</w:t>
      </w:r>
      <w:r w:rsidRPr="00985E76">
        <w:rPr>
          <w:rFonts w:ascii="Arial" w:hAnsi="Arial" w:cs="Arial"/>
          <w:vertAlign w:val="superscript"/>
        </w:rPr>
        <w:t>23,31</w:t>
      </w:r>
    </w:p>
    <w:p w14:paraId="36A812FE" w14:textId="77777777" w:rsidR="00985E76" w:rsidRPr="009459DF" w:rsidRDefault="00985E76" w:rsidP="00985E76">
      <w:pPr>
        <w:spacing w:line="360" w:lineRule="auto"/>
        <w:jc w:val="both"/>
        <w:rPr>
          <w:rFonts w:ascii="Arial" w:hAnsi="Arial" w:cs="Arial"/>
          <w:b/>
          <w:bCs/>
          <w:sz w:val="22"/>
          <w:szCs w:val="22"/>
        </w:rPr>
      </w:pPr>
      <w:r w:rsidRPr="009459DF">
        <w:rPr>
          <w:rFonts w:ascii="Arial" w:hAnsi="Arial" w:cs="Arial"/>
          <w:b/>
          <w:bCs/>
          <w:sz w:val="22"/>
          <w:szCs w:val="22"/>
        </w:rPr>
        <w:lastRenderedPageBreak/>
        <w:t>4.10. Stability Studies</w:t>
      </w:r>
    </w:p>
    <w:p w14:paraId="68ED5910" w14:textId="47DF9A75" w:rsidR="00985E76" w:rsidRDefault="00985E76" w:rsidP="00985E76">
      <w:pPr>
        <w:spacing w:line="360" w:lineRule="auto"/>
        <w:jc w:val="both"/>
        <w:rPr>
          <w:rFonts w:ascii="Arial" w:hAnsi="Arial" w:cs="Arial"/>
        </w:rPr>
      </w:pPr>
      <w:r w:rsidRPr="00985E76">
        <w:rPr>
          <w:rFonts w:ascii="Arial" w:hAnsi="Arial" w:cs="Arial"/>
        </w:rPr>
        <w:t xml:space="preserve">Colloidal stability of </w:t>
      </w:r>
      <w:proofErr w:type="spellStart"/>
      <w:r w:rsidRPr="00985E76">
        <w:rPr>
          <w:rFonts w:ascii="Arial" w:hAnsi="Arial" w:cs="Arial"/>
        </w:rPr>
        <w:t>cubosomes</w:t>
      </w:r>
      <w:proofErr w:type="spellEnd"/>
      <w:r w:rsidRPr="00985E76">
        <w:rPr>
          <w:rFonts w:ascii="Arial" w:hAnsi="Arial" w:cs="Arial"/>
        </w:rPr>
        <w:t xml:space="preserve"> is assessed by monitoring particle size (DLS), PDI, and zeta potential over time at various storage temperatures (4°C, 25°C, 37°C). Changes exceeding 15% in any parameter indicate instability. ICH guidelines recommend stability testing at 25°C/60% RH and 40°C/75% RH for pharmaceutical formulations.</w:t>
      </w:r>
      <w:r w:rsidRPr="00985E76">
        <w:rPr>
          <w:rFonts w:ascii="Arial" w:hAnsi="Arial" w:cs="Arial"/>
          <w:vertAlign w:val="superscript"/>
        </w:rPr>
        <w:t>33,36</w:t>
      </w:r>
      <w:r w:rsidR="009459DF">
        <w:rPr>
          <w:rFonts w:ascii="Arial" w:hAnsi="Arial" w:cs="Arial"/>
          <w:vertAlign w:val="superscript"/>
        </w:rPr>
        <w:t xml:space="preserve"> </w:t>
      </w:r>
    </w:p>
    <w:p w14:paraId="7112E7E0" w14:textId="77777777" w:rsidR="009459DF" w:rsidRPr="009459DF" w:rsidRDefault="009459DF" w:rsidP="00985E76">
      <w:pPr>
        <w:spacing w:line="360" w:lineRule="auto"/>
        <w:jc w:val="both"/>
        <w:rPr>
          <w:rFonts w:ascii="Arial" w:hAnsi="Arial" w:cs="Arial"/>
        </w:rPr>
      </w:pPr>
    </w:p>
    <w:p w14:paraId="5EC0AE56" w14:textId="0A5EF4FE"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5. DRUG RELEASE MECHANISMS AND KINETICS</w:t>
      </w:r>
    </w:p>
    <w:p w14:paraId="20ECF7E1" w14:textId="77777777"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 xml:space="preserve">5.1. Mechanisms of Drug Release from </w:t>
      </w:r>
      <w:proofErr w:type="spellStart"/>
      <w:r w:rsidRPr="009459DF">
        <w:rPr>
          <w:rFonts w:ascii="Arial" w:hAnsi="Arial" w:cs="Arial"/>
          <w:b/>
          <w:bCs/>
          <w:sz w:val="22"/>
          <w:szCs w:val="22"/>
        </w:rPr>
        <w:t>Cubosomes</w:t>
      </w:r>
      <w:proofErr w:type="spellEnd"/>
    </w:p>
    <w:p w14:paraId="3DEE3606" w14:textId="77777777" w:rsidR="009459DF" w:rsidRPr="009459DF" w:rsidRDefault="009459DF" w:rsidP="009459DF">
      <w:pPr>
        <w:spacing w:line="360" w:lineRule="auto"/>
        <w:jc w:val="both"/>
        <w:rPr>
          <w:rFonts w:ascii="Arial" w:hAnsi="Arial" w:cs="Arial"/>
          <w:b/>
          <w:bCs/>
        </w:rPr>
      </w:pPr>
      <w:r w:rsidRPr="009459DF">
        <w:rPr>
          <w:rFonts w:ascii="Arial" w:hAnsi="Arial" w:cs="Arial"/>
        </w:rPr>
        <w:t xml:space="preserve">Drug release from </w:t>
      </w:r>
      <w:proofErr w:type="spellStart"/>
      <w:r w:rsidRPr="009459DF">
        <w:rPr>
          <w:rFonts w:ascii="Arial" w:hAnsi="Arial" w:cs="Arial"/>
        </w:rPr>
        <w:t>cubosomes</w:t>
      </w:r>
      <w:proofErr w:type="spellEnd"/>
      <w:r w:rsidRPr="009459DF">
        <w:rPr>
          <w:rFonts w:ascii="Arial" w:hAnsi="Arial" w:cs="Arial"/>
        </w:rPr>
        <w:t xml:space="preserve"> occurs through a combination of diffusion, erosion, and phase-transition-mediated pathways. The relative contribution of each mechanism depends on factors such as the drug's physicochemical properties, the geometry of the cubic phase, pore size, and the surrounding biological conditions.</w:t>
      </w:r>
      <w:r w:rsidRPr="009459DF">
        <w:rPr>
          <w:rFonts w:ascii="Arial" w:hAnsi="Arial" w:cs="Arial"/>
          <w:vertAlign w:val="superscript"/>
        </w:rPr>
        <w:t>37</w:t>
      </w:r>
    </w:p>
    <w:p w14:paraId="769B625D" w14:textId="77777777" w:rsidR="009459DF" w:rsidRPr="009459DF" w:rsidRDefault="009459DF" w:rsidP="009459DF">
      <w:pPr>
        <w:spacing w:line="360" w:lineRule="auto"/>
        <w:jc w:val="both"/>
        <w:rPr>
          <w:rFonts w:ascii="Arial" w:hAnsi="Arial" w:cs="Arial"/>
          <w:vertAlign w:val="superscript"/>
        </w:rPr>
      </w:pPr>
      <w:r w:rsidRPr="009459DF">
        <w:rPr>
          <w:rFonts w:ascii="Arial" w:hAnsi="Arial" w:cs="Arial"/>
        </w:rPr>
        <w:t xml:space="preserve">For hydrophilic drugs housed within the aqueous channel network, release is primarily governed by molecular diffusion through the interconnected water channels and across the </w:t>
      </w:r>
      <w:proofErr w:type="spellStart"/>
      <w:r w:rsidRPr="009459DF">
        <w:rPr>
          <w:rFonts w:ascii="Arial" w:hAnsi="Arial" w:cs="Arial"/>
        </w:rPr>
        <w:t>cubosome</w:t>
      </w:r>
      <w:proofErr w:type="spellEnd"/>
      <w:r w:rsidRPr="009459DF">
        <w:rPr>
          <w:rFonts w:ascii="Arial" w:hAnsi="Arial" w:cs="Arial"/>
        </w:rPr>
        <w:t>–aqueous medium interface. The cubic liquid-crystalline geometry creates a tortuous diffusion path that results in sustained release profiles, and cubic liquid crystals have been shown to release hydrophilic drugs more slowly than hexagonal phases. The diffusion coefficient of small molecules within these cubic-phase water channels is significantly lower than in bulk water, owing to the narrow channel dimensions (2–10 nm radius) and the interactions at the lipid–water boundary.</w:t>
      </w:r>
      <w:r w:rsidRPr="009459DF">
        <w:rPr>
          <w:rFonts w:ascii="Arial" w:hAnsi="Arial" w:cs="Arial"/>
          <w:vertAlign w:val="superscript"/>
        </w:rPr>
        <w:t>38</w:t>
      </w:r>
    </w:p>
    <w:p w14:paraId="42196FFD" w14:textId="77777777" w:rsidR="009459DF" w:rsidRPr="009459DF" w:rsidRDefault="009459DF" w:rsidP="009459DF">
      <w:pPr>
        <w:spacing w:line="360" w:lineRule="auto"/>
        <w:jc w:val="both"/>
        <w:rPr>
          <w:rFonts w:ascii="Arial" w:hAnsi="Arial" w:cs="Arial"/>
          <w:vertAlign w:val="superscript"/>
        </w:rPr>
      </w:pPr>
      <w:r w:rsidRPr="009459DF">
        <w:rPr>
          <w:rFonts w:ascii="Arial" w:hAnsi="Arial" w:cs="Arial"/>
        </w:rPr>
        <w:t xml:space="preserve">For hydrophobic drugs embedded within the lipid bilayer, release is governed by the partition coefficient, lateral diffusion within the bilayer, and desorption across the bilayer–water interface — as demonstrated in monoolein </w:t>
      </w:r>
      <w:proofErr w:type="spellStart"/>
      <w:r w:rsidRPr="009459DF">
        <w:rPr>
          <w:rFonts w:ascii="Arial" w:hAnsi="Arial" w:cs="Arial"/>
        </w:rPr>
        <w:t>cubosomes</w:t>
      </w:r>
      <w:proofErr w:type="spellEnd"/>
      <w:r w:rsidRPr="009459DF">
        <w:rPr>
          <w:rFonts w:ascii="Arial" w:hAnsi="Arial" w:cs="Arial"/>
        </w:rPr>
        <w:t xml:space="preserve"> where drug release varied considerably depending on the partition coefficient of individual compounds. Because bilayer–water partition coefficients for lipophilic drugs can reach very high values (10³–10⁶), significant drug retention occurs in the absence of competing acceptor phases. In biological environments, plasma proteins and lipoproteins act as thermodynamic sinks, effectively drawing drug molecules out of the </w:t>
      </w:r>
      <w:proofErr w:type="spellStart"/>
      <w:r w:rsidRPr="009459DF">
        <w:rPr>
          <w:rFonts w:ascii="Arial" w:hAnsi="Arial" w:cs="Arial"/>
        </w:rPr>
        <w:t>cubosome</w:t>
      </w:r>
      <w:proofErr w:type="spellEnd"/>
      <w:r w:rsidRPr="009459DF">
        <w:rPr>
          <w:rFonts w:ascii="Arial" w:hAnsi="Arial" w:cs="Arial"/>
        </w:rPr>
        <w:t xml:space="preserve"> bilayer and modulating the apparent release rate.</w:t>
      </w:r>
      <w:r w:rsidRPr="009459DF">
        <w:rPr>
          <w:rFonts w:ascii="Arial" w:hAnsi="Arial" w:cs="Arial"/>
          <w:vertAlign w:val="superscript"/>
        </w:rPr>
        <w:t>6</w:t>
      </w:r>
    </w:p>
    <w:p w14:paraId="64EA0D75" w14:textId="77777777"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5.2. Mathematical Modeling of Drug Release</w:t>
      </w:r>
    </w:p>
    <w:p w14:paraId="02132576" w14:textId="4CFCBA46" w:rsidR="009459DF" w:rsidRDefault="009459DF" w:rsidP="009459DF">
      <w:pPr>
        <w:spacing w:line="360" w:lineRule="auto"/>
        <w:jc w:val="both"/>
        <w:rPr>
          <w:rFonts w:ascii="Arial" w:hAnsi="Arial" w:cs="Arial"/>
        </w:rPr>
      </w:pPr>
      <w:r w:rsidRPr="009459DF">
        <w:rPr>
          <w:rFonts w:ascii="Arial" w:hAnsi="Arial" w:cs="Arial"/>
        </w:rPr>
        <w:t xml:space="preserve">Several mathematical models are routinely applied to describe and predict drug release from </w:t>
      </w:r>
      <w:proofErr w:type="spellStart"/>
      <w:r w:rsidRPr="009459DF">
        <w:rPr>
          <w:rFonts w:ascii="Arial" w:hAnsi="Arial" w:cs="Arial"/>
        </w:rPr>
        <w:t>cubosome</w:t>
      </w:r>
      <w:proofErr w:type="spellEnd"/>
      <w:r w:rsidRPr="009459DF">
        <w:rPr>
          <w:rFonts w:ascii="Arial" w:hAnsi="Arial" w:cs="Arial"/>
        </w:rPr>
        <w:t xml:space="preserve"> systems. Zero-order models (Q = </w:t>
      </w:r>
      <w:proofErr w:type="spellStart"/>
      <w:r w:rsidRPr="009459DF">
        <w:rPr>
          <w:rFonts w:ascii="Arial" w:hAnsi="Arial" w:cs="Arial"/>
        </w:rPr>
        <w:t>k</w:t>
      </w:r>
      <w:r w:rsidRPr="009459DF">
        <w:rPr>
          <w:rFonts w:ascii="Cambria Math" w:hAnsi="Cambria Math" w:cs="Cambria Math"/>
          <w:vertAlign w:val="subscript"/>
        </w:rPr>
        <w:t>₀</w:t>
      </w:r>
      <w:r w:rsidRPr="009459DF">
        <w:rPr>
          <w:rFonts w:ascii="Arial" w:hAnsi="Arial" w:cs="Arial"/>
        </w:rPr>
        <w:t>t</w:t>
      </w:r>
      <w:proofErr w:type="spellEnd"/>
      <w:r w:rsidRPr="009459DF">
        <w:rPr>
          <w:rFonts w:ascii="Arial" w:hAnsi="Arial" w:cs="Arial"/>
        </w:rPr>
        <w:t>), first-order models (ln(1−f) = −</w:t>
      </w:r>
      <w:proofErr w:type="spellStart"/>
      <w:r w:rsidRPr="009459DF">
        <w:rPr>
          <w:rFonts w:ascii="Arial" w:hAnsi="Arial" w:cs="Arial"/>
        </w:rPr>
        <w:t>k</w:t>
      </w:r>
      <w:r w:rsidRPr="009459DF">
        <w:rPr>
          <w:rFonts w:ascii="Cambria Math" w:hAnsi="Cambria Math" w:cs="Cambria Math"/>
          <w:vertAlign w:val="subscript"/>
        </w:rPr>
        <w:t>₁</w:t>
      </w:r>
      <w:r w:rsidRPr="009459DF">
        <w:rPr>
          <w:rFonts w:ascii="Arial" w:hAnsi="Arial" w:cs="Arial"/>
        </w:rPr>
        <w:t>t</w:t>
      </w:r>
      <w:proofErr w:type="spellEnd"/>
      <w:r w:rsidRPr="009459DF">
        <w:rPr>
          <w:rFonts w:ascii="Arial" w:hAnsi="Arial" w:cs="Arial"/>
        </w:rPr>
        <w:t xml:space="preserve">), and the Higuchi model (Q = </w:t>
      </w:r>
      <w:proofErr w:type="spellStart"/>
      <w:r w:rsidRPr="009459DF">
        <w:rPr>
          <w:rFonts w:ascii="Arial" w:hAnsi="Arial" w:cs="Arial"/>
        </w:rPr>
        <w:t>kH√t</w:t>
      </w:r>
      <w:proofErr w:type="spellEnd"/>
      <w:r w:rsidRPr="009459DF">
        <w:rPr>
          <w:rFonts w:ascii="Arial" w:hAnsi="Arial" w:cs="Arial"/>
        </w:rPr>
        <w:t xml:space="preserve">) are commonly fitted to in vitro release data to characterize different release </w:t>
      </w:r>
      <w:proofErr w:type="spellStart"/>
      <w:r w:rsidRPr="009459DF">
        <w:rPr>
          <w:rFonts w:ascii="Arial" w:hAnsi="Arial" w:cs="Arial"/>
        </w:rPr>
        <w:t>behaviours</w:t>
      </w:r>
      <w:proofErr w:type="spellEnd"/>
      <w:r w:rsidRPr="009459DF">
        <w:rPr>
          <w:rFonts w:ascii="Arial" w:hAnsi="Arial" w:cs="Arial"/>
        </w:rPr>
        <w:t>. The Korsmeyer–Peppas power law model (M</w:t>
      </w:r>
      <w:r w:rsidRPr="009459DF">
        <w:rPr>
          <w:rFonts w:ascii="Cambria Math" w:hAnsi="Cambria Math" w:cs="Cambria Math"/>
        </w:rPr>
        <w:t>ₜ</w:t>
      </w:r>
      <w:r w:rsidRPr="009459DF">
        <w:rPr>
          <w:rFonts w:ascii="Arial" w:hAnsi="Arial" w:cs="Arial"/>
        </w:rPr>
        <w:t xml:space="preserve">/M∞ = ktⁿ) is widely used to identify the dominant release mechanism, where the exponent n serves as a mechanistic </w:t>
      </w:r>
      <w:r w:rsidRPr="009459DF">
        <w:rPr>
          <w:rFonts w:ascii="Arial" w:hAnsi="Arial" w:cs="Arial"/>
        </w:rPr>
        <w:lastRenderedPageBreak/>
        <w:t xml:space="preserve">indicator across diffusion-controlled, anomalous, and relaxation-dominated regimes. Specifically, n ≤ 0.43 indicates </w:t>
      </w:r>
      <w:proofErr w:type="spellStart"/>
      <w:r w:rsidRPr="009459DF">
        <w:rPr>
          <w:rFonts w:ascii="Arial" w:hAnsi="Arial" w:cs="Arial"/>
        </w:rPr>
        <w:t>Fickian</w:t>
      </w:r>
      <w:proofErr w:type="spellEnd"/>
      <w:r w:rsidRPr="009459DF">
        <w:rPr>
          <w:rFonts w:ascii="Arial" w:hAnsi="Arial" w:cs="Arial"/>
        </w:rPr>
        <w:t xml:space="preserve"> diffusion-dominated release,0.43 &lt; n &lt; 0.85 indicates anomalous (non-</w:t>
      </w:r>
      <w:proofErr w:type="spellStart"/>
      <w:r w:rsidRPr="009459DF">
        <w:rPr>
          <w:rFonts w:ascii="Arial" w:hAnsi="Arial" w:cs="Arial"/>
        </w:rPr>
        <w:t>Fickian</w:t>
      </w:r>
      <w:proofErr w:type="spellEnd"/>
      <w:r w:rsidRPr="009459DF">
        <w:rPr>
          <w:rFonts w:ascii="Arial" w:hAnsi="Arial" w:cs="Arial"/>
        </w:rPr>
        <w:t>) transport, and n ≥ 0.85 indicates case-II relaxational transport.</w:t>
      </w:r>
      <w:r w:rsidRPr="009459DF">
        <w:rPr>
          <w:rFonts w:ascii="Arial" w:hAnsi="Arial" w:cs="Arial"/>
          <w:vertAlign w:val="superscript"/>
        </w:rPr>
        <w:t>39</w:t>
      </w:r>
      <w:r>
        <w:rPr>
          <w:rFonts w:ascii="Arial" w:hAnsi="Arial" w:cs="Arial"/>
          <w:vertAlign w:val="superscript"/>
        </w:rPr>
        <w:t xml:space="preserve"> </w:t>
      </w:r>
    </w:p>
    <w:p w14:paraId="3143AA73" w14:textId="77777777" w:rsidR="009459DF" w:rsidRPr="009459DF" w:rsidRDefault="009459DF" w:rsidP="009459DF">
      <w:pPr>
        <w:spacing w:line="360" w:lineRule="auto"/>
        <w:jc w:val="both"/>
        <w:rPr>
          <w:rFonts w:ascii="Arial" w:hAnsi="Arial" w:cs="Arial"/>
        </w:rPr>
      </w:pPr>
    </w:p>
    <w:p w14:paraId="3390DF2F" w14:textId="010AAA48"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6. SURFACE MODIFICATION AND FUNCTIONALIZATION STRATEGIES</w:t>
      </w:r>
    </w:p>
    <w:p w14:paraId="57CED435" w14:textId="77777777"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6.1. PEGylation</w:t>
      </w:r>
    </w:p>
    <w:p w14:paraId="34AFE6B2" w14:textId="77777777" w:rsidR="009459DF" w:rsidRPr="009459DF" w:rsidRDefault="009459DF" w:rsidP="009459DF">
      <w:pPr>
        <w:spacing w:line="360" w:lineRule="auto"/>
        <w:jc w:val="both"/>
        <w:rPr>
          <w:rFonts w:ascii="Arial" w:hAnsi="Arial" w:cs="Arial"/>
          <w:vertAlign w:val="superscript"/>
        </w:rPr>
      </w:pPr>
      <w:r w:rsidRPr="009459DF">
        <w:rPr>
          <w:rFonts w:ascii="Arial" w:hAnsi="Arial" w:cs="Arial"/>
        </w:rPr>
        <w:t xml:space="preserve">PEGylation refers to coating the surface of </w:t>
      </w:r>
      <w:proofErr w:type="spellStart"/>
      <w:r w:rsidRPr="009459DF">
        <w:rPr>
          <w:rFonts w:ascii="Arial" w:hAnsi="Arial" w:cs="Arial"/>
        </w:rPr>
        <w:t>cubosomes</w:t>
      </w:r>
      <w:proofErr w:type="spellEnd"/>
      <w:r w:rsidRPr="009459DF">
        <w:rPr>
          <w:rFonts w:ascii="Arial" w:hAnsi="Arial" w:cs="Arial"/>
        </w:rPr>
        <w:t xml:space="preserve"> with polyethylene glycol (PEG) chains. This simple modification offers several practical benefits: it helps </w:t>
      </w:r>
      <w:proofErr w:type="spellStart"/>
      <w:r w:rsidRPr="009459DF">
        <w:rPr>
          <w:rFonts w:ascii="Arial" w:hAnsi="Arial" w:cs="Arial"/>
        </w:rPr>
        <w:t>cubosomes</w:t>
      </w:r>
      <w:proofErr w:type="spellEnd"/>
      <w:r w:rsidRPr="009459DF">
        <w:rPr>
          <w:rFonts w:ascii="Arial" w:hAnsi="Arial" w:cs="Arial"/>
        </w:rPr>
        <w:t xml:space="preserve"> stay longer in the bloodstream, prevents unwanted protein attachment on their surface, reduces immune clearance, and keeps the particles stable in suspension. PEGylation has been shown to lower immunogenicity, improve pharmacokinetics, and reduce clearance by the reticuloendothelial system.</w:t>
      </w:r>
      <w:r w:rsidRPr="009459DF">
        <w:rPr>
          <w:rFonts w:ascii="Arial" w:hAnsi="Arial" w:cs="Arial"/>
          <w:vertAlign w:val="superscript"/>
        </w:rPr>
        <w:t>40</w:t>
      </w:r>
    </w:p>
    <w:p w14:paraId="5B3214A7" w14:textId="77777777" w:rsidR="009459DF" w:rsidRPr="009459DF" w:rsidRDefault="009459DF" w:rsidP="009459DF">
      <w:pPr>
        <w:spacing w:line="360" w:lineRule="auto"/>
        <w:jc w:val="both"/>
        <w:rPr>
          <w:rFonts w:ascii="Arial" w:hAnsi="Arial" w:cs="Arial"/>
          <w:vertAlign w:val="superscript"/>
        </w:rPr>
      </w:pPr>
      <w:r w:rsidRPr="009459DF">
        <w:rPr>
          <w:rFonts w:ascii="Arial" w:hAnsi="Arial" w:cs="Arial"/>
        </w:rPr>
        <w:t xml:space="preserve">The amount of PEG on the surface matters a great deal. At sufficient density, PEG chains stand upright in a "brush" conformation that effectively shields the particle. At lower densities, they collapse into a "mushroom" shape that offers much weaker protection. PEGylation can extend blood circulation time and improve </w:t>
      </w:r>
      <w:proofErr w:type="spellStart"/>
      <w:r w:rsidRPr="009459DF">
        <w:rPr>
          <w:rFonts w:ascii="Arial" w:hAnsi="Arial" w:cs="Arial"/>
        </w:rPr>
        <w:t>tumour</w:t>
      </w:r>
      <w:proofErr w:type="spellEnd"/>
      <w:r w:rsidRPr="009459DF">
        <w:rPr>
          <w:rFonts w:ascii="Arial" w:hAnsi="Arial" w:cs="Arial"/>
        </w:rPr>
        <w:t xml:space="preserve"> targeting — PEGylated </w:t>
      </w:r>
      <w:proofErr w:type="spellStart"/>
      <w:r w:rsidRPr="009459DF">
        <w:rPr>
          <w:rFonts w:ascii="Arial" w:hAnsi="Arial" w:cs="Arial"/>
        </w:rPr>
        <w:t>cubosomes</w:t>
      </w:r>
      <w:proofErr w:type="spellEnd"/>
      <w:r w:rsidRPr="009459DF">
        <w:rPr>
          <w:rFonts w:ascii="Arial" w:hAnsi="Arial" w:cs="Arial"/>
        </w:rPr>
        <w:t xml:space="preserve"> have demonstrated improved accumulation in aggressive </w:t>
      </w:r>
      <w:proofErr w:type="spellStart"/>
      <w:r w:rsidRPr="009459DF">
        <w:rPr>
          <w:rFonts w:ascii="Arial" w:hAnsi="Arial" w:cs="Arial"/>
        </w:rPr>
        <w:t>tumours</w:t>
      </w:r>
      <w:proofErr w:type="spellEnd"/>
      <w:r w:rsidRPr="009459DF">
        <w:rPr>
          <w:rFonts w:ascii="Arial" w:hAnsi="Arial" w:cs="Arial"/>
        </w:rPr>
        <w:t xml:space="preserve"> such as ovarian cancer cells. Pluronic F127, the most common </w:t>
      </w:r>
      <w:proofErr w:type="spellStart"/>
      <w:r w:rsidRPr="009459DF">
        <w:rPr>
          <w:rFonts w:ascii="Arial" w:hAnsi="Arial" w:cs="Arial"/>
        </w:rPr>
        <w:t>cubosome</w:t>
      </w:r>
      <w:proofErr w:type="spellEnd"/>
      <w:r w:rsidRPr="009459DF">
        <w:rPr>
          <w:rFonts w:ascii="Arial" w:hAnsi="Arial" w:cs="Arial"/>
        </w:rPr>
        <w:t xml:space="preserve"> stabilizer, already provides some PEGylation, but additional engineering may be needed to optimize surface density.</w:t>
      </w:r>
      <w:r w:rsidRPr="009459DF">
        <w:rPr>
          <w:rFonts w:ascii="Arial" w:hAnsi="Arial" w:cs="Arial"/>
          <w:vertAlign w:val="superscript"/>
        </w:rPr>
        <w:t>4</w:t>
      </w:r>
    </w:p>
    <w:p w14:paraId="2B4F2A47" w14:textId="77777777"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6.2. Active Targeting Ligand Conjugation</w:t>
      </w:r>
    </w:p>
    <w:p w14:paraId="1715B6F1" w14:textId="77777777" w:rsidR="009459DF" w:rsidRPr="009459DF" w:rsidRDefault="009459DF" w:rsidP="009459DF">
      <w:pPr>
        <w:spacing w:line="360" w:lineRule="auto"/>
        <w:jc w:val="both"/>
        <w:rPr>
          <w:rFonts w:ascii="Arial" w:hAnsi="Arial" w:cs="Arial"/>
          <w:vertAlign w:val="superscript"/>
        </w:rPr>
      </w:pPr>
      <w:r w:rsidRPr="009459DF">
        <w:rPr>
          <w:rFonts w:ascii="Arial" w:hAnsi="Arial" w:cs="Arial"/>
        </w:rPr>
        <w:t xml:space="preserve">While PEGylation improves circulation, it does not direct </w:t>
      </w:r>
      <w:proofErr w:type="spellStart"/>
      <w:r w:rsidRPr="009459DF">
        <w:rPr>
          <w:rFonts w:ascii="Arial" w:hAnsi="Arial" w:cs="Arial"/>
        </w:rPr>
        <w:t>cubosomes</w:t>
      </w:r>
      <w:proofErr w:type="spellEnd"/>
      <w:r w:rsidRPr="009459DF">
        <w:rPr>
          <w:rFonts w:ascii="Arial" w:hAnsi="Arial" w:cs="Arial"/>
        </w:rPr>
        <w:t xml:space="preserve"> to a specific target. Active targeting involves attaching ligands — such as folate, antibodies, aptamers, or sugars — to the </w:t>
      </w:r>
      <w:proofErr w:type="spellStart"/>
      <w:r w:rsidRPr="009459DF">
        <w:rPr>
          <w:rFonts w:ascii="Arial" w:hAnsi="Arial" w:cs="Arial"/>
        </w:rPr>
        <w:t>cubosome</w:t>
      </w:r>
      <w:proofErr w:type="spellEnd"/>
      <w:r w:rsidRPr="009459DF">
        <w:rPr>
          <w:rFonts w:ascii="Arial" w:hAnsi="Arial" w:cs="Arial"/>
        </w:rPr>
        <w:t xml:space="preserve"> surface so they can bind selectively to receptors on diseased cells. These targeting ligands recognize and bind to markers overexpressed on </w:t>
      </w:r>
      <w:proofErr w:type="spellStart"/>
      <w:r w:rsidRPr="009459DF">
        <w:rPr>
          <w:rFonts w:ascii="Arial" w:hAnsi="Arial" w:cs="Arial"/>
        </w:rPr>
        <w:t>tumour</w:t>
      </w:r>
      <w:proofErr w:type="spellEnd"/>
      <w:r w:rsidRPr="009459DF">
        <w:rPr>
          <w:rFonts w:ascii="Arial" w:hAnsi="Arial" w:cs="Arial"/>
        </w:rPr>
        <w:t xml:space="preserve"> cells, allowing drugs to be delivered specifically to cancer cells while leaving normal cells unaffected.</w:t>
      </w:r>
      <w:r w:rsidRPr="009459DF">
        <w:rPr>
          <w:rFonts w:ascii="Arial" w:hAnsi="Arial" w:cs="Arial"/>
          <w:vertAlign w:val="superscript"/>
        </w:rPr>
        <w:t>41</w:t>
      </w:r>
    </w:p>
    <w:p w14:paraId="37180A87" w14:textId="77777777" w:rsidR="009459DF" w:rsidRPr="009459DF" w:rsidRDefault="009459DF" w:rsidP="009459DF">
      <w:pPr>
        <w:spacing w:line="360" w:lineRule="auto"/>
        <w:jc w:val="both"/>
        <w:rPr>
          <w:rFonts w:ascii="Arial" w:hAnsi="Arial" w:cs="Arial"/>
          <w:vertAlign w:val="superscript"/>
        </w:rPr>
      </w:pPr>
      <w:r w:rsidRPr="009459DF">
        <w:rPr>
          <w:rFonts w:ascii="Arial" w:hAnsi="Arial" w:cs="Arial"/>
        </w:rPr>
        <w:t xml:space="preserve">Among the most studied targets, folate receptor (FR)-targeted </w:t>
      </w:r>
      <w:proofErr w:type="spellStart"/>
      <w:r w:rsidRPr="009459DF">
        <w:rPr>
          <w:rFonts w:ascii="Arial" w:hAnsi="Arial" w:cs="Arial"/>
        </w:rPr>
        <w:t>cubosomes</w:t>
      </w:r>
      <w:proofErr w:type="spellEnd"/>
      <w:r w:rsidRPr="009459DF">
        <w:rPr>
          <w:rFonts w:ascii="Arial" w:hAnsi="Arial" w:cs="Arial"/>
        </w:rPr>
        <w:t xml:space="preserve"> have gained significant attention. The folate receptor is a transmembrane glycoprotein that is highly expressed on the surface of many malignant cancers, making it a valuable molecular target for </w:t>
      </w:r>
      <w:proofErr w:type="spellStart"/>
      <w:r w:rsidRPr="009459DF">
        <w:rPr>
          <w:rFonts w:ascii="Arial" w:hAnsi="Arial" w:cs="Arial"/>
        </w:rPr>
        <w:t>tumour</w:t>
      </w:r>
      <w:proofErr w:type="spellEnd"/>
      <w:r w:rsidRPr="009459DF">
        <w:rPr>
          <w:rFonts w:ascii="Arial" w:hAnsi="Arial" w:cs="Arial"/>
        </w:rPr>
        <w:t xml:space="preserve">-specific drug delivery. Folate is attached to a lipid anchor and incorporated into the </w:t>
      </w:r>
      <w:proofErr w:type="spellStart"/>
      <w:r w:rsidRPr="009459DF">
        <w:rPr>
          <w:rFonts w:ascii="Arial" w:hAnsi="Arial" w:cs="Arial"/>
        </w:rPr>
        <w:t>cubosome</w:t>
      </w:r>
      <w:proofErr w:type="spellEnd"/>
      <w:r w:rsidRPr="009459DF">
        <w:rPr>
          <w:rFonts w:ascii="Arial" w:hAnsi="Arial" w:cs="Arial"/>
        </w:rPr>
        <w:t xml:space="preserve"> during preparation, promoting receptor-mediated uptake into cancer cells. Other explored targets include the transferrin receptor (for brain delivery), HER2 (for breast and gastric cancers), and CD44 (for cancer stem cells), approached using antibodies, peptides, or hyaluronic acid coatings.</w:t>
      </w:r>
      <w:r w:rsidRPr="009459DF">
        <w:rPr>
          <w:rFonts w:ascii="Arial" w:hAnsi="Arial" w:cs="Arial"/>
          <w:vertAlign w:val="superscript"/>
        </w:rPr>
        <w:t>31</w:t>
      </w:r>
    </w:p>
    <w:p w14:paraId="3058A1C1" w14:textId="77777777"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 xml:space="preserve">6.3. Stimuli-Responsive </w:t>
      </w:r>
      <w:proofErr w:type="spellStart"/>
      <w:r w:rsidRPr="009459DF">
        <w:rPr>
          <w:rFonts w:ascii="Arial" w:hAnsi="Arial" w:cs="Arial"/>
          <w:b/>
          <w:bCs/>
          <w:sz w:val="22"/>
          <w:szCs w:val="22"/>
        </w:rPr>
        <w:t>Cubosomes</w:t>
      </w:r>
      <w:proofErr w:type="spellEnd"/>
    </w:p>
    <w:p w14:paraId="5342323E" w14:textId="77777777" w:rsidR="009459DF" w:rsidRPr="009459DF" w:rsidRDefault="009459DF" w:rsidP="009459DF">
      <w:pPr>
        <w:spacing w:line="360" w:lineRule="auto"/>
        <w:jc w:val="both"/>
        <w:rPr>
          <w:rFonts w:ascii="Arial" w:hAnsi="Arial" w:cs="Arial"/>
          <w:b/>
          <w:bCs/>
        </w:rPr>
      </w:pPr>
      <w:r w:rsidRPr="009459DF">
        <w:rPr>
          <w:rFonts w:ascii="Arial" w:hAnsi="Arial" w:cs="Arial"/>
        </w:rPr>
        <w:lastRenderedPageBreak/>
        <w:t xml:space="preserve">Stimuli-responsive </w:t>
      </w:r>
      <w:proofErr w:type="spellStart"/>
      <w:r w:rsidRPr="009459DF">
        <w:rPr>
          <w:rFonts w:ascii="Arial" w:hAnsi="Arial" w:cs="Arial"/>
        </w:rPr>
        <w:t>cubosomes</w:t>
      </w:r>
      <w:proofErr w:type="spellEnd"/>
      <w:r w:rsidRPr="009459DF">
        <w:rPr>
          <w:rFonts w:ascii="Arial" w:hAnsi="Arial" w:cs="Arial"/>
        </w:rPr>
        <w:t xml:space="preserve"> are designed to remain stable during circulation and release their drug only when they encounter a specific trigger at the disease site. Different types of responsive </w:t>
      </w:r>
      <w:proofErr w:type="spellStart"/>
      <w:r w:rsidRPr="009459DF">
        <w:rPr>
          <w:rFonts w:ascii="Arial" w:hAnsi="Arial" w:cs="Arial"/>
        </w:rPr>
        <w:t>cubosomes</w:t>
      </w:r>
      <w:proofErr w:type="spellEnd"/>
      <w:r w:rsidRPr="009459DF">
        <w:rPr>
          <w:rFonts w:ascii="Arial" w:hAnsi="Arial" w:cs="Arial"/>
        </w:rPr>
        <w:t xml:space="preserve"> — including pH-responsive, temperature-responsive, light-responsive, enzyme-responsive, and multi-stimuli-responsive — have been developed, offering targeted drug release with improved bioavailability and reduced side effects.</w:t>
      </w:r>
      <w:r w:rsidRPr="009459DF">
        <w:rPr>
          <w:rFonts w:ascii="Arial" w:hAnsi="Arial" w:cs="Arial"/>
          <w:vertAlign w:val="superscript"/>
        </w:rPr>
        <w:t>31</w:t>
      </w:r>
    </w:p>
    <w:p w14:paraId="2D8E5927" w14:textId="77777777" w:rsidR="009459DF" w:rsidRPr="009459DF" w:rsidRDefault="009459DF" w:rsidP="009459DF">
      <w:pPr>
        <w:spacing w:line="360" w:lineRule="auto"/>
        <w:jc w:val="both"/>
        <w:rPr>
          <w:rFonts w:ascii="Arial" w:hAnsi="Arial" w:cs="Arial"/>
        </w:rPr>
      </w:pPr>
      <w:r w:rsidRPr="009459DF">
        <w:rPr>
          <w:rFonts w:ascii="Arial" w:hAnsi="Arial" w:cs="Arial"/>
        </w:rPr>
        <w:t xml:space="preserve">pH-Responsive: </w:t>
      </w:r>
      <w:proofErr w:type="spellStart"/>
      <w:r w:rsidRPr="009459DF">
        <w:rPr>
          <w:rFonts w:ascii="Arial" w:hAnsi="Arial" w:cs="Arial"/>
        </w:rPr>
        <w:t>Tumours</w:t>
      </w:r>
      <w:proofErr w:type="spellEnd"/>
      <w:r w:rsidRPr="009459DF">
        <w:rPr>
          <w:rFonts w:ascii="Arial" w:hAnsi="Arial" w:cs="Arial"/>
        </w:rPr>
        <w:t xml:space="preserve"> are naturally more acidic than healthy tissue (pH 6.4–6.8 vs. 7.4). pH-responsive </w:t>
      </w:r>
      <w:proofErr w:type="spellStart"/>
      <w:r w:rsidRPr="009459DF">
        <w:rPr>
          <w:rFonts w:ascii="Arial" w:hAnsi="Arial" w:cs="Arial"/>
        </w:rPr>
        <w:t>cubosomes</w:t>
      </w:r>
      <w:proofErr w:type="spellEnd"/>
      <w:r w:rsidRPr="009459DF">
        <w:rPr>
          <w:rFonts w:ascii="Arial" w:hAnsi="Arial" w:cs="Arial"/>
        </w:rPr>
        <w:t xml:space="preserve"> are formulated with ionizable lipids or acid-sensitive polymer coatings that destabilize at low pH, triggering drug release specifically within the </w:t>
      </w:r>
      <w:proofErr w:type="spellStart"/>
      <w:r w:rsidRPr="009459DF">
        <w:rPr>
          <w:rFonts w:ascii="Arial" w:hAnsi="Arial" w:cs="Arial"/>
        </w:rPr>
        <w:t>tumour</w:t>
      </w:r>
      <w:proofErr w:type="spellEnd"/>
      <w:r w:rsidRPr="009459DF">
        <w:rPr>
          <w:rFonts w:ascii="Arial" w:hAnsi="Arial" w:cs="Arial"/>
        </w:rPr>
        <w:t xml:space="preserve"> or inside acidic cellular compartments like endosomes and lysosomes. Under acidic pH conditions, these nanoparticles exhibit pH-responsive release </w:t>
      </w:r>
      <w:proofErr w:type="spellStart"/>
      <w:r w:rsidRPr="009459DF">
        <w:rPr>
          <w:rFonts w:ascii="Arial" w:hAnsi="Arial" w:cs="Arial"/>
        </w:rPr>
        <w:t>behaviour</w:t>
      </w:r>
      <w:proofErr w:type="spellEnd"/>
      <w:r w:rsidRPr="009459DF">
        <w:rPr>
          <w:rFonts w:ascii="Arial" w:hAnsi="Arial" w:cs="Arial"/>
        </w:rPr>
        <w:t>, leading to simultaneous release of the drug and, in some cases, a photosensitizer, with in vivo studies showing higher antitumor efficacy compared to free drugs.</w:t>
      </w:r>
      <w:r w:rsidRPr="009459DF">
        <w:rPr>
          <w:rFonts w:ascii="Arial" w:hAnsi="Arial" w:cs="Arial"/>
          <w:vertAlign w:val="superscript"/>
        </w:rPr>
        <w:t>31</w:t>
      </w:r>
    </w:p>
    <w:p w14:paraId="48FF04D5" w14:textId="24697CE6" w:rsidR="009459DF" w:rsidRDefault="009459DF" w:rsidP="009459DF">
      <w:pPr>
        <w:spacing w:line="360" w:lineRule="auto"/>
        <w:jc w:val="both"/>
        <w:rPr>
          <w:rFonts w:ascii="Arial" w:hAnsi="Arial" w:cs="Arial"/>
        </w:rPr>
      </w:pPr>
      <w:r w:rsidRPr="009459DF">
        <w:rPr>
          <w:rFonts w:ascii="Arial" w:hAnsi="Arial" w:cs="Arial"/>
        </w:rPr>
        <w:t xml:space="preserve">Redox-Responsive: Cancer cells contain much higher levels of glutathione (GSH) — a natural antioxidant — than normal cells. </w:t>
      </w:r>
      <w:proofErr w:type="spellStart"/>
      <w:r w:rsidRPr="009459DF">
        <w:rPr>
          <w:rFonts w:ascii="Arial" w:hAnsi="Arial" w:cs="Arial"/>
        </w:rPr>
        <w:t>Cubosomes</w:t>
      </w:r>
      <w:proofErr w:type="spellEnd"/>
      <w:r w:rsidRPr="009459DF">
        <w:rPr>
          <w:rFonts w:ascii="Arial" w:hAnsi="Arial" w:cs="Arial"/>
        </w:rPr>
        <w:t xml:space="preserve"> can be engineered with disulfide bonds that break apart in the presence of high GSH levels, releasing the drug selectively inside cancer cells. The concentration of GSH is 2–3 orders of magnitude higher intracellularly than in extracellular plasma, and this sharp gradient can be exploited to trigger disulfide bond cleavage and rapid cargo release.</w:t>
      </w:r>
      <w:r w:rsidRPr="009459DF">
        <w:rPr>
          <w:rFonts w:ascii="Arial" w:hAnsi="Arial" w:cs="Arial"/>
          <w:vertAlign w:val="superscript"/>
        </w:rPr>
        <w:t>42</w:t>
      </w:r>
      <w:r>
        <w:rPr>
          <w:rFonts w:ascii="Arial" w:hAnsi="Arial" w:cs="Arial"/>
          <w:vertAlign w:val="superscript"/>
        </w:rPr>
        <w:t xml:space="preserve"> </w:t>
      </w:r>
    </w:p>
    <w:p w14:paraId="55C15BAF" w14:textId="77777777" w:rsidR="009459DF" w:rsidRPr="009459DF" w:rsidRDefault="009459DF" w:rsidP="009459DF">
      <w:pPr>
        <w:spacing w:line="360" w:lineRule="auto"/>
        <w:jc w:val="both"/>
        <w:rPr>
          <w:rFonts w:ascii="Arial" w:hAnsi="Arial" w:cs="Arial"/>
        </w:rPr>
      </w:pPr>
    </w:p>
    <w:p w14:paraId="2537FD6C" w14:textId="2C4352A6"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7. BIOMEDICAL APPLICATIONS OF CUBOSOMES</w:t>
      </w:r>
    </w:p>
    <w:p w14:paraId="7001D6F2" w14:textId="77777777"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7.1. Anticancer Drug Delivery</w:t>
      </w:r>
    </w:p>
    <w:p w14:paraId="11A00365" w14:textId="77777777" w:rsidR="009459DF" w:rsidRPr="009459DF" w:rsidRDefault="009459DF" w:rsidP="009459DF">
      <w:pPr>
        <w:spacing w:line="360" w:lineRule="auto"/>
        <w:jc w:val="both"/>
        <w:rPr>
          <w:rFonts w:ascii="Arial" w:hAnsi="Arial" w:cs="Arial"/>
          <w:b/>
          <w:bCs/>
        </w:rPr>
      </w:pPr>
      <w:r w:rsidRPr="009459DF">
        <w:rPr>
          <w:rFonts w:ascii="Arial" w:hAnsi="Arial" w:cs="Arial"/>
        </w:rPr>
        <w:t xml:space="preserve">Cancer is the most explored application for </w:t>
      </w:r>
      <w:proofErr w:type="spellStart"/>
      <w:r w:rsidRPr="009459DF">
        <w:rPr>
          <w:rFonts w:ascii="Arial" w:hAnsi="Arial" w:cs="Arial"/>
        </w:rPr>
        <w:t>cubosomes</w:t>
      </w:r>
      <w:proofErr w:type="spellEnd"/>
      <w:r w:rsidRPr="009459DF">
        <w:rPr>
          <w:rFonts w:ascii="Arial" w:hAnsi="Arial" w:cs="Arial"/>
        </w:rPr>
        <w:t xml:space="preserve">. Their ability to solubilize poorly water-soluble drugs, enable sustained release, and accumulate in </w:t>
      </w:r>
      <w:proofErr w:type="spellStart"/>
      <w:r w:rsidRPr="009459DF">
        <w:rPr>
          <w:rFonts w:ascii="Arial" w:hAnsi="Arial" w:cs="Arial"/>
        </w:rPr>
        <w:t>tumours</w:t>
      </w:r>
      <w:proofErr w:type="spellEnd"/>
      <w:r w:rsidRPr="009459DF">
        <w:rPr>
          <w:rFonts w:ascii="Arial" w:hAnsi="Arial" w:cs="Arial"/>
        </w:rPr>
        <w:t xml:space="preserve"> via the EPR effect makes them well-suited for oncology. </w:t>
      </w:r>
      <w:proofErr w:type="spellStart"/>
      <w:r w:rsidRPr="009459DF">
        <w:rPr>
          <w:rFonts w:ascii="Arial" w:hAnsi="Arial" w:cs="Arial"/>
        </w:rPr>
        <w:t>Cubosomes</w:t>
      </w:r>
      <w:proofErr w:type="spellEnd"/>
      <w:r w:rsidRPr="009459DF">
        <w:rPr>
          <w:rFonts w:ascii="Arial" w:hAnsi="Arial" w:cs="Arial"/>
        </w:rPr>
        <w:t xml:space="preserve"> can transport a range of therapeutic substances including anticancer drugs, genes, and imaging agents, and have shown promise for </w:t>
      </w:r>
      <w:proofErr w:type="spellStart"/>
      <w:r w:rsidRPr="009459DF">
        <w:rPr>
          <w:rFonts w:ascii="Arial" w:hAnsi="Arial" w:cs="Arial"/>
        </w:rPr>
        <w:t>tumour</w:t>
      </w:r>
      <w:proofErr w:type="spellEnd"/>
      <w:r w:rsidRPr="009459DF">
        <w:rPr>
          <w:rFonts w:ascii="Arial" w:hAnsi="Arial" w:cs="Arial"/>
        </w:rPr>
        <w:t>-targeted delivery while limiting effects on healthy tissues.</w:t>
      </w:r>
      <w:r w:rsidRPr="009459DF">
        <w:rPr>
          <w:rFonts w:ascii="Arial" w:hAnsi="Arial" w:cs="Arial"/>
          <w:vertAlign w:val="superscript"/>
        </w:rPr>
        <w:t>43</w:t>
      </w:r>
    </w:p>
    <w:p w14:paraId="42AEE85F" w14:textId="77777777" w:rsidR="009459DF" w:rsidRPr="009459DF" w:rsidRDefault="009459DF" w:rsidP="009459DF">
      <w:pPr>
        <w:spacing w:line="360" w:lineRule="auto"/>
        <w:jc w:val="both"/>
        <w:rPr>
          <w:rFonts w:ascii="Arial" w:hAnsi="Arial" w:cs="Arial"/>
          <w:vertAlign w:val="superscript"/>
        </w:rPr>
      </w:pPr>
      <w:r w:rsidRPr="009459DF">
        <w:rPr>
          <w:rFonts w:ascii="Arial" w:hAnsi="Arial" w:cs="Arial"/>
        </w:rPr>
        <w:t xml:space="preserve">Key examples include paclitaxel (PTX), where GMO-based </w:t>
      </w:r>
      <w:proofErr w:type="spellStart"/>
      <w:r w:rsidRPr="009459DF">
        <w:rPr>
          <w:rFonts w:ascii="Arial" w:hAnsi="Arial" w:cs="Arial"/>
        </w:rPr>
        <w:t>cubosomes</w:t>
      </w:r>
      <w:proofErr w:type="spellEnd"/>
      <w:r w:rsidRPr="009459DF">
        <w:rPr>
          <w:rFonts w:ascii="Arial" w:hAnsi="Arial" w:cs="Arial"/>
        </w:rPr>
        <w:t xml:space="preserve"> improved solubility, extended release over 24–72 hours, and boosted in vivo tumor accumulation. Doxorubicin (DOX) </w:t>
      </w:r>
      <w:proofErr w:type="spellStart"/>
      <w:r w:rsidRPr="009459DF">
        <w:rPr>
          <w:rFonts w:ascii="Arial" w:hAnsi="Arial" w:cs="Arial"/>
        </w:rPr>
        <w:t>cubosomes</w:t>
      </w:r>
      <w:proofErr w:type="spellEnd"/>
      <w:r w:rsidRPr="009459DF">
        <w:rPr>
          <w:rFonts w:ascii="Arial" w:hAnsi="Arial" w:cs="Arial"/>
        </w:rPr>
        <w:t xml:space="preserve"> reduced cardiotoxicity while maintaining antitumor efficacy. Co-delivery systems (e.g., PTX + curcumin, DOX + siRNA) have shown synergistic tumor inhibition in preclinical models. Recent years have seen substantial progress in </w:t>
      </w:r>
      <w:proofErr w:type="spellStart"/>
      <w:r w:rsidRPr="009459DF">
        <w:rPr>
          <w:rFonts w:ascii="Arial" w:hAnsi="Arial" w:cs="Arial"/>
        </w:rPr>
        <w:t>cubosome</w:t>
      </w:r>
      <w:proofErr w:type="spellEnd"/>
      <w:r w:rsidRPr="009459DF">
        <w:rPr>
          <w:rFonts w:ascii="Arial" w:hAnsi="Arial" w:cs="Arial"/>
        </w:rPr>
        <w:t xml:space="preserve"> synthesis, characterization, drug release control, and target selectivity for anticancer compounds, though clinical translation remains slow and requires additional evidence.</w:t>
      </w:r>
      <w:r w:rsidRPr="009459DF">
        <w:rPr>
          <w:rFonts w:ascii="Arial" w:hAnsi="Arial" w:cs="Arial"/>
          <w:vertAlign w:val="superscript"/>
        </w:rPr>
        <w:t>11</w:t>
      </w:r>
    </w:p>
    <w:p w14:paraId="4B156492" w14:textId="77777777"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7.2. Anti-Infective Applications</w:t>
      </w:r>
    </w:p>
    <w:p w14:paraId="0EC009A3" w14:textId="77777777" w:rsidR="009459DF" w:rsidRPr="009459DF" w:rsidRDefault="009459DF" w:rsidP="009459DF">
      <w:pPr>
        <w:spacing w:line="360" w:lineRule="auto"/>
        <w:jc w:val="both"/>
        <w:rPr>
          <w:rFonts w:ascii="Arial" w:hAnsi="Arial" w:cs="Arial"/>
          <w:vertAlign w:val="superscript"/>
        </w:rPr>
      </w:pPr>
      <w:proofErr w:type="spellStart"/>
      <w:r w:rsidRPr="009459DF">
        <w:rPr>
          <w:rFonts w:ascii="Arial" w:hAnsi="Arial" w:cs="Arial"/>
        </w:rPr>
        <w:lastRenderedPageBreak/>
        <w:t>Cubosomes</w:t>
      </w:r>
      <w:proofErr w:type="spellEnd"/>
      <w:r w:rsidRPr="009459DF">
        <w:rPr>
          <w:rFonts w:ascii="Arial" w:hAnsi="Arial" w:cs="Arial"/>
        </w:rPr>
        <w:t xml:space="preserve"> help overcome antimicrobial resistance by improving the pharmacokinetics of existing antibiotics and enabling delivery of novel agents like antimicrobial peptides and photosensitizers. Ciprofloxacin </w:t>
      </w:r>
      <w:proofErr w:type="spellStart"/>
      <w:r w:rsidRPr="009459DF">
        <w:rPr>
          <w:rFonts w:ascii="Arial" w:hAnsi="Arial" w:cs="Arial"/>
        </w:rPr>
        <w:t>cubosomes</w:t>
      </w:r>
      <w:proofErr w:type="spellEnd"/>
      <w:r w:rsidRPr="009459DF">
        <w:rPr>
          <w:rFonts w:ascii="Arial" w:hAnsi="Arial" w:cs="Arial"/>
        </w:rPr>
        <w:t xml:space="preserve"> showed prolonged activity against P. aeruginosa, S. aureus, and E. coli, and reduced bacterial lung load in inhaled formulations. Amphotericin B </w:t>
      </w:r>
      <w:proofErr w:type="spellStart"/>
      <w:r w:rsidRPr="009459DF">
        <w:rPr>
          <w:rFonts w:ascii="Arial" w:hAnsi="Arial" w:cs="Arial"/>
        </w:rPr>
        <w:t>cubosomes</w:t>
      </w:r>
      <w:proofErr w:type="spellEnd"/>
      <w:r w:rsidRPr="009459DF">
        <w:rPr>
          <w:rFonts w:ascii="Arial" w:hAnsi="Arial" w:cs="Arial"/>
        </w:rPr>
        <w:t xml:space="preserve"> achieved comparable antifungal efficacy with markedly less nephrotoxicity compared to conventional lipid formulations.</w:t>
      </w:r>
      <w:r w:rsidRPr="009459DF">
        <w:rPr>
          <w:rFonts w:ascii="Arial" w:hAnsi="Arial" w:cs="Arial"/>
          <w:vertAlign w:val="superscript"/>
        </w:rPr>
        <w:t>20</w:t>
      </w:r>
    </w:p>
    <w:p w14:paraId="783E6876" w14:textId="77777777"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7.3. Ophthalmic Drug Delivery</w:t>
      </w:r>
    </w:p>
    <w:p w14:paraId="0D3A6431" w14:textId="77777777" w:rsidR="009459DF" w:rsidRPr="009459DF" w:rsidRDefault="009459DF" w:rsidP="009459DF">
      <w:pPr>
        <w:spacing w:line="360" w:lineRule="auto"/>
        <w:jc w:val="both"/>
        <w:rPr>
          <w:rFonts w:ascii="Arial" w:hAnsi="Arial" w:cs="Arial"/>
          <w:vertAlign w:val="superscript"/>
        </w:rPr>
      </w:pPr>
      <w:proofErr w:type="spellStart"/>
      <w:r w:rsidRPr="009459DF">
        <w:rPr>
          <w:rFonts w:ascii="Arial" w:hAnsi="Arial" w:cs="Arial"/>
        </w:rPr>
        <w:t>Cubosomes</w:t>
      </w:r>
      <w:proofErr w:type="spellEnd"/>
      <w:r w:rsidRPr="009459DF">
        <w:rPr>
          <w:rFonts w:ascii="Arial" w:hAnsi="Arial" w:cs="Arial"/>
        </w:rPr>
        <w:t xml:space="preserve"> suit ocular delivery through their viscoelastic, </w:t>
      </w:r>
      <w:proofErr w:type="spellStart"/>
      <w:r w:rsidRPr="009459DF">
        <w:rPr>
          <w:rFonts w:ascii="Arial" w:hAnsi="Arial" w:cs="Arial"/>
        </w:rPr>
        <w:t>bioadhesive</w:t>
      </w:r>
      <w:proofErr w:type="spellEnd"/>
      <w:r w:rsidRPr="009459DF">
        <w:rPr>
          <w:rFonts w:ascii="Arial" w:hAnsi="Arial" w:cs="Arial"/>
        </w:rPr>
        <w:t xml:space="preserve"> properties that extend precorneal residence time and accommodate both hydrophilic and hydrophobic drugs. Timolol maleate in GMO/Pluronic F127 </w:t>
      </w:r>
      <w:proofErr w:type="spellStart"/>
      <w:r w:rsidRPr="009459DF">
        <w:rPr>
          <w:rFonts w:ascii="Arial" w:hAnsi="Arial" w:cs="Arial"/>
        </w:rPr>
        <w:t>cubosomes</w:t>
      </w:r>
      <w:proofErr w:type="spellEnd"/>
      <w:r w:rsidRPr="009459DF">
        <w:rPr>
          <w:rFonts w:ascii="Arial" w:hAnsi="Arial" w:cs="Arial"/>
        </w:rPr>
        <w:t xml:space="preserve"> achieved a 2–3-fold increase in aqueous humor concentration vs. standard eye drops in rabbit studies, with similar improvements seen for acetazolamide, </w:t>
      </w:r>
      <w:proofErr w:type="spellStart"/>
      <w:r w:rsidRPr="009459DF">
        <w:rPr>
          <w:rFonts w:ascii="Arial" w:hAnsi="Arial" w:cs="Arial"/>
        </w:rPr>
        <w:t>travoprost</w:t>
      </w:r>
      <w:proofErr w:type="spellEnd"/>
      <w:r w:rsidRPr="009459DF">
        <w:rPr>
          <w:rFonts w:ascii="Arial" w:hAnsi="Arial" w:cs="Arial"/>
        </w:rPr>
        <w:t>, and dorzolamide.</w:t>
      </w:r>
      <w:r w:rsidRPr="009459DF">
        <w:rPr>
          <w:rFonts w:ascii="Arial" w:hAnsi="Arial" w:cs="Arial"/>
          <w:vertAlign w:val="superscript"/>
        </w:rPr>
        <w:t>20</w:t>
      </w:r>
    </w:p>
    <w:p w14:paraId="14225FE1" w14:textId="77777777"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7.4. Transdermal Drug Delivery</w:t>
      </w:r>
    </w:p>
    <w:p w14:paraId="0B30119D" w14:textId="7D4840C1" w:rsidR="009459DF" w:rsidRPr="009459DF" w:rsidRDefault="009459DF" w:rsidP="009459DF">
      <w:pPr>
        <w:spacing w:line="360" w:lineRule="auto"/>
        <w:jc w:val="both"/>
        <w:rPr>
          <w:rFonts w:ascii="Arial" w:hAnsi="Arial" w:cs="Arial"/>
          <w:vertAlign w:val="superscript"/>
        </w:rPr>
      </w:pPr>
      <w:proofErr w:type="spellStart"/>
      <w:r w:rsidRPr="009459DF">
        <w:rPr>
          <w:rFonts w:ascii="Arial" w:hAnsi="Arial" w:cs="Arial"/>
        </w:rPr>
        <w:t>Cubosomes</w:t>
      </w:r>
      <w:proofErr w:type="spellEnd"/>
      <w:r w:rsidRPr="009459DF">
        <w:rPr>
          <w:rFonts w:ascii="Arial" w:hAnsi="Arial" w:cs="Arial"/>
        </w:rPr>
        <w:t xml:space="preserve"> enhance skin permeation through three mechanisms: (1) high drug loading creates a strong concentration gradient; (2) GMO interacts with and fluidizes stratum corneum lipids; (3) nanoparticle size allows entry via intercellular pathways, hair follicles, and sweat ducts. Their benefits include reduced dosing frequency, enhanced site-specificity, reduced toxic side effects, and increased bioavailability.</w:t>
      </w:r>
      <w:r w:rsidRPr="009459DF">
        <w:rPr>
          <w:rFonts w:ascii="Arial" w:hAnsi="Arial" w:cs="Arial"/>
          <w:vertAlign w:val="superscript"/>
        </w:rPr>
        <w:t>20</w:t>
      </w:r>
    </w:p>
    <w:p w14:paraId="4E20639D" w14:textId="77777777"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7.5. Oral Drug Delivery</w:t>
      </w:r>
    </w:p>
    <w:p w14:paraId="4B9A64FC" w14:textId="77777777" w:rsidR="009459DF" w:rsidRPr="009459DF" w:rsidRDefault="009459DF" w:rsidP="009459DF">
      <w:pPr>
        <w:spacing w:line="360" w:lineRule="auto"/>
        <w:jc w:val="both"/>
        <w:rPr>
          <w:rFonts w:ascii="Arial" w:hAnsi="Arial" w:cs="Arial"/>
          <w:b/>
          <w:bCs/>
        </w:rPr>
      </w:pPr>
      <w:proofErr w:type="spellStart"/>
      <w:r w:rsidRPr="009459DF">
        <w:rPr>
          <w:rFonts w:ascii="Arial" w:hAnsi="Arial" w:cs="Arial"/>
        </w:rPr>
        <w:t>Cubosomes</w:t>
      </w:r>
      <w:proofErr w:type="spellEnd"/>
      <w:r w:rsidRPr="009459DF">
        <w:rPr>
          <w:rFonts w:ascii="Arial" w:hAnsi="Arial" w:cs="Arial"/>
        </w:rPr>
        <w:t xml:space="preserve"> improve oral bioavailability by solubilizing poorly soluble drugs, protecting them from GI degradation, and promoting lymphatic uptake. The GMO matrix mimics dietary fat absorption, bypassing hepatic first-pass metabolism for suitable compounds. Drugs may be absorbed intact via enterocyte endocytosis or released by micellar solubilization upon contact with bile salts. pH-responsive </w:t>
      </w:r>
      <w:proofErr w:type="spellStart"/>
      <w:r w:rsidRPr="009459DF">
        <w:rPr>
          <w:rFonts w:ascii="Arial" w:hAnsi="Arial" w:cs="Arial"/>
        </w:rPr>
        <w:t>cubosome</w:t>
      </w:r>
      <w:proofErr w:type="spellEnd"/>
      <w:r w:rsidRPr="009459DF">
        <w:rPr>
          <w:rFonts w:ascii="Arial" w:hAnsi="Arial" w:cs="Arial"/>
        </w:rPr>
        <w:t xml:space="preserve"> designs further exploit the acidic </w:t>
      </w:r>
      <w:proofErr w:type="spellStart"/>
      <w:r w:rsidRPr="009459DF">
        <w:rPr>
          <w:rFonts w:ascii="Arial" w:hAnsi="Arial" w:cs="Arial"/>
        </w:rPr>
        <w:t>tumour</w:t>
      </w:r>
      <w:proofErr w:type="spellEnd"/>
      <w:r w:rsidRPr="009459DF">
        <w:rPr>
          <w:rFonts w:ascii="Arial" w:hAnsi="Arial" w:cs="Arial"/>
        </w:rPr>
        <w:t xml:space="preserve"> microenvironment and GI pH gradients to enable triggered drug release.</w:t>
      </w:r>
      <w:r w:rsidRPr="009459DF">
        <w:rPr>
          <w:rFonts w:ascii="Arial" w:hAnsi="Arial" w:cs="Arial"/>
          <w:vertAlign w:val="superscript"/>
        </w:rPr>
        <w:t>44</w:t>
      </w:r>
    </w:p>
    <w:p w14:paraId="7D210769" w14:textId="77777777" w:rsidR="009459DF" w:rsidRPr="009459DF" w:rsidRDefault="009459DF" w:rsidP="009459DF">
      <w:pPr>
        <w:spacing w:line="360" w:lineRule="auto"/>
        <w:jc w:val="both"/>
        <w:rPr>
          <w:rFonts w:ascii="Arial" w:hAnsi="Arial" w:cs="Arial"/>
          <w:b/>
          <w:bCs/>
          <w:sz w:val="24"/>
          <w:szCs w:val="24"/>
        </w:rPr>
      </w:pPr>
      <w:r w:rsidRPr="009459DF">
        <w:rPr>
          <w:rFonts w:ascii="Arial" w:hAnsi="Arial" w:cs="Arial"/>
          <w:b/>
          <w:bCs/>
          <w:sz w:val="22"/>
          <w:szCs w:val="22"/>
        </w:rPr>
        <w:t>7.6. Brain Drug Delivery (BBB)</w:t>
      </w:r>
    </w:p>
    <w:p w14:paraId="77264E9D" w14:textId="77777777" w:rsidR="009459DF" w:rsidRPr="009459DF" w:rsidRDefault="009459DF" w:rsidP="009459DF">
      <w:pPr>
        <w:spacing w:line="360" w:lineRule="auto"/>
        <w:jc w:val="both"/>
        <w:rPr>
          <w:rFonts w:ascii="Arial" w:hAnsi="Arial" w:cs="Arial"/>
          <w:vertAlign w:val="superscript"/>
        </w:rPr>
      </w:pPr>
      <w:r w:rsidRPr="009459DF">
        <w:rPr>
          <w:rFonts w:ascii="Arial" w:hAnsi="Arial" w:cs="Arial"/>
        </w:rPr>
        <w:t xml:space="preserve">The blood-brain barrier (BBB) blocks &gt;98% of drugs from reaching the brain. </w:t>
      </w:r>
      <w:proofErr w:type="spellStart"/>
      <w:r w:rsidRPr="009459DF">
        <w:rPr>
          <w:rFonts w:ascii="Arial" w:hAnsi="Arial" w:cs="Arial"/>
        </w:rPr>
        <w:t>Cubosomes</w:t>
      </w:r>
      <w:proofErr w:type="spellEnd"/>
      <w:r w:rsidRPr="009459DF">
        <w:rPr>
          <w:rFonts w:ascii="Arial" w:hAnsi="Arial" w:cs="Arial"/>
        </w:rPr>
        <w:t xml:space="preserve"> bypass it via receptor-mediated transcytosis, targeting transferrin receptor (</w:t>
      </w:r>
      <w:proofErr w:type="spellStart"/>
      <w:r w:rsidRPr="009459DF">
        <w:rPr>
          <w:rFonts w:ascii="Arial" w:hAnsi="Arial" w:cs="Arial"/>
        </w:rPr>
        <w:t>TfR</w:t>
      </w:r>
      <w:proofErr w:type="spellEnd"/>
      <w:r w:rsidRPr="009459DF">
        <w:rPr>
          <w:rFonts w:ascii="Arial" w:hAnsi="Arial" w:cs="Arial"/>
        </w:rPr>
        <w:t xml:space="preserve">), LRP1, and GLUT1 — all highly expressed on brain endothelium. Surface-functionalized </w:t>
      </w:r>
      <w:proofErr w:type="spellStart"/>
      <w:r w:rsidRPr="009459DF">
        <w:rPr>
          <w:rFonts w:ascii="Arial" w:hAnsi="Arial" w:cs="Arial"/>
        </w:rPr>
        <w:t>cubosomes</w:t>
      </w:r>
      <w:proofErr w:type="spellEnd"/>
      <w:r w:rsidRPr="009459DF">
        <w:rPr>
          <w:rFonts w:ascii="Arial" w:hAnsi="Arial" w:cs="Arial"/>
        </w:rPr>
        <w:t xml:space="preserve"> (transferrin, OX26 antibody, Angiopep-2) have improved brain accumulation and reduced tumor burden in glioblastoma models.</w:t>
      </w:r>
      <w:r w:rsidRPr="009459DF">
        <w:rPr>
          <w:rFonts w:ascii="Arial" w:hAnsi="Arial" w:cs="Arial"/>
          <w:vertAlign w:val="superscript"/>
        </w:rPr>
        <w:t>31</w:t>
      </w:r>
    </w:p>
    <w:p w14:paraId="13A2C676" w14:textId="77777777"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7.7. Vaccine Delivery &amp; Immunotherapy</w:t>
      </w:r>
    </w:p>
    <w:p w14:paraId="66A46638" w14:textId="671E7527" w:rsidR="009459DF" w:rsidRDefault="009459DF" w:rsidP="009459DF">
      <w:pPr>
        <w:spacing w:line="360" w:lineRule="auto"/>
        <w:jc w:val="both"/>
        <w:rPr>
          <w:rFonts w:ascii="Arial" w:hAnsi="Arial" w:cs="Arial"/>
        </w:rPr>
      </w:pPr>
      <w:r w:rsidRPr="009459DF">
        <w:rPr>
          <w:rFonts w:ascii="Arial" w:hAnsi="Arial" w:cs="Arial"/>
        </w:rPr>
        <w:t xml:space="preserve">Cubic lipid phases act as particulate antigen depots, enabling slow antigen release, dendritic cell recruitment, and possible inflammasome activation. </w:t>
      </w:r>
      <w:proofErr w:type="spellStart"/>
      <w:r w:rsidRPr="009459DF">
        <w:rPr>
          <w:rFonts w:ascii="Arial" w:hAnsi="Arial" w:cs="Arial"/>
        </w:rPr>
        <w:t>Cubosomes</w:t>
      </w:r>
      <w:proofErr w:type="spellEnd"/>
      <w:r w:rsidRPr="009459DF">
        <w:rPr>
          <w:rFonts w:ascii="Arial" w:hAnsi="Arial" w:cs="Arial"/>
        </w:rPr>
        <w:t xml:space="preserve"> possess high surface area, are biocompatible, and provide enhanced drug protection, making them effective </w:t>
      </w:r>
      <w:r w:rsidRPr="009459DF">
        <w:rPr>
          <w:rFonts w:ascii="Arial" w:hAnsi="Arial" w:cs="Arial"/>
        </w:rPr>
        <w:lastRenderedPageBreak/>
        <w:t xml:space="preserve">adjuvant platforms. TLR agonist-loaded </w:t>
      </w:r>
      <w:proofErr w:type="spellStart"/>
      <w:r w:rsidRPr="009459DF">
        <w:rPr>
          <w:rFonts w:ascii="Arial" w:hAnsi="Arial" w:cs="Arial"/>
        </w:rPr>
        <w:t>cubosomes</w:t>
      </w:r>
      <w:proofErr w:type="spellEnd"/>
      <w:r w:rsidRPr="009459DF">
        <w:rPr>
          <w:rFonts w:ascii="Arial" w:hAnsi="Arial" w:cs="Arial"/>
        </w:rPr>
        <w:t xml:space="preserve"> (MPLA + CpG) show synergistic Th1-skewing activity relevant to cancer immunotherapy and intracellular pathogen vaccines.</w:t>
      </w:r>
      <w:r w:rsidRPr="009459DF">
        <w:rPr>
          <w:rFonts w:ascii="Arial" w:hAnsi="Arial" w:cs="Arial"/>
          <w:vertAlign w:val="superscript"/>
        </w:rPr>
        <w:t>31</w:t>
      </w:r>
      <w:r>
        <w:rPr>
          <w:rFonts w:ascii="Arial" w:hAnsi="Arial" w:cs="Arial"/>
          <w:vertAlign w:val="superscript"/>
        </w:rPr>
        <w:t xml:space="preserve"> </w:t>
      </w:r>
    </w:p>
    <w:p w14:paraId="761B6DE4" w14:textId="77777777" w:rsidR="009459DF" w:rsidRPr="009459DF" w:rsidRDefault="009459DF" w:rsidP="009459DF">
      <w:pPr>
        <w:spacing w:line="360" w:lineRule="auto"/>
        <w:jc w:val="both"/>
        <w:rPr>
          <w:rFonts w:ascii="Arial" w:hAnsi="Arial" w:cs="Arial"/>
        </w:rPr>
      </w:pPr>
    </w:p>
    <w:p w14:paraId="4BF26BE1" w14:textId="1B54A74E"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8. CLINICAL TRANSLATION STATUS AND FUTURE PROSPECTS</w:t>
      </w:r>
    </w:p>
    <w:p w14:paraId="2E21620B" w14:textId="77777777"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8.1. Current Status</w:t>
      </w:r>
    </w:p>
    <w:p w14:paraId="51BB0887" w14:textId="77777777" w:rsidR="009459DF" w:rsidRPr="009459DF" w:rsidRDefault="009459DF" w:rsidP="009459DF">
      <w:pPr>
        <w:spacing w:line="360" w:lineRule="auto"/>
        <w:jc w:val="both"/>
        <w:rPr>
          <w:rFonts w:ascii="Arial" w:hAnsi="Arial" w:cs="Arial"/>
          <w:vertAlign w:val="superscript"/>
        </w:rPr>
      </w:pPr>
      <w:r w:rsidRPr="009459DF">
        <w:rPr>
          <w:rFonts w:ascii="Arial" w:hAnsi="Arial" w:cs="Arial"/>
        </w:rPr>
        <w:t xml:space="preserve">As of 2025, no </w:t>
      </w:r>
      <w:proofErr w:type="spellStart"/>
      <w:r w:rsidRPr="009459DF">
        <w:rPr>
          <w:rFonts w:ascii="Arial" w:hAnsi="Arial" w:cs="Arial"/>
        </w:rPr>
        <w:t>cubosome</w:t>
      </w:r>
      <w:proofErr w:type="spellEnd"/>
      <w:r w:rsidRPr="009459DF">
        <w:rPr>
          <w:rFonts w:ascii="Arial" w:hAnsi="Arial" w:cs="Arial"/>
        </w:rPr>
        <w:t>-based drug product has received FDA or EMA approval for systemic delivery — a stark contrast to the maturity of liposomal formulations. Clinical translation has been slow and requires more concrete evidence, held back by manufacturing complexity, poorly defined regulatory pathways, and the need to replicate promising preclinical results in human trials.</w:t>
      </w:r>
      <w:r w:rsidRPr="009459DF">
        <w:rPr>
          <w:rFonts w:ascii="Arial" w:hAnsi="Arial" w:cs="Arial"/>
          <w:vertAlign w:val="superscript"/>
        </w:rPr>
        <w:t>45</w:t>
      </w:r>
    </w:p>
    <w:p w14:paraId="0F42F64B" w14:textId="77777777" w:rsidR="009459DF" w:rsidRPr="009459DF" w:rsidRDefault="009459DF" w:rsidP="009459DF">
      <w:pPr>
        <w:spacing w:line="360" w:lineRule="auto"/>
        <w:jc w:val="both"/>
        <w:rPr>
          <w:rFonts w:ascii="Arial" w:hAnsi="Arial" w:cs="Arial"/>
          <w:vertAlign w:val="superscript"/>
        </w:rPr>
      </w:pPr>
      <w:r w:rsidRPr="009459DF">
        <w:rPr>
          <w:rFonts w:ascii="Arial" w:hAnsi="Arial" w:cs="Arial"/>
        </w:rPr>
        <w:t xml:space="preserve">Challenges persist around large-scale production, regulatory standardization, and comprehensive toxicity assessment. Topical and cosmetic applications are closest to market, given GMO's established safety profile. Emerging translational efforts — such as clinical studies involving statin-loaded </w:t>
      </w:r>
      <w:proofErr w:type="spellStart"/>
      <w:r w:rsidRPr="009459DF">
        <w:rPr>
          <w:rFonts w:ascii="Arial" w:hAnsi="Arial" w:cs="Arial"/>
        </w:rPr>
        <w:t>cubosomal</w:t>
      </w:r>
      <w:proofErr w:type="spellEnd"/>
      <w:r w:rsidRPr="009459DF">
        <w:rPr>
          <w:rFonts w:ascii="Arial" w:hAnsi="Arial" w:cs="Arial"/>
        </w:rPr>
        <w:t xml:space="preserve"> gels for periodontitis — further underscore their near-term clinical promise.</w:t>
      </w:r>
      <w:r w:rsidRPr="009459DF">
        <w:rPr>
          <w:rFonts w:ascii="Arial" w:hAnsi="Arial" w:cs="Arial"/>
          <w:vertAlign w:val="superscript"/>
        </w:rPr>
        <w:t>30</w:t>
      </w:r>
    </w:p>
    <w:p w14:paraId="16EF4728" w14:textId="77777777" w:rsidR="009459DF" w:rsidRPr="009459DF" w:rsidRDefault="009459DF" w:rsidP="009459DF">
      <w:pPr>
        <w:spacing w:line="360" w:lineRule="auto"/>
        <w:jc w:val="both"/>
        <w:rPr>
          <w:rFonts w:ascii="Arial" w:hAnsi="Arial" w:cs="Arial"/>
          <w:b/>
          <w:bCs/>
          <w:sz w:val="22"/>
          <w:szCs w:val="22"/>
        </w:rPr>
      </w:pPr>
      <w:r w:rsidRPr="009459DF">
        <w:rPr>
          <w:rFonts w:ascii="Arial" w:hAnsi="Arial" w:cs="Arial"/>
          <w:b/>
          <w:bCs/>
          <w:sz w:val="22"/>
          <w:szCs w:val="22"/>
        </w:rPr>
        <w:t>8.2. Future Directions</w:t>
      </w:r>
    </w:p>
    <w:p w14:paraId="74898DF0" w14:textId="77777777" w:rsidR="009459DF" w:rsidRPr="009459DF" w:rsidRDefault="009459DF" w:rsidP="009459DF">
      <w:pPr>
        <w:spacing w:line="360" w:lineRule="auto"/>
        <w:jc w:val="both"/>
        <w:rPr>
          <w:rFonts w:ascii="Arial" w:hAnsi="Arial" w:cs="Arial"/>
        </w:rPr>
      </w:pPr>
      <w:r w:rsidRPr="009459DF">
        <w:rPr>
          <w:rFonts w:ascii="Arial" w:hAnsi="Arial" w:cs="Arial"/>
        </w:rPr>
        <w:t>The field is advancing on several fronts:</w:t>
      </w:r>
    </w:p>
    <w:p w14:paraId="5C172A2B" w14:textId="77777777" w:rsidR="009459DF" w:rsidRPr="009459DF" w:rsidRDefault="009459DF" w:rsidP="009459DF">
      <w:pPr>
        <w:pStyle w:val="ListParagraph"/>
        <w:numPr>
          <w:ilvl w:val="0"/>
          <w:numId w:val="32"/>
        </w:numPr>
        <w:spacing w:line="360" w:lineRule="auto"/>
        <w:jc w:val="both"/>
        <w:rPr>
          <w:rFonts w:ascii="Arial" w:hAnsi="Arial" w:cs="Arial"/>
          <w:sz w:val="20"/>
          <w:szCs w:val="20"/>
        </w:rPr>
      </w:pPr>
      <w:r w:rsidRPr="009459DF">
        <w:rPr>
          <w:rFonts w:ascii="Arial" w:hAnsi="Arial" w:cs="Arial"/>
          <w:sz w:val="20"/>
          <w:szCs w:val="20"/>
        </w:rPr>
        <w:t xml:space="preserve">Formulation: New lipid compositions with better stability, biocompatibility, and phase tunability will broaden </w:t>
      </w:r>
      <w:proofErr w:type="spellStart"/>
      <w:r w:rsidRPr="009459DF">
        <w:rPr>
          <w:rFonts w:ascii="Arial" w:hAnsi="Arial" w:cs="Arial"/>
          <w:sz w:val="20"/>
          <w:szCs w:val="20"/>
        </w:rPr>
        <w:t>cubosome</w:t>
      </w:r>
      <w:proofErr w:type="spellEnd"/>
      <w:r w:rsidRPr="009459DF">
        <w:rPr>
          <w:rFonts w:ascii="Arial" w:hAnsi="Arial" w:cs="Arial"/>
          <w:sz w:val="20"/>
          <w:szCs w:val="20"/>
        </w:rPr>
        <w:t xml:space="preserve"> utility.</w:t>
      </w:r>
    </w:p>
    <w:p w14:paraId="7FB9A8BB" w14:textId="77777777" w:rsidR="009459DF" w:rsidRPr="009459DF" w:rsidRDefault="009459DF" w:rsidP="009459DF">
      <w:pPr>
        <w:pStyle w:val="ListParagraph"/>
        <w:numPr>
          <w:ilvl w:val="0"/>
          <w:numId w:val="32"/>
        </w:numPr>
        <w:spacing w:line="360" w:lineRule="auto"/>
        <w:jc w:val="both"/>
        <w:rPr>
          <w:rFonts w:ascii="Arial" w:hAnsi="Arial" w:cs="Arial"/>
          <w:sz w:val="20"/>
          <w:szCs w:val="20"/>
        </w:rPr>
      </w:pPr>
      <w:r w:rsidRPr="009459DF">
        <w:rPr>
          <w:rFonts w:ascii="Arial" w:hAnsi="Arial" w:cs="Arial"/>
          <w:sz w:val="20"/>
          <w:szCs w:val="20"/>
        </w:rPr>
        <w:t>Characterization: Cryo-electron tomography and correlative light-electron microscopy (CLEM) will enable nanoscale 3D imaging of individual particles and subcellular tracking.</w:t>
      </w:r>
    </w:p>
    <w:p w14:paraId="108B0A78" w14:textId="77777777" w:rsidR="009459DF" w:rsidRPr="009459DF" w:rsidRDefault="009459DF" w:rsidP="009459DF">
      <w:pPr>
        <w:pStyle w:val="ListParagraph"/>
        <w:numPr>
          <w:ilvl w:val="0"/>
          <w:numId w:val="32"/>
        </w:numPr>
        <w:spacing w:line="360" w:lineRule="auto"/>
        <w:jc w:val="both"/>
        <w:rPr>
          <w:rFonts w:ascii="Arial" w:hAnsi="Arial" w:cs="Arial"/>
          <w:sz w:val="20"/>
          <w:szCs w:val="20"/>
        </w:rPr>
      </w:pPr>
      <w:r w:rsidRPr="009459DF">
        <w:rPr>
          <w:rFonts w:ascii="Arial" w:hAnsi="Arial" w:cs="Arial"/>
          <w:sz w:val="20"/>
          <w:szCs w:val="20"/>
        </w:rPr>
        <w:t xml:space="preserve">Preclinical models: 3D </w:t>
      </w:r>
      <w:proofErr w:type="spellStart"/>
      <w:r w:rsidRPr="009459DF">
        <w:rPr>
          <w:rFonts w:ascii="Arial" w:hAnsi="Arial" w:cs="Arial"/>
          <w:sz w:val="20"/>
          <w:szCs w:val="20"/>
        </w:rPr>
        <w:t>tumor</w:t>
      </w:r>
      <w:proofErr w:type="spellEnd"/>
      <w:r w:rsidRPr="009459DF">
        <w:rPr>
          <w:rFonts w:ascii="Arial" w:hAnsi="Arial" w:cs="Arial"/>
          <w:sz w:val="20"/>
          <w:szCs w:val="20"/>
        </w:rPr>
        <w:t xml:space="preserve"> organoids and organ-on-chip platforms will improve translation fidelity beyond conventional animal models.</w:t>
      </w:r>
    </w:p>
    <w:p w14:paraId="411D4CE0" w14:textId="3DB8237D" w:rsidR="009459DF" w:rsidRDefault="009459DF" w:rsidP="009459DF">
      <w:pPr>
        <w:pStyle w:val="ListParagraph"/>
        <w:numPr>
          <w:ilvl w:val="0"/>
          <w:numId w:val="32"/>
        </w:numPr>
        <w:spacing w:line="360" w:lineRule="auto"/>
        <w:jc w:val="both"/>
        <w:rPr>
          <w:rFonts w:ascii="Arial" w:hAnsi="Arial" w:cs="Arial"/>
          <w:sz w:val="20"/>
          <w:szCs w:val="20"/>
        </w:rPr>
      </w:pPr>
      <w:r w:rsidRPr="009459DF">
        <w:rPr>
          <w:rFonts w:ascii="Arial" w:hAnsi="Arial" w:cs="Arial"/>
          <w:sz w:val="20"/>
          <w:szCs w:val="20"/>
        </w:rPr>
        <w:t xml:space="preserve">AI/ML: Machine learning applied across the development pipeline — from lipid phase prediction to in vivo PK </w:t>
      </w:r>
      <w:proofErr w:type="spellStart"/>
      <w:r w:rsidRPr="009459DF">
        <w:rPr>
          <w:rFonts w:ascii="Arial" w:hAnsi="Arial" w:cs="Arial"/>
          <w:sz w:val="20"/>
          <w:szCs w:val="20"/>
        </w:rPr>
        <w:t>modeling</w:t>
      </w:r>
      <w:proofErr w:type="spellEnd"/>
      <w:r w:rsidRPr="009459DF">
        <w:rPr>
          <w:rFonts w:ascii="Arial" w:hAnsi="Arial" w:cs="Arial"/>
          <w:sz w:val="20"/>
          <w:szCs w:val="20"/>
        </w:rPr>
        <w:t xml:space="preserve"> — promises to sharply reduce time-to-candidate. Biomedical nanotechnology has enabled the development of "smart" drug delivery devices that adapt to external stimuli, and AI will accelerate this further.</w:t>
      </w:r>
      <w:r w:rsidRPr="009459DF">
        <w:rPr>
          <w:rFonts w:ascii="Arial" w:hAnsi="Arial" w:cs="Arial"/>
          <w:sz w:val="20"/>
          <w:szCs w:val="20"/>
          <w:vertAlign w:val="superscript"/>
        </w:rPr>
        <w:t>11</w:t>
      </w:r>
      <w:r>
        <w:rPr>
          <w:rFonts w:ascii="Arial" w:hAnsi="Arial" w:cs="Arial"/>
          <w:sz w:val="20"/>
          <w:szCs w:val="20"/>
        </w:rPr>
        <w:t xml:space="preserve"> </w:t>
      </w:r>
    </w:p>
    <w:p w14:paraId="277EB0A9" w14:textId="77777777" w:rsidR="009459DF" w:rsidRPr="009459DF" w:rsidRDefault="009459DF" w:rsidP="009459DF">
      <w:pPr>
        <w:pStyle w:val="ListParagraph"/>
        <w:spacing w:line="360" w:lineRule="auto"/>
        <w:jc w:val="both"/>
        <w:rPr>
          <w:rFonts w:ascii="Arial" w:hAnsi="Arial" w:cs="Arial"/>
          <w:sz w:val="20"/>
          <w:szCs w:val="20"/>
        </w:rPr>
      </w:pPr>
    </w:p>
    <w:p w14:paraId="3437AB36" w14:textId="77777777" w:rsidR="00E75478" w:rsidRPr="00085512" w:rsidRDefault="00E75478" w:rsidP="00E75478">
      <w:pPr>
        <w:spacing w:before="100" w:beforeAutospacing="1" w:after="100" w:afterAutospacing="1"/>
        <w:rPr>
          <w:rFonts w:ascii="Times New Roman" w:hAnsi="Times New Roman"/>
          <w:sz w:val="24"/>
          <w:szCs w:val="24"/>
          <w:lang w:eastAsia="en-GB"/>
        </w:rPr>
      </w:pPr>
      <w:r w:rsidRPr="00085512">
        <w:rPr>
          <w:rFonts w:ascii="Times New Roman" w:hAnsi="Times New Roman"/>
          <w:b/>
          <w:bCs/>
          <w:sz w:val="24"/>
          <w:szCs w:val="24"/>
          <w:lang w:eastAsia="en-GB"/>
        </w:rPr>
        <w:t>Conclusion</w:t>
      </w:r>
    </w:p>
    <w:p w14:paraId="56AFFEC6" w14:textId="77777777" w:rsidR="00E75478" w:rsidRPr="00085512" w:rsidRDefault="00E75478" w:rsidP="00E75478">
      <w:pPr>
        <w:spacing w:before="100" w:beforeAutospacing="1" w:after="100" w:afterAutospacing="1"/>
        <w:rPr>
          <w:rFonts w:ascii="Times New Roman" w:hAnsi="Times New Roman"/>
          <w:sz w:val="24"/>
          <w:szCs w:val="24"/>
          <w:lang w:eastAsia="en-GB"/>
        </w:rPr>
      </w:pPr>
      <w:proofErr w:type="spellStart"/>
      <w:r w:rsidRPr="00085512">
        <w:rPr>
          <w:rFonts w:ascii="Times New Roman" w:hAnsi="Times New Roman"/>
          <w:sz w:val="24"/>
          <w:szCs w:val="24"/>
          <w:lang w:eastAsia="en-GB"/>
        </w:rPr>
        <w:t>Cubosomes</w:t>
      </w:r>
      <w:proofErr w:type="spellEnd"/>
      <w:r w:rsidRPr="00085512">
        <w:rPr>
          <w:rFonts w:ascii="Times New Roman" w:hAnsi="Times New Roman"/>
          <w:sz w:val="24"/>
          <w:szCs w:val="24"/>
          <w:lang w:eastAsia="en-GB"/>
        </w:rPr>
        <w:t xml:space="preserve"> represent a promising class of lipid-based nanocarriers because of their </w:t>
      </w:r>
      <w:proofErr w:type="spellStart"/>
      <w:r w:rsidRPr="00085512">
        <w:rPr>
          <w:rFonts w:ascii="Times New Roman" w:hAnsi="Times New Roman"/>
          <w:sz w:val="24"/>
          <w:szCs w:val="24"/>
          <w:lang w:eastAsia="en-GB"/>
        </w:rPr>
        <w:t>bicontinuous</w:t>
      </w:r>
      <w:proofErr w:type="spellEnd"/>
      <w:r w:rsidRPr="00085512">
        <w:rPr>
          <w:rFonts w:ascii="Times New Roman" w:hAnsi="Times New Roman"/>
          <w:sz w:val="24"/>
          <w:szCs w:val="24"/>
          <w:lang w:eastAsia="en-GB"/>
        </w:rPr>
        <w:t xml:space="preserve"> cubic liquid crystalline structure, high internal surface area, and ability to accommodate drugs with different physicochemical properties. The manuscript highlights important formulation variables, including lipid type, stabilizer selection, preparation method, and surface modification strategy. Characterization techniques </w:t>
      </w:r>
      <w:r w:rsidRPr="00085512">
        <w:rPr>
          <w:rFonts w:ascii="Times New Roman" w:hAnsi="Times New Roman"/>
          <w:sz w:val="24"/>
          <w:szCs w:val="24"/>
          <w:lang w:eastAsia="en-GB"/>
        </w:rPr>
        <w:lastRenderedPageBreak/>
        <w:t xml:space="preserve">such as SAXS, cryo-TEM, DLS, zeta potential measurement, DSC, FTIR, and in vitro release testing are essential for confirming </w:t>
      </w:r>
      <w:proofErr w:type="spellStart"/>
      <w:r w:rsidRPr="00085512">
        <w:rPr>
          <w:rFonts w:ascii="Times New Roman" w:hAnsi="Times New Roman"/>
          <w:sz w:val="24"/>
          <w:szCs w:val="24"/>
          <w:lang w:eastAsia="en-GB"/>
        </w:rPr>
        <w:t>cubosome</w:t>
      </w:r>
      <w:proofErr w:type="spellEnd"/>
      <w:r w:rsidRPr="00085512">
        <w:rPr>
          <w:rFonts w:ascii="Times New Roman" w:hAnsi="Times New Roman"/>
          <w:sz w:val="24"/>
          <w:szCs w:val="24"/>
          <w:lang w:eastAsia="en-GB"/>
        </w:rPr>
        <w:t xml:space="preserve"> structure, stability, and drug release behavior. Reported biomedical applications suggest potential utility in anticancer therapy, antimicrobial delivery, ocular administration, transdermal delivery, oral delivery, brain targeting, and vaccine-related systems. However, most applications remain at the experimental or preclinical stage. Further progress requires improved reproducibility, scalable manufacturing, long-term stability data, clearer safety assessment, and stronger correlation between in vitro findings and in vivo performance. Overall, </w:t>
      </w:r>
      <w:proofErr w:type="spellStart"/>
      <w:r w:rsidRPr="00085512">
        <w:rPr>
          <w:rFonts w:ascii="Times New Roman" w:hAnsi="Times New Roman"/>
          <w:sz w:val="24"/>
          <w:szCs w:val="24"/>
          <w:lang w:eastAsia="en-GB"/>
        </w:rPr>
        <w:t>cubosomes</w:t>
      </w:r>
      <w:proofErr w:type="spellEnd"/>
      <w:r w:rsidRPr="00085512">
        <w:rPr>
          <w:rFonts w:ascii="Times New Roman" w:hAnsi="Times New Roman"/>
          <w:sz w:val="24"/>
          <w:szCs w:val="24"/>
          <w:lang w:eastAsia="en-GB"/>
        </w:rPr>
        <w:t xml:space="preserve"> offer a flexible platform for drug delivery research, but their clinical relevance will depend on careful formulation optimization, validated characterization, and well-designed translational studies.</w:t>
      </w:r>
    </w:p>
    <w:p w14:paraId="38CDC8B3" w14:textId="77777777" w:rsidR="00E75478" w:rsidRPr="00085512" w:rsidRDefault="00E75478" w:rsidP="00E75478">
      <w:pPr>
        <w:spacing w:before="100" w:beforeAutospacing="1" w:after="100" w:afterAutospacing="1"/>
        <w:rPr>
          <w:rFonts w:ascii="Times New Roman" w:hAnsi="Times New Roman"/>
          <w:sz w:val="24"/>
          <w:szCs w:val="24"/>
          <w:lang w:eastAsia="en-GB"/>
        </w:rPr>
      </w:pPr>
      <w:r w:rsidRPr="00085512">
        <w:rPr>
          <w:rFonts w:ascii="Times New Roman" w:hAnsi="Times New Roman"/>
          <w:b/>
          <w:bCs/>
          <w:sz w:val="24"/>
          <w:szCs w:val="24"/>
          <w:lang w:eastAsia="en-GB"/>
        </w:rPr>
        <w:t>Limitations</w:t>
      </w:r>
    </w:p>
    <w:p w14:paraId="49993B8A" w14:textId="77777777" w:rsidR="00E75478" w:rsidRPr="00085512" w:rsidRDefault="00E75478" w:rsidP="00E75478">
      <w:pPr>
        <w:spacing w:before="100" w:beforeAutospacing="1" w:after="100" w:afterAutospacing="1"/>
        <w:rPr>
          <w:rFonts w:ascii="Times New Roman" w:hAnsi="Times New Roman"/>
          <w:sz w:val="24"/>
          <w:szCs w:val="24"/>
          <w:lang w:eastAsia="en-GB"/>
        </w:rPr>
      </w:pPr>
      <w:r w:rsidRPr="00085512">
        <w:rPr>
          <w:rFonts w:ascii="Times New Roman" w:hAnsi="Times New Roman"/>
          <w:sz w:val="24"/>
          <w:szCs w:val="24"/>
          <w:lang w:eastAsia="en-GB"/>
        </w:rPr>
        <w:t>The present review is limited by its narrative design and does not describe a systematic search strategy, database selection, inclusion criteria, or quality assessment of the cited literature. Therefore, the discussion may not capture all relevant studies and may be influenced by selective reporting. Several biomedical applications described in the manuscript are based mainly on experimental or preclinical findings, and direct clinical evidence remains limited. Some reported advantages, including targeted delivery, enhanced bioavailability, reduced toxicity, and improved therapeutic response, may depend strongly on drug type, lipid composition, stabilizer concentration, particle size, route of administration, and biological model. The manuscript also relies on published secondary literature for several claims, which may limit the depth of critical evaluation. Future reviews should include a more transparent methodology and distinguish clearly between established findings, preclinical observations, and translational expectations.</w:t>
      </w:r>
    </w:p>
    <w:p w14:paraId="168E0609" w14:textId="77777777" w:rsidR="00E75478" w:rsidRDefault="00E75478" w:rsidP="00E75478"/>
    <w:p w14:paraId="743A5598" w14:textId="7C293275" w:rsidR="009459DF" w:rsidRPr="009459DF" w:rsidRDefault="009459DF" w:rsidP="00E75478">
      <w:pPr>
        <w:spacing w:line="360" w:lineRule="auto"/>
        <w:jc w:val="both"/>
        <w:rPr>
          <w:rFonts w:ascii="Arial" w:hAnsi="Arial" w:cs="Arial"/>
        </w:rPr>
      </w:pPr>
    </w:p>
    <w:p w14:paraId="37B776A5" w14:textId="77777777" w:rsidR="00790ADA" w:rsidRPr="00FB3A86" w:rsidRDefault="00790ADA" w:rsidP="00441B6F">
      <w:pPr>
        <w:pStyle w:val="Body"/>
        <w:spacing w:after="0"/>
        <w:rPr>
          <w:rFonts w:ascii="Arial" w:hAnsi="Arial" w:cs="Arial"/>
        </w:rPr>
      </w:pPr>
    </w:p>
    <w:p w14:paraId="637AD400" w14:textId="77777777" w:rsidR="00E75478" w:rsidRPr="000839CE" w:rsidRDefault="00E75478" w:rsidP="00E75478">
      <w:pPr>
        <w:rPr>
          <w:rFonts w:ascii="Times New Roman" w:hAnsi="Times New Roman"/>
          <w:b/>
        </w:rPr>
      </w:pPr>
      <w:r w:rsidRPr="000839CE">
        <w:rPr>
          <w:rFonts w:ascii="Times New Roman" w:hAnsi="Times New Roman"/>
          <w:b/>
        </w:rPr>
        <w:t>Declaration of AI Use</w:t>
      </w:r>
    </w:p>
    <w:p w14:paraId="7A23E867" w14:textId="77777777" w:rsidR="00E75478" w:rsidRPr="000839CE" w:rsidRDefault="00E75478" w:rsidP="00E75478">
      <w:pPr>
        <w:rPr>
          <w:rFonts w:ascii="Times New Roman" w:hAnsi="Times New Roman"/>
        </w:rPr>
      </w:pPr>
    </w:p>
    <w:p w14:paraId="4E97A08B" w14:textId="77777777" w:rsidR="00E75478" w:rsidRPr="000839CE" w:rsidRDefault="00E75478" w:rsidP="00E75478">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E51EEFD" w14:textId="77777777" w:rsidR="008700AE" w:rsidRDefault="008700AE" w:rsidP="008D1D63">
      <w:pPr>
        <w:pStyle w:val="Body"/>
        <w:rPr>
          <w:rFonts w:ascii="Arial" w:hAnsi="Arial" w:cs="Arial"/>
        </w:rPr>
      </w:pPr>
    </w:p>
    <w:p w14:paraId="2E7B88D4"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7255597C" w14:textId="77777777" w:rsidR="006A7383" w:rsidRDefault="006A7383" w:rsidP="00441B6F">
      <w:pPr>
        <w:pStyle w:val="ReferHead"/>
        <w:spacing w:after="0"/>
        <w:jc w:val="both"/>
        <w:rPr>
          <w:rFonts w:ascii="Arial" w:hAnsi="Arial" w:cs="Arial"/>
        </w:rPr>
      </w:pPr>
    </w:p>
    <w:p w14:paraId="79492537"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Garg M, Goyal A, Kumari S. An update on the recent advances in </w:t>
      </w:r>
      <w:proofErr w:type="spellStart"/>
      <w:r w:rsidRPr="008700AE">
        <w:rPr>
          <w:rFonts w:ascii="Arial" w:hAnsi="Arial" w:cs="Arial"/>
          <w:sz w:val="20"/>
          <w:szCs w:val="20"/>
        </w:rPr>
        <w:t>cubosome</w:t>
      </w:r>
      <w:proofErr w:type="spellEnd"/>
      <w:r w:rsidRPr="008700AE">
        <w:rPr>
          <w:rFonts w:ascii="Arial" w:hAnsi="Arial" w:cs="Arial"/>
          <w:sz w:val="20"/>
          <w:szCs w:val="20"/>
        </w:rPr>
        <w:t xml:space="preserve">: a novel drug delivery system. Curr Drug </w:t>
      </w:r>
      <w:proofErr w:type="spellStart"/>
      <w:r w:rsidRPr="008700AE">
        <w:rPr>
          <w:rFonts w:ascii="Arial" w:hAnsi="Arial" w:cs="Arial"/>
          <w:sz w:val="20"/>
          <w:szCs w:val="20"/>
        </w:rPr>
        <w:t>Metab</w:t>
      </w:r>
      <w:proofErr w:type="spellEnd"/>
      <w:r w:rsidRPr="008700AE">
        <w:rPr>
          <w:rFonts w:ascii="Arial" w:hAnsi="Arial" w:cs="Arial"/>
          <w:sz w:val="20"/>
          <w:szCs w:val="20"/>
        </w:rPr>
        <w:t>. 2021;22(6):441–50.</w:t>
      </w:r>
    </w:p>
    <w:p w14:paraId="0625B362"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lastRenderedPageBreak/>
        <w:t xml:space="preserve">Kaur SD, Singh G, Singh G, Singhal K, Kant S, Bedi N.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as potential nanocarrier for drug delivery: a comprehensive review. J Pharm Res Int. 2021;33(31B):118–35.</w:t>
      </w:r>
    </w:p>
    <w:p w14:paraId="6F5F6894"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proofErr w:type="spellStart"/>
      <w:r w:rsidRPr="008700AE">
        <w:rPr>
          <w:rFonts w:ascii="Arial" w:hAnsi="Arial" w:cs="Arial"/>
          <w:sz w:val="20"/>
          <w:szCs w:val="20"/>
        </w:rPr>
        <w:t>Almoshari</w:t>
      </w:r>
      <w:proofErr w:type="spellEnd"/>
      <w:r w:rsidRPr="008700AE">
        <w:rPr>
          <w:rFonts w:ascii="Arial" w:hAnsi="Arial" w:cs="Arial"/>
          <w:sz w:val="20"/>
          <w:szCs w:val="20"/>
        </w:rPr>
        <w:t xml:space="preserve"> Y. Development, therapeutic evaluation and </w:t>
      </w:r>
      <w:proofErr w:type="spellStart"/>
      <w:r w:rsidRPr="008700AE">
        <w:rPr>
          <w:rFonts w:ascii="Arial" w:hAnsi="Arial" w:cs="Arial"/>
          <w:sz w:val="20"/>
          <w:szCs w:val="20"/>
        </w:rPr>
        <w:t>theranostic</w:t>
      </w:r>
      <w:proofErr w:type="spellEnd"/>
      <w:r w:rsidRPr="008700AE">
        <w:rPr>
          <w:rFonts w:ascii="Arial" w:hAnsi="Arial" w:cs="Arial"/>
          <w:sz w:val="20"/>
          <w:szCs w:val="20"/>
        </w:rPr>
        <w:t xml:space="preserve"> applications of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on cancers: an updated review. Pharmaceutics. 2022;14(3):600.</w:t>
      </w:r>
    </w:p>
    <w:p w14:paraId="3A3BD586"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Umar H, Wahab HA, </w:t>
      </w:r>
      <w:proofErr w:type="spellStart"/>
      <w:r w:rsidRPr="008700AE">
        <w:rPr>
          <w:rFonts w:ascii="Arial" w:hAnsi="Arial" w:cs="Arial"/>
          <w:sz w:val="20"/>
          <w:szCs w:val="20"/>
        </w:rPr>
        <w:t>Gazzali</w:t>
      </w:r>
      <w:proofErr w:type="spellEnd"/>
      <w:r w:rsidRPr="008700AE">
        <w:rPr>
          <w:rFonts w:ascii="Arial" w:hAnsi="Arial" w:cs="Arial"/>
          <w:sz w:val="20"/>
          <w:szCs w:val="20"/>
        </w:rPr>
        <w:t xml:space="preserve"> AM, Tahir H, Ahmad W.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design, development, and </w:t>
      </w:r>
      <w:proofErr w:type="spellStart"/>
      <w:r w:rsidRPr="008700AE">
        <w:rPr>
          <w:rFonts w:ascii="Arial" w:hAnsi="Arial" w:cs="Arial"/>
          <w:sz w:val="20"/>
          <w:szCs w:val="20"/>
        </w:rPr>
        <w:t>tumor</w:t>
      </w:r>
      <w:proofErr w:type="spellEnd"/>
      <w:r w:rsidRPr="008700AE">
        <w:rPr>
          <w:rFonts w:ascii="Arial" w:hAnsi="Arial" w:cs="Arial"/>
          <w:sz w:val="20"/>
          <w:szCs w:val="20"/>
        </w:rPr>
        <w:t>-targeted drug delivery applications. Polymers. 2022;14(15):3118.</w:t>
      </w:r>
    </w:p>
    <w:p w14:paraId="247B54EA"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Palma AS, Casadei BR, Lotierzo MC, Castro RD, Barbosa LRS. A short review on the applicability and use of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as nanocarriers. </w:t>
      </w:r>
      <w:proofErr w:type="spellStart"/>
      <w:r w:rsidRPr="008700AE">
        <w:rPr>
          <w:rFonts w:ascii="Arial" w:hAnsi="Arial" w:cs="Arial"/>
          <w:sz w:val="20"/>
          <w:szCs w:val="20"/>
        </w:rPr>
        <w:t>Biophys</w:t>
      </w:r>
      <w:proofErr w:type="spellEnd"/>
      <w:r w:rsidRPr="008700AE">
        <w:rPr>
          <w:rFonts w:ascii="Arial" w:hAnsi="Arial" w:cs="Arial"/>
          <w:sz w:val="20"/>
          <w:szCs w:val="20"/>
        </w:rPr>
        <w:t xml:space="preserve"> Rev. 2023;15(4):553–67.</w:t>
      </w:r>
    </w:p>
    <w:p w14:paraId="2A7569AE"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Barriga HMG, Holme MN, Stevens MM.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the next generation of smart lipid nanoparticles? </w:t>
      </w:r>
      <w:proofErr w:type="spellStart"/>
      <w:r w:rsidRPr="008700AE">
        <w:rPr>
          <w:rFonts w:ascii="Arial" w:hAnsi="Arial" w:cs="Arial"/>
          <w:sz w:val="20"/>
          <w:szCs w:val="20"/>
        </w:rPr>
        <w:t>Angew</w:t>
      </w:r>
      <w:proofErr w:type="spellEnd"/>
      <w:r w:rsidRPr="008700AE">
        <w:rPr>
          <w:rFonts w:ascii="Arial" w:hAnsi="Arial" w:cs="Arial"/>
          <w:sz w:val="20"/>
          <w:szCs w:val="20"/>
        </w:rPr>
        <w:t xml:space="preserve"> Chem Int Ed. 2019;58(10):2958–78.</w:t>
      </w:r>
    </w:p>
    <w:p w14:paraId="7563F56D"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proofErr w:type="spellStart"/>
      <w:r w:rsidRPr="008700AE">
        <w:rPr>
          <w:rFonts w:ascii="Arial" w:hAnsi="Arial" w:cs="Arial"/>
          <w:sz w:val="20"/>
          <w:szCs w:val="20"/>
        </w:rPr>
        <w:t>Demurtas</w:t>
      </w:r>
      <w:proofErr w:type="spellEnd"/>
      <w:r w:rsidRPr="008700AE">
        <w:rPr>
          <w:rFonts w:ascii="Arial" w:hAnsi="Arial" w:cs="Arial"/>
          <w:sz w:val="20"/>
          <w:szCs w:val="20"/>
        </w:rPr>
        <w:t xml:space="preserve"> D, Guichard P, Martiel I, Mezzenga R, Hébert C, </w:t>
      </w:r>
      <w:proofErr w:type="spellStart"/>
      <w:r w:rsidRPr="008700AE">
        <w:rPr>
          <w:rFonts w:ascii="Arial" w:hAnsi="Arial" w:cs="Arial"/>
          <w:sz w:val="20"/>
          <w:szCs w:val="20"/>
        </w:rPr>
        <w:t>Sagalowicz</w:t>
      </w:r>
      <w:proofErr w:type="spellEnd"/>
      <w:r w:rsidRPr="008700AE">
        <w:rPr>
          <w:rFonts w:ascii="Arial" w:hAnsi="Arial" w:cs="Arial"/>
          <w:sz w:val="20"/>
          <w:szCs w:val="20"/>
        </w:rPr>
        <w:t xml:space="preserve"> L. Direct visualization of dispersed lipid </w:t>
      </w:r>
      <w:proofErr w:type="spellStart"/>
      <w:r w:rsidRPr="008700AE">
        <w:rPr>
          <w:rFonts w:ascii="Arial" w:hAnsi="Arial" w:cs="Arial"/>
          <w:sz w:val="20"/>
          <w:szCs w:val="20"/>
        </w:rPr>
        <w:t>bicontinuous</w:t>
      </w:r>
      <w:proofErr w:type="spellEnd"/>
      <w:r w:rsidRPr="008700AE">
        <w:rPr>
          <w:rFonts w:ascii="Arial" w:hAnsi="Arial" w:cs="Arial"/>
          <w:sz w:val="20"/>
          <w:szCs w:val="20"/>
        </w:rPr>
        <w:t xml:space="preserve"> cubic phases by cryo-electron tomography. Nat Commun. 2015; 6:8915.</w:t>
      </w:r>
    </w:p>
    <w:p w14:paraId="16CB3FCD"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Satheesan S, Kamath K, </w:t>
      </w:r>
      <w:proofErr w:type="spellStart"/>
      <w:r w:rsidRPr="008700AE">
        <w:rPr>
          <w:rFonts w:ascii="Arial" w:hAnsi="Arial" w:cs="Arial"/>
          <w:sz w:val="20"/>
          <w:szCs w:val="20"/>
        </w:rPr>
        <w:t>Shabaraya</w:t>
      </w:r>
      <w:proofErr w:type="spellEnd"/>
      <w:r w:rsidRPr="008700AE">
        <w:rPr>
          <w:rFonts w:ascii="Arial" w:hAnsi="Arial" w:cs="Arial"/>
          <w:sz w:val="20"/>
          <w:szCs w:val="20"/>
        </w:rPr>
        <w:t xml:space="preserve"> AR.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and its applications – a review. </w:t>
      </w:r>
      <w:proofErr w:type="spellStart"/>
      <w:r w:rsidRPr="008700AE">
        <w:rPr>
          <w:rFonts w:ascii="Arial" w:hAnsi="Arial" w:cs="Arial"/>
          <w:sz w:val="20"/>
          <w:szCs w:val="20"/>
        </w:rPr>
        <w:t>Eur</w:t>
      </w:r>
      <w:proofErr w:type="spellEnd"/>
      <w:r w:rsidRPr="008700AE">
        <w:rPr>
          <w:rFonts w:ascii="Arial" w:hAnsi="Arial" w:cs="Arial"/>
          <w:sz w:val="20"/>
          <w:szCs w:val="20"/>
        </w:rPr>
        <w:t xml:space="preserve"> J Biomed Pharm Sci.2022; 9(7): 111-16.</w:t>
      </w:r>
    </w:p>
    <w:p w14:paraId="0E5B4FDA" w14:textId="77777777" w:rsidR="008700AE" w:rsidRPr="008700AE" w:rsidRDefault="008700AE" w:rsidP="008700AE">
      <w:pPr>
        <w:pStyle w:val="ListParagraph"/>
        <w:numPr>
          <w:ilvl w:val="0"/>
          <w:numId w:val="33"/>
        </w:numPr>
        <w:spacing w:before="60" w:after="60" w:line="240" w:lineRule="auto"/>
        <w:jc w:val="both"/>
        <w:rPr>
          <w:rFonts w:ascii="Arial" w:hAnsi="Arial" w:cs="Arial"/>
          <w:sz w:val="20"/>
          <w:szCs w:val="20"/>
        </w:rPr>
      </w:pPr>
      <w:proofErr w:type="spellStart"/>
      <w:r w:rsidRPr="008700AE">
        <w:rPr>
          <w:rFonts w:ascii="Arial" w:hAnsi="Arial" w:cs="Arial"/>
          <w:sz w:val="20"/>
          <w:szCs w:val="20"/>
        </w:rPr>
        <w:t>Abourehab</w:t>
      </w:r>
      <w:proofErr w:type="spellEnd"/>
      <w:r w:rsidRPr="008700AE">
        <w:rPr>
          <w:rFonts w:ascii="Arial" w:hAnsi="Arial" w:cs="Arial"/>
          <w:sz w:val="20"/>
          <w:szCs w:val="20"/>
        </w:rPr>
        <w:t xml:space="preserve"> MAS, Ansari MJ, Singh A, Hassan A, </w:t>
      </w:r>
      <w:proofErr w:type="spellStart"/>
      <w:r w:rsidRPr="008700AE">
        <w:rPr>
          <w:rFonts w:ascii="Arial" w:hAnsi="Arial" w:cs="Arial"/>
          <w:sz w:val="20"/>
          <w:szCs w:val="20"/>
        </w:rPr>
        <w:t>Abdelgawad</w:t>
      </w:r>
      <w:proofErr w:type="spellEnd"/>
      <w:r w:rsidRPr="008700AE">
        <w:rPr>
          <w:rFonts w:ascii="Arial" w:hAnsi="Arial" w:cs="Arial"/>
          <w:sz w:val="20"/>
          <w:szCs w:val="20"/>
        </w:rPr>
        <w:t xml:space="preserve"> MA, Shrivastav P, et al.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as an emerging platform for drug delivery: a review of the state of the </w:t>
      </w:r>
      <w:proofErr w:type="spellStart"/>
      <w:proofErr w:type="gramStart"/>
      <w:r w:rsidRPr="008700AE">
        <w:rPr>
          <w:rFonts w:ascii="Arial" w:hAnsi="Arial" w:cs="Arial"/>
          <w:sz w:val="20"/>
          <w:szCs w:val="20"/>
        </w:rPr>
        <w:t>art.J</w:t>
      </w:r>
      <w:proofErr w:type="spellEnd"/>
      <w:proofErr w:type="gramEnd"/>
      <w:r w:rsidRPr="008700AE">
        <w:rPr>
          <w:rFonts w:ascii="Arial" w:hAnsi="Arial" w:cs="Arial"/>
          <w:sz w:val="20"/>
          <w:szCs w:val="20"/>
        </w:rPr>
        <w:t xml:space="preserve"> Mater Chem B. 2022;10(15):2781–819.</w:t>
      </w:r>
    </w:p>
    <w:p w14:paraId="60131065" w14:textId="77777777" w:rsidR="008700AE" w:rsidRPr="008700AE" w:rsidRDefault="008700AE" w:rsidP="008700AE">
      <w:pPr>
        <w:pStyle w:val="ListParagraph"/>
        <w:numPr>
          <w:ilvl w:val="0"/>
          <w:numId w:val="33"/>
        </w:numPr>
        <w:spacing w:before="60" w:after="60" w:line="240" w:lineRule="auto"/>
        <w:jc w:val="both"/>
        <w:rPr>
          <w:rFonts w:ascii="Arial" w:hAnsi="Arial" w:cs="Arial"/>
          <w:sz w:val="20"/>
          <w:szCs w:val="20"/>
        </w:rPr>
      </w:pPr>
      <w:r w:rsidRPr="008700AE">
        <w:rPr>
          <w:rFonts w:ascii="Arial" w:hAnsi="Arial" w:cs="Arial"/>
          <w:sz w:val="20"/>
          <w:szCs w:val="20"/>
        </w:rPr>
        <w:t xml:space="preserve">Sreelaya P, Bhattacharya S.A synoptic update on smart lipid nanocarrier: </w:t>
      </w:r>
      <w:proofErr w:type="spellStart"/>
      <w:r w:rsidRPr="008700AE">
        <w:rPr>
          <w:rFonts w:ascii="Arial" w:hAnsi="Arial" w:cs="Arial"/>
          <w:sz w:val="20"/>
          <w:szCs w:val="20"/>
        </w:rPr>
        <w:t>cubosomes</w:t>
      </w:r>
      <w:proofErr w:type="spellEnd"/>
      <w:r w:rsidRPr="008700AE">
        <w:rPr>
          <w:rFonts w:ascii="Arial" w:hAnsi="Arial" w:cs="Arial"/>
          <w:sz w:val="20"/>
          <w:szCs w:val="20"/>
        </w:rPr>
        <w:t>, and their design development, and recent challenges. Curr Pharm Biotechnol.2024;25(4):434-47.</w:t>
      </w:r>
    </w:p>
    <w:p w14:paraId="5668E75B" w14:textId="77777777" w:rsidR="008700AE" w:rsidRPr="008700AE" w:rsidRDefault="008700AE" w:rsidP="008700AE">
      <w:pPr>
        <w:pStyle w:val="ListParagraph"/>
        <w:numPr>
          <w:ilvl w:val="0"/>
          <w:numId w:val="33"/>
        </w:numPr>
        <w:spacing w:before="60" w:after="60" w:line="240" w:lineRule="auto"/>
        <w:jc w:val="both"/>
        <w:rPr>
          <w:rFonts w:ascii="Arial" w:hAnsi="Arial" w:cs="Arial"/>
          <w:sz w:val="20"/>
          <w:szCs w:val="20"/>
        </w:rPr>
      </w:pPr>
      <w:r w:rsidRPr="008700AE">
        <w:rPr>
          <w:rFonts w:ascii="Arial" w:hAnsi="Arial" w:cs="Arial"/>
          <w:sz w:val="20"/>
          <w:szCs w:val="20"/>
        </w:rPr>
        <w:t xml:space="preserve">Singh S, Sachan K, Verma S, Singh N, Singh PK. </w:t>
      </w:r>
      <w:proofErr w:type="spellStart"/>
      <w:r w:rsidRPr="008700AE">
        <w:rPr>
          <w:rFonts w:ascii="Arial" w:hAnsi="Arial" w:cs="Arial"/>
          <w:sz w:val="20"/>
          <w:szCs w:val="20"/>
        </w:rPr>
        <w:t>Cubosomes</w:t>
      </w:r>
      <w:proofErr w:type="spellEnd"/>
      <w:r w:rsidRPr="008700AE">
        <w:rPr>
          <w:rFonts w:ascii="Arial" w:hAnsi="Arial" w:cs="Arial"/>
          <w:sz w:val="20"/>
          <w:szCs w:val="20"/>
        </w:rPr>
        <w:t>: an emerging and promising drug delivery system for enhancing cancer therapy. Curr Pharm Biotechnol.2024;25(6):757–71.</w:t>
      </w:r>
    </w:p>
    <w:p w14:paraId="118060C8" w14:textId="77777777" w:rsidR="008700AE" w:rsidRPr="008700AE" w:rsidRDefault="008700AE" w:rsidP="008700AE">
      <w:pPr>
        <w:pStyle w:val="ListParagraph"/>
        <w:numPr>
          <w:ilvl w:val="0"/>
          <w:numId w:val="33"/>
        </w:numPr>
        <w:spacing w:before="60" w:after="60" w:line="240" w:lineRule="auto"/>
        <w:jc w:val="both"/>
        <w:rPr>
          <w:rFonts w:ascii="Arial" w:hAnsi="Arial" w:cs="Arial"/>
          <w:sz w:val="20"/>
          <w:szCs w:val="20"/>
        </w:rPr>
      </w:pPr>
      <w:r w:rsidRPr="008700AE">
        <w:rPr>
          <w:rFonts w:ascii="Arial" w:hAnsi="Arial" w:cs="Arial"/>
          <w:sz w:val="20"/>
          <w:szCs w:val="20"/>
        </w:rPr>
        <w:t xml:space="preserve">Nath AG, Dubey P, Kumar A, </w:t>
      </w:r>
      <w:proofErr w:type="spellStart"/>
      <w:r w:rsidRPr="008700AE">
        <w:rPr>
          <w:rFonts w:ascii="Arial" w:hAnsi="Arial" w:cs="Arial"/>
          <w:sz w:val="20"/>
          <w:szCs w:val="20"/>
        </w:rPr>
        <w:t>Vaiphei</w:t>
      </w:r>
      <w:proofErr w:type="spellEnd"/>
      <w:r w:rsidRPr="008700AE">
        <w:rPr>
          <w:rFonts w:ascii="Arial" w:hAnsi="Arial" w:cs="Arial"/>
          <w:sz w:val="20"/>
          <w:szCs w:val="20"/>
        </w:rPr>
        <w:t xml:space="preserve"> KK, Rosenholm JM, Bansal KK, et al. Recent advances in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as drug delivery systems with special emphasis on topical </w:t>
      </w:r>
      <w:proofErr w:type="spellStart"/>
      <w:proofErr w:type="gramStart"/>
      <w:r w:rsidRPr="008700AE">
        <w:rPr>
          <w:rFonts w:ascii="Arial" w:hAnsi="Arial" w:cs="Arial"/>
          <w:sz w:val="20"/>
          <w:szCs w:val="20"/>
        </w:rPr>
        <w:t>applications.J</w:t>
      </w:r>
      <w:proofErr w:type="spellEnd"/>
      <w:proofErr w:type="gramEnd"/>
      <w:r w:rsidRPr="008700AE">
        <w:rPr>
          <w:rFonts w:ascii="Arial" w:hAnsi="Arial" w:cs="Arial"/>
          <w:sz w:val="20"/>
          <w:szCs w:val="20"/>
        </w:rPr>
        <w:t xml:space="preserve"> Lipids. 2024; 2024:2683466.</w:t>
      </w:r>
    </w:p>
    <w:p w14:paraId="050DA084" w14:textId="77777777" w:rsidR="008700AE" w:rsidRPr="008700AE" w:rsidRDefault="008700AE" w:rsidP="008700AE">
      <w:pPr>
        <w:pStyle w:val="ListParagraph"/>
        <w:numPr>
          <w:ilvl w:val="0"/>
          <w:numId w:val="33"/>
        </w:numPr>
        <w:spacing w:before="60" w:after="60" w:line="240" w:lineRule="auto"/>
        <w:jc w:val="both"/>
        <w:rPr>
          <w:rFonts w:ascii="Arial" w:hAnsi="Arial" w:cs="Arial"/>
          <w:sz w:val="20"/>
          <w:szCs w:val="20"/>
        </w:rPr>
      </w:pPr>
      <w:r w:rsidRPr="008700AE">
        <w:rPr>
          <w:rFonts w:ascii="Arial" w:hAnsi="Arial" w:cs="Arial"/>
          <w:sz w:val="20"/>
          <w:szCs w:val="20"/>
        </w:rPr>
        <w:t xml:space="preserve">Abdelaziz HM, </w:t>
      </w:r>
      <w:proofErr w:type="spellStart"/>
      <w:r w:rsidRPr="008700AE">
        <w:rPr>
          <w:rFonts w:ascii="Arial" w:hAnsi="Arial" w:cs="Arial"/>
          <w:sz w:val="20"/>
          <w:szCs w:val="20"/>
        </w:rPr>
        <w:t>Elzoghby</w:t>
      </w:r>
      <w:proofErr w:type="spellEnd"/>
      <w:r w:rsidRPr="008700AE">
        <w:rPr>
          <w:rFonts w:ascii="Arial" w:hAnsi="Arial" w:cs="Arial"/>
          <w:sz w:val="20"/>
          <w:szCs w:val="20"/>
        </w:rPr>
        <w:t xml:space="preserve"> AO.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for enhanced drug delivery and targeting therapeutics. Advanced </w:t>
      </w:r>
      <w:proofErr w:type="spellStart"/>
      <w:r w:rsidRPr="008700AE">
        <w:rPr>
          <w:rFonts w:ascii="Arial" w:hAnsi="Arial" w:cs="Arial"/>
          <w:sz w:val="20"/>
          <w:szCs w:val="20"/>
        </w:rPr>
        <w:t>nanoformulations</w:t>
      </w:r>
      <w:proofErr w:type="spellEnd"/>
      <w:r w:rsidRPr="008700AE">
        <w:rPr>
          <w:rFonts w:ascii="Arial" w:hAnsi="Arial" w:cs="Arial"/>
          <w:sz w:val="20"/>
          <w:szCs w:val="20"/>
        </w:rPr>
        <w:t>. Elsevier; 2023. p. 167–204.</w:t>
      </w:r>
    </w:p>
    <w:p w14:paraId="76D3A2D8"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Karami Z, Hamidi M.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remarkable drug delivery potential. Drug </w:t>
      </w:r>
      <w:proofErr w:type="spellStart"/>
      <w:r w:rsidRPr="008700AE">
        <w:rPr>
          <w:rFonts w:ascii="Arial" w:hAnsi="Arial" w:cs="Arial"/>
          <w:sz w:val="20"/>
          <w:szCs w:val="20"/>
        </w:rPr>
        <w:t>Discov</w:t>
      </w:r>
      <w:proofErr w:type="spellEnd"/>
      <w:r w:rsidRPr="008700AE">
        <w:rPr>
          <w:rFonts w:ascii="Arial" w:hAnsi="Arial" w:cs="Arial"/>
          <w:sz w:val="20"/>
          <w:szCs w:val="20"/>
        </w:rPr>
        <w:t xml:space="preserve"> Today. 2016;21(5):789–801.</w:t>
      </w:r>
    </w:p>
    <w:p w14:paraId="301B2FD5"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FB0C65">
        <w:rPr>
          <w:rFonts w:ascii="Times New Roman" w:hAnsi="Times New Roman" w:cs="Times New Roman"/>
          <w:sz w:val="24"/>
          <w:szCs w:val="24"/>
        </w:rPr>
        <w:t xml:space="preserve">Guo C, Wang J, Cao F, Lee RJ, Zhai G. Lyotropic liquid crystal systems in </w:t>
      </w:r>
      <w:r w:rsidRPr="008700AE">
        <w:rPr>
          <w:rFonts w:ascii="Arial" w:hAnsi="Arial" w:cs="Arial"/>
          <w:sz w:val="20"/>
          <w:szCs w:val="20"/>
        </w:rPr>
        <w:t xml:space="preserve">drug delivery. Drug </w:t>
      </w:r>
      <w:proofErr w:type="spellStart"/>
      <w:r w:rsidRPr="008700AE">
        <w:rPr>
          <w:rFonts w:ascii="Arial" w:hAnsi="Arial" w:cs="Arial"/>
          <w:sz w:val="20"/>
          <w:szCs w:val="20"/>
        </w:rPr>
        <w:t>Discov</w:t>
      </w:r>
      <w:proofErr w:type="spellEnd"/>
      <w:r w:rsidRPr="008700AE">
        <w:rPr>
          <w:rFonts w:ascii="Arial" w:hAnsi="Arial" w:cs="Arial"/>
          <w:sz w:val="20"/>
          <w:szCs w:val="20"/>
        </w:rPr>
        <w:t xml:space="preserve"> Today. 2010;15(23–24):1032–40.</w:t>
      </w:r>
    </w:p>
    <w:p w14:paraId="1E06BF7E"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Garti N, </w:t>
      </w:r>
      <w:proofErr w:type="spellStart"/>
      <w:r w:rsidRPr="008700AE">
        <w:rPr>
          <w:rFonts w:ascii="Arial" w:hAnsi="Arial" w:cs="Arial"/>
          <w:sz w:val="20"/>
          <w:szCs w:val="20"/>
        </w:rPr>
        <w:t>Libster</w:t>
      </w:r>
      <w:proofErr w:type="spellEnd"/>
      <w:r w:rsidRPr="008700AE">
        <w:rPr>
          <w:rFonts w:ascii="Arial" w:hAnsi="Arial" w:cs="Arial"/>
          <w:sz w:val="20"/>
          <w:szCs w:val="20"/>
        </w:rPr>
        <w:t xml:space="preserve"> D, </w:t>
      </w:r>
      <w:proofErr w:type="spellStart"/>
      <w:r w:rsidRPr="008700AE">
        <w:rPr>
          <w:rFonts w:ascii="Arial" w:hAnsi="Arial" w:cs="Arial"/>
          <w:sz w:val="20"/>
          <w:szCs w:val="20"/>
        </w:rPr>
        <w:t>Aserin</w:t>
      </w:r>
      <w:proofErr w:type="spellEnd"/>
      <w:r w:rsidRPr="008700AE">
        <w:rPr>
          <w:rFonts w:ascii="Arial" w:hAnsi="Arial" w:cs="Arial"/>
          <w:sz w:val="20"/>
          <w:szCs w:val="20"/>
        </w:rPr>
        <w:t xml:space="preserve"> A. Solubilization and delivery of drugs from GMO-based lyotropic liquid crystals. Hoboken: Wiley; 2012. p. 283–318.</w:t>
      </w:r>
    </w:p>
    <w:p w14:paraId="03ED18B2"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Barauskas J, Landh T. Phase </w:t>
      </w:r>
      <w:proofErr w:type="spellStart"/>
      <w:r w:rsidRPr="008700AE">
        <w:rPr>
          <w:rFonts w:ascii="Arial" w:hAnsi="Arial" w:cs="Arial"/>
          <w:sz w:val="20"/>
          <w:szCs w:val="20"/>
        </w:rPr>
        <w:t>behavior</w:t>
      </w:r>
      <w:proofErr w:type="spellEnd"/>
      <w:r w:rsidRPr="008700AE">
        <w:rPr>
          <w:rFonts w:ascii="Arial" w:hAnsi="Arial" w:cs="Arial"/>
          <w:sz w:val="20"/>
          <w:szCs w:val="20"/>
        </w:rPr>
        <w:t xml:space="preserve"> of the </w:t>
      </w:r>
      <w:proofErr w:type="spellStart"/>
      <w:r w:rsidRPr="008700AE">
        <w:rPr>
          <w:rFonts w:ascii="Arial" w:hAnsi="Arial" w:cs="Arial"/>
          <w:sz w:val="20"/>
          <w:szCs w:val="20"/>
        </w:rPr>
        <w:t>phytantriol</w:t>
      </w:r>
      <w:proofErr w:type="spellEnd"/>
      <w:r w:rsidRPr="008700AE">
        <w:rPr>
          <w:rFonts w:ascii="Arial" w:hAnsi="Arial" w:cs="Arial"/>
          <w:sz w:val="20"/>
          <w:szCs w:val="20"/>
        </w:rPr>
        <w:t>/water system. Langmuir. 2003;19(23):9562–65.</w:t>
      </w:r>
    </w:p>
    <w:p w14:paraId="39D928ED"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Rizwan SB, Boyd BJ, Rades T, Hook S. </w:t>
      </w:r>
      <w:proofErr w:type="spellStart"/>
      <w:r w:rsidRPr="008700AE">
        <w:rPr>
          <w:rFonts w:ascii="Arial" w:hAnsi="Arial" w:cs="Arial"/>
          <w:sz w:val="20"/>
          <w:szCs w:val="20"/>
        </w:rPr>
        <w:t>Bicontinuous</w:t>
      </w:r>
      <w:proofErr w:type="spellEnd"/>
      <w:r w:rsidRPr="008700AE">
        <w:rPr>
          <w:rFonts w:ascii="Arial" w:hAnsi="Arial" w:cs="Arial"/>
          <w:sz w:val="20"/>
          <w:szCs w:val="20"/>
        </w:rPr>
        <w:t xml:space="preserve"> cubic liquid crystals as sustained delivery systems for peptides and proteins. Expert </w:t>
      </w:r>
      <w:proofErr w:type="spellStart"/>
      <w:r w:rsidRPr="008700AE">
        <w:rPr>
          <w:rFonts w:ascii="Arial" w:hAnsi="Arial" w:cs="Arial"/>
          <w:sz w:val="20"/>
          <w:szCs w:val="20"/>
        </w:rPr>
        <w:t>Opin</w:t>
      </w:r>
      <w:proofErr w:type="spellEnd"/>
      <w:r w:rsidRPr="008700AE">
        <w:rPr>
          <w:rFonts w:ascii="Arial" w:hAnsi="Arial" w:cs="Arial"/>
          <w:sz w:val="20"/>
          <w:szCs w:val="20"/>
        </w:rPr>
        <w:t xml:space="preserve"> Drug Deliv. 2010;7(10):1133–44.</w:t>
      </w:r>
    </w:p>
    <w:p w14:paraId="5B03D1C8"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Dong YD, Larson I, Hanley T, Boyd BJ. Bulk and dispersed aqueous phase </w:t>
      </w:r>
      <w:proofErr w:type="spellStart"/>
      <w:r w:rsidRPr="008700AE">
        <w:rPr>
          <w:rFonts w:ascii="Arial" w:hAnsi="Arial" w:cs="Arial"/>
          <w:sz w:val="20"/>
          <w:szCs w:val="20"/>
        </w:rPr>
        <w:t>behavior</w:t>
      </w:r>
      <w:proofErr w:type="spellEnd"/>
      <w:r w:rsidRPr="008700AE">
        <w:rPr>
          <w:rFonts w:ascii="Arial" w:hAnsi="Arial" w:cs="Arial"/>
          <w:sz w:val="20"/>
          <w:szCs w:val="20"/>
        </w:rPr>
        <w:t xml:space="preserve"> of </w:t>
      </w:r>
      <w:proofErr w:type="spellStart"/>
      <w:r w:rsidRPr="008700AE">
        <w:rPr>
          <w:rFonts w:ascii="Arial" w:hAnsi="Arial" w:cs="Arial"/>
          <w:sz w:val="20"/>
          <w:szCs w:val="20"/>
        </w:rPr>
        <w:t>phytantriol</w:t>
      </w:r>
      <w:proofErr w:type="spellEnd"/>
      <w:r w:rsidRPr="008700AE">
        <w:rPr>
          <w:rFonts w:ascii="Arial" w:hAnsi="Arial" w:cs="Arial"/>
          <w:sz w:val="20"/>
          <w:szCs w:val="20"/>
        </w:rPr>
        <w:t>: effect of vitamin E acetate and F127 polymer on liquid crystal nanostructure. Langmuir. 2006;22(23):9512–19.</w:t>
      </w:r>
    </w:p>
    <w:p w14:paraId="3C93BCA6"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Sivadasan D, Sultan MH, Alqahtani SS, Javed S.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in drug delivery — a comprehensive review on its structural components, preparation techniques and therapeutic applications. Biomedicines. 2023;11(4):1114.</w:t>
      </w:r>
    </w:p>
    <w:p w14:paraId="0AB901BA"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lastRenderedPageBreak/>
        <w:t xml:space="preserve">Shamsuddin SH, et al. Liposomes to </w:t>
      </w:r>
      <w:proofErr w:type="spellStart"/>
      <w:r w:rsidRPr="008700AE">
        <w:rPr>
          <w:rFonts w:ascii="Arial" w:hAnsi="Arial" w:cs="Arial"/>
          <w:sz w:val="20"/>
          <w:szCs w:val="20"/>
        </w:rPr>
        <w:t>cubosomes</w:t>
      </w:r>
      <w:proofErr w:type="spellEnd"/>
      <w:r w:rsidRPr="008700AE">
        <w:rPr>
          <w:rFonts w:ascii="Arial" w:hAnsi="Arial" w:cs="Arial"/>
          <w:sz w:val="20"/>
          <w:szCs w:val="20"/>
        </w:rPr>
        <w:t>: the evolution of lipidic nanocarriers and their cutting-edge biomedical applications. ACS Appl Bio Mater. 2024;7(5):2677–94.</w:t>
      </w:r>
    </w:p>
    <w:p w14:paraId="7683F2BE"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proofErr w:type="spellStart"/>
      <w:r w:rsidRPr="008700AE">
        <w:rPr>
          <w:rFonts w:ascii="Arial" w:hAnsi="Arial" w:cs="Arial"/>
          <w:sz w:val="20"/>
          <w:szCs w:val="20"/>
        </w:rPr>
        <w:t>Fornasier</w:t>
      </w:r>
      <w:proofErr w:type="spellEnd"/>
      <w:r w:rsidRPr="008700AE">
        <w:rPr>
          <w:rFonts w:ascii="Arial" w:hAnsi="Arial" w:cs="Arial"/>
          <w:sz w:val="20"/>
          <w:szCs w:val="20"/>
        </w:rPr>
        <w:t xml:space="preserve"> M, Murgia S. Non-lamellar lipid liquid crystalline nanoparticles: a smart platform for nanomedicine applications. Front Soft Matter. </w:t>
      </w:r>
      <w:proofErr w:type="gramStart"/>
      <w:r w:rsidRPr="008700AE">
        <w:rPr>
          <w:rFonts w:ascii="Arial" w:hAnsi="Arial" w:cs="Arial"/>
          <w:sz w:val="20"/>
          <w:szCs w:val="20"/>
        </w:rPr>
        <w:t>2023;3:1109508</w:t>
      </w:r>
      <w:proofErr w:type="gramEnd"/>
      <w:r w:rsidRPr="008700AE">
        <w:rPr>
          <w:rFonts w:ascii="Arial" w:hAnsi="Arial" w:cs="Arial"/>
          <w:sz w:val="20"/>
          <w:szCs w:val="20"/>
        </w:rPr>
        <w:t>.</w:t>
      </w:r>
    </w:p>
    <w:p w14:paraId="3F044960"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Oliveira C, Ferreira CJO, Sousa M, Paris JL, Gaspar R, Silva BFB, et al. A versatile nanocarrier—</w:t>
      </w:r>
      <w:proofErr w:type="spellStart"/>
      <w:r w:rsidRPr="008700AE">
        <w:rPr>
          <w:rFonts w:ascii="Arial" w:hAnsi="Arial" w:cs="Arial"/>
          <w:sz w:val="20"/>
          <w:szCs w:val="20"/>
        </w:rPr>
        <w:t>cubosomes</w:t>
      </w:r>
      <w:proofErr w:type="spellEnd"/>
      <w:r w:rsidRPr="008700AE">
        <w:rPr>
          <w:rFonts w:ascii="Arial" w:hAnsi="Arial" w:cs="Arial"/>
          <w:sz w:val="20"/>
          <w:szCs w:val="20"/>
        </w:rPr>
        <w:t>: characterization and applications. Nanomaterials. 2022;12(13):2224.</w:t>
      </w:r>
    </w:p>
    <w:p w14:paraId="227FC683"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proofErr w:type="spellStart"/>
      <w:r w:rsidRPr="008700AE">
        <w:rPr>
          <w:rFonts w:ascii="Arial" w:hAnsi="Arial" w:cs="Arial"/>
          <w:sz w:val="20"/>
          <w:szCs w:val="20"/>
        </w:rPr>
        <w:t>Kojarunchitt</w:t>
      </w:r>
      <w:proofErr w:type="spellEnd"/>
      <w:r w:rsidRPr="008700AE">
        <w:rPr>
          <w:rFonts w:ascii="Arial" w:hAnsi="Arial" w:cs="Arial"/>
          <w:sz w:val="20"/>
          <w:szCs w:val="20"/>
        </w:rPr>
        <w:t xml:space="preserve"> T, Hook S, Rizwan SB, Rades T, Baldursdottir S. Development and characterisation of modified poloxamer 407 </w:t>
      </w:r>
      <w:proofErr w:type="spellStart"/>
      <w:r w:rsidRPr="008700AE">
        <w:rPr>
          <w:rFonts w:ascii="Arial" w:hAnsi="Arial" w:cs="Arial"/>
          <w:sz w:val="20"/>
          <w:szCs w:val="20"/>
        </w:rPr>
        <w:t>thermoresponsive</w:t>
      </w:r>
      <w:proofErr w:type="spellEnd"/>
      <w:r w:rsidRPr="008700AE">
        <w:rPr>
          <w:rFonts w:ascii="Arial" w:hAnsi="Arial" w:cs="Arial"/>
          <w:sz w:val="20"/>
          <w:szCs w:val="20"/>
        </w:rPr>
        <w:t xml:space="preserve"> depot systems containing </w:t>
      </w:r>
      <w:proofErr w:type="spellStart"/>
      <w:r w:rsidRPr="008700AE">
        <w:rPr>
          <w:rFonts w:ascii="Arial" w:hAnsi="Arial" w:cs="Arial"/>
          <w:sz w:val="20"/>
          <w:szCs w:val="20"/>
        </w:rPr>
        <w:t>cubosomes</w:t>
      </w:r>
      <w:proofErr w:type="spellEnd"/>
      <w:r w:rsidRPr="008700AE">
        <w:rPr>
          <w:rFonts w:ascii="Arial" w:hAnsi="Arial" w:cs="Arial"/>
          <w:sz w:val="20"/>
          <w:szCs w:val="20"/>
        </w:rPr>
        <w:t>. Int J Pharm. 2011;408(1–2):20–26.</w:t>
      </w:r>
    </w:p>
    <w:p w14:paraId="1AEF52E1"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Azhari H, Strauss M, Hook S, Boyd BJ, Rizwan SB. Stabilising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with Tween 80 as a step towards targeting lipid nanocarriers to the blood-brain barrier. </w:t>
      </w:r>
      <w:proofErr w:type="spellStart"/>
      <w:r w:rsidRPr="008700AE">
        <w:rPr>
          <w:rFonts w:ascii="Arial" w:hAnsi="Arial" w:cs="Arial"/>
          <w:sz w:val="20"/>
          <w:szCs w:val="20"/>
        </w:rPr>
        <w:t>Eur</w:t>
      </w:r>
      <w:proofErr w:type="spellEnd"/>
      <w:r w:rsidRPr="008700AE">
        <w:rPr>
          <w:rFonts w:ascii="Arial" w:hAnsi="Arial" w:cs="Arial"/>
          <w:sz w:val="20"/>
          <w:szCs w:val="20"/>
        </w:rPr>
        <w:t xml:space="preserve"> J Pharm Biopharm.2016;104:148-55.</w:t>
      </w:r>
    </w:p>
    <w:p w14:paraId="6A4B398F"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Wei Y, Ye X, Shang X, Peng X, Bao Q, Liu M, et al.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with surface cross-linked chitosan exhibit sustained release and bioavailability enhancement for vinpocetine. RSC Adv.2019;9(11):6262-69.</w:t>
      </w:r>
    </w:p>
    <w:p w14:paraId="62EC0926"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Pramanik S, Pal S, Halder S, Sarkar A, Bhattacharya S, Das M, et al. Hyaluronic-acid-tagged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deliver </w:t>
      </w:r>
      <w:proofErr w:type="spellStart"/>
      <w:r w:rsidRPr="008700AE">
        <w:rPr>
          <w:rFonts w:ascii="Arial" w:hAnsi="Arial" w:cs="Arial"/>
          <w:sz w:val="20"/>
          <w:szCs w:val="20"/>
        </w:rPr>
        <w:t>cytotoxics</w:t>
      </w:r>
      <w:proofErr w:type="spellEnd"/>
      <w:r w:rsidRPr="008700AE">
        <w:rPr>
          <w:rFonts w:ascii="Arial" w:hAnsi="Arial" w:cs="Arial"/>
          <w:sz w:val="20"/>
          <w:szCs w:val="20"/>
        </w:rPr>
        <w:t xml:space="preserve"> specifically to CD44-positive cancer cells. Mol Pharm.2022;19(10):3713-27. </w:t>
      </w:r>
    </w:p>
    <w:p w14:paraId="1427EDB8"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Zhai J, Waddington L, Wooster TJ, Aguilar MI, Boyd BJ. Revisiting beta- casein as a stabilizer for lipid liquid crystalline nanostructured particles. Langmuir. 2011; 27(24): 14757-66.</w:t>
      </w:r>
    </w:p>
    <w:p w14:paraId="5AD7696F"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Zeng L, Ke Y, Zheng C, Song H, Liu Z, Hu X, et al. Remote loading of hydrophilic drug into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by transmembrane pH-gradient and characterization of drug-loaded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prepared by different method. J Pharm Sci. 2023;112(4):1119-29.</w:t>
      </w:r>
    </w:p>
    <w:p w14:paraId="14F4AD01"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Bhatt AH, Patel HP, Patel PR, Rathod HG, </w:t>
      </w:r>
      <w:proofErr w:type="spellStart"/>
      <w:r w:rsidRPr="008700AE">
        <w:rPr>
          <w:rFonts w:ascii="Arial" w:hAnsi="Arial" w:cs="Arial"/>
          <w:sz w:val="20"/>
          <w:szCs w:val="20"/>
        </w:rPr>
        <w:t>Hirawala</w:t>
      </w:r>
      <w:proofErr w:type="spellEnd"/>
      <w:r w:rsidRPr="008700AE">
        <w:rPr>
          <w:rFonts w:ascii="Arial" w:hAnsi="Arial" w:cs="Arial"/>
          <w:sz w:val="20"/>
          <w:szCs w:val="20"/>
        </w:rPr>
        <w:t xml:space="preserve"> JH, Shaikh PS, et al.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in non-oral drug delivery: Advancing precision therapeutics from bench to bedside. Int J Pharm. 2025;684: 126108.</w:t>
      </w:r>
    </w:p>
    <w:p w14:paraId="099DC580"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Miranda I, Misra B, Manjunath MC, Nayak G, Likhitha U, Nayak UY. Responsive nano-structured </w:t>
      </w:r>
      <w:proofErr w:type="spellStart"/>
      <w:r w:rsidRPr="008700AE">
        <w:rPr>
          <w:rFonts w:ascii="Arial" w:hAnsi="Arial" w:cs="Arial"/>
          <w:sz w:val="20"/>
          <w:szCs w:val="20"/>
        </w:rPr>
        <w:t>cubosomes</w:t>
      </w:r>
      <w:proofErr w:type="spellEnd"/>
      <w:r w:rsidRPr="008700AE">
        <w:rPr>
          <w:rFonts w:ascii="Arial" w:hAnsi="Arial" w:cs="Arial"/>
          <w:sz w:val="20"/>
          <w:szCs w:val="20"/>
        </w:rPr>
        <w:t>: Advancements and therapeutic applications. Adv Pharm Bull. 2025;15(2):284–92.</w:t>
      </w:r>
    </w:p>
    <w:p w14:paraId="04AE7394"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Rodriguez-Loya J, Lerma M, Gardea-</w:t>
      </w:r>
      <w:proofErr w:type="spellStart"/>
      <w:r w:rsidRPr="008700AE">
        <w:rPr>
          <w:rFonts w:ascii="Arial" w:hAnsi="Arial" w:cs="Arial"/>
          <w:sz w:val="20"/>
          <w:szCs w:val="20"/>
        </w:rPr>
        <w:t>Torresdey</w:t>
      </w:r>
      <w:proofErr w:type="spellEnd"/>
      <w:r w:rsidRPr="008700AE">
        <w:rPr>
          <w:rFonts w:ascii="Arial" w:hAnsi="Arial" w:cs="Arial"/>
          <w:sz w:val="20"/>
          <w:szCs w:val="20"/>
        </w:rPr>
        <w:t xml:space="preserve"> JL. Dynamic light scattering and its application to control nanoparticle aggregation in colloidal systems: A review. Micromachines. 2023;15(1):24.</w:t>
      </w:r>
    </w:p>
    <w:p w14:paraId="3394B175"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Zewail M, E Gaafar PM, Ali MM, Abbas H. Lipidic cubic-phase leflunomide nanoparticles (</w:t>
      </w:r>
      <w:proofErr w:type="spellStart"/>
      <w:r w:rsidRPr="008700AE">
        <w:rPr>
          <w:rFonts w:ascii="Arial" w:hAnsi="Arial" w:cs="Arial"/>
          <w:sz w:val="20"/>
          <w:szCs w:val="20"/>
        </w:rPr>
        <w:t>cubosomes</w:t>
      </w:r>
      <w:proofErr w:type="spellEnd"/>
      <w:r w:rsidRPr="008700AE">
        <w:rPr>
          <w:rFonts w:ascii="Arial" w:hAnsi="Arial" w:cs="Arial"/>
          <w:sz w:val="20"/>
          <w:szCs w:val="20"/>
        </w:rPr>
        <w:t>) as a potential tool for breast cancer management. Drug Deliv. 2022 ;29(1):1663-74.</w:t>
      </w:r>
    </w:p>
    <w:p w14:paraId="6A68B449"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proofErr w:type="spellStart"/>
      <w:r w:rsidRPr="008700AE">
        <w:rPr>
          <w:rFonts w:ascii="Arial" w:hAnsi="Arial" w:cs="Arial"/>
          <w:sz w:val="20"/>
          <w:szCs w:val="20"/>
        </w:rPr>
        <w:t>Elhabal</w:t>
      </w:r>
      <w:proofErr w:type="spellEnd"/>
      <w:r w:rsidRPr="008700AE">
        <w:rPr>
          <w:rFonts w:ascii="Arial" w:hAnsi="Arial" w:cs="Arial"/>
          <w:sz w:val="20"/>
          <w:szCs w:val="20"/>
        </w:rPr>
        <w:t xml:space="preserve"> SF, Mahfouz OM, </w:t>
      </w:r>
      <w:proofErr w:type="spellStart"/>
      <w:r w:rsidRPr="008700AE">
        <w:rPr>
          <w:rFonts w:ascii="Arial" w:hAnsi="Arial" w:cs="Arial"/>
          <w:sz w:val="20"/>
          <w:szCs w:val="20"/>
        </w:rPr>
        <w:t>Elrefai</w:t>
      </w:r>
      <w:proofErr w:type="spellEnd"/>
      <w:r w:rsidRPr="008700AE">
        <w:rPr>
          <w:rFonts w:ascii="Arial" w:hAnsi="Arial" w:cs="Arial"/>
          <w:sz w:val="20"/>
          <w:szCs w:val="20"/>
        </w:rPr>
        <w:t xml:space="preserve"> MFM, </w:t>
      </w:r>
      <w:proofErr w:type="spellStart"/>
      <w:r w:rsidRPr="008700AE">
        <w:rPr>
          <w:rFonts w:ascii="Arial" w:hAnsi="Arial" w:cs="Arial"/>
          <w:sz w:val="20"/>
          <w:szCs w:val="20"/>
        </w:rPr>
        <w:t>Teaima</w:t>
      </w:r>
      <w:proofErr w:type="spellEnd"/>
      <w:r w:rsidRPr="008700AE">
        <w:rPr>
          <w:rFonts w:ascii="Arial" w:hAnsi="Arial" w:cs="Arial"/>
          <w:sz w:val="20"/>
          <w:szCs w:val="20"/>
        </w:rPr>
        <w:t xml:space="preserve"> MH, Abdalla A, El-</w:t>
      </w:r>
      <w:proofErr w:type="spellStart"/>
      <w:r w:rsidRPr="008700AE">
        <w:rPr>
          <w:rFonts w:ascii="Arial" w:hAnsi="Arial" w:cs="Arial"/>
          <w:sz w:val="20"/>
          <w:szCs w:val="20"/>
        </w:rPr>
        <w:t>Nabarawi</w:t>
      </w:r>
      <w:proofErr w:type="spellEnd"/>
      <w:r w:rsidRPr="008700AE">
        <w:rPr>
          <w:rFonts w:ascii="Arial" w:hAnsi="Arial" w:cs="Arial"/>
          <w:sz w:val="20"/>
          <w:szCs w:val="20"/>
        </w:rPr>
        <w:t xml:space="preserve"> M. Sustained intraocular pressure reduction using bisoprolol-loaded PLGA nanoparticles: A promising strategy for enhanced ocular delivery with reduced GFAP expression indicative of lower glial activation. Pharmaceutics. 2025;17(11):1418.</w:t>
      </w:r>
    </w:p>
    <w:p w14:paraId="4DD94C1B"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Nasr M, Mokhtar R, Abdel-Rashid RS. Optimized PEGylated </w:t>
      </w:r>
      <w:proofErr w:type="spellStart"/>
      <w:r w:rsidRPr="008700AE">
        <w:rPr>
          <w:rFonts w:ascii="Arial" w:hAnsi="Arial" w:cs="Arial"/>
          <w:sz w:val="20"/>
          <w:szCs w:val="20"/>
        </w:rPr>
        <w:t>cubosomes</w:t>
      </w:r>
      <w:proofErr w:type="spellEnd"/>
      <w:r w:rsidRPr="008700AE">
        <w:rPr>
          <w:rFonts w:ascii="Arial" w:hAnsi="Arial" w:cs="Arial"/>
          <w:sz w:val="20"/>
          <w:szCs w:val="20"/>
        </w:rPr>
        <w:t>: A novel approach for specific delivery of dacomitinib to non-small cell lung cancer cells. Mater Adv. 2025;6: 3903–17.</w:t>
      </w:r>
    </w:p>
    <w:p w14:paraId="24497DC1"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Shoman NA, </w:t>
      </w:r>
      <w:proofErr w:type="spellStart"/>
      <w:r w:rsidRPr="008700AE">
        <w:rPr>
          <w:rFonts w:ascii="Arial" w:hAnsi="Arial" w:cs="Arial"/>
          <w:sz w:val="20"/>
          <w:szCs w:val="20"/>
        </w:rPr>
        <w:t>Gebreel</w:t>
      </w:r>
      <w:proofErr w:type="spellEnd"/>
      <w:r w:rsidRPr="008700AE">
        <w:rPr>
          <w:rFonts w:ascii="Arial" w:hAnsi="Arial" w:cs="Arial"/>
          <w:sz w:val="20"/>
          <w:szCs w:val="20"/>
        </w:rPr>
        <w:t xml:space="preserve"> RM, El-</w:t>
      </w:r>
      <w:proofErr w:type="spellStart"/>
      <w:r w:rsidRPr="008700AE">
        <w:rPr>
          <w:rFonts w:ascii="Arial" w:hAnsi="Arial" w:cs="Arial"/>
          <w:sz w:val="20"/>
          <w:szCs w:val="20"/>
        </w:rPr>
        <w:t>Nabarawi</w:t>
      </w:r>
      <w:proofErr w:type="spellEnd"/>
      <w:r w:rsidRPr="008700AE">
        <w:rPr>
          <w:rFonts w:ascii="Arial" w:hAnsi="Arial" w:cs="Arial"/>
          <w:sz w:val="20"/>
          <w:szCs w:val="20"/>
        </w:rPr>
        <w:t xml:space="preserve"> MA, Attia A. Optimization of hyaluronan-enriched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for </w:t>
      </w:r>
      <w:proofErr w:type="spellStart"/>
      <w:r w:rsidRPr="008700AE">
        <w:rPr>
          <w:rFonts w:ascii="Arial" w:hAnsi="Arial" w:cs="Arial"/>
          <w:sz w:val="20"/>
          <w:szCs w:val="20"/>
        </w:rPr>
        <w:t>bromfenac</w:t>
      </w:r>
      <w:proofErr w:type="spellEnd"/>
      <w:r w:rsidRPr="008700AE">
        <w:rPr>
          <w:rFonts w:ascii="Arial" w:hAnsi="Arial" w:cs="Arial"/>
          <w:sz w:val="20"/>
          <w:szCs w:val="20"/>
        </w:rPr>
        <w:t xml:space="preserve"> delivery enhancing corneal permeation: characterization, ex vivo, and in vivo evaluation. Drug Deliv. 2023;30(1):2162162.</w:t>
      </w:r>
    </w:p>
    <w:p w14:paraId="326A15B4"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lastRenderedPageBreak/>
        <w:t xml:space="preserve">Pilli S, Tamma K, Shaik M, </w:t>
      </w:r>
      <w:proofErr w:type="spellStart"/>
      <w:r w:rsidRPr="008700AE">
        <w:rPr>
          <w:rFonts w:ascii="Arial" w:hAnsi="Arial" w:cs="Arial"/>
          <w:sz w:val="20"/>
          <w:szCs w:val="20"/>
        </w:rPr>
        <w:t>Pragallapati</w:t>
      </w:r>
      <w:proofErr w:type="spellEnd"/>
      <w:r w:rsidRPr="008700AE">
        <w:rPr>
          <w:rFonts w:ascii="Arial" w:hAnsi="Arial" w:cs="Arial"/>
          <w:sz w:val="20"/>
          <w:szCs w:val="20"/>
        </w:rPr>
        <w:t xml:space="preserve"> R, Raju NP, Raju VB. </w:t>
      </w:r>
      <w:proofErr w:type="spellStart"/>
      <w:r w:rsidRPr="008700AE">
        <w:rPr>
          <w:rFonts w:ascii="Arial" w:hAnsi="Arial" w:cs="Arial"/>
          <w:sz w:val="20"/>
          <w:szCs w:val="20"/>
        </w:rPr>
        <w:t>Cubosomes</w:t>
      </w:r>
      <w:proofErr w:type="spellEnd"/>
      <w:r w:rsidRPr="008700AE">
        <w:rPr>
          <w:rFonts w:ascii="Arial" w:hAnsi="Arial" w:cs="Arial"/>
          <w:sz w:val="20"/>
          <w:szCs w:val="20"/>
        </w:rPr>
        <w:t>: A new approach in drug delivery. Int J Res Appl Sci Eng Technol. 2025;13(11):3193–201.</w:t>
      </w:r>
    </w:p>
    <w:p w14:paraId="2ACF63E6"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proofErr w:type="spellStart"/>
      <w:r w:rsidRPr="008700AE">
        <w:rPr>
          <w:rFonts w:ascii="Arial" w:hAnsi="Arial" w:cs="Arial"/>
          <w:sz w:val="20"/>
          <w:szCs w:val="20"/>
        </w:rPr>
        <w:t>Telrandhe</w:t>
      </w:r>
      <w:proofErr w:type="spellEnd"/>
      <w:r w:rsidRPr="008700AE">
        <w:rPr>
          <w:rFonts w:ascii="Arial" w:hAnsi="Arial" w:cs="Arial"/>
          <w:sz w:val="20"/>
          <w:szCs w:val="20"/>
        </w:rPr>
        <w:t xml:space="preserve"> SG, </w:t>
      </w:r>
      <w:proofErr w:type="spellStart"/>
      <w:r w:rsidRPr="008700AE">
        <w:rPr>
          <w:rFonts w:ascii="Arial" w:hAnsi="Arial" w:cs="Arial"/>
          <w:sz w:val="20"/>
          <w:szCs w:val="20"/>
        </w:rPr>
        <w:t>Bagwe</w:t>
      </w:r>
      <w:proofErr w:type="spellEnd"/>
      <w:r w:rsidRPr="008700AE">
        <w:rPr>
          <w:rFonts w:ascii="Arial" w:hAnsi="Arial" w:cs="Arial"/>
          <w:sz w:val="20"/>
          <w:szCs w:val="20"/>
        </w:rPr>
        <w:t xml:space="preserve"> DR, Khan SA, Chaudhary SP, Gayakwad MV. </w:t>
      </w:r>
      <w:proofErr w:type="spellStart"/>
      <w:r w:rsidRPr="008700AE">
        <w:rPr>
          <w:rFonts w:ascii="Arial" w:hAnsi="Arial" w:cs="Arial"/>
          <w:sz w:val="20"/>
          <w:szCs w:val="20"/>
        </w:rPr>
        <w:t>Cubosomes</w:t>
      </w:r>
      <w:proofErr w:type="spellEnd"/>
      <w:r w:rsidRPr="008700AE">
        <w:rPr>
          <w:rFonts w:ascii="Arial" w:hAnsi="Arial" w:cs="Arial"/>
          <w:sz w:val="20"/>
          <w:szCs w:val="20"/>
        </w:rPr>
        <w:t>: A modified approach for the delivery of complex drugs – A review. Int J Res Anal Rev. 2023;10(2):187–204.</w:t>
      </w:r>
    </w:p>
    <w:p w14:paraId="7138294C"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proofErr w:type="spellStart"/>
      <w:r w:rsidRPr="008700AE">
        <w:rPr>
          <w:rFonts w:ascii="Arial" w:hAnsi="Arial" w:cs="Arial"/>
          <w:sz w:val="20"/>
          <w:szCs w:val="20"/>
        </w:rPr>
        <w:t>Askarizadeh</w:t>
      </w:r>
      <w:proofErr w:type="spellEnd"/>
      <w:r w:rsidRPr="008700AE">
        <w:rPr>
          <w:rFonts w:ascii="Arial" w:hAnsi="Arial" w:cs="Arial"/>
          <w:sz w:val="20"/>
          <w:szCs w:val="20"/>
        </w:rPr>
        <w:t xml:space="preserve"> M, Esfandiari N, </w:t>
      </w:r>
      <w:proofErr w:type="spellStart"/>
      <w:r w:rsidRPr="008700AE">
        <w:rPr>
          <w:rFonts w:ascii="Arial" w:hAnsi="Arial" w:cs="Arial"/>
          <w:sz w:val="20"/>
          <w:szCs w:val="20"/>
        </w:rPr>
        <w:t>Honarvar</w:t>
      </w:r>
      <w:proofErr w:type="spellEnd"/>
      <w:r w:rsidRPr="008700AE">
        <w:rPr>
          <w:rFonts w:ascii="Arial" w:hAnsi="Arial" w:cs="Arial"/>
          <w:sz w:val="20"/>
          <w:szCs w:val="20"/>
        </w:rPr>
        <w:t xml:space="preserve"> B, </w:t>
      </w:r>
      <w:proofErr w:type="spellStart"/>
      <w:r w:rsidRPr="008700AE">
        <w:rPr>
          <w:rFonts w:ascii="Arial" w:hAnsi="Arial" w:cs="Arial"/>
          <w:sz w:val="20"/>
          <w:szCs w:val="20"/>
        </w:rPr>
        <w:t>Sajadian</w:t>
      </w:r>
      <w:proofErr w:type="spellEnd"/>
      <w:r w:rsidRPr="008700AE">
        <w:rPr>
          <w:rFonts w:ascii="Arial" w:hAnsi="Arial" w:cs="Arial"/>
          <w:sz w:val="20"/>
          <w:szCs w:val="20"/>
        </w:rPr>
        <w:t xml:space="preserve"> SA, </w:t>
      </w:r>
      <w:proofErr w:type="spellStart"/>
      <w:r w:rsidRPr="008700AE">
        <w:rPr>
          <w:rFonts w:ascii="Arial" w:hAnsi="Arial" w:cs="Arial"/>
          <w:sz w:val="20"/>
          <w:szCs w:val="20"/>
        </w:rPr>
        <w:t>Azdarpour</w:t>
      </w:r>
      <w:proofErr w:type="spellEnd"/>
      <w:r w:rsidRPr="008700AE">
        <w:rPr>
          <w:rFonts w:ascii="Arial" w:hAnsi="Arial" w:cs="Arial"/>
          <w:sz w:val="20"/>
          <w:szCs w:val="20"/>
        </w:rPr>
        <w:t xml:space="preserve"> A. Kinetic </w:t>
      </w:r>
      <w:proofErr w:type="spellStart"/>
      <w:r w:rsidRPr="008700AE">
        <w:rPr>
          <w:rFonts w:ascii="Arial" w:hAnsi="Arial" w:cs="Arial"/>
          <w:sz w:val="20"/>
          <w:szCs w:val="20"/>
        </w:rPr>
        <w:t>modeling</w:t>
      </w:r>
      <w:proofErr w:type="spellEnd"/>
      <w:r w:rsidRPr="008700AE">
        <w:rPr>
          <w:rFonts w:ascii="Arial" w:hAnsi="Arial" w:cs="Arial"/>
          <w:sz w:val="20"/>
          <w:szCs w:val="20"/>
        </w:rPr>
        <w:t xml:space="preserve"> to explain the release of medicine from drug delivery systems. </w:t>
      </w:r>
      <w:proofErr w:type="spellStart"/>
      <w:r w:rsidRPr="008700AE">
        <w:rPr>
          <w:rFonts w:ascii="Arial" w:hAnsi="Arial" w:cs="Arial"/>
          <w:sz w:val="20"/>
          <w:szCs w:val="20"/>
        </w:rPr>
        <w:t>ChemBioEng</w:t>
      </w:r>
      <w:proofErr w:type="spellEnd"/>
      <w:r w:rsidRPr="008700AE">
        <w:rPr>
          <w:rFonts w:ascii="Arial" w:hAnsi="Arial" w:cs="Arial"/>
          <w:sz w:val="20"/>
          <w:szCs w:val="20"/>
        </w:rPr>
        <w:t xml:space="preserve"> Rev. 2023;10(6):1006–49.</w:t>
      </w:r>
    </w:p>
    <w:p w14:paraId="12953209"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Santhanakrishnan KR, </w:t>
      </w:r>
      <w:proofErr w:type="spellStart"/>
      <w:r w:rsidRPr="008700AE">
        <w:rPr>
          <w:rFonts w:ascii="Arial" w:hAnsi="Arial" w:cs="Arial"/>
          <w:sz w:val="20"/>
          <w:szCs w:val="20"/>
        </w:rPr>
        <w:t>Koilpillai</w:t>
      </w:r>
      <w:proofErr w:type="spellEnd"/>
      <w:r w:rsidRPr="008700AE">
        <w:rPr>
          <w:rFonts w:ascii="Arial" w:hAnsi="Arial" w:cs="Arial"/>
          <w:sz w:val="20"/>
          <w:szCs w:val="20"/>
        </w:rPr>
        <w:t xml:space="preserve"> J, Narayanasamy D. PEGylation in pharmaceutical development: Current status and emerging trends in macromolecular and immunotherapeutic drugs. Cureus. 2024;16(8): e66669.</w:t>
      </w:r>
    </w:p>
    <w:p w14:paraId="00AD4CA1"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Yan S, Na J, Liu X, Wu P. Different Targeting Ligands-Mediated Drug Delivery Systems for Tumor Therapy. Pharmaceutics. 2024 Feb 7;16(2):248.</w:t>
      </w:r>
    </w:p>
    <w:p w14:paraId="1361694C"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proofErr w:type="spellStart"/>
      <w:r w:rsidRPr="008700AE">
        <w:rPr>
          <w:rFonts w:ascii="Arial" w:hAnsi="Arial" w:cs="Arial"/>
          <w:sz w:val="20"/>
          <w:szCs w:val="20"/>
        </w:rPr>
        <w:t>Badparvar</w:t>
      </w:r>
      <w:proofErr w:type="spellEnd"/>
      <w:r w:rsidRPr="008700AE">
        <w:rPr>
          <w:rFonts w:ascii="Arial" w:hAnsi="Arial" w:cs="Arial"/>
          <w:sz w:val="20"/>
          <w:szCs w:val="20"/>
        </w:rPr>
        <w:t xml:space="preserve"> F, Marjani AP, Salehi R, Ramezani F. pH/redox responsive size-switchable intelligent </w:t>
      </w:r>
      <w:proofErr w:type="spellStart"/>
      <w:r w:rsidRPr="008700AE">
        <w:rPr>
          <w:rFonts w:ascii="Arial" w:hAnsi="Arial" w:cs="Arial"/>
          <w:sz w:val="20"/>
          <w:szCs w:val="20"/>
        </w:rPr>
        <w:t>nanovehicle</w:t>
      </w:r>
      <w:proofErr w:type="spellEnd"/>
      <w:r w:rsidRPr="008700AE">
        <w:rPr>
          <w:rFonts w:ascii="Arial" w:hAnsi="Arial" w:cs="Arial"/>
          <w:sz w:val="20"/>
          <w:szCs w:val="20"/>
        </w:rPr>
        <w:t xml:space="preserve"> for </w:t>
      </w:r>
      <w:proofErr w:type="spellStart"/>
      <w:r w:rsidRPr="008700AE">
        <w:rPr>
          <w:rFonts w:ascii="Arial" w:hAnsi="Arial" w:cs="Arial"/>
          <w:sz w:val="20"/>
          <w:szCs w:val="20"/>
        </w:rPr>
        <w:t>tumor</w:t>
      </w:r>
      <w:proofErr w:type="spellEnd"/>
      <w:r w:rsidRPr="008700AE">
        <w:rPr>
          <w:rFonts w:ascii="Arial" w:hAnsi="Arial" w:cs="Arial"/>
          <w:sz w:val="20"/>
          <w:szCs w:val="20"/>
        </w:rPr>
        <w:t xml:space="preserve"> microenvironment targeted DOX release. Sci Rep. 2023;13: 22475.</w:t>
      </w:r>
    </w:p>
    <w:p w14:paraId="1B1153EB"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proofErr w:type="spellStart"/>
      <w:r w:rsidRPr="008700AE">
        <w:rPr>
          <w:rFonts w:ascii="Arial" w:hAnsi="Arial" w:cs="Arial"/>
          <w:sz w:val="20"/>
          <w:szCs w:val="20"/>
        </w:rPr>
        <w:t>Attri</w:t>
      </w:r>
      <w:proofErr w:type="spellEnd"/>
      <w:r w:rsidRPr="008700AE">
        <w:rPr>
          <w:rFonts w:ascii="Arial" w:hAnsi="Arial" w:cs="Arial"/>
          <w:sz w:val="20"/>
          <w:szCs w:val="20"/>
        </w:rPr>
        <w:t xml:space="preserve"> N, Das S, Banerjee J, Shamsuddin SH, Dash SK, Pramanik A. Liposomes to </w:t>
      </w:r>
      <w:proofErr w:type="spellStart"/>
      <w:r w:rsidRPr="008700AE">
        <w:rPr>
          <w:rFonts w:ascii="Arial" w:hAnsi="Arial" w:cs="Arial"/>
          <w:sz w:val="20"/>
          <w:szCs w:val="20"/>
        </w:rPr>
        <w:t>cubosomes</w:t>
      </w:r>
      <w:proofErr w:type="spellEnd"/>
      <w:r w:rsidRPr="008700AE">
        <w:rPr>
          <w:rFonts w:ascii="Arial" w:hAnsi="Arial" w:cs="Arial"/>
          <w:sz w:val="20"/>
          <w:szCs w:val="20"/>
        </w:rPr>
        <w:t>: The evolution of lipidic nanocarriers and their cutting-edge biomedical applications. ACS Appl Bio Mater. 2024;7(5):2677–94.</w:t>
      </w:r>
    </w:p>
    <w:p w14:paraId="02CD0C0B"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Mertins O, Mathews PD, Angelova A. Advances in the design of pH-sensitive </w:t>
      </w:r>
      <w:proofErr w:type="spellStart"/>
      <w:r w:rsidRPr="008700AE">
        <w:rPr>
          <w:rFonts w:ascii="Arial" w:hAnsi="Arial" w:cs="Arial"/>
          <w:sz w:val="20"/>
          <w:szCs w:val="20"/>
        </w:rPr>
        <w:t>cubosome</w:t>
      </w:r>
      <w:proofErr w:type="spellEnd"/>
      <w:r w:rsidRPr="008700AE">
        <w:rPr>
          <w:rFonts w:ascii="Arial" w:hAnsi="Arial" w:cs="Arial"/>
          <w:sz w:val="20"/>
          <w:szCs w:val="20"/>
        </w:rPr>
        <w:t xml:space="preserve"> liquid crystalline nanocarriers for drug delivery applications. Nanomaterials. 2020;10(5):963.</w:t>
      </w:r>
    </w:p>
    <w:p w14:paraId="0F53BD88" w14:textId="77777777" w:rsidR="008700AE" w:rsidRPr="008700AE" w:rsidRDefault="008700AE" w:rsidP="008700AE">
      <w:pPr>
        <w:pStyle w:val="ListParagraph"/>
        <w:numPr>
          <w:ilvl w:val="0"/>
          <w:numId w:val="33"/>
        </w:numPr>
        <w:spacing w:before="60" w:after="60" w:line="240" w:lineRule="auto"/>
        <w:contextualSpacing w:val="0"/>
        <w:jc w:val="both"/>
        <w:rPr>
          <w:rFonts w:ascii="Arial" w:hAnsi="Arial" w:cs="Arial"/>
          <w:sz w:val="20"/>
          <w:szCs w:val="20"/>
        </w:rPr>
      </w:pPr>
      <w:r w:rsidRPr="008700AE">
        <w:rPr>
          <w:rFonts w:ascii="Arial" w:hAnsi="Arial" w:cs="Arial"/>
          <w:sz w:val="20"/>
          <w:szCs w:val="20"/>
        </w:rPr>
        <w:t xml:space="preserve">Varghese R, Salvi S, Sood P, Kulkarni B, Kumar D. </w:t>
      </w:r>
      <w:proofErr w:type="spellStart"/>
      <w:r w:rsidRPr="008700AE">
        <w:rPr>
          <w:rFonts w:ascii="Arial" w:hAnsi="Arial" w:cs="Arial"/>
          <w:sz w:val="20"/>
          <w:szCs w:val="20"/>
        </w:rPr>
        <w:t>Cubosomes</w:t>
      </w:r>
      <w:proofErr w:type="spellEnd"/>
      <w:r w:rsidRPr="008700AE">
        <w:rPr>
          <w:rFonts w:ascii="Arial" w:hAnsi="Arial" w:cs="Arial"/>
          <w:sz w:val="20"/>
          <w:szCs w:val="20"/>
        </w:rPr>
        <w:t xml:space="preserve"> in cancer drug delivery: A review. Colloid Interface Sci Commun. 2022;46: 100561. </w:t>
      </w:r>
    </w:p>
    <w:p w14:paraId="7993E618" w14:textId="69B4E676" w:rsidR="004D4277" w:rsidRPr="00FB3A86" w:rsidRDefault="004D4277" w:rsidP="008700AE">
      <w:pPr>
        <w:pStyle w:val="Body"/>
        <w:spacing w:after="0"/>
        <w:rPr>
          <w:rFonts w:ascii="Arial" w:hAnsi="Arial" w:cs="Arial"/>
          <w:b/>
        </w:rPr>
        <w:sectPr w:rsidR="004D4277" w:rsidRPr="00FB3A86" w:rsidSect="00A17719">
          <w:headerReference w:type="even" r:id="rId15"/>
          <w:headerReference w:type="default" r:id="rId16"/>
          <w:footerReference w:type="default" r:id="rId17"/>
          <w:headerReference w:type="first" r:id="rId18"/>
          <w:type w:val="continuous"/>
          <w:pgSz w:w="12240" w:h="15840"/>
          <w:pgMar w:top="1440" w:right="2016" w:bottom="2016" w:left="2016" w:header="720" w:footer="1123" w:gutter="0"/>
          <w:cols w:space="720"/>
          <w:docGrid w:linePitch="272"/>
        </w:sectPr>
      </w:pPr>
    </w:p>
    <w:p w14:paraId="39EF23DA" w14:textId="77777777" w:rsidR="00B01FCD" w:rsidRPr="00FB3A86" w:rsidRDefault="00B01FCD" w:rsidP="00441B6F">
      <w:pPr>
        <w:pStyle w:val="Appendix"/>
        <w:spacing w:after="0"/>
        <w:jc w:val="both"/>
        <w:rPr>
          <w:rFonts w:ascii="Arial" w:hAnsi="Arial" w:cs="Arial"/>
          <w:b w:val="0"/>
        </w:rPr>
      </w:pPr>
    </w:p>
    <w:sectPr w:rsidR="00B01FCD" w:rsidRPr="00FB3A86" w:rsidSect="00A1771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4EB50" w14:textId="77777777" w:rsidR="00CF102E" w:rsidRDefault="00CF102E" w:rsidP="00C37E61">
      <w:r>
        <w:separator/>
      </w:r>
    </w:p>
  </w:endnote>
  <w:endnote w:type="continuationSeparator" w:id="0">
    <w:p w14:paraId="2F315ED2" w14:textId="77777777" w:rsidR="00CF102E" w:rsidRDefault="00CF102E"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F724" w14:textId="77777777" w:rsidR="00A17719" w:rsidRDefault="00A17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AAEBA" w14:textId="77777777" w:rsidR="00A17719" w:rsidRDefault="00A177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B9055" w14:textId="4F636162" w:rsidR="00754C9A" w:rsidRPr="00A17719" w:rsidRDefault="00754C9A" w:rsidP="00A177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B77D"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63EC5" w14:textId="77777777" w:rsidR="00CF102E" w:rsidRDefault="00CF102E" w:rsidP="00C37E61">
      <w:r>
        <w:separator/>
      </w:r>
    </w:p>
  </w:footnote>
  <w:footnote w:type="continuationSeparator" w:id="0">
    <w:p w14:paraId="088CCB44" w14:textId="77777777" w:rsidR="00CF102E" w:rsidRDefault="00CF102E"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D28CE" w14:textId="36EFC51E" w:rsidR="00A17719" w:rsidRDefault="00A17719">
    <w:pPr>
      <w:pStyle w:val="Header"/>
    </w:pPr>
    <w:r>
      <w:rPr>
        <w:noProof/>
      </w:rPr>
      <w:pict w14:anchorId="14C3CF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81688"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6647" w14:textId="7AD7D760" w:rsidR="00A17719" w:rsidRDefault="00A17719">
    <w:pPr>
      <w:pStyle w:val="Header"/>
    </w:pPr>
    <w:r>
      <w:rPr>
        <w:noProof/>
      </w:rPr>
      <w:pict w14:anchorId="1EE2B8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81689"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DC2F7" w14:textId="46AF845F" w:rsidR="00296529" w:rsidRPr="00296529" w:rsidRDefault="00A17719" w:rsidP="00296529">
    <w:pPr>
      <w:ind w:left="2160"/>
      <w:jc w:val="center"/>
      <w:rPr>
        <w:rFonts w:ascii="Times New Roman" w:eastAsia="Calibri" w:hAnsi="Times New Roman"/>
        <w:i/>
        <w:sz w:val="18"/>
        <w:szCs w:val="22"/>
      </w:rPr>
    </w:pPr>
    <w:r>
      <w:rPr>
        <w:noProof/>
      </w:rPr>
      <w:pict w14:anchorId="42D37E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81687"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42D5432"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3A03F388"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4A27B6D"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865E854"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88EAF49"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44E77C61"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B3D8E" w14:textId="18EE66E4" w:rsidR="00A17719" w:rsidRDefault="00A17719">
    <w:pPr>
      <w:pStyle w:val="Header"/>
    </w:pPr>
    <w:r>
      <w:rPr>
        <w:noProof/>
      </w:rPr>
      <w:pict w14:anchorId="2F52D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81691"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0022956E">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7E2A8" w14:textId="1F27A7F7" w:rsidR="00A17719" w:rsidRDefault="00A17719">
    <w:pPr>
      <w:pStyle w:val="Header"/>
    </w:pPr>
    <w:r>
      <w:rPr>
        <w:noProof/>
      </w:rPr>
      <w:pict w14:anchorId="3DE542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81692"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583DF75F">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BCF53" w14:textId="2B04E704" w:rsidR="00A17719" w:rsidRPr="00296529" w:rsidRDefault="00A17719" w:rsidP="00296529">
    <w:pPr>
      <w:ind w:left="2160"/>
      <w:jc w:val="center"/>
      <w:rPr>
        <w:rFonts w:ascii="Times New Roman" w:eastAsia="Calibri" w:hAnsi="Times New Roman"/>
        <w:i/>
        <w:sz w:val="18"/>
        <w:szCs w:val="22"/>
      </w:rPr>
    </w:pPr>
    <w:r>
      <w:rPr>
        <w:noProof/>
      </w:rPr>
      <w:pict w14:anchorId="26DDEE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81690"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A57198B">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ACD7739" w14:textId="77777777" w:rsidR="00A17719" w:rsidRPr="00296529" w:rsidRDefault="00A17719"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76397E6" w14:textId="77777777" w:rsidR="00A17719" w:rsidRPr="00296529" w:rsidRDefault="00A17719"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2C75CB9" w14:textId="77777777" w:rsidR="00A17719" w:rsidRPr="00296529" w:rsidRDefault="00A1771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53CFCF2" w14:textId="77777777" w:rsidR="00A17719" w:rsidRDefault="00A1771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FC0C4A7" w14:textId="77777777" w:rsidR="00A17719" w:rsidRDefault="00A1771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61451481" w14:textId="77777777" w:rsidR="00A17719" w:rsidRDefault="00A17719">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2F7443"/>
    <w:multiLevelType w:val="hybridMultilevel"/>
    <w:tmpl w:val="0A2ED3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4A318B8"/>
    <w:multiLevelType w:val="hybridMultilevel"/>
    <w:tmpl w:val="DF287CD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262072"/>
    <w:multiLevelType w:val="hybridMultilevel"/>
    <w:tmpl w:val="C12C3D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53907914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764421408">
    <w:abstractNumId w:val="17"/>
  </w:num>
  <w:num w:numId="3" w16cid:durableId="1943957436">
    <w:abstractNumId w:val="25"/>
  </w:num>
  <w:num w:numId="4" w16cid:durableId="1218854940">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871644222">
    <w:abstractNumId w:val="9"/>
  </w:num>
  <w:num w:numId="6" w16cid:durableId="938761397">
    <w:abstractNumId w:val="8"/>
  </w:num>
  <w:num w:numId="7" w16cid:durableId="2052487354">
    <w:abstractNumId w:val="3"/>
  </w:num>
  <w:num w:numId="8" w16cid:durableId="167065659">
    <w:abstractNumId w:val="14"/>
  </w:num>
  <w:num w:numId="9" w16cid:durableId="585654835">
    <w:abstractNumId w:val="27"/>
  </w:num>
  <w:num w:numId="10" w16cid:durableId="2127234460">
    <w:abstractNumId w:val="4"/>
  </w:num>
  <w:num w:numId="11" w16cid:durableId="864750206">
    <w:abstractNumId w:val="20"/>
  </w:num>
  <w:num w:numId="12" w16cid:durableId="1300497221">
    <w:abstractNumId w:val="5"/>
  </w:num>
  <w:num w:numId="13" w16cid:durableId="1818761386">
    <w:abstractNumId w:val="19"/>
  </w:num>
  <w:num w:numId="14" w16cid:durableId="1453550697">
    <w:abstractNumId w:val="10"/>
  </w:num>
  <w:num w:numId="15" w16cid:durableId="904494352">
    <w:abstractNumId w:val="23"/>
  </w:num>
  <w:num w:numId="16" w16cid:durableId="2027363844">
    <w:abstractNumId w:val="7"/>
  </w:num>
  <w:num w:numId="17" w16cid:durableId="997072254">
    <w:abstractNumId w:val="24"/>
  </w:num>
  <w:num w:numId="18" w16cid:durableId="1570530315">
    <w:abstractNumId w:val="16"/>
  </w:num>
  <w:num w:numId="19" w16cid:durableId="613249849">
    <w:abstractNumId w:val="31"/>
  </w:num>
  <w:num w:numId="20" w16cid:durableId="1731003813">
    <w:abstractNumId w:val="13"/>
  </w:num>
  <w:num w:numId="21" w16cid:durableId="1640065334">
    <w:abstractNumId w:val="11"/>
  </w:num>
  <w:num w:numId="22" w16cid:durableId="663122126">
    <w:abstractNumId w:val="15"/>
  </w:num>
  <w:num w:numId="23" w16cid:durableId="1205288162">
    <w:abstractNumId w:val="21"/>
  </w:num>
  <w:num w:numId="24" w16cid:durableId="1903827714">
    <w:abstractNumId w:val="28"/>
  </w:num>
  <w:num w:numId="25" w16cid:durableId="1164857204">
    <w:abstractNumId w:val="6"/>
  </w:num>
  <w:num w:numId="26" w16cid:durableId="372732946">
    <w:abstractNumId w:val="18"/>
  </w:num>
  <w:num w:numId="27" w16cid:durableId="1275861565">
    <w:abstractNumId w:val="22"/>
  </w:num>
  <w:num w:numId="28" w16cid:durableId="782725093">
    <w:abstractNumId w:val="29"/>
  </w:num>
  <w:num w:numId="29" w16cid:durableId="870073842">
    <w:abstractNumId w:val="26"/>
  </w:num>
  <w:num w:numId="30" w16cid:durableId="151682107">
    <w:abstractNumId w:val="12"/>
  </w:num>
  <w:num w:numId="31" w16cid:durableId="99447918">
    <w:abstractNumId w:val="30"/>
  </w:num>
  <w:num w:numId="32" w16cid:durableId="174195718">
    <w:abstractNumId w:val="1"/>
  </w:num>
  <w:num w:numId="33" w16cid:durableId="1576670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A47FA"/>
    <w:rsid w:val="000A65D3"/>
    <w:rsid w:val="000B1E33"/>
    <w:rsid w:val="000D689F"/>
    <w:rsid w:val="000E7B7B"/>
    <w:rsid w:val="000E7D62"/>
    <w:rsid w:val="000F1E45"/>
    <w:rsid w:val="00103357"/>
    <w:rsid w:val="00120262"/>
    <w:rsid w:val="00123C9F"/>
    <w:rsid w:val="00126190"/>
    <w:rsid w:val="00130F17"/>
    <w:rsid w:val="001320BF"/>
    <w:rsid w:val="001351E5"/>
    <w:rsid w:val="00163BC4"/>
    <w:rsid w:val="00191062"/>
    <w:rsid w:val="00192B72"/>
    <w:rsid w:val="001A29D8"/>
    <w:rsid w:val="001A5CAA"/>
    <w:rsid w:val="001B0427"/>
    <w:rsid w:val="001B0F4B"/>
    <w:rsid w:val="001D3A51"/>
    <w:rsid w:val="001E10D2"/>
    <w:rsid w:val="001E25B4"/>
    <w:rsid w:val="001E44FE"/>
    <w:rsid w:val="00200595"/>
    <w:rsid w:val="00204835"/>
    <w:rsid w:val="00231920"/>
    <w:rsid w:val="0023195C"/>
    <w:rsid w:val="0024282C"/>
    <w:rsid w:val="00243550"/>
    <w:rsid w:val="002460DC"/>
    <w:rsid w:val="00250985"/>
    <w:rsid w:val="002556F6"/>
    <w:rsid w:val="00283105"/>
    <w:rsid w:val="00284C4C"/>
    <w:rsid w:val="00287E68"/>
    <w:rsid w:val="00296529"/>
    <w:rsid w:val="002B27FB"/>
    <w:rsid w:val="002B685A"/>
    <w:rsid w:val="002C03FA"/>
    <w:rsid w:val="002C57D2"/>
    <w:rsid w:val="002E0D56"/>
    <w:rsid w:val="00315186"/>
    <w:rsid w:val="0033343E"/>
    <w:rsid w:val="00342E49"/>
    <w:rsid w:val="003512C2"/>
    <w:rsid w:val="00371FB6"/>
    <w:rsid w:val="003763C1"/>
    <w:rsid w:val="00376BBE"/>
    <w:rsid w:val="00383498"/>
    <w:rsid w:val="0039224F"/>
    <w:rsid w:val="003A3FA3"/>
    <w:rsid w:val="003A43A4"/>
    <w:rsid w:val="003A7E18"/>
    <w:rsid w:val="003C4C86"/>
    <w:rsid w:val="003C6258"/>
    <w:rsid w:val="003E2904"/>
    <w:rsid w:val="00401927"/>
    <w:rsid w:val="0041027F"/>
    <w:rsid w:val="00412475"/>
    <w:rsid w:val="00423789"/>
    <w:rsid w:val="00433603"/>
    <w:rsid w:val="00440F43"/>
    <w:rsid w:val="00441B6F"/>
    <w:rsid w:val="00446221"/>
    <w:rsid w:val="00450E62"/>
    <w:rsid w:val="004539DB"/>
    <w:rsid w:val="00471A80"/>
    <w:rsid w:val="004C4E28"/>
    <w:rsid w:val="004D305E"/>
    <w:rsid w:val="004D4277"/>
    <w:rsid w:val="00502516"/>
    <w:rsid w:val="00505F06"/>
    <w:rsid w:val="00506828"/>
    <w:rsid w:val="0052375E"/>
    <w:rsid w:val="0053056E"/>
    <w:rsid w:val="00554FDA"/>
    <w:rsid w:val="005B23CB"/>
    <w:rsid w:val="005B38D1"/>
    <w:rsid w:val="005C4443"/>
    <w:rsid w:val="005C784C"/>
    <w:rsid w:val="005D17F6"/>
    <w:rsid w:val="005E5539"/>
    <w:rsid w:val="00602BF5"/>
    <w:rsid w:val="00617FDD"/>
    <w:rsid w:val="00623636"/>
    <w:rsid w:val="00633614"/>
    <w:rsid w:val="00633F68"/>
    <w:rsid w:val="00636EB2"/>
    <w:rsid w:val="006375B8"/>
    <w:rsid w:val="0066510A"/>
    <w:rsid w:val="00673F9F"/>
    <w:rsid w:val="00686953"/>
    <w:rsid w:val="00687DEA"/>
    <w:rsid w:val="00687E67"/>
    <w:rsid w:val="006967F7"/>
    <w:rsid w:val="006A250C"/>
    <w:rsid w:val="006A7383"/>
    <w:rsid w:val="006B21D3"/>
    <w:rsid w:val="006B57D0"/>
    <w:rsid w:val="006D30FF"/>
    <w:rsid w:val="006D6940"/>
    <w:rsid w:val="006F11EC"/>
    <w:rsid w:val="0070082C"/>
    <w:rsid w:val="007369E6"/>
    <w:rsid w:val="00746E59"/>
    <w:rsid w:val="00754C9A"/>
    <w:rsid w:val="0075599A"/>
    <w:rsid w:val="00761D52"/>
    <w:rsid w:val="0077749E"/>
    <w:rsid w:val="00790ADA"/>
    <w:rsid w:val="007D2288"/>
    <w:rsid w:val="007E088F"/>
    <w:rsid w:val="007F5AC3"/>
    <w:rsid w:val="007F7B32"/>
    <w:rsid w:val="0080458F"/>
    <w:rsid w:val="00804BC2"/>
    <w:rsid w:val="0081431A"/>
    <w:rsid w:val="00831C0E"/>
    <w:rsid w:val="0083216F"/>
    <w:rsid w:val="00843CD9"/>
    <w:rsid w:val="00860000"/>
    <w:rsid w:val="00863BD3"/>
    <w:rsid w:val="008641ED"/>
    <w:rsid w:val="00866D66"/>
    <w:rsid w:val="008671C6"/>
    <w:rsid w:val="008700AE"/>
    <w:rsid w:val="00875803"/>
    <w:rsid w:val="008B459E"/>
    <w:rsid w:val="008D1D63"/>
    <w:rsid w:val="008D6E75"/>
    <w:rsid w:val="008E13AE"/>
    <w:rsid w:val="008E1506"/>
    <w:rsid w:val="008E710C"/>
    <w:rsid w:val="008F69D6"/>
    <w:rsid w:val="00902823"/>
    <w:rsid w:val="00902DBE"/>
    <w:rsid w:val="009125BB"/>
    <w:rsid w:val="00915CA6"/>
    <w:rsid w:val="00926A7D"/>
    <w:rsid w:val="00927834"/>
    <w:rsid w:val="009459DF"/>
    <w:rsid w:val="00947657"/>
    <w:rsid w:val="009500A6"/>
    <w:rsid w:val="00957C18"/>
    <w:rsid w:val="009659BA"/>
    <w:rsid w:val="00970BDB"/>
    <w:rsid w:val="00983040"/>
    <w:rsid w:val="00985E76"/>
    <w:rsid w:val="009B3FB9"/>
    <w:rsid w:val="009C2465"/>
    <w:rsid w:val="009D35A0"/>
    <w:rsid w:val="009D7EB7"/>
    <w:rsid w:val="009E048A"/>
    <w:rsid w:val="009E08E9"/>
    <w:rsid w:val="009E3DB9"/>
    <w:rsid w:val="009E6E35"/>
    <w:rsid w:val="009F0EDA"/>
    <w:rsid w:val="00A03B96"/>
    <w:rsid w:val="00A05B19"/>
    <w:rsid w:val="00A1134E"/>
    <w:rsid w:val="00A17719"/>
    <w:rsid w:val="00A24E7E"/>
    <w:rsid w:val="00A258C3"/>
    <w:rsid w:val="00A347C0"/>
    <w:rsid w:val="00A51431"/>
    <w:rsid w:val="00A539AD"/>
    <w:rsid w:val="00A61BA0"/>
    <w:rsid w:val="00A919AF"/>
    <w:rsid w:val="00A94063"/>
    <w:rsid w:val="00AA6219"/>
    <w:rsid w:val="00AA74E0"/>
    <w:rsid w:val="00AB703F"/>
    <w:rsid w:val="00AC6BB8"/>
    <w:rsid w:val="00AE008F"/>
    <w:rsid w:val="00AE02BF"/>
    <w:rsid w:val="00AE05A6"/>
    <w:rsid w:val="00B01FCD"/>
    <w:rsid w:val="00B1776C"/>
    <w:rsid w:val="00B52583"/>
    <w:rsid w:val="00B52896"/>
    <w:rsid w:val="00B56B5C"/>
    <w:rsid w:val="00B60786"/>
    <w:rsid w:val="00B95236"/>
    <w:rsid w:val="00B96BD9"/>
    <w:rsid w:val="00BA1B01"/>
    <w:rsid w:val="00BA2641"/>
    <w:rsid w:val="00BB37AA"/>
    <w:rsid w:val="00BC53A0"/>
    <w:rsid w:val="00BE62AD"/>
    <w:rsid w:val="00BF121F"/>
    <w:rsid w:val="00BF1F80"/>
    <w:rsid w:val="00C150CD"/>
    <w:rsid w:val="00C166EF"/>
    <w:rsid w:val="00C17EB0"/>
    <w:rsid w:val="00C27F5F"/>
    <w:rsid w:val="00C30A0F"/>
    <w:rsid w:val="00C37E61"/>
    <w:rsid w:val="00C70F1B"/>
    <w:rsid w:val="00C71A47"/>
    <w:rsid w:val="00C7464C"/>
    <w:rsid w:val="00C85588"/>
    <w:rsid w:val="00CD6755"/>
    <w:rsid w:val="00CD6856"/>
    <w:rsid w:val="00CE0089"/>
    <w:rsid w:val="00CE793C"/>
    <w:rsid w:val="00CF102E"/>
    <w:rsid w:val="00CF193C"/>
    <w:rsid w:val="00D173F1"/>
    <w:rsid w:val="00D74CB0"/>
    <w:rsid w:val="00D8295D"/>
    <w:rsid w:val="00DC2A65"/>
    <w:rsid w:val="00DE15F0"/>
    <w:rsid w:val="00DE5663"/>
    <w:rsid w:val="00DE78AA"/>
    <w:rsid w:val="00DE7BCB"/>
    <w:rsid w:val="00DF2395"/>
    <w:rsid w:val="00E053D0"/>
    <w:rsid w:val="00E15994"/>
    <w:rsid w:val="00E3114E"/>
    <w:rsid w:val="00E31A70"/>
    <w:rsid w:val="00E35B02"/>
    <w:rsid w:val="00E66496"/>
    <w:rsid w:val="00E66B35"/>
    <w:rsid w:val="00E66E10"/>
    <w:rsid w:val="00E75478"/>
    <w:rsid w:val="00E769F6"/>
    <w:rsid w:val="00E8407C"/>
    <w:rsid w:val="00E84F3C"/>
    <w:rsid w:val="00EA012C"/>
    <w:rsid w:val="00EA3F0B"/>
    <w:rsid w:val="00EC6A55"/>
    <w:rsid w:val="00ED0288"/>
    <w:rsid w:val="00ED2784"/>
    <w:rsid w:val="00EE2D63"/>
    <w:rsid w:val="00EE52CB"/>
    <w:rsid w:val="00EF581D"/>
    <w:rsid w:val="00EF7FD8"/>
    <w:rsid w:val="00F06F59"/>
    <w:rsid w:val="00F17988"/>
    <w:rsid w:val="00F469F0"/>
    <w:rsid w:val="00F53273"/>
    <w:rsid w:val="00F755E4"/>
    <w:rsid w:val="00F77D02"/>
    <w:rsid w:val="00FA33FD"/>
    <w:rsid w:val="00FB2652"/>
    <w:rsid w:val="00FB3A86"/>
    <w:rsid w:val="00FC0B2C"/>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A94CCC"/>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unhideWhenUsed/>
    <w:qFormat/>
    <w:rsid w:val="000F1E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902DB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902DBE"/>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rsid w:val="000F1E45"/>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qFormat/>
    <w:rsid w:val="00985E76"/>
    <w:pPr>
      <w:spacing w:after="160" w:line="259" w:lineRule="auto"/>
      <w:ind w:left="720"/>
      <w:contextualSpacing/>
    </w:pPr>
    <w:rPr>
      <w:rFonts w:asciiTheme="minorHAnsi" w:eastAsiaTheme="minorHAnsi" w:hAnsiTheme="minorHAnsi" w:cstheme="minorBidi"/>
      <w:kern w:val="2"/>
      <w:sz w:val="22"/>
      <w:szCs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7</TotalTime>
  <Pages>18</Pages>
  <Words>6892</Words>
  <Characters>39290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46090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9</cp:revision>
  <cp:lastPrinted>1999-07-06T11:00:00Z</cp:lastPrinted>
  <dcterms:created xsi:type="dcterms:W3CDTF">2026-06-22T08:50:00Z</dcterms:created>
  <dcterms:modified xsi:type="dcterms:W3CDTF">2026-06-24T11:12:00Z</dcterms:modified>
</cp:coreProperties>
</file>