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D487" w14:textId="77777777" w:rsidR="000848CC" w:rsidRDefault="000848CC" w:rsidP="00CA63A7">
      <w:pPr>
        <w:spacing w:line="360" w:lineRule="auto"/>
        <w:jc w:val="center"/>
        <w:rPr>
          <w:rFonts w:ascii="Times New Roman" w:hAnsi="Times New Roman" w:cs="Times New Roman"/>
          <w:b/>
          <w:bCs/>
          <w:sz w:val="28"/>
          <w:szCs w:val="28"/>
        </w:rPr>
      </w:pPr>
      <w:r w:rsidRPr="00CA63A7">
        <w:rPr>
          <w:rFonts w:ascii="Times New Roman" w:hAnsi="Times New Roman" w:cs="Times New Roman"/>
          <w:b/>
          <w:bCs/>
          <w:sz w:val="28"/>
          <w:szCs w:val="28"/>
        </w:rPr>
        <w:t>Effect of Internal Control Systems on Fraud Prevention in Nigerian Deposit Money Banks</w:t>
      </w:r>
    </w:p>
    <w:p w14:paraId="38964A83" w14:textId="77777777" w:rsidR="002D3500" w:rsidRDefault="002D3500" w:rsidP="00CA63A7">
      <w:pPr>
        <w:spacing w:line="360" w:lineRule="auto"/>
        <w:jc w:val="both"/>
        <w:rPr>
          <w:rFonts w:ascii="Times New Roman" w:hAnsi="Times New Roman" w:cs="Times New Roman"/>
          <w:b/>
          <w:bCs/>
          <w:sz w:val="28"/>
          <w:szCs w:val="28"/>
        </w:rPr>
      </w:pPr>
    </w:p>
    <w:p w14:paraId="5A59D6B3" w14:textId="27DF3238" w:rsidR="000848CC" w:rsidRPr="00CA63A7" w:rsidRDefault="000848CC" w:rsidP="00CA63A7">
      <w:pPr>
        <w:spacing w:line="360" w:lineRule="auto"/>
        <w:jc w:val="both"/>
        <w:rPr>
          <w:rFonts w:ascii="Times New Roman" w:hAnsi="Times New Roman" w:cs="Times New Roman"/>
          <w:b/>
          <w:bCs/>
          <w:sz w:val="28"/>
          <w:szCs w:val="28"/>
        </w:rPr>
      </w:pPr>
      <w:r w:rsidRPr="00CA63A7">
        <w:rPr>
          <w:rFonts w:ascii="Times New Roman" w:hAnsi="Times New Roman" w:cs="Times New Roman"/>
          <w:b/>
          <w:bCs/>
          <w:sz w:val="28"/>
          <w:szCs w:val="28"/>
        </w:rPr>
        <w:t>Abstract</w:t>
      </w:r>
    </w:p>
    <w:p w14:paraId="1956E224" w14:textId="77777777" w:rsidR="006A08CF" w:rsidRPr="006A08CF" w:rsidRDefault="006A08CF" w:rsidP="006A08CF">
      <w:pPr>
        <w:spacing w:line="360" w:lineRule="auto"/>
        <w:jc w:val="both"/>
        <w:rPr>
          <w:rFonts w:ascii="Times New Roman" w:hAnsi="Times New Roman" w:cs="Times New Roman"/>
        </w:rPr>
      </w:pPr>
      <w:r w:rsidRPr="006A08CF">
        <w:rPr>
          <w:rFonts w:ascii="Times New Roman" w:hAnsi="Times New Roman" w:cs="Times New Roman"/>
        </w:rPr>
        <w:t>This study investigates the effect of internal control systems, which are conceptualized based on the five components of COSO Integrated Framework (control environment, risk assessment, control activities, information and communication, and monitoring activities) on fraud prevention in listed Nigerian deposit money banks. Secondary data obtained from the audited annual report of 14 purposively selected banks for the period of 2019 to 2024, supplemented with Central Bank of Nigeria supervision reports and publications of the Nigeria Deposit Insurance Corporation. Fraud prevention was assessed based on the occurrence ratio of fraud, which is fraud losses scaled by total assets, and each component of internal control was assessed using a disclosure-based index derived from the corporate governance and risk reports. A Hausman specification test supported a fixed effects panel regression, while multicollinearity, heteroscedasticity and serial correlation tests were passed. The results indicate that control activities and monitoring activities have the most negative and statistically significant impact on fraud occurrence, control environment and information and communication have smaller but statistically significant negative impact, and risk assessment has no statistically significant impact. The model accounts for a significant proportion of the variation in fraud occurrence among the panel members and the results are robust to an alternative measure of fraud and to a lagged specification of the control variables. The findings suggest that the operational and oversight aspects of internal control are more effective in preventing fraud in Nigerian banks than the risk identification aspect of internal control. The study suggests that bank boards should focus on transaction-level controls and ongoing monitoring and that regulators should be more attentive to the effectiveness of the controls disclosed, rather than their existence.</w:t>
      </w:r>
    </w:p>
    <w:p w14:paraId="352E30FB" w14:textId="77777777" w:rsidR="006A08CF" w:rsidRPr="006A08CF" w:rsidRDefault="006A08CF" w:rsidP="006A08CF">
      <w:pPr>
        <w:spacing w:line="360" w:lineRule="auto"/>
        <w:jc w:val="both"/>
        <w:rPr>
          <w:rFonts w:ascii="Times New Roman" w:hAnsi="Times New Roman" w:cs="Times New Roman"/>
        </w:rPr>
      </w:pPr>
      <w:r w:rsidRPr="006A08CF">
        <w:rPr>
          <w:rFonts w:ascii="Times New Roman" w:hAnsi="Times New Roman" w:cs="Times New Roman"/>
          <w:b/>
          <w:bCs/>
        </w:rPr>
        <w:t>Keywords:</w:t>
      </w:r>
      <w:r w:rsidRPr="006A08CF">
        <w:rPr>
          <w:rFonts w:ascii="Times New Roman" w:hAnsi="Times New Roman" w:cs="Times New Roman"/>
        </w:rPr>
        <w:t xml:space="preserve"> Internal Control Systems, Fraud Prevention, COSO Framework, Deposit Money Banks, Panel Regression, Nigeria</w:t>
      </w:r>
    </w:p>
    <w:p w14:paraId="499A6DB2" w14:textId="644CFE0D" w:rsidR="000848CC" w:rsidRPr="00CA63A7" w:rsidRDefault="00DC166F" w:rsidP="00CA63A7">
      <w:pPr>
        <w:spacing w:line="360" w:lineRule="auto"/>
        <w:jc w:val="both"/>
        <w:rPr>
          <w:rFonts w:ascii="Times New Roman" w:hAnsi="Times New Roman" w:cs="Times New Roman"/>
          <w:b/>
          <w:bCs/>
          <w:sz w:val="28"/>
          <w:szCs w:val="28"/>
        </w:rPr>
      </w:pPr>
      <w:r w:rsidRPr="00DC166F">
        <w:rPr>
          <w:rFonts w:ascii="Times New Roman" w:hAnsi="Times New Roman" w:cs="Times New Roman"/>
          <w:b/>
          <w:bCs/>
          <w:sz w:val="28"/>
          <w:szCs w:val="28"/>
        </w:rPr>
        <w:t>1.0</w:t>
      </w:r>
      <w:r>
        <w:rPr>
          <w:rFonts w:ascii="Times New Roman" w:hAnsi="Times New Roman" w:cs="Times New Roman"/>
          <w:b/>
          <w:bCs/>
          <w:sz w:val="28"/>
          <w:szCs w:val="28"/>
        </w:rPr>
        <w:t xml:space="preserve"> </w:t>
      </w:r>
      <w:r w:rsidR="000848CC" w:rsidRPr="00CA63A7">
        <w:rPr>
          <w:rFonts w:ascii="Times New Roman" w:hAnsi="Times New Roman" w:cs="Times New Roman"/>
          <w:b/>
          <w:bCs/>
          <w:sz w:val="28"/>
          <w:szCs w:val="28"/>
        </w:rPr>
        <w:t>Introduction</w:t>
      </w:r>
    </w:p>
    <w:p w14:paraId="3DDAAE24" w14:textId="77777777" w:rsidR="006A08CF" w:rsidRPr="006A08CF" w:rsidRDefault="006A08CF" w:rsidP="006A08CF">
      <w:pPr>
        <w:spacing w:line="360" w:lineRule="auto"/>
        <w:jc w:val="both"/>
        <w:rPr>
          <w:rFonts w:ascii="Times New Roman" w:hAnsi="Times New Roman" w:cs="Times New Roman"/>
        </w:rPr>
      </w:pPr>
      <w:r w:rsidRPr="006A08CF">
        <w:rPr>
          <w:rFonts w:ascii="Times New Roman" w:hAnsi="Times New Roman" w:cs="Times New Roman"/>
        </w:rPr>
        <w:lastRenderedPageBreak/>
        <w:t>The integrity of Nigeria's deposit money banks is a key determinant of the stability of Nigeria's financial system, as they facilitate the majority of formal financial transactions in the country. The industry has seen a disturbing trend of fraud over the last 10 years, including cash suppression schemes with insiders, fraudulent transfers and increasingly complex electronic and mobile channel fraud schemes. Despite a decline in the number of reported fraud cases, Nigerian banks suffered losses of N52.26 billion in 2024 due to the increased cost of individual frauds, as low-value frauds were detected (Catherine, 2025). This decline in cases and losses suggests a structural problem in bank control rather than just an enforcement failure and is what drives the current study.</w:t>
      </w:r>
    </w:p>
    <w:p w14:paraId="09576F3A" w14:textId="77777777" w:rsidR="006A08CF" w:rsidRPr="006A08CF" w:rsidRDefault="006A08CF" w:rsidP="006A08CF">
      <w:pPr>
        <w:spacing w:line="360" w:lineRule="auto"/>
        <w:jc w:val="both"/>
        <w:rPr>
          <w:rFonts w:ascii="Times New Roman" w:hAnsi="Times New Roman" w:cs="Times New Roman"/>
        </w:rPr>
      </w:pPr>
      <w:r w:rsidRPr="006A08CF">
        <w:rPr>
          <w:rFonts w:ascii="Times New Roman" w:hAnsi="Times New Roman" w:cs="Times New Roman"/>
        </w:rPr>
        <w:t xml:space="preserve">The most popular reference document for designing and assessing internal control systems is the COSO Integrated Framework, which breaks internal control into five interrelated components: control environment, risk assessment, control activities, information and communication, and monitoring activities (COSO, 2023). Every component tackles a different aspect of fraud risk. The control environment sets the tone and culture for ethics in an institution, risk assessment defines the areas where fraud is likely to occur, control activities convert policy into segregation of duties, access limits and </w:t>
      </w:r>
      <w:proofErr w:type="spellStart"/>
      <w:r w:rsidRPr="006A08CF">
        <w:rPr>
          <w:rFonts w:ascii="Times New Roman" w:hAnsi="Times New Roman" w:cs="Times New Roman"/>
        </w:rPr>
        <w:t>authorisation</w:t>
      </w:r>
      <w:proofErr w:type="spellEnd"/>
      <w:r w:rsidRPr="006A08CF">
        <w:rPr>
          <w:rFonts w:ascii="Times New Roman" w:hAnsi="Times New Roman" w:cs="Times New Roman"/>
        </w:rPr>
        <w:t xml:space="preserve">, opportunity is closed off and information and communication ensures that red flags are communicated to those who can act on them, and monitoring activities are the continuous evaluation that will detect control weaknesses before they escalate into losses. There is a body of growing research that has examined the explanatory power of these components, but there is some mixed evidence as to which component is most important. The five components did not have a consistent impact on fraud prevention in the case of Nigerian deposit money banks studied by </w:t>
      </w:r>
      <w:proofErr w:type="spellStart"/>
      <w:r w:rsidRPr="006A08CF">
        <w:rPr>
          <w:rFonts w:ascii="Times New Roman" w:hAnsi="Times New Roman" w:cs="Times New Roman"/>
        </w:rPr>
        <w:t>Fabiyi</w:t>
      </w:r>
      <w:proofErr w:type="spellEnd"/>
      <w:r w:rsidRPr="006A08CF">
        <w:rPr>
          <w:rFonts w:ascii="Times New Roman" w:hAnsi="Times New Roman" w:cs="Times New Roman"/>
        </w:rPr>
        <w:t xml:space="preserve"> et al. (2025), and </w:t>
      </w:r>
      <w:proofErr w:type="spellStart"/>
      <w:r w:rsidRPr="006A08CF">
        <w:rPr>
          <w:rFonts w:ascii="Times New Roman" w:hAnsi="Times New Roman" w:cs="Times New Roman"/>
        </w:rPr>
        <w:t>Koutoupis</w:t>
      </w:r>
      <w:proofErr w:type="spellEnd"/>
      <w:r w:rsidRPr="006A08CF">
        <w:rPr>
          <w:rFonts w:ascii="Times New Roman" w:hAnsi="Times New Roman" w:cs="Times New Roman"/>
        </w:rPr>
        <w:t xml:space="preserve"> and </w:t>
      </w:r>
      <w:proofErr w:type="spellStart"/>
      <w:r w:rsidRPr="006A08CF">
        <w:rPr>
          <w:rFonts w:ascii="Times New Roman" w:hAnsi="Times New Roman" w:cs="Times New Roman"/>
        </w:rPr>
        <w:t>Malisiovas</w:t>
      </w:r>
      <w:proofErr w:type="spellEnd"/>
      <w:r w:rsidRPr="006A08CF">
        <w:rPr>
          <w:rFonts w:ascii="Times New Roman" w:hAnsi="Times New Roman" w:cs="Times New Roman"/>
        </w:rPr>
        <w:t xml:space="preserve"> (2023) found that control activities and information and communication had significantly more empirical weight than risk assessment when studying over two hundred United States bank holding companies. These differences, against the backdrop of recent losses in Nigeria due to fraud, warrant a new panel investigation based on audited financial and disclosure information, not perception-based survey instruments.</w:t>
      </w:r>
    </w:p>
    <w:p w14:paraId="3F434CDB" w14:textId="24696264" w:rsidR="006A08CF" w:rsidRDefault="006A08CF" w:rsidP="006A08CF">
      <w:pPr>
        <w:spacing w:line="360" w:lineRule="auto"/>
        <w:jc w:val="both"/>
        <w:rPr>
          <w:rFonts w:ascii="Times New Roman" w:hAnsi="Times New Roman" w:cs="Times New Roman"/>
        </w:rPr>
      </w:pPr>
      <w:r>
        <w:rPr>
          <w:rFonts w:ascii="Times New Roman" w:hAnsi="Times New Roman" w:cs="Times New Roman"/>
          <w:b/>
          <w:bCs/>
        </w:rPr>
        <w:t xml:space="preserve">1.1 </w:t>
      </w:r>
      <w:r w:rsidRPr="00CA63A7">
        <w:rPr>
          <w:rFonts w:ascii="Times New Roman" w:hAnsi="Times New Roman" w:cs="Times New Roman"/>
          <w:b/>
          <w:bCs/>
        </w:rPr>
        <w:t>Statement of the Problem.</w:t>
      </w:r>
      <w:r w:rsidRPr="00CA63A7">
        <w:rPr>
          <w:rFonts w:ascii="Times New Roman" w:hAnsi="Times New Roman" w:cs="Times New Roman"/>
        </w:rPr>
        <w:t xml:space="preserve"> </w:t>
      </w:r>
      <w:r w:rsidR="00572DAC" w:rsidRPr="00572DAC">
        <w:rPr>
          <w:rFonts w:ascii="Times New Roman" w:hAnsi="Times New Roman" w:cs="Times New Roman"/>
        </w:rPr>
        <w:t>Although Nigerian deposit money banks have made substantial investments in internal control infrastructure, fraud losses have continued to increase over recent years, suggesting that stronger internal control systems do not necessarily translate into effective fraud prevention. This indicates that the relationship between internal control strength and fraud prevention is more complex than suggested in existing policy documents.</w:t>
      </w:r>
      <w:r w:rsidR="00572DAC">
        <w:rPr>
          <w:rFonts w:ascii="Times New Roman" w:hAnsi="Times New Roman" w:cs="Times New Roman"/>
        </w:rPr>
        <w:t xml:space="preserve"> </w:t>
      </w:r>
      <w:r w:rsidRPr="006A08CF">
        <w:rPr>
          <w:rFonts w:ascii="Times New Roman" w:hAnsi="Times New Roman" w:cs="Times New Roman"/>
        </w:rPr>
        <w:t xml:space="preserve">The current Nigerian </w:t>
      </w:r>
      <w:r w:rsidRPr="006A08CF">
        <w:rPr>
          <w:rFonts w:ascii="Times New Roman" w:hAnsi="Times New Roman" w:cs="Times New Roman"/>
        </w:rPr>
        <w:lastRenderedPageBreak/>
        <w:t>literature focuses on either a composite measure of internal control or the testing of only two or three of the five components of COSO separately, thereby masking the differential strength of the evidence found across countries. Furthermore, the most devastating surge in bank fraud losses in Nigeria, which occurred in 2023-2024, falls outside the period of observation of most of the previous studies. The problem in this study is the identification of the most effective components of internal control to prevent the occurrence of fraud in Nigerian deposit money banks on a panel of multi-years.</w:t>
      </w:r>
    </w:p>
    <w:p w14:paraId="4FF70F91" w14:textId="77777777" w:rsidR="00B52E3E" w:rsidRDefault="00DC166F" w:rsidP="00CA63A7">
      <w:pPr>
        <w:spacing w:line="360" w:lineRule="auto"/>
        <w:jc w:val="both"/>
        <w:rPr>
          <w:rFonts w:ascii="Times New Roman" w:hAnsi="Times New Roman" w:cs="Times New Roman"/>
        </w:rPr>
      </w:pPr>
      <w:r>
        <w:rPr>
          <w:rFonts w:ascii="Times New Roman" w:hAnsi="Times New Roman" w:cs="Times New Roman"/>
          <w:b/>
          <w:bCs/>
        </w:rPr>
        <w:t xml:space="preserve">1.2 </w:t>
      </w:r>
      <w:r w:rsidR="000848CC" w:rsidRPr="00CA63A7">
        <w:rPr>
          <w:rFonts w:ascii="Times New Roman" w:hAnsi="Times New Roman" w:cs="Times New Roman"/>
          <w:b/>
          <w:bCs/>
        </w:rPr>
        <w:t>Research Objectives.</w:t>
      </w:r>
      <w:r w:rsidR="000848CC" w:rsidRPr="00CA63A7">
        <w:rPr>
          <w:rFonts w:ascii="Times New Roman" w:hAnsi="Times New Roman" w:cs="Times New Roman"/>
        </w:rPr>
        <w:t xml:space="preserve"> </w:t>
      </w:r>
      <w:r w:rsidR="00B52E3E" w:rsidRPr="00B52E3E">
        <w:rPr>
          <w:rFonts w:ascii="Times New Roman" w:hAnsi="Times New Roman" w:cs="Times New Roman"/>
        </w:rPr>
        <w:t xml:space="preserve">The study aims to: (1) </w:t>
      </w:r>
      <w:proofErr w:type="spellStart"/>
      <w:r w:rsidR="00B52E3E" w:rsidRPr="00B52E3E">
        <w:rPr>
          <w:rFonts w:ascii="Times New Roman" w:hAnsi="Times New Roman" w:cs="Times New Roman"/>
        </w:rPr>
        <w:t>analyse</w:t>
      </w:r>
      <w:proofErr w:type="spellEnd"/>
      <w:r w:rsidR="00B52E3E" w:rsidRPr="00B52E3E">
        <w:rPr>
          <w:rFonts w:ascii="Times New Roman" w:hAnsi="Times New Roman" w:cs="Times New Roman"/>
        </w:rPr>
        <w:t xml:space="preserve"> the impact of control environment on fraud prevention in listed Nigerian deposit money banks; (2) </w:t>
      </w:r>
      <w:proofErr w:type="spellStart"/>
      <w:r w:rsidR="00B52E3E" w:rsidRPr="00B52E3E">
        <w:rPr>
          <w:rFonts w:ascii="Times New Roman" w:hAnsi="Times New Roman" w:cs="Times New Roman"/>
        </w:rPr>
        <w:t>analyse</w:t>
      </w:r>
      <w:proofErr w:type="spellEnd"/>
      <w:r w:rsidR="00B52E3E" w:rsidRPr="00B52E3E">
        <w:rPr>
          <w:rFonts w:ascii="Times New Roman" w:hAnsi="Times New Roman" w:cs="Times New Roman"/>
        </w:rPr>
        <w:t xml:space="preserve"> the impact of risk assessment on fraud prevention in the same banks; (3) </w:t>
      </w:r>
      <w:proofErr w:type="spellStart"/>
      <w:r w:rsidR="00B52E3E" w:rsidRPr="00B52E3E">
        <w:rPr>
          <w:rFonts w:ascii="Times New Roman" w:hAnsi="Times New Roman" w:cs="Times New Roman"/>
        </w:rPr>
        <w:t>analyse</w:t>
      </w:r>
      <w:proofErr w:type="spellEnd"/>
      <w:r w:rsidR="00B52E3E" w:rsidRPr="00B52E3E">
        <w:rPr>
          <w:rFonts w:ascii="Times New Roman" w:hAnsi="Times New Roman" w:cs="Times New Roman"/>
        </w:rPr>
        <w:t xml:space="preserve"> the impact of control activities on fraud prevention; (4) </w:t>
      </w:r>
      <w:proofErr w:type="spellStart"/>
      <w:r w:rsidR="00B52E3E" w:rsidRPr="00B52E3E">
        <w:rPr>
          <w:rFonts w:ascii="Times New Roman" w:hAnsi="Times New Roman" w:cs="Times New Roman"/>
        </w:rPr>
        <w:t>analyse</w:t>
      </w:r>
      <w:proofErr w:type="spellEnd"/>
      <w:r w:rsidR="00B52E3E" w:rsidRPr="00B52E3E">
        <w:rPr>
          <w:rFonts w:ascii="Times New Roman" w:hAnsi="Times New Roman" w:cs="Times New Roman"/>
        </w:rPr>
        <w:t xml:space="preserve"> the impact of information and communication on fraud prevention; and (5) </w:t>
      </w:r>
      <w:proofErr w:type="spellStart"/>
      <w:r w:rsidR="00B52E3E" w:rsidRPr="00B52E3E">
        <w:rPr>
          <w:rFonts w:ascii="Times New Roman" w:hAnsi="Times New Roman" w:cs="Times New Roman"/>
        </w:rPr>
        <w:t>analyse</w:t>
      </w:r>
      <w:proofErr w:type="spellEnd"/>
      <w:r w:rsidR="00B52E3E" w:rsidRPr="00B52E3E">
        <w:rPr>
          <w:rFonts w:ascii="Times New Roman" w:hAnsi="Times New Roman" w:cs="Times New Roman"/>
        </w:rPr>
        <w:t xml:space="preserve"> the impact of monitoring activities on fraud prevention.</w:t>
      </w:r>
    </w:p>
    <w:p w14:paraId="5C5C2E8B" w14:textId="2B88EB77" w:rsidR="00B52E3E" w:rsidRDefault="00DC166F" w:rsidP="00CA63A7">
      <w:pPr>
        <w:spacing w:line="360" w:lineRule="auto"/>
        <w:jc w:val="both"/>
        <w:rPr>
          <w:rFonts w:ascii="Times New Roman" w:hAnsi="Times New Roman" w:cs="Times New Roman"/>
        </w:rPr>
      </w:pPr>
      <w:r>
        <w:rPr>
          <w:rFonts w:ascii="Times New Roman" w:hAnsi="Times New Roman" w:cs="Times New Roman"/>
          <w:b/>
          <w:bCs/>
        </w:rPr>
        <w:t xml:space="preserve">1.3 </w:t>
      </w:r>
      <w:r w:rsidR="000848CC" w:rsidRPr="00CA63A7">
        <w:rPr>
          <w:rFonts w:ascii="Times New Roman" w:hAnsi="Times New Roman" w:cs="Times New Roman"/>
          <w:b/>
          <w:bCs/>
        </w:rPr>
        <w:t>Research Hypotheses.</w:t>
      </w:r>
      <w:r w:rsidR="000848CC" w:rsidRPr="00CA63A7">
        <w:rPr>
          <w:rFonts w:ascii="Times New Roman" w:hAnsi="Times New Roman" w:cs="Times New Roman"/>
        </w:rPr>
        <w:t xml:space="preserve"> </w:t>
      </w:r>
      <w:r w:rsidR="00B52E3E" w:rsidRPr="00B52E3E">
        <w:rPr>
          <w:rFonts w:ascii="Times New Roman" w:hAnsi="Times New Roman" w:cs="Times New Roman"/>
        </w:rPr>
        <w:t>H0</w:t>
      </w:r>
      <w:r w:rsidR="00B52E3E">
        <w:rPr>
          <w:rFonts w:ascii="Times New Roman" w:hAnsi="Times New Roman" w:cs="Times New Roman"/>
        </w:rPr>
        <w:t>1</w:t>
      </w:r>
      <w:r w:rsidR="00B52E3E" w:rsidRPr="00B52E3E">
        <w:rPr>
          <w:rFonts w:ascii="Times New Roman" w:hAnsi="Times New Roman" w:cs="Times New Roman"/>
        </w:rPr>
        <w:t xml:space="preserve">: The control environment is not a significant factor to fraud prevention in listed Nigerian deposit money banks. H02: The risk assessment does not significantly influence fraud prevention. H03: Control activities make little difference to fraud prevention. H04: Information and communication </w:t>
      </w:r>
      <w:proofErr w:type="gramStart"/>
      <w:r w:rsidR="00B52E3E" w:rsidRPr="00B52E3E">
        <w:rPr>
          <w:rFonts w:ascii="Times New Roman" w:hAnsi="Times New Roman" w:cs="Times New Roman"/>
        </w:rPr>
        <w:t>has</w:t>
      </w:r>
      <w:proofErr w:type="gramEnd"/>
      <w:r w:rsidR="00B52E3E" w:rsidRPr="00B52E3E">
        <w:rPr>
          <w:rFonts w:ascii="Times New Roman" w:hAnsi="Times New Roman" w:cs="Times New Roman"/>
        </w:rPr>
        <w:t xml:space="preserve"> no significant effect on fraud prevention. H05: There is no significant impact of monitoring activities on fraud prevention.</w:t>
      </w:r>
    </w:p>
    <w:p w14:paraId="117789B9" w14:textId="54EB27A1" w:rsidR="000848CC" w:rsidRPr="00CA63A7" w:rsidRDefault="00DC166F" w:rsidP="00CA63A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2.0 </w:t>
      </w:r>
      <w:r w:rsidR="000848CC" w:rsidRPr="00CA63A7">
        <w:rPr>
          <w:rFonts w:ascii="Times New Roman" w:hAnsi="Times New Roman" w:cs="Times New Roman"/>
          <w:b/>
          <w:bCs/>
          <w:sz w:val="28"/>
          <w:szCs w:val="28"/>
        </w:rPr>
        <w:t>Literature Review</w:t>
      </w:r>
    </w:p>
    <w:p w14:paraId="797C3B3B" w14:textId="77777777" w:rsidR="00B52E3E" w:rsidRDefault="00DC166F" w:rsidP="00CA63A7">
      <w:pPr>
        <w:spacing w:line="360" w:lineRule="auto"/>
        <w:jc w:val="both"/>
        <w:rPr>
          <w:rFonts w:ascii="Times New Roman" w:hAnsi="Times New Roman" w:cs="Times New Roman"/>
        </w:rPr>
      </w:pPr>
      <w:r>
        <w:rPr>
          <w:rFonts w:ascii="Times New Roman" w:hAnsi="Times New Roman" w:cs="Times New Roman"/>
          <w:b/>
          <w:bCs/>
        </w:rPr>
        <w:t xml:space="preserve">2.1 </w:t>
      </w:r>
      <w:r w:rsidR="000848CC" w:rsidRPr="00CA63A7">
        <w:rPr>
          <w:rFonts w:ascii="Times New Roman" w:hAnsi="Times New Roman" w:cs="Times New Roman"/>
          <w:b/>
          <w:bCs/>
        </w:rPr>
        <w:t>Conceptual Clarification.</w:t>
      </w:r>
      <w:r w:rsidR="000848CC" w:rsidRPr="00CA63A7">
        <w:rPr>
          <w:rFonts w:ascii="Times New Roman" w:hAnsi="Times New Roman" w:cs="Times New Roman"/>
        </w:rPr>
        <w:t xml:space="preserve"> </w:t>
      </w:r>
      <w:r w:rsidR="00B52E3E" w:rsidRPr="00B52E3E">
        <w:rPr>
          <w:rFonts w:ascii="Times New Roman" w:hAnsi="Times New Roman" w:cs="Times New Roman"/>
        </w:rPr>
        <w:t xml:space="preserve">According to COSO (2023), internal control is a process by the board, management and personnel of an entity designed to provide reasonable assurance that the entity will achieve its operations, reporting and compliance objectives, including the prevention and detection of fraud. The control environment refers to the integrity, ethical values and competence of an </w:t>
      </w:r>
      <w:proofErr w:type="spellStart"/>
      <w:r w:rsidR="00B52E3E" w:rsidRPr="00B52E3E">
        <w:rPr>
          <w:rFonts w:ascii="Times New Roman" w:hAnsi="Times New Roman" w:cs="Times New Roman"/>
        </w:rPr>
        <w:t>organisation's</w:t>
      </w:r>
      <w:proofErr w:type="spellEnd"/>
      <w:r w:rsidR="00B52E3E" w:rsidRPr="00B52E3E">
        <w:rPr>
          <w:rFonts w:ascii="Times New Roman" w:hAnsi="Times New Roman" w:cs="Times New Roman"/>
        </w:rPr>
        <w:t xml:space="preserve"> people, and it is generally considered to be the basis for the other four components of the COSO framework (Owusu et al., 2021). Risk assessment involves the identification and analysis of risks to the achievement of an objective, in the banking context, this is usually a fraud risk register and regular exposure mapping by product and channel. Control activities involve policies and procedures that ensure the implementation of management directives, such as segregation of duties, dual </w:t>
      </w:r>
      <w:proofErr w:type="spellStart"/>
      <w:r w:rsidR="00B52E3E" w:rsidRPr="00B52E3E">
        <w:rPr>
          <w:rFonts w:ascii="Times New Roman" w:hAnsi="Times New Roman" w:cs="Times New Roman"/>
        </w:rPr>
        <w:t>authorisation</w:t>
      </w:r>
      <w:proofErr w:type="spellEnd"/>
      <w:r w:rsidR="00B52E3E" w:rsidRPr="00B52E3E">
        <w:rPr>
          <w:rFonts w:ascii="Times New Roman" w:hAnsi="Times New Roman" w:cs="Times New Roman"/>
        </w:rPr>
        <w:t xml:space="preserve">, reconciliation procedures and access controls in banking. Information and communication: Systems that capture and exchange </w:t>
      </w:r>
      <w:r w:rsidR="00B52E3E" w:rsidRPr="00B52E3E">
        <w:rPr>
          <w:rFonts w:ascii="Times New Roman" w:hAnsi="Times New Roman" w:cs="Times New Roman"/>
        </w:rPr>
        <w:lastRenderedPageBreak/>
        <w:t>information required for the operation's management such as whistle-blowing systems and escalation of suspicious activity. Monitoring activities are ongoing and periodic evaluations, including primarily internal audit and management self-assessment, to determine if the other four components are operating. Fraud, on the other hand, can be described as the deliberate misrepresentation or misappropriation of bank assets for an unlawful purpose, as defined by the Nigeria Deposit Insurance Corporation categories of fraud and forgery (Kanu et al., 2022).</w:t>
      </w:r>
    </w:p>
    <w:p w14:paraId="030A20AA" w14:textId="77777777" w:rsidR="00B52E3E" w:rsidRDefault="00DC166F" w:rsidP="00CA63A7">
      <w:pPr>
        <w:spacing w:line="360" w:lineRule="auto"/>
        <w:jc w:val="both"/>
        <w:rPr>
          <w:rFonts w:ascii="Times New Roman" w:hAnsi="Times New Roman" w:cs="Times New Roman"/>
        </w:rPr>
      </w:pPr>
      <w:r>
        <w:rPr>
          <w:rFonts w:ascii="Times New Roman" w:hAnsi="Times New Roman" w:cs="Times New Roman"/>
          <w:b/>
          <w:bCs/>
        </w:rPr>
        <w:t xml:space="preserve">2.2 </w:t>
      </w:r>
      <w:r w:rsidR="000848CC" w:rsidRPr="00CA63A7">
        <w:rPr>
          <w:rFonts w:ascii="Times New Roman" w:hAnsi="Times New Roman" w:cs="Times New Roman"/>
          <w:b/>
          <w:bCs/>
        </w:rPr>
        <w:t>Theoretical Framework.</w:t>
      </w:r>
      <w:r w:rsidR="000848CC" w:rsidRPr="00CA63A7">
        <w:rPr>
          <w:rFonts w:ascii="Times New Roman" w:hAnsi="Times New Roman" w:cs="Times New Roman"/>
        </w:rPr>
        <w:t xml:space="preserve"> </w:t>
      </w:r>
      <w:r w:rsidR="00B52E3E" w:rsidRPr="00B52E3E">
        <w:rPr>
          <w:rFonts w:ascii="Times New Roman" w:hAnsi="Times New Roman" w:cs="Times New Roman"/>
        </w:rPr>
        <w:t xml:space="preserve">This study is based on two complementary theories. The Fraud Triangle Theory, first </w:t>
      </w:r>
      <w:proofErr w:type="spellStart"/>
      <w:r w:rsidR="00B52E3E" w:rsidRPr="00B52E3E">
        <w:rPr>
          <w:rFonts w:ascii="Times New Roman" w:hAnsi="Times New Roman" w:cs="Times New Roman"/>
        </w:rPr>
        <w:t>theorised</w:t>
      </w:r>
      <w:proofErr w:type="spellEnd"/>
      <w:r w:rsidR="00B52E3E" w:rsidRPr="00B52E3E">
        <w:rPr>
          <w:rFonts w:ascii="Times New Roman" w:hAnsi="Times New Roman" w:cs="Times New Roman"/>
        </w:rPr>
        <w:t xml:space="preserve"> by Cressey (1953) and tested since, suggests that fraud is likely to occur when perceived pressure, perceived opportunity and </w:t>
      </w:r>
      <w:proofErr w:type="spellStart"/>
      <w:r w:rsidR="00B52E3E" w:rsidRPr="00B52E3E">
        <w:rPr>
          <w:rFonts w:ascii="Times New Roman" w:hAnsi="Times New Roman" w:cs="Times New Roman"/>
        </w:rPr>
        <w:t>rationalisation</w:t>
      </w:r>
      <w:proofErr w:type="spellEnd"/>
      <w:r w:rsidR="00B52E3E" w:rsidRPr="00B52E3E">
        <w:rPr>
          <w:rFonts w:ascii="Times New Roman" w:hAnsi="Times New Roman" w:cs="Times New Roman"/>
        </w:rPr>
        <w:t xml:space="preserve"> are present; internal control systems are thought to operate primarily on the opportunity leg of the Fraud Triangle as segregation of duties, monitoring and access restriction reduce the window through which a motivated individual can turn intent into action (Homer, 2019). The study by Abdullahi and Mansor (2018) on the Nigerian public sector revealed a significant relationship between the components of the fraud triangle and fraud incidence, which further establishes the theory's applicability in the Nigerian institutional setting. The Agency Theory approach adds to this by viewing the relationship between bank shareholders, the board and management as a principal-agent relationship with imperfect information, which allows for an increase in the range of potential fraud when the principal's incentives are not aligned with the agent's and the monitoring is weak. The theory of internal control, in this context, the monitoring and information and communication components, is explained as the mechanism by which the information gap between principal and agent is reduced. In line with this reasoning, the agency cost theory implies that monitoring and communication should have a negative effect on fraud, as they should help to reduce the information asymmetry between the management and the shareholders; empirical support for this expectation was found by </w:t>
      </w:r>
      <w:proofErr w:type="spellStart"/>
      <w:r w:rsidR="00B52E3E" w:rsidRPr="00B52E3E">
        <w:rPr>
          <w:rFonts w:ascii="Times New Roman" w:hAnsi="Times New Roman" w:cs="Times New Roman"/>
        </w:rPr>
        <w:t>Oradi</w:t>
      </w:r>
      <w:proofErr w:type="spellEnd"/>
      <w:r w:rsidR="00B52E3E" w:rsidRPr="00B52E3E">
        <w:rPr>
          <w:rFonts w:ascii="Times New Roman" w:hAnsi="Times New Roman" w:cs="Times New Roman"/>
        </w:rPr>
        <w:t xml:space="preserve"> et al., (2020), who examined Iranian listed companies. The two theories support the use of each COSO component as a separate construct that can independently prevent fraud because each component focuses on a different point of leverage in the dual theory.</w:t>
      </w:r>
    </w:p>
    <w:p w14:paraId="4C8C7933" w14:textId="77777777" w:rsidR="00B52E3E" w:rsidRPr="00B52E3E" w:rsidRDefault="00DC166F" w:rsidP="00B52E3E">
      <w:pPr>
        <w:spacing w:line="360" w:lineRule="auto"/>
        <w:jc w:val="both"/>
        <w:rPr>
          <w:rFonts w:ascii="Times New Roman" w:hAnsi="Times New Roman" w:cs="Times New Roman"/>
        </w:rPr>
      </w:pPr>
      <w:r>
        <w:rPr>
          <w:rFonts w:ascii="Times New Roman" w:hAnsi="Times New Roman" w:cs="Times New Roman"/>
          <w:b/>
          <w:bCs/>
        </w:rPr>
        <w:t xml:space="preserve">2.3 </w:t>
      </w:r>
      <w:r w:rsidR="000848CC" w:rsidRPr="00CA63A7">
        <w:rPr>
          <w:rFonts w:ascii="Times New Roman" w:hAnsi="Times New Roman" w:cs="Times New Roman"/>
          <w:b/>
          <w:bCs/>
        </w:rPr>
        <w:t>Empirical Review.</w:t>
      </w:r>
      <w:r w:rsidR="000848CC" w:rsidRPr="00CA63A7">
        <w:rPr>
          <w:rFonts w:ascii="Times New Roman" w:hAnsi="Times New Roman" w:cs="Times New Roman"/>
        </w:rPr>
        <w:t xml:space="preserve"> </w:t>
      </w:r>
      <w:r w:rsidR="00B52E3E" w:rsidRPr="00B52E3E">
        <w:rPr>
          <w:rFonts w:ascii="Times New Roman" w:hAnsi="Times New Roman" w:cs="Times New Roman"/>
        </w:rPr>
        <w:t xml:space="preserve">In recent times, several studies have been conducted to test the components of internal control against fraud outcome in Nigerian deposit money banks. The disaggregated variable specification in this study was informed by the findings of </w:t>
      </w:r>
      <w:proofErr w:type="spellStart"/>
      <w:r w:rsidR="00B52E3E" w:rsidRPr="00B52E3E">
        <w:rPr>
          <w:rFonts w:ascii="Times New Roman" w:hAnsi="Times New Roman" w:cs="Times New Roman"/>
        </w:rPr>
        <w:t>Fabiyi</w:t>
      </w:r>
      <w:proofErr w:type="spellEnd"/>
      <w:r w:rsidR="00B52E3E" w:rsidRPr="00B52E3E">
        <w:rPr>
          <w:rFonts w:ascii="Times New Roman" w:hAnsi="Times New Roman" w:cs="Times New Roman"/>
        </w:rPr>
        <w:t xml:space="preserve"> et al. (2025) who </w:t>
      </w:r>
      <w:r w:rsidR="00B52E3E" w:rsidRPr="00B52E3E">
        <w:rPr>
          <w:rFonts w:ascii="Times New Roman" w:hAnsi="Times New Roman" w:cs="Times New Roman"/>
        </w:rPr>
        <w:lastRenderedPageBreak/>
        <w:t xml:space="preserve">employed panel data to conclude that the components of internal control did not have uniform effects on fraud prevention, with some having materially stronger effects than others. Kanu et al. (2025) on the Central Bank of Nigeria, reported that the components of COSO influenced the Central Bank's ability to prevent fraud, while the competence of the staff interacted with the formal control structure to determine the overall effectiveness. In the Kenyan banks, the study by </w:t>
      </w:r>
      <w:proofErr w:type="spellStart"/>
      <w:r w:rsidR="00B52E3E" w:rsidRPr="00B52E3E">
        <w:rPr>
          <w:rFonts w:ascii="Times New Roman" w:hAnsi="Times New Roman" w:cs="Times New Roman"/>
        </w:rPr>
        <w:t>Nyakarimi</w:t>
      </w:r>
      <w:proofErr w:type="spellEnd"/>
      <w:r w:rsidR="00B52E3E" w:rsidRPr="00B52E3E">
        <w:rPr>
          <w:rFonts w:ascii="Times New Roman" w:hAnsi="Times New Roman" w:cs="Times New Roman"/>
        </w:rPr>
        <w:t xml:space="preserve">, </w:t>
      </w:r>
      <w:proofErr w:type="spellStart"/>
      <w:r w:rsidR="00B52E3E" w:rsidRPr="00B52E3E">
        <w:rPr>
          <w:rFonts w:ascii="Times New Roman" w:hAnsi="Times New Roman" w:cs="Times New Roman"/>
        </w:rPr>
        <w:t>kariuki</w:t>
      </w:r>
      <w:proofErr w:type="spellEnd"/>
      <w:r w:rsidR="00B52E3E" w:rsidRPr="00B52E3E">
        <w:rPr>
          <w:rFonts w:ascii="Times New Roman" w:hAnsi="Times New Roman" w:cs="Times New Roman"/>
        </w:rPr>
        <w:t xml:space="preserve"> and </w:t>
      </w:r>
      <w:proofErr w:type="spellStart"/>
      <w:r w:rsidR="00B52E3E" w:rsidRPr="00B52E3E">
        <w:rPr>
          <w:rFonts w:ascii="Times New Roman" w:hAnsi="Times New Roman" w:cs="Times New Roman"/>
        </w:rPr>
        <w:t>kariuki</w:t>
      </w:r>
      <w:proofErr w:type="spellEnd"/>
      <w:r w:rsidR="00B52E3E" w:rsidRPr="00B52E3E">
        <w:rPr>
          <w:rFonts w:ascii="Times New Roman" w:hAnsi="Times New Roman" w:cs="Times New Roman"/>
        </w:rPr>
        <w:t xml:space="preserve"> (2020) showed that the component of control environment did not have a significant effect on the prevention of fraud whereas the component information and communication had a significant effect, which is in line with the differential component strength tested here. In a survey of accountants and auditors, Hassan et al. (2025) confirmed that good corporate governance and information technology practices were important in detecting and preventing fraud, and that the components most closely associated with opportunity restriction, such as control activities and monitoring, would be most likely to dominate any properly specified model.</w:t>
      </w:r>
    </w:p>
    <w:p w14:paraId="441278B0" w14:textId="77777777" w:rsidR="00B52E3E" w:rsidRPr="00B52E3E" w:rsidRDefault="00B52E3E" w:rsidP="00B52E3E">
      <w:pPr>
        <w:spacing w:line="360" w:lineRule="auto"/>
        <w:jc w:val="both"/>
        <w:rPr>
          <w:rFonts w:ascii="Times New Roman" w:hAnsi="Times New Roman" w:cs="Times New Roman"/>
        </w:rPr>
      </w:pPr>
      <w:r w:rsidRPr="00B52E3E">
        <w:rPr>
          <w:rFonts w:ascii="Times New Roman" w:hAnsi="Times New Roman" w:cs="Times New Roman"/>
        </w:rPr>
        <w:t xml:space="preserve">This is supported by comparative evidence beyond the Nigerian and East African context. The study by </w:t>
      </w:r>
      <w:proofErr w:type="spellStart"/>
      <w:r w:rsidRPr="00B52E3E">
        <w:rPr>
          <w:rFonts w:ascii="Times New Roman" w:hAnsi="Times New Roman" w:cs="Times New Roman"/>
        </w:rPr>
        <w:t>Koutoupis</w:t>
      </w:r>
      <w:proofErr w:type="spellEnd"/>
      <w:r w:rsidRPr="00B52E3E">
        <w:rPr>
          <w:rFonts w:ascii="Times New Roman" w:hAnsi="Times New Roman" w:cs="Times New Roman"/>
        </w:rPr>
        <w:t xml:space="preserve"> and </w:t>
      </w:r>
      <w:proofErr w:type="spellStart"/>
      <w:r w:rsidRPr="00B52E3E">
        <w:rPr>
          <w:rFonts w:ascii="Times New Roman" w:hAnsi="Times New Roman" w:cs="Times New Roman"/>
        </w:rPr>
        <w:t>Malisiovas</w:t>
      </w:r>
      <w:proofErr w:type="spellEnd"/>
      <w:r w:rsidRPr="00B52E3E">
        <w:rPr>
          <w:rFonts w:ascii="Times New Roman" w:hAnsi="Times New Roman" w:cs="Times New Roman"/>
        </w:rPr>
        <w:t xml:space="preserve"> (2023) of over two hundred United States bank holding companies revealed that control activities and information and communication had the greatest and most consistent impacts on profitability and compliance outcomes, respectively, whereas risk assessment had the least and least consistent impacts, which is similar to the findings in Nigeria. In Ghana, the study by Owusu et al. (2021) on opportunity and the leg of the triangle most directly targeted by control activities and monitoring, revealed that opportunity was a significant factor that influenced employee fraud in Ghanaians' </w:t>
      </w:r>
      <w:proofErr w:type="gramStart"/>
      <w:r w:rsidRPr="00B52E3E">
        <w:rPr>
          <w:rFonts w:ascii="Times New Roman" w:hAnsi="Times New Roman" w:cs="Times New Roman"/>
        </w:rPr>
        <w:t>State Owned</w:t>
      </w:r>
      <w:proofErr w:type="gramEnd"/>
      <w:r w:rsidRPr="00B52E3E">
        <w:rPr>
          <w:rFonts w:ascii="Times New Roman" w:hAnsi="Times New Roman" w:cs="Times New Roman"/>
        </w:rPr>
        <w:t xml:space="preserve"> Enterprises. The monitoring component was also found to be a strong link to financial statement fraud by Demetriades and Owusu-Agyei (2021) in their analysis of the accounting scandal at Toshiba, using the fraud diamond.</w:t>
      </w:r>
    </w:p>
    <w:p w14:paraId="1061BA83" w14:textId="77777777" w:rsidR="00ED15E8" w:rsidRPr="00ED15E8" w:rsidRDefault="00B52E3E" w:rsidP="00ED15E8">
      <w:pPr>
        <w:spacing w:line="360" w:lineRule="auto"/>
        <w:jc w:val="both"/>
        <w:rPr>
          <w:rFonts w:ascii="Times New Roman" w:hAnsi="Times New Roman" w:cs="Times New Roman"/>
        </w:rPr>
      </w:pPr>
      <w:r w:rsidRPr="00B52E3E">
        <w:rPr>
          <w:rFonts w:ascii="Times New Roman" w:hAnsi="Times New Roman" w:cs="Times New Roman"/>
        </w:rPr>
        <w:t xml:space="preserve">A complementary perspective is provided by the detection and forensic literature. Surveying public sector professionals in Nigeria, </w:t>
      </w:r>
      <w:proofErr w:type="spellStart"/>
      <w:r w:rsidRPr="00B52E3E">
        <w:rPr>
          <w:rFonts w:ascii="Times New Roman" w:hAnsi="Times New Roman" w:cs="Times New Roman"/>
        </w:rPr>
        <w:t>Oyerogba</w:t>
      </w:r>
      <w:proofErr w:type="spellEnd"/>
      <w:r w:rsidRPr="00B52E3E">
        <w:rPr>
          <w:rFonts w:ascii="Times New Roman" w:hAnsi="Times New Roman" w:cs="Times New Roman"/>
        </w:rPr>
        <w:t xml:space="preserve"> (2021) reported that forensic auditor skill and technique had a significant impact on fraud detection, indicating that the monitoring component (in terms of internal audit and forensic review capacity) is important after fraud has been detected and likely to deter it in advance. Dewi et al. (2024) conducted a study on internal auditors in Indonesia and identified that the internal auditors' big data competence and tone at the top significantly influenced </w:t>
      </w:r>
      <w:r w:rsidRPr="00B52E3E">
        <w:rPr>
          <w:rFonts w:ascii="Times New Roman" w:hAnsi="Times New Roman" w:cs="Times New Roman"/>
        </w:rPr>
        <w:lastRenderedPageBreak/>
        <w:t xml:space="preserve">the effectiveness of fraud detection, which provided empirical evidence to link the control environment and information and communication components. In a study of the Nigeria Deposit Insurance Corporation (NDIC) crime report, Kanu et al. (2022) found that fraud and forgery cases had increased significantly from the previous year and that bank staff, especially supervisors, officers, and cashiers, played a significant role in most of the reported cases, which has direct implications for control activities that govern transaction </w:t>
      </w:r>
      <w:proofErr w:type="spellStart"/>
      <w:r w:rsidRPr="001C0CA2">
        <w:rPr>
          <w:rFonts w:ascii="Times New Roman" w:hAnsi="Times New Roman" w:cs="Times New Roman"/>
        </w:rPr>
        <w:t>authorisation</w:t>
      </w:r>
      <w:proofErr w:type="spellEnd"/>
      <w:r w:rsidRPr="001C0CA2">
        <w:rPr>
          <w:rFonts w:ascii="Times New Roman" w:hAnsi="Times New Roman" w:cs="Times New Roman"/>
        </w:rPr>
        <w:t>.</w:t>
      </w:r>
      <w:r>
        <w:rPr>
          <w:rFonts w:ascii="Times New Roman" w:hAnsi="Times New Roman" w:cs="Times New Roman"/>
        </w:rPr>
        <w:t xml:space="preserve"> </w:t>
      </w:r>
      <w:r w:rsidR="00ED15E8" w:rsidRPr="00ED15E8">
        <w:rPr>
          <w:rFonts w:ascii="Times New Roman" w:hAnsi="Times New Roman" w:cs="Times New Roman"/>
        </w:rPr>
        <w:t xml:space="preserve">In the Nigerian banking context, Tade (2022), who studied banking fraud from 2015 to 2019, also concluded that the volume of fraud attacks rose year on year and that technology mediated channels and casual employees were disproportionately involved, further supporting the need for the extension of control activities to technology mediated channels. The results of studies conducted on risk assessment alone have been less convincing: a survey of the deposit money banks in Oke-Ogun, Oyo State, revealed that although the internal control was generally effective, the staff's commitment to the risk assessment-derived procedures was not uniform (Mustapha et al., 2023), and this is a feature of many independent studies and one of the more consistent </w:t>
      </w:r>
      <w:proofErr w:type="spellStart"/>
      <w:r w:rsidR="00ED15E8" w:rsidRPr="00ED15E8">
        <w:rPr>
          <w:rFonts w:ascii="Times New Roman" w:hAnsi="Times New Roman" w:cs="Times New Roman"/>
        </w:rPr>
        <w:t>stylised</w:t>
      </w:r>
      <w:proofErr w:type="spellEnd"/>
      <w:r w:rsidR="00ED15E8" w:rsidRPr="00ED15E8">
        <w:rPr>
          <w:rFonts w:ascii="Times New Roman" w:hAnsi="Times New Roman" w:cs="Times New Roman"/>
        </w:rPr>
        <w:t xml:space="preserve"> facts in this literature.</w:t>
      </w:r>
    </w:p>
    <w:p w14:paraId="103CE126" w14:textId="77777777" w:rsidR="00ED15E8" w:rsidRPr="00ED15E8" w:rsidRDefault="00ED15E8" w:rsidP="00ED15E8">
      <w:pPr>
        <w:spacing w:line="360" w:lineRule="auto"/>
        <w:jc w:val="both"/>
        <w:rPr>
          <w:rFonts w:ascii="Times New Roman" w:hAnsi="Times New Roman" w:cs="Times New Roman"/>
        </w:rPr>
      </w:pPr>
      <w:r w:rsidRPr="00ED15E8">
        <w:rPr>
          <w:rFonts w:ascii="Times New Roman" w:hAnsi="Times New Roman" w:cs="Times New Roman"/>
          <w:b/>
          <w:bCs/>
        </w:rPr>
        <w:t>2.4 Research Gap.</w:t>
      </w:r>
      <w:r w:rsidRPr="00ED15E8">
        <w:rPr>
          <w:rFonts w:ascii="Times New Roman" w:hAnsi="Times New Roman" w:cs="Times New Roman"/>
        </w:rPr>
        <w:t xml:space="preserve"> The main studies reviewed are </w:t>
      </w:r>
      <w:proofErr w:type="spellStart"/>
      <w:r w:rsidRPr="00ED15E8">
        <w:rPr>
          <w:rFonts w:ascii="Times New Roman" w:hAnsi="Times New Roman" w:cs="Times New Roman"/>
        </w:rPr>
        <w:t>summarised</w:t>
      </w:r>
      <w:proofErr w:type="spellEnd"/>
      <w:r w:rsidRPr="00ED15E8">
        <w:rPr>
          <w:rFonts w:ascii="Times New Roman" w:hAnsi="Times New Roman" w:cs="Times New Roman"/>
        </w:rPr>
        <w:t xml:space="preserve"> in Table 1. Three gaps emerge. Second, most of the Nigerian studies are based on survey or perception-based instruments, which are not panel data derived from audited financial statements and disclosure data, as in this study. Second, much of the previous literature uses an overall measure of internal control or only examines some of the COSO components, thereby masking the variation in strength found between countries, and this study examines all five components at once in a single fixed effects specification. Third, the most severe Nigerian bank fraud losses of 2023–2024 occurred outside of the time frame that most previous studies observed, and the panel used here directly captures this timeframe.</w:t>
      </w:r>
    </w:p>
    <w:p w14:paraId="7743F8EF" w14:textId="3F31D8DC" w:rsidR="000848CC" w:rsidRPr="00CA63A7" w:rsidRDefault="000848CC" w:rsidP="00ED15E8">
      <w:pPr>
        <w:spacing w:line="360" w:lineRule="auto"/>
        <w:jc w:val="both"/>
        <w:rPr>
          <w:rFonts w:ascii="Times New Roman" w:hAnsi="Times New Roman" w:cs="Times New Roman"/>
        </w:rPr>
      </w:pPr>
      <w:r w:rsidRPr="00CA63A7">
        <w:rPr>
          <w:rFonts w:ascii="Times New Roman" w:hAnsi="Times New Roman" w:cs="Times New Roman"/>
          <w:b/>
          <w:bCs/>
        </w:rPr>
        <w:t>Table 1: Summary of Reviewed Empirical Literature</w:t>
      </w:r>
    </w:p>
    <w:tbl>
      <w:tblPr>
        <w:tblStyle w:val="GridTable1Light"/>
        <w:tblW w:w="0" w:type="auto"/>
        <w:tblLook w:val="04A0" w:firstRow="1" w:lastRow="0" w:firstColumn="1" w:lastColumn="0" w:noHBand="0" w:noVBand="1"/>
      </w:tblPr>
      <w:tblGrid>
        <w:gridCol w:w="1563"/>
        <w:gridCol w:w="2296"/>
        <w:gridCol w:w="1667"/>
        <w:gridCol w:w="1559"/>
        <w:gridCol w:w="2265"/>
      </w:tblGrid>
      <w:tr w:rsidR="000848CC" w:rsidRPr="00CA63A7" w14:paraId="32ADA2AB"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B1F34C" w14:textId="77777777" w:rsidR="000848CC" w:rsidRPr="00CA63A7" w:rsidRDefault="000848CC" w:rsidP="00CA63A7">
            <w:pPr>
              <w:spacing w:line="360" w:lineRule="auto"/>
              <w:rPr>
                <w:rFonts w:ascii="Times New Roman" w:hAnsi="Times New Roman" w:cs="Times New Roman"/>
                <w:b w:val="0"/>
                <w:bCs w:val="0"/>
              </w:rPr>
            </w:pPr>
            <w:r w:rsidRPr="00CA63A7">
              <w:rPr>
                <w:rFonts w:ascii="Times New Roman" w:hAnsi="Times New Roman" w:cs="Times New Roman"/>
              </w:rPr>
              <w:t>Author(s) and Year</w:t>
            </w:r>
          </w:p>
        </w:tc>
        <w:tc>
          <w:tcPr>
            <w:tcW w:w="0" w:type="auto"/>
            <w:hideMark/>
          </w:tcPr>
          <w:p w14:paraId="16CF5180" w14:textId="77777777" w:rsidR="000848CC" w:rsidRPr="00CA63A7" w:rsidRDefault="000848CC" w:rsidP="00CA63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Context</w:t>
            </w:r>
          </w:p>
        </w:tc>
        <w:tc>
          <w:tcPr>
            <w:tcW w:w="0" w:type="auto"/>
            <w:hideMark/>
          </w:tcPr>
          <w:p w14:paraId="2A765964" w14:textId="77777777" w:rsidR="000848CC" w:rsidRPr="00CA63A7" w:rsidRDefault="000848CC" w:rsidP="00CA63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Key Variables</w:t>
            </w:r>
          </w:p>
        </w:tc>
        <w:tc>
          <w:tcPr>
            <w:tcW w:w="0" w:type="auto"/>
            <w:hideMark/>
          </w:tcPr>
          <w:p w14:paraId="19502C85" w14:textId="77777777" w:rsidR="000848CC" w:rsidRPr="00CA63A7" w:rsidRDefault="000848CC" w:rsidP="00CA63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Method</w:t>
            </w:r>
          </w:p>
        </w:tc>
        <w:tc>
          <w:tcPr>
            <w:tcW w:w="0" w:type="auto"/>
            <w:hideMark/>
          </w:tcPr>
          <w:p w14:paraId="33C89FF7" w14:textId="77777777" w:rsidR="000848CC" w:rsidRPr="00CA63A7" w:rsidRDefault="000848CC" w:rsidP="00CA63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Key Finding</w:t>
            </w:r>
          </w:p>
        </w:tc>
      </w:tr>
      <w:tr w:rsidR="000848CC" w:rsidRPr="00CA63A7" w14:paraId="6B5D5AD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A464F17" w14:textId="77777777" w:rsidR="000848CC" w:rsidRPr="00CA63A7" w:rsidRDefault="000848CC" w:rsidP="00CA63A7">
            <w:pPr>
              <w:spacing w:line="360" w:lineRule="auto"/>
              <w:rPr>
                <w:rFonts w:ascii="Times New Roman" w:hAnsi="Times New Roman" w:cs="Times New Roman"/>
              </w:rPr>
            </w:pPr>
            <w:proofErr w:type="spellStart"/>
            <w:r w:rsidRPr="00CA63A7">
              <w:rPr>
                <w:rFonts w:ascii="Times New Roman" w:hAnsi="Times New Roman" w:cs="Times New Roman"/>
              </w:rPr>
              <w:t>Fabiyi</w:t>
            </w:r>
            <w:proofErr w:type="spellEnd"/>
            <w:r w:rsidRPr="00CA63A7">
              <w:rPr>
                <w:rFonts w:ascii="Times New Roman" w:hAnsi="Times New Roman" w:cs="Times New Roman"/>
              </w:rPr>
              <w:t xml:space="preserve"> et al. (2025)</w:t>
            </w:r>
          </w:p>
        </w:tc>
        <w:tc>
          <w:tcPr>
            <w:tcW w:w="0" w:type="auto"/>
            <w:hideMark/>
          </w:tcPr>
          <w:p w14:paraId="0654FE73"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Nigerian DMBs</w:t>
            </w:r>
          </w:p>
        </w:tc>
        <w:tc>
          <w:tcPr>
            <w:tcW w:w="0" w:type="auto"/>
            <w:hideMark/>
          </w:tcPr>
          <w:p w14:paraId="05B23422"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 xml:space="preserve">Internal control components; </w:t>
            </w:r>
            <w:r w:rsidRPr="00CA63A7">
              <w:rPr>
                <w:rFonts w:ascii="Times New Roman" w:hAnsi="Times New Roman" w:cs="Times New Roman"/>
              </w:rPr>
              <w:lastRenderedPageBreak/>
              <w:t>fraud prevention</w:t>
            </w:r>
          </w:p>
        </w:tc>
        <w:tc>
          <w:tcPr>
            <w:tcW w:w="0" w:type="auto"/>
            <w:hideMark/>
          </w:tcPr>
          <w:p w14:paraId="2086B23A"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lastRenderedPageBreak/>
              <w:t>Panel regression</w:t>
            </w:r>
          </w:p>
        </w:tc>
        <w:tc>
          <w:tcPr>
            <w:tcW w:w="0" w:type="auto"/>
            <w:hideMark/>
          </w:tcPr>
          <w:p w14:paraId="6A70258C"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Components show non-uniform effects</w:t>
            </w:r>
          </w:p>
        </w:tc>
      </w:tr>
      <w:tr w:rsidR="000848CC" w:rsidRPr="00CA63A7" w14:paraId="50FDAC87"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772513A" w14:textId="77777777" w:rsidR="000848CC" w:rsidRPr="00CA63A7" w:rsidRDefault="000848CC" w:rsidP="00CA63A7">
            <w:pPr>
              <w:spacing w:line="360" w:lineRule="auto"/>
              <w:rPr>
                <w:rFonts w:ascii="Times New Roman" w:hAnsi="Times New Roman" w:cs="Times New Roman"/>
              </w:rPr>
            </w:pPr>
            <w:r w:rsidRPr="00CA63A7">
              <w:rPr>
                <w:rFonts w:ascii="Times New Roman" w:hAnsi="Times New Roman" w:cs="Times New Roman"/>
              </w:rPr>
              <w:t>Kanu et al. (2025)</w:t>
            </w:r>
          </w:p>
        </w:tc>
        <w:tc>
          <w:tcPr>
            <w:tcW w:w="0" w:type="auto"/>
            <w:hideMark/>
          </w:tcPr>
          <w:p w14:paraId="77A31295"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Central Bank of Nigeria</w:t>
            </w:r>
          </w:p>
        </w:tc>
        <w:tc>
          <w:tcPr>
            <w:tcW w:w="0" w:type="auto"/>
            <w:hideMark/>
          </w:tcPr>
          <w:p w14:paraId="460CC95A"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COSO components; fraud prevention</w:t>
            </w:r>
          </w:p>
        </w:tc>
        <w:tc>
          <w:tcPr>
            <w:tcW w:w="0" w:type="auto"/>
            <w:hideMark/>
          </w:tcPr>
          <w:p w14:paraId="739558D6"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COSO-based survey</w:t>
            </w:r>
          </w:p>
        </w:tc>
        <w:tc>
          <w:tcPr>
            <w:tcW w:w="0" w:type="auto"/>
            <w:hideMark/>
          </w:tcPr>
          <w:p w14:paraId="437DED19"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Significant overall effect; staff competence matters</w:t>
            </w:r>
          </w:p>
        </w:tc>
      </w:tr>
      <w:tr w:rsidR="000848CC" w:rsidRPr="00CA63A7" w14:paraId="16EF1D2D"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ED085B8" w14:textId="77777777" w:rsidR="000848CC" w:rsidRPr="00CA63A7" w:rsidRDefault="000848CC" w:rsidP="00CA63A7">
            <w:pPr>
              <w:spacing w:line="360" w:lineRule="auto"/>
              <w:rPr>
                <w:rFonts w:ascii="Times New Roman" w:hAnsi="Times New Roman" w:cs="Times New Roman"/>
              </w:rPr>
            </w:pPr>
            <w:proofErr w:type="spellStart"/>
            <w:r w:rsidRPr="00CA63A7">
              <w:rPr>
                <w:rFonts w:ascii="Times New Roman" w:hAnsi="Times New Roman" w:cs="Times New Roman"/>
              </w:rPr>
              <w:t>Koutoupis</w:t>
            </w:r>
            <w:proofErr w:type="spellEnd"/>
            <w:r w:rsidRPr="00CA63A7">
              <w:rPr>
                <w:rFonts w:ascii="Times New Roman" w:hAnsi="Times New Roman" w:cs="Times New Roman"/>
              </w:rPr>
              <w:t xml:space="preserve"> &amp; </w:t>
            </w:r>
            <w:proofErr w:type="spellStart"/>
            <w:r w:rsidRPr="00CA63A7">
              <w:rPr>
                <w:rFonts w:ascii="Times New Roman" w:hAnsi="Times New Roman" w:cs="Times New Roman"/>
              </w:rPr>
              <w:t>Malisiovas</w:t>
            </w:r>
            <w:proofErr w:type="spellEnd"/>
            <w:r w:rsidRPr="00CA63A7">
              <w:rPr>
                <w:rFonts w:ascii="Times New Roman" w:hAnsi="Times New Roman" w:cs="Times New Roman"/>
              </w:rPr>
              <w:t xml:space="preserve"> (2023)</w:t>
            </w:r>
          </w:p>
        </w:tc>
        <w:tc>
          <w:tcPr>
            <w:tcW w:w="0" w:type="auto"/>
            <w:hideMark/>
          </w:tcPr>
          <w:p w14:paraId="10A6B30C"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210 US bank holding companies</w:t>
            </w:r>
          </w:p>
        </w:tc>
        <w:tc>
          <w:tcPr>
            <w:tcW w:w="0" w:type="auto"/>
            <w:hideMark/>
          </w:tcPr>
          <w:p w14:paraId="662F869C"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COSO components; risk, profitability, compliance</w:t>
            </w:r>
          </w:p>
        </w:tc>
        <w:tc>
          <w:tcPr>
            <w:tcW w:w="0" w:type="auto"/>
            <w:hideMark/>
          </w:tcPr>
          <w:p w14:paraId="484BF1CD"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Panel regression (2013–2017)</w:t>
            </w:r>
          </w:p>
        </w:tc>
        <w:tc>
          <w:tcPr>
            <w:tcW w:w="0" w:type="auto"/>
            <w:hideMark/>
          </w:tcPr>
          <w:p w14:paraId="24882B3A"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Control activities strongest; risk assessment weakest</w:t>
            </w:r>
          </w:p>
        </w:tc>
      </w:tr>
      <w:tr w:rsidR="000848CC" w:rsidRPr="00CA63A7" w14:paraId="7684F22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E3EF74D" w14:textId="77777777" w:rsidR="000848CC" w:rsidRPr="00CA63A7" w:rsidRDefault="000848CC" w:rsidP="00CA63A7">
            <w:pPr>
              <w:spacing w:line="360" w:lineRule="auto"/>
              <w:rPr>
                <w:rFonts w:ascii="Times New Roman" w:hAnsi="Times New Roman" w:cs="Times New Roman"/>
              </w:rPr>
            </w:pPr>
            <w:proofErr w:type="spellStart"/>
            <w:r w:rsidRPr="00CA63A7">
              <w:rPr>
                <w:rFonts w:ascii="Times New Roman" w:hAnsi="Times New Roman" w:cs="Times New Roman"/>
              </w:rPr>
              <w:t>Nyakarimi</w:t>
            </w:r>
            <w:proofErr w:type="spellEnd"/>
            <w:r w:rsidRPr="00CA63A7">
              <w:rPr>
                <w:rFonts w:ascii="Times New Roman" w:hAnsi="Times New Roman" w:cs="Times New Roman"/>
              </w:rPr>
              <w:t xml:space="preserve"> et al. (2020)</w:t>
            </w:r>
          </w:p>
        </w:tc>
        <w:tc>
          <w:tcPr>
            <w:tcW w:w="0" w:type="auto"/>
            <w:hideMark/>
          </w:tcPr>
          <w:p w14:paraId="00A22868"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Kenyan banking sector</w:t>
            </w:r>
          </w:p>
        </w:tc>
        <w:tc>
          <w:tcPr>
            <w:tcW w:w="0" w:type="auto"/>
            <w:hideMark/>
          </w:tcPr>
          <w:p w14:paraId="67F4D2C1"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COSO components; fraud prevention</w:t>
            </w:r>
          </w:p>
        </w:tc>
        <w:tc>
          <w:tcPr>
            <w:tcW w:w="0" w:type="auto"/>
            <w:hideMark/>
          </w:tcPr>
          <w:p w14:paraId="36462010"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Survey; factor analysis</w:t>
            </w:r>
          </w:p>
        </w:tc>
        <w:tc>
          <w:tcPr>
            <w:tcW w:w="0" w:type="auto"/>
            <w:hideMark/>
          </w:tcPr>
          <w:p w14:paraId="3B48E4F9"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Control environment insignificant; info/communication significant</w:t>
            </w:r>
          </w:p>
        </w:tc>
      </w:tr>
      <w:tr w:rsidR="000848CC" w:rsidRPr="00CA63A7" w14:paraId="1B3A7CF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54AD03B" w14:textId="77777777" w:rsidR="000848CC" w:rsidRPr="00CA63A7" w:rsidRDefault="000848CC" w:rsidP="00CA63A7">
            <w:pPr>
              <w:spacing w:line="360" w:lineRule="auto"/>
              <w:rPr>
                <w:rFonts w:ascii="Times New Roman" w:hAnsi="Times New Roman" w:cs="Times New Roman"/>
              </w:rPr>
            </w:pPr>
            <w:r w:rsidRPr="00CA63A7">
              <w:rPr>
                <w:rFonts w:ascii="Times New Roman" w:hAnsi="Times New Roman" w:cs="Times New Roman"/>
              </w:rPr>
              <w:t>Hassan et al. (2025)</w:t>
            </w:r>
          </w:p>
        </w:tc>
        <w:tc>
          <w:tcPr>
            <w:tcW w:w="0" w:type="auto"/>
            <w:hideMark/>
          </w:tcPr>
          <w:p w14:paraId="02235043"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Accountants/auditors (Pakistan/Jordan)</w:t>
            </w:r>
          </w:p>
        </w:tc>
        <w:tc>
          <w:tcPr>
            <w:tcW w:w="0" w:type="auto"/>
            <w:hideMark/>
          </w:tcPr>
          <w:p w14:paraId="1FCAD23D"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Governance, IT; fraud detection</w:t>
            </w:r>
          </w:p>
        </w:tc>
        <w:tc>
          <w:tcPr>
            <w:tcW w:w="0" w:type="auto"/>
            <w:hideMark/>
          </w:tcPr>
          <w:p w14:paraId="42F034F8"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Survey; t-test, ANOVA</w:t>
            </w:r>
          </w:p>
        </w:tc>
        <w:tc>
          <w:tcPr>
            <w:tcW w:w="0" w:type="auto"/>
            <w:hideMark/>
          </w:tcPr>
          <w:p w14:paraId="142CF187"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Governance and IT significantly reduce fraud opportunity</w:t>
            </w:r>
          </w:p>
        </w:tc>
      </w:tr>
      <w:tr w:rsidR="000848CC" w:rsidRPr="00CA63A7" w14:paraId="23886B2C"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DD80C88" w14:textId="3CC61D36" w:rsidR="000848CC" w:rsidRPr="00CA63A7" w:rsidRDefault="000848CC" w:rsidP="00CA63A7">
            <w:pPr>
              <w:spacing w:line="360" w:lineRule="auto"/>
              <w:rPr>
                <w:rFonts w:ascii="Times New Roman" w:hAnsi="Times New Roman" w:cs="Times New Roman"/>
              </w:rPr>
            </w:pPr>
            <w:r w:rsidRPr="00CA63A7">
              <w:rPr>
                <w:rFonts w:ascii="Times New Roman" w:hAnsi="Times New Roman" w:cs="Times New Roman"/>
              </w:rPr>
              <w:t>Owusu et al. (202</w:t>
            </w:r>
            <w:r w:rsidR="00A702A7">
              <w:rPr>
                <w:rFonts w:ascii="Times New Roman" w:hAnsi="Times New Roman" w:cs="Times New Roman"/>
              </w:rPr>
              <w:t>1</w:t>
            </w:r>
            <w:r w:rsidRPr="00CA63A7">
              <w:rPr>
                <w:rFonts w:ascii="Times New Roman" w:hAnsi="Times New Roman" w:cs="Times New Roman"/>
              </w:rPr>
              <w:t>)</w:t>
            </w:r>
          </w:p>
        </w:tc>
        <w:tc>
          <w:tcPr>
            <w:tcW w:w="0" w:type="auto"/>
            <w:hideMark/>
          </w:tcPr>
          <w:p w14:paraId="54659539"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Ghanaian state-owned enterprises</w:t>
            </w:r>
          </w:p>
        </w:tc>
        <w:tc>
          <w:tcPr>
            <w:tcW w:w="0" w:type="auto"/>
            <w:hideMark/>
          </w:tcPr>
          <w:p w14:paraId="581A810D"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 xml:space="preserve">Pressure, opportunity, </w:t>
            </w:r>
            <w:proofErr w:type="spellStart"/>
            <w:r w:rsidRPr="00CA63A7">
              <w:rPr>
                <w:rFonts w:ascii="Times New Roman" w:hAnsi="Times New Roman" w:cs="Times New Roman"/>
              </w:rPr>
              <w:t>rationalisation</w:t>
            </w:r>
            <w:proofErr w:type="spellEnd"/>
          </w:p>
        </w:tc>
        <w:tc>
          <w:tcPr>
            <w:tcW w:w="0" w:type="auto"/>
            <w:hideMark/>
          </w:tcPr>
          <w:p w14:paraId="0BD5A54B"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PLS-SEM</w:t>
            </w:r>
          </w:p>
        </w:tc>
        <w:tc>
          <w:tcPr>
            <w:tcW w:w="0" w:type="auto"/>
            <w:hideMark/>
          </w:tcPr>
          <w:p w14:paraId="1E32F25C"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Opportunity significantly predicts fraud</w:t>
            </w:r>
          </w:p>
        </w:tc>
      </w:tr>
      <w:tr w:rsidR="000848CC" w:rsidRPr="00CA63A7" w14:paraId="1CDCBD8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3842FDB" w14:textId="1D3B57D2" w:rsidR="000848CC" w:rsidRPr="00CA63A7" w:rsidRDefault="000848CC" w:rsidP="00CA63A7">
            <w:pPr>
              <w:spacing w:line="360" w:lineRule="auto"/>
              <w:rPr>
                <w:rFonts w:ascii="Times New Roman" w:hAnsi="Times New Roman" w:cs="Times New Roman"/>
              </w:rPr>
            </w:pPr>
            <w:r w:rsidRPr="00CA63A7">
              <w:rPr>
                <w:rFonts w:ascii="Times New Roman" w:hAnsi="Times New Roman" w:cs="Times New Roman"/>
              </w:rPr>
              <w:t>Demetriades &amp; Owusu-Agyei (202</w:t>
            </w:r>
            <w:r w:rsidR="00503DA2">
              <w:rPr>
                <w:rFonts w:ascii="Times New Roman" w:hAnsi="Times New Roman" w:cs="Times New Roman"/>
              </w:rPr>
              <w:t>1</w:t>
            </w:r>
            <w:r w:rsidRPr="00CA63A7">
              <w:rPr>
                <w:rFonts w:ascii="Times New Roman" w:hAnsi="Times New Roman" w:cs="Times New Roman"/>
              </w:rPr>
              <w:t>)</w:t>
            </w:r>
          </w:p>
        </w:tc>
        <w:tc>
          <w:tcPr>
            <w:tcW w:w="0" w:type="auto"/>
            <w:hideMark/>
          </w:tcPr>
          <w:p w14:paraId="412CB93A"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Toshiba (Japan)</w:t>
            </w:r>
          </w:p>
        </w:tc>
        <w:tc>
          <w:tcPr>
            <w:tcW w:w="0" w:type="auto"/>
            <w:hideMark/>
          </w:tcPr>
          <w:p w14:paraId="6BCAC9A6"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Fraud diamond; financial statement fraud</w:t>
            </w:r>
          </w:p>
        </w:tc>
        <w:tc>
          <w:tcPr>
            <w:tcW w:w="0" w:type="auto"/>
            <w:hideMark/>
          </w:tcPr>
          <w:p w14:paraId="5DA6CE81"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Simultaneous equations</w:t>
            </w:r>
          </w:p>
        </w:tc>
        <w:tc>
          <w:tcPr>
            <w:tcW w:w="0" w:type="auto"/>
            <w:hideMark/>
          </w:tcPr>
          <w:p w14:paraId="634D059A"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Weak monitoring strongly associated with fraud</w:t>
            </w:r>
          </w:p>
        </w:tc>
      </w:tr>
      <w:tr w:rsidR="000848CC" w:rsidRPr="00CA63A7" w14:paraId="7671373F"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B5F18E3" w14:textId="77777777" w:rsidR="000848CC" w:rsidRPr="00CA63A7" w:rsidRDefault="000848CC" w:rsidP="00CA63A7">
            <w:pPr>
              <w:spacing w:line="360" w:lineRule="auto"/>
              <w:rPr>
                <w:rFonts w:ascii="Times New Roman" w:hAnsi="Times New Roman" w:cs="Times New Roman"/>
              </w:rPr>
            </w:pPr>
            <w:proofErr w:type="spellStart"/>
            <w:r w:rsidRPr="00CA63A7">
              <w:rPr>
                <w:rFonts w:ascii="Times New Roman" w:hAnsi="Times New Roman" w:cs="Times New Roman"/>
              </w:rPr>
              <w:t>Oyerogba</w:t>
            </w:r>
            <w:proofErr w:type="spellEnd"/>
            <w:r w:rsidRPr="00CA63A7">
              <w:rPr>
                <w:rFonts w:ascii="Times New Roman" w:hAnsi="Times New Roman" w:cs="Times New Roman"/>
              </w:rPr>
              <w:t xml:space="preserve"> (2021)</w:t>
            </w:r>
          </w:p>
        </w:tc>
        <w:tc>
          <w:tcPr>
            <w:tcW w:w="0" w:type="auto"/>
            <w:hideMark/>
          </w:tcPr>
          <w:p w14:paraId="6A4AB58C"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Nigerian public sector</w:t>
            </w:r>
          </w:p>
        </w:tc>
        <w:tc>
          <w:tcPr>
            <w:tcW w:w="0" w:type="auto"/>
            <w:hideMark/>
          </w:tcPr>
          <w:p w14:paraId="4F23AA14"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Forensic auditing skill; fraud detection</w:t>
            </w:r>
          </w:p>
        </w:tc>
        <w:tc>
          <w:tcPr>
            <w:tcW w:w="0" w:type="auto"/>
            <w:hideMark/>
          </w:tcPr>
          <w:p w14:paraId="2640A286"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Survey; logistic/OLS</w:t>
            </w:r>
          </w:p>
        </w:tc>
        <w:tc>
          <w:tcPr>
            <w:tcW w:w="0" w:type="auto"/>
            <w:hideMark/>
          </w:tcPr>
          <w:p w14:paraId="18A7BFAE"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Auditor skill significantly predicts detection</w:t>
            </w:r>
          </w:p>
        </w:tc>
      </w:tr>
      <w:tr w:rsidR="000848CC" w:rsidRPr="00CA63A7" w14:paraId="26CDDDB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0615F33" w14:textId="2E71BBD9" w:rsidR="000848CC" w:rsidRPr="00CA63A7" w:rsidRDefault="00487060" w:rsidP="00CA63A7">
            <w:pPr>
              <w:spacing w:line="360" w:lineRule="auto"/>
              <w:rPr>
                <w:rFonts w:ascii="Times New Roman" w:hAnsi="Times New Roman" w:cs="Times New Roman"/>
              </w:rPr>
            </w:pPr>
            <w:r w:rsidRPr="00487060">
              <w:rPr>
                <w:rFonts w:ascii="Times New Roman" w:hAnsi="Times New Roman" w:cs="Times New Roman"/>
              </w:rPr>
              <w:lastRenderedPageBreak/>
              <w:t>Kanu</w:t>
            </w:r>
            <w:r w:rsidR="000848CC" w:rsidRPr="00CA63A7">
              <w:rPr>
                <w:rFonts w:ascii="Times New Roman" w:hAnsi="Times New Roman" w:cs="Times New Roman"/>
              </w:rPr>
              <w:t xml:space="preserve"> et al. (2022)</w:t>
            </w:r>
          </w:p>
        </w:tc>
        <w:tc>
          <w:tcPr>
            <w:tcW w:w="0" w:type="auto"/>
            <w:hideMark/>
          </w:tcPr>
          <w:p w14:paraId="628E1658"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NDIC crime reports</w:t>
            </w:r>
          </w:p>
        </w:tc>
        <w:tc>
          <w:tcPr>
            <w:tcW w:w="0" w:type="auto"/>
            <w:hideMark/>
          </w:tcPr>
          <w:p w14:paraId="7FFC20AE"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Fraud and forgery incidence</w:t>
            </w:r>
          </w:p>
        </w:tc>
        <w:tc>
          <w:tcPr>
            <w:tcW w:w="0" w:type="auto"/>
            <w:hideMark/>
          </w:tcPr>
          <w:p w14:paraId="067EB6F0"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Content analysis; correlation</w:t>
            </w:r>
          </w:p>
        </w:tc>
        <w:tc>
          <w:tcPr>
            <w:tcW w:w="0" w:type="auto"/>
            <w:hideMark/>
          </w:tcPr>
          <w:p w14:paraId="463CD540" w14:textId="77777777" w:rsidR="000848CC" w:rsidRPr="00CA63A7" w:rsidRDefault="000848CC" w:rsidP="00CA63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Sharp escalation; staff-driven fraud dominant</w:t>
            </w:r>
          </w:p>
        </w:tc>
      </w:tr>
    </w:tbl>
    <w:p w14:paraId="42BF19F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i/>
          <w:iCs/>
        </w:rPr>
        <w:t>Source: Authors' compilation (2026).</w:t>
      </w:r>
    </w:p>
    <w:p w14:paraId="7CE4FA1C" w14:textId="77777777" w:rsidR="00CA63A7" w:rsidRDefault="00CA63A7" w:rsidP="00CA63A7">
      <w:pPr>
        <w:spacing w:line="360" w:lineRule="auto"/>
        <w:jc w:val="both"/>
        <w:rPr>
          <w:rFonts w:ascii="Times New Roman" w:hAnsi="Times New Roman" w:cs="Times New Roman"/>
          <w:b/>
          <w:bCs/>
        </w:rPr>
      </w:pPr>
    </w:p>
    <w:p w14:paraId="385498FC" w14:textId="1434EE89" w:rsidR="000848CC" w:rsidRPr="00CA63A7" w:rsidRDefault="00DC166F" w:rsidP="00CA63A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3.0 </w:t>
      </w:r>
      <w:r w:rsidR="000848CC" w:rsidRPr="00CA63A7">
        <w:rPr>
          <w:rFonts w:ascii="Times New Roman" w:hAnsi="Times New Roman" w:cs="Times New Roman"/>
          <w:b/>
          <w:bCs/>
          <w:sz w:val="28"/>
          <w:szCs w:val="28"/>
        </w:rPr>
        <w:t>Methodology</w:t>
      </w:r>
    </w:p>
    <w:p w14:paraId="3D2D5090" w14:textId="77777777" w:rsidR="00ED15E8" w:rsidRPr="00ED15E8" w:rsidRDefault="00DC166F" w:rsidP="00ED15E8">
      <w:pPr>
        <w:spacing w:line="360" w:lineRule="auto"/>
        <w:jc w:val="both"/>
        <w:rPr>
          <w:rFonts w:ascii="Times New Roman" w:hAnsi="Times New Roman" w:cs="Times New Roman"/>
        </w:rPr>
      </w:pPr>
      <w:r>
        <w:rPr>
          <w:rFonts w:ascii="Times New Roman" w:hAnsi="Times New Roman" w:cs="Times New Roman"/>
          <w:b/>
          <w:bCs/>
        </w:rPr>
        <w:t xml:space="preserve">3.1 </w:t>
      </w:r>
      <w:r w:rsidR="000848CC" w:rsidRPr="00CA63A7">
        <w:rPr>
          <w:rFonts w:ascii="Times New Roman" w:hAnsi="Times New Roman" w:cs="Times New Roman"/>
          <w:b/>
          <w:bCs/>
        </w:rPr>
        <w:t>Research Design.</w:t>
      </w:r>
      <w:r w:rsidR="000848CC" w:rsidRPr="00CA63A7">
        <w:rPr>
          <w:rFonts w:ascii="Times New Roman" w:hAnsi="Times New Roman" w:cs="Times New Roman"/>
        </w:rPr>
        <w:t xml:space="preserve"> </w:t>
      </w:r>
      <w:r w:rsidR="00ED15E8" w:rsidRPr="00ED15E8">
        <w:rPr>
          <w:rFonts w:ascii="Times New Roman" w:hAnsi="Times New Roman" w:cs="Times New Roman"/>
        </w:rPr>
        <w:t>The design of this study is quantitative with a longitudinal panel data design, which is suitable for the study of the relationship between variation in internal control components of banks over time and variation in fraud occurrence while controlling for unobserved bank-specific and time-specific heterogeneity. The ex post facto nature of the design with an analysis of archival data instead of experimental variables is in line with the tradition in panel-based banking research in Nigeria (</w:t>
      </w:r>
      <w:proofErr w:type="spellStart"/>
      <w:r w:rsidR="00ED15E8" w:rsidRPr="00ED15E8">
        <w:rPr>
          <w:rFonts w:ascii="Times New Roman" w:hAnsi="Times New Roman" w:cs="Times New Roman"/>
        </w:rPr>
        <w:t>Fabiyi</w:t>
      </w:r>
      <w:proofErr w:type="spellEnd"/>
      <w:r w:rsidR="00ED15E8" w:rsidRPr="00ED15E8">
        <w:rPr>
          <w:rFonts w:ascii="Times New Roman" w:hAnsi="Times New Roman" w:cs="Times New Roman"/>
        </w:rPr>
        <w:t xml:space="preserve"> et al., 2025).</w:t>
      </w:r>
    </w:p>
    <w:p w14:paraId="0E7888B8" w14:textId="77777777" w:rsidR="00ED15E8" w:rsidRPr="00ED15E8" w:rsidRDefault="00ED15E8" w:rsidP="00ED15E8">
      <w:pPr>
        <w:spacing w:line="360" w:lineRule="auto"/>
        <w:jc w:val="both"/>
        <w:rPr>
          <w:rFonts w:ascii="Times New Roman" w:hAnsi="Times New Roman" w:cs="Times New Roman"/>
        </w:rPr>
      </w:pPr>
      <w:r w:rsidRPr="00ED15E8">
        <w:rPr>
          <w:rFonts w:ascii="Times New Roman" w:hAnsi="Times New Roman" w:cs="Times New Roman"/>
          <w:b/>
          <w:bCs/>
        </w:rPr>
        <w:t>3.2 Population and Sample.</w:t>
      </w:r>
      <w:r w:rsidRPr="00ED15E8">
        <w:rPr>
          <w:rFonts w:ascii="Times New Roman" w:hAnsi="Times New Roman" w:cs="Times New Roman"/>
        </w:rPr>
        <w:t xml:space="preserve"> The population includes all the deposit money banks listed on the Nigerian Exchange Group as at December 2024. Fourteen banks were purposively selected based on their continuous listing on the stock exchange throughout the period of 2019-2024, availability of audited annual reports and internal control disclosures, and their classification as nationally </w:t>
      </w:r>
      <w:proofErr w:type="spellStart"/>
      <w:r w:rsidRPr="00ED15E8">
        <w:rPr>
          <w:rFonts w:ascii="Times New Roman" w:hAnsi="Times New Roman" w:cs="Times New Roman"/>
        </w:rPr>
        <w:t>authorised</w:t>
      </w:r>
      <w:proofErr w:type="spellEnd"/>
      <w:r w:rsidRPr="00ED15E8">
        <w:rPr>
          <w:rFonts w:ascii="Times New Roman" w:hAnsi="Times New Roman" w:cs="Times New Roman"/>
        </w:rPr>
        <w:t xml:space="preserve"> commercial and merchant banks by the Central Bank of Nigeria. The resulting panel consists of eighty-four observations of bank years, as shown in Table 2.</w:t>
      </w:r>
    </w:p>
    <w:p w14:paraId="68BCDACB" w14:textId="4673B714" w:rsidR="000848CC" w:rsidRPr="00CA63A7" w:rsidRDefault="000848CC" w:rsidP="00ED15E8">
      <w:pPr>
        <w:spacing w:line="360" w:lineRule="auto"/>
        <w:jc w:val="both"/>
        <w:rPr>
          <w:rFonts w:ascii="Times New Roman" w:hAnsi="Times New Roman" w:cs="Times New Roman"/>
        </w:rPr>
      </w:pPr>
      <w:r w:rsidRPr="00CA63A7">
        <w:rPr>
          <w:rFonts w:ascii="Times New Roman" w:hAnsi="Times New Roman" w:cs="Times New Roman"/>
          <w:b/>
          <w:bCs/>
        </w:rPr>
        <w:t>Table 2: Sample Selection Procedure</w:t>
      </w:r>
    </w:p>
    <w:tbl>
      <w:tblPr>
        <w:tblStyle w:val="GridTable1Light"/>
        <w:tblW w:w="0" w:type="auto"/>
        <w:tblLook w:val="04A0" w:firstRow="1" w:lastRow="0" w:firstColumn="1" w:lastColumn="0" w:noHBand="0" w:noVBand="1"/>
      </w:tblPr>
      <w:tblGrid>
        <w:gridCol w:w="6085"/>
        <w:gridCol w:w="2026"/>
      </w:tblGrid>
      <w:tr w:rsidR="000848CC" w:rsidRPr="00CA63A7" w14:paraId="11FD6F8E"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22946F" w14:textId="77777777" w:rsidR="000848CC" w:rsidRPr="00CA63A7" w:rsidRDefault="000848CC" w:rsidP="00CA63A7">
            <w:pPr>
              <w:spacing w:line="360" w:lineRule="auto"/>
              <w:jc w:val="both"/>
              <w:rPr>
                <w:rFonts w:ascii="Times New Roman" w:hAnsi="Times New Roman" w:cs="Times New Roman"/>
                <w:b w:val="0"/>
                <w:bCs w:val="0"/>
              </w:rPr>
            </w:pPr>
            <w:r w:rsidRPr="00CA63A7">
              <w:rPr>
                <w:rFonts w:ascii="Times New Roman" w:hAnsi="Times New Roman" w:cs="Times New Roman"/>
              </w:rPr>
              <w:t>Selection Stage</w:t>
            </w:r>
          </w:p>
        </w:tc>
        <w:tc>
          <w:tcPr>
            <w:tcW w:w="0" w:type="auto"/>
            <w:hideMark/>
          </w:tcPr>
          <w:p w14:paraId="39A53560"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Number of Banks</w:t>
            </w:r>
          </w:p>
        </w:tc>
      </w:tr>
      <w:tr w:rsidR="000848CC" w:rsidRPr="00CA63A7" w14:paraId="7CD571D9"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2AD5F98"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Deposit money banks listed on NGX as of December 2024</w:t>
            </w:r>
          </w:p>
        </w:tc>
        <w:tc>
          <w:tcPr>
            <w:tcW w:w="0" w:type="auto"/>
            <w:hideMark/>
          </w:tcPr>
          <w:p w14:paraId="10392F3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24</w:t>
            </w:r>
          </w:p>
        </w:tc>
      </w:tr>
      <w:tr w:rsidR="000848CC" w:rsidRPr="00CA63A7" w14:paraId="297FE1A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37D915D"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Less: incomplete listing history (2019–2024)</w:t>
            </w:r>
          </w:p>
        </w:tc>
        <w:tc>
          <w:tcPr>
            <w:tcW w:w="0" w:type="auto"/>
            <w:hideMark/>
          </w:tcPr>
          <w:p w14:paraId="233E564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(6)</w:t>
            </w:r>
          </w:p>
        </w:tc>
      </w:tr>
      <w:tr w:rsidR="000848CC" w:rsidRPr="00CA63A7" w14:paraId="7CA217EA"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A011FBC"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Less: incomplete internal control disclosures</w:t>
            </w:r>
          </w:p>
        </w:tc>
        <w:tc>
          <w:tcPr>
            <w:tcW w:w="0" w:type="auto"/>
            <w:hideMark/>
          </w:tcPr>
          <w:p w14:paraId="082B352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(3)</w:t>
            </w:r>
          </w:p>
        </w:tc>
      </w:tr>
      <w:tr w:rsidR="000848CC" w:rsidRPr="00CA63A7" w14:paraId="4A3D3991"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17C5F8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Less: banks under major restructuring during the period</w:t>
            </w:r>
          </w:p>
        </w:tc>
        <w:tc>
          <w:tcPr>
            <w:tcW w:w="0" w:type="auto"/>
            <w:hideMark/>
          </w:tcPr>
          <w:p w14:paraId="4B6A5B4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w:t>
            </w:r>
          </w:p>
        </w:tc>
      </w:tr>
      <w:tr w:rsidR="000848CC" w:rsidRPr="00CA63A7" w14:paraId="54C39EC0"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9D64A0A"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Final sample</w:t>
            </w:r>
          </w:p>
        </w:tc>
        <w:tc>
          <w:tcPr>
            <w:tcW w:w="0" w:type="auto"/>
            <w:hideMark/>
          </w:tcPr>
          <w:p w14:paraId="1CE33DB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14</w:t>
            </w:r>
          </w:p>
        </w:tc>
      </w:tr>
      <w:tr w:rsidR="000848CC" w:rsidRPr="00CA63A7" w14:paraId="6D3EC8B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FADFC98"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Years observed</w:t>
            </w:r>
          </w:p>
        </w:tc>
        <w:tc>
          <w:tcPr>
            <w:tcW w:w="0" w:type="auto"/>
            <w:hideMark/>
          </w:tcPr>
          <w:p w14:paraId="00C0530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6</w:t>
            </w:r>
          </w:p>
        </w:tc>
      </w:tr>
      <w:tr w:rsidR="000848CC" w:rsidRPr="00CA63A7" w14:paraId="4997F58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CA676F6"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Total bank-year observations</w:t>
            </w:r>
          </w:p>
        </w:tc>
        <w:tc>
          <w:tcPr>
            <w:tcW w:w="0" w:type="auto"/>
            <w:hideMark/>
          </w:tcPr>
          <w:p w14:paraId="392E8B0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r>
    </w:tbl>
    <w:p w14:paraId="65B2935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i/>
          <w:iCs/>
        </w:rPr>
        <w:t>Source: Authors' computation (2026).</w:t>
      </w:r>
    </w:p>
    <w:p w14:paraId="554898D5" w14:textId="77777777" w:rsidR="00ED15E8" w:rsidRPr="00ED15E8" w:rsidRDefault="00DC166F" w:rsidP="00ED15E8">
      <w:pPr>
        <w:spacing w:line="360" w:lineRule="auto"/>
        <w:jc w:val="both"/>
        <w:rPr>
          <w:rFonts w:ascii="Times New Roman" w:hAnsi="Times New Roman" w:cs="Times New Roman"/>
        </w:rPr>
      </w:pPr>
      <w:r>
        <w:rPr>
          <w:rFonts w:ascii="Times New Roman" w:hAnsi="Times New Roman" w:cs="Times New Roman"/>
          <w:b/>
          <w:bCs/>
        </w:rPr>
        <w:lastRenderedPageBreak/>
        <w:t xml:space="preserve">3.3 </w:t>
      </w:r>
      <w:r w:rsidR="000848CC" w:rsidRPr="00CA63A7">
        <w:rPr>
          <w:rFonts w:ascii="Times New Roman" w:hAnsi="Times New Roman" w:cs="Times New Roman"/>
          <w:b/>
          <w:bCs/>
        </w:rPr>
        <w:t>Data Collection and Variable Measurement.</w:t>
      </w:r>
      <w:r w:rsidR="000848CC" w:rsidRPr="00CA63A7">
        <w:rPr>
          <w:rFonts w:ascii="Times New Roman" w:hAnsi="Times New Roman" w:cs="Times New Roman"/>
        </w:rPr>
        <w:t xml:space="preserve"> </w:t>
      </w:r>
      <w:r w:rsidR="00ED15E8" w:rsidRPr="00ED15E8">
        <w:rPr>
          <w:rFonts w:ascii="Times New Roman" w:hAnsi="Times New Roman" w:cs="Times New Roman"/>
        </w:rPr>
        <w:t xml:space="preserve">The data were obtained from the annual reports and corporate governance disclosures of the sampled banks, which were audited and cross-validated with the quarterly reports of the Financial Institutions Training Centre on fraud and the Nigeria Deposit Insurance Corporation Annual Reports, and the Central Bank of Nigeria Banking Supervision Annual Reports. The Fraud Occurrence Ratio (FOR) which is the ratio of reported fraud losses and forgery losses to total assets is used to proxy the dependent variable (fraud prevention) following the loss-based approach adopted in recent Nigerian fraud studies (Kanu et al., 2022). The lower the ratio, the better the fraud prevention, and each internal control component should have a negative coefficient. Each independent variable was measured using a disclosure-based index, which was developed based on the disclosures regarding the respective independent variable in the governance and risk reports of each bank, and then </w:t>
      </w:r>
      <w:proofErr w:type="spellStart"/>
      <w:r w:rsidR="00ED15E8" w:rsidRPr="00ED15E8">
        <w:rPr>
          <w:rFonts w:ascii="Times New Roman" w:hAnsi="Times New Roman" w:cs="Times New Roman"/>
        </w:rPr>
        <w:t>normalised</w:t>
      </w:r>
      <w:proofErr w:type="spellEnd"/>
      <w:r w:rsidR="00ED15E8" w:rsidRPr="00ED15E8">
        <w:rPr>
          <w:rFonts w:ascii="Times New Roman" w:hAnsi="Times New Roman" w:cs="Times New Roman"/>
        </w:rPr>
        <w:t xml:space="preserve"> to a 0–1 scale, as validated in comparative banking research (</w:t>
      </w:r>
      <w:proofErr w:type="spellStart"/>
      <w:r w:rsidR="00ED15E8" w:rsidRPr="00ED15E8">
        <w:rPr>
          <w:rFonts w:ascii="Times New Roman" w:hAnsi="Times New Roman" w:cs="Times New Roman"/>
        </w:rPr>
        <w:t>Koutoupis</w:t>
      </w:r>
      <w:proofErr w:type="spellEnd"/>
      <w:r w:rsidR="00ED15E8" w:rsidRPr="00ED15E8">
        <w:rPr>
          <w:rFonts w:ascii="Times New Roman" w:hAnsi="Times New Roman" w:cs="Times New Roman"/>
        </w:rPr>
        <w:t xml:space="preserve"> and </w:t>
      </w:r>
      <w:proofErr w:type="spellStart"/>
      <w:r w:rsidR="00ED15E8" w:rsidRPr="00ED15E8">
        <w:rPr>
          <w:rFonts w:ascii="Times New Roman" w:hAnsi="Times New Roman" w:cs="Times New Roman"/>
        </w:rPr>
        <w:t>Malisiovas</w:t>
      </w:r>
      <w:proofErr w:type="spellEnd"/>
      <w:r w:rsidR="00ED15E8" w:rsidRPr="00ED15E8">
        <w:rPr>
          <w:rFonts w:ascii="Times New Roman" w:hAnsi="Times New Roman" w:cs="Times New Roman"/>
        </w:rPr>
        <w:t xml:space="preserve">, 2023): Control Environment from board independence, code of ethics and whistle-blower protection disclosures; Risk Assessment from the existence of a fraud risk register and re-assessment frequency; Control Activities from segregation-of-duties policy, </w:t>
      </w:r>
      <w:proofErr w:type="spellStart"/>
      <w:r w:rsidR="00ED15E8" w:rsidRPr="00ED15E8">
        <w:rPr>
          <w:rFonts w:ascii="Times New Roman" w:hAnsi="Times New Roman" w:cs="Times New Roman"/>
        </w:rPr>
        <w:t>authorisation</w:t>
      </w:r>
      <w:proofErr w:type="spellEnd"/>
      <w:r w:rsidR="00ED15E8" w:rsidRPr="00ED15E8">
        <w:rPr>
          <w:rFonts w:ascii="Times New Roman" w:hAnsi="Times New Roman" w:cs="Times New Roman"/>
        </w:rPr>
        <w:t xml:space="preserve"> thresholds, and access-control disclosures; Information and Communication from whistle-blowing usage statistics and escalation procedures; and Monitoring Activities from internal audit independence, audit committee frequency, and external assurance coverage. The variable definitions and measurements are </w:t>
      </w:r>
      <w:proofErr w:type="spellStart"/>
      <w:r w:rsidR="00ED15E8" w:rsidRPr="00ED15E8">
        <w:rPr>
          <w:rFonts w:ascii="Times New Roman" w:hAnsi="Times New Roman" w:cs="Times New Roman"/>
        </w:rPr>
        <w:t>summarised</w:t>
      </w:r>
      <w:proofErr w:type="spellEnd"/>
      <w:r w:rsidR="00ED15E8" w:rsidRPr="00ED15E8">
        <w:rPr>
          <w:rFonts w:ascii="Times New Roman" w:hAnsi="Times New Roman" w:cs="Times New Roman"/>
        </w:rPr>
        <w:t xml:space="preserve"> in Table 3, with the control variables included for their well-established link to fraud exposure in the literature: bank size, age, capital adequacy, profitability, board independence and leverage.</w:t>
      </w:r>
    </w:p>
    <w:p w14:paraId="411207C9" w14:textId="15A5E0D4" w:rsidR="000848CC" w:rsidRPr="00CA63A7" w:rsidRDefault="000848CC" w:rsidP="00ED15E8">
      <w:pPr>
        <w:spacing w:line="360" w:lineRule="auto"/>
        <w:jc w:val="both"/>
        <w:rPr>
          <w:rFonts w:ascii="Times New Roman" w:hAnsi="Times New Roman" w:cs="Times New Roman"/>
        </w:rPr>
      </w:pPr>
      <w:r w:rsidRPr="00CA63A7">
        <w:rPr>
          <w:rFonts w:ascii="Times New Roman" w:hAnsi="Times New Roman" w:cs="Times New Roman"/>
          <w:b/>
          <w:bCs/>
        </w:rPr>
        <w:t>Table 3: Variable Definitions and Measurements</w:t>
      </w:r>
    </w:p>
    <w:tbl>
      <w:tblPr>
        <w:tblStyle w:val="GridTable1Light"/>
        <w:tblW w:w="0" w:type="auto"/>
        <w:tblLook w:val="04A0" w:firstRow="1" w:lastRow="0" w:firstColumn="1" w:lastColumn="0" w:noHBand="0" w:noVBand="1"/>
      </w:tblPr>
      <w:tblGrid>
        <w:gridCol w:w="2652"/>
        <w:gridCol w:w="990"/>
        <w:gridCol w:w="4316"/>
        <w:gridCol w:w="1392"/>
      </w:tblGrid>
      <w:tr w:rsidR="000848CC" w:rsidRPr="00CA63A7" w14:paraId="420050A9"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C177CB" w14:textId="77777777" w:rsidR="000848CC" w:rsidRPr="00CA63A7" w:rsidRDefault="000848CC" w:rsidP="00CA63A7">
            <w:pPr>
              <w:spacing w:line="360" w:lineRule="auto"/>
              <w:jc w:val="both"/>
              <w:rPr>
                <w:rFonts w:ascii="Times New Roman" w:hAnsi="Times New Roman" w:cs="Times New Roman"/>
                <w:b w:val="0"/>
                <w:bCs w:val="0"/>
              </w:rPr>
            </w:pPr>
            <w:r w:rsidRPr="00CA63A7">
              <w:rPr>
                <w:rFonts w:ascii="Times New Roman" w:hAnsi="Times New Roman" w:cs="Times New Roman"/>
              </w:rPr>
              <w:t>Variable</w:t>
            </w:r>
          </w:p>
        </w:tc>
        <w:tc>
          <w:tcPr>
            <w:tcW w:w="0" w:type="auto"/>
            <w:hideMark/>
          </w:tcPr>
          <w:p w14:paraId="781D9569"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Symbol</w:t>
            </w:r>
          </w:p>
        </w:tc>
        <w:tc>
          <w:tcPr>
            <w:tcW w:w="0" w:type="auto"/>
            <w:hideMark/>
          </w:tcPr>
          <w:p w14:paraId="21F9E84A"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Measurement</w:t>
            </w:r>
          </w:p>
        </w:tc>
        <w:tc>
          <w:tcPr>
            <w:tcW w:w="0" w:type="auto"/>
            <w:hideMark/>
          </w:tcPr>
          <w:p w14:paraId="0B511E33"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Expected Sign</w:t>
            </w:r>
          </w:p>
        </w:tc>
      </w:tr>
      <w:tr w:rsidR="000848CC" w:rsidRPr="00CA63A7" w14:paraId="76432BA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1233DD6"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Fraud Occurrence Ratio</w:t>
            </w:r>
          </w:p>
        </w:tc>
        <w:tc>
          <w:tcPr>
            <w:tcW w:w="0" w:type="auto"/>
            <w:hideMark/>
          </w:tcPr>
          <w:p w14:paraId="6007F76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FOR</w:t>
            </w:r>
          </w:p>
        </w:tc>
        <w:tc>
          <w:tcPr>
            <w:tcW w:w="0" w:type="auto"/>
            <w:hideMark/>
          </w:tcPr>
          <w:p w14:paraId="2CAC3C1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Fraud and forgery losses / total assets</w:t>
            </w:r>
          </w:p>
        </w:tc>
        <w:tc>
          <w:tcPr>
            <w:tcW w:w="0" w:type="auto"/>
            <w:hideMark/>
          </w:tcPr>
          <w:p w14:paraId="668ACF6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58B9F62D"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9EDCCCF"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Control Environment</w:t>
            </w:r>
          </w:p>
        </w:tc>
        <w:tc>
          <w:tcPr>
            <w:tcW w:w="0" w:type="auto"/>
            <w:hideMark/>
          </w:tcPr>
          <w:p w14:paraId="02D6C47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CTE</w:t>
            </w:r>
          </w:p>
        </w:tc>
        <w:tc>
          <w:tcPr>
            <w:tcW w:w="0" w:type="auto"/>
            <w:hideMark/>
          </w:tcPr>
          <w:p w14:paraId="043CDE7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Disclosure index: board independence, ethics code, whistle-blower protection</w:t>
            </w:r>
          </w:p>
        </w:tc>
        <w:tc>
          <w:tcPr>
            <w:tcW w:w="0" w:type="auto"/>
            <w:hideMark/>
          </w:tcPr>
          <w:p w14:paraId="2E2EE95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1B6B4FD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125EF8E"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Risk Assessment</w:t>
            </w:r>
          </w:p>
        </w:tc>
        <w:tc>
          <w:tcPr>
            <w:tcW w:w="0" w:type="auto"/>
            <w:hideMark/>
          </w:tcPr>
          <w:p w14:paraId="5763FC9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RSA</w:t>
            </w:r>
          </w:p>
        </w:tc>
        <w:tc>
          <w:tcPr>
            <w:tcW w:w="0" w:type="auto"/>
            <w:hideMark/>
          </w:tcPr>
          <w:p w14:paraId="31DE1D2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Disclosure index: fraud risk register, re-assessment frequency</w:t>
            </w:r>
          </w:p>
        </w:tc>
        <w:tc>
          <w:tcPr>
            <w:tcW w:w="0" w:type="auto"/>
            <w:hideMark/>
          </w:tcPr>
          <w:p w14:paraId="3112058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34DCB6D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EE269E7"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lastRenderedPageBreak/>
              <w:t>Control Activities</w:t>
            </w:r>
          </w:p>
        </w:tc>
        <w:tc>
          <w:tcPr>
            <w:tcW w:w="0" w:type="auto"/>
            <w:hideMark/>
          </w:tcPr>
          <w:p w14:paraId="4F05C6B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CTA</w:t>
            </w:r>
          </w:p>
        </w:tc>
        <w:tc>
          <w:tcPr>
            <w:tcW w:w="0" w:type="auto"/>
            <w:hideMark/>
          </w:tcPr>
          <w:p w14:paraId="2BA547C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 xml:space="preserve">Disclosure index: segregation of duties, </w:t>
            </w:r>
            <w:proofErr w:type="spellStart"/>
            <w:r w:rsidRPr="00CA63A7">
              <w:rPr>
                <w:rFonts w:ascii="Times New Roman" w:hAnsi="Times New Roman" w:cs="Times New Roman"/>
              </w:rPr>
              <w:t>authorisation</w:t>
            </w:r>
            <w:proofErr w:type="spellEnd"/>
            <w:r w:rsidRPr="00CA63A7">
              <w:rPr>
                <w:rFonts w:ascii="Times New Roman" w:hAnsi="Times New Roman" w:cs="Times New Roman"/>
              </w:rPr>
              <w:t xml:space="preserve"> limits, access controls</w:t>
            </w:r>
          </w:p>
        </w:tc>
        <w:tc>
          <w:tcPr>
            <w:tcW w:w="0" w:type="auto"/>
            <w:hideMark/>
          </w:tcPr>
          <w:p w14:paraId="7EC05DD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772F3DA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25EC600"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Information and Communication</w:t>
            </w:r>
          </w:p>
        </w:tc>
        <w:tc>
          <w:tcPr>
            <w:tcW w:w="0" w:type="auto"/>
            <w:hideMark/>
          </w:tcPr>
          <w:p w14:paraId="58DE9F7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INC</w:t>
            </w:r>
          </w:p>
        </w:tc>
        <w:tc>
          <w:tcPr>
            <w:tcW w:w="0" w:type="auto"/>
            <w:hideMark/>
          </w:tcPr>
          <w:p w14:paraId="6F97FA7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Disclosure index: whistle-blowing usage, escalation procedures</w:t>
            </w:r>
          </w:p>
        </w:tc>
        <w:tc>
          <w:tcPr>
            <w:tcW w:w="0" w:type="auto"/>
            <w:hideMark/>
          </w:tcPr>
          <w:p w14:paraId="34713C9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19502BD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A5D4213"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Monitoring Activities</w:t>
            </w:r>
          </w:p>
        </w:tc>
        <w:tc>
          <w:tcPr>
            <w:tcW w:w="0" w:type="auto"/>
            <w:hideMark/>
          </w:tcPr>
          <w:p w14:paraId="16BCD06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MOA</w:t>
            </w:r>
          </w:p>
        </w:tc>
        <w:tc>
          <w:tcPr>
            <w:tcW w:w="0" w:type="auto"/>
            <w:hideMark/>
          </w:tcPr>
          <w:p w14:paraId="6494092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Disclosure index: internal audit independence, audit committee frequency</w:t>
            </w:r>
          </w:p>
        </w:tc>
        <w:tc>
          <w:tcPr>
            <w:tcW w:w="0" w:type="auto"/>
            <w:hideMark/>
          </w:tcPr>
          <w:p w14:paraId="1E2F580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493CFFAF"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3AE3B7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Bank Size</w:t>
            </w:r>
          </w:p>
        </w:tc>
        <w:tc>
          <w:tcPr>
            <w:tcW w:w="0" w:type="auto"/>
            <w:hideMark/>
          </w:tcPr>
          <w:p w14:paraId="3E2BD05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SIZE</w:t>
            </w:r>
          </w:p>
        </w:tc>
        <w:tc>
          <w:tcPr>
            <w:tcW w:w="0" w:type="auto"/>
            <w:hideMark/>
          </w:tcPr>
          <w:p w14:paraId="31E5905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Natural log of total assets</w:t>
            </w:r>
          </w:p>
        </w:tc>
        <w:tc>
          <w:tcPr>
            <w:tcW w:w="0" w:type="auto"/>
            <w:hideMark/>
          </w:tcPr>
          <w:p w14:paraId="4EDE826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331C0179"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429AFBF"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Bank Age</w:t>
            </w:r>
          </w:p>
        </w:tc>
        <w:tc>
          <w:tcPr>
            <w:tcW w:w="0" w:type="auto"/>
            <w:hideMark/>
          </w:tcPr>
          <w:p w14:paraId="0E47FDB1"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AGE</w:t>
            </w:r>
          </w:p>
        </w:tc>
        <w:tc>
          <w:tcPr>
            <w:tcW w:w="0" w:type="auto"/>
            <w:hideMark/>
          </w:tcPr>
          <w:p w14:paraId="7ADC37D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Years since incorporation</w:t>
            </w:r>
          </w:p>
        </w:tc>
        <w:tc>
          <w:tcPr>
            <w:tcW w:w="0" w:type="auto"/>
            <w:hideMark/>
          </w:tcPr>
          <w:p w14:paraId="6D56B99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52765A66"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4714A69"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Capital Adequacy Ratio</w:t>
            </w:r>
          </w:p>
        </w:tc>
        <w:tc>
          <w:tcPr>
            <w:tcW w:w="0" w:type="auto"/>
            <w:hideMark/>
          </w:tcPr>
          <w:p w14:paraId="1940749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CAR</w:t>
            </w:r>
          </w:p>
        </w:tc>
        <w:tc>
          <w:tcPr>
            <w:tcW w:w="0" w:type="auto"/>
            <w:hideMark/>
          </w:tcPr>
          <w:p w14:paraId="58C6760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Regulatory capital / risk-weighted assets</w:t>
            </w:r>
          </w:p>
        </w:tc>
        <w:tc>
          <w:tcPr>
            <w:tcW w:w="0" w:type="auto"/>
            <w:hideMark/>
          </w:tcPr>
          <w:p w14:paraId="50AB30A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271A750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176CBD4"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Profitability</w:t>
            </w:r>
          </w:p>
        </w:tc>
        <w:tc>
          <w:tcPr>
            <w:tcW w:w="0" w:type="auto"/>
            <w:hideMark/>
          </w:tcPr>
          <w:p w14:paraId="6576568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ROA</w:t>
            </w:r>
          </w:p>
        </w:tc>
        <w:tc>
          <w:tcPr>
            <w:tcW w:w="0" w:type="auto"/>
            <w:hideMark/>
          </w:tcPr>
          <w:p w14:paraId="07E1B8E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Net income / total assets</w:t>
            </w:r>
          </w:p>
        </w:tc>
        <w:tc>
          <w:tcPr>
            <w:tcW w:w="0" w:type="auto"/>
            <w:hideMark/>
          </w:tcPr>
          <w:p w14:paraId="797F638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7C8149B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D07997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Board Independence</w:t>
            </w:r>
          </w:p>
        </w:tc>
        <w:tc>
          <w:tcPr>
            <w:tcW w:w="0" w:type="auto"/>
            <w:hideMark/>
          </w:tcPr>
          <w:p w14:paraId="6797CFA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BIND</w:t>
            </w:r>
          </w:p>
        </w:tc>
        <w:tc>
          <w:tcPr>
            <w:tcW w:w="0" w:type="auto"/>
            <w:hideMark/>
          </w:tcPr>
          <w:p w14:paraId="4606674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Proportion of non-executive directors</w:t>
            </w:r>
          </w:p>
        </w:tc>
        <w:tc>
          <w:tcPr>
            <w:tcW w:w="0" w:type="auto"/>
            <w:hideMark/>
          </w:tcPr>
          <w:p w14:paraId="7EB4E34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r w:rsidR="000848CC" w:rsidRPr="00CA63A7" w14:paraId="63D73CA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6F56FE9"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Leverage</w:t>
            </w:r>
          </w:p>
        </w:tc>
        <w:tc>
          <w:tcPr>
            <w:tcW w:w="0" w:type="auto"/>
            <w:hideMark/>
          </w:tcPr>
          <w:p w14:paraId="10D2F851"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LEV</w:t>
            </w:r>
          </w:p>
        </w:tc>
        <w:tc>
          <w:tcPr>
            <w:tcW w:w="0" w:type="auto"/>
            <w:hideMark/>
          </w:tcPr>
          <w:p w14:paraId="088CF78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Total liabilities / total assets</w:t>
            </w:r>
          </w:p>
        </w:tc>
        <w:tc>
          <w:tcPr>
            <w:tcW w:w="0" w:type="auto"/>
            <w:hideMark/>
          </w:tcPr>
          <w:p w14:paraId="230076B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w:t>
            </w:r>
          </w:p>
        </w:tc>
      </w:tr>
    </w:tbl>
    <w:p w14:paraId="533F656E" w14:textId="77777777" w:rsidR="000848CC" w:rsidRDefault="000848CC" w:rsidP="00CA63A7">
      <w:pPr>
        <w:spacing w:line="360" w:lineRule="auto"/>
        <w:jc w:val="both"/>
        <w:rPr>
          <w:rFonts w:ascii="Times New Roman" w:hAnsi="Times New Roman" w:cs="Times New Roman"/>
          <w:i/>
          <w:iCs/>
        </w:rPr>
      </w:pPr>
      <w:r w:rsidRPr="00CA63A7">
        <w:rPr>
          <w:rFonts w:ascii="Times New Roman" w:hAnsi="Times New Roman" w:cs="Times New Roman"/>
          <w:i/>
          <w:iCs/>
        </w:rPr>
        <w:t>Source: Authors' compilation (2026).</w:t>
      </w:r>
    </w:p>
    <w:p w14:paraId="422309B9" w14:textId="033F05EC" w:rsidR="000848CC" w:rsidRPr="00CA63A7" w:rsidRDefault="004F4FB1" w:rsidP="00CA63A7">
      <w:pPr>
        <w:spacing w:line="360" w:lineRule="auto"/>
        <w:jc w:val="both"/>
        <w:rPr>
          <w:rFonts w:ascii="Times New Roman" w:hAnsi="Times New Roman" w:cs="Times New Roman"/>
        </w:rPr>
      </w:pPr>
      <w:r>
        <w:rPr>
          <w:rFonts w:ascii="Times New Roman" w:hAnsi="Times New Roman" w:cs="Times New Roman"/>
          <w:b/>
          <w:bCs/>
        </w:rPr>
        <w:t xml:space="preserve">3.4 </w:t>
      </w:r>
      <w:r w:rsidR="000848CC" w:rsidRPr="00CA63A7">
        <w:rPr>
          <w:rFonts w:ascii="Times New Roman" w:hAnsi="Times New Roman" w:cs="Times New Roman"/>
          <w:b/>
          <w:bCs/>
        </w:rPr>
        <w:t>Model Specification.</w:t>
      </w:r>
      <w:r w:rsidR="000848CC" w:rsidRPr="00CA63A7">
        <w:rPr>
          <w:rFonts w:ascii="Times New Roman" w:hAnsi="Times New Roman" w:cs="Times New Roman"/>
        </w:rPr>
        <w:t xml:space="preserve"> Consistent with the conceptual framework in Figure 1 (shown above), the relationship is modelled as:</w:t>
      </w:r>
    </w:p>
    <w:p w14:paraId="5538D31A" w14:textId="77777777" w:rsidR="000848CC" w:rsidRPr="00CA63A7" w:rsidRDefault="000848CC" w:rsidP="00CA63A7">
      <w:pPr>
        <w:spacing w:line="360" w:lineRule="auto"/>
        <w:jc w:val="both"/>
        <w:rPr>
          <w:rFonts w:ascii="Times New Roman" w:hAnsi="Times New Roman" w:cs="Times New Roman"/>
        </w:rPr>
      </w:pPr>
      <w:proofErr w:type="spellStart"/>
      <w:r w:rsidRPr="00CA63A7">
        <w:rPr>
          <w:rFonts w:ascii="Times New Roman" w:hAnsi="Times New Roman" w:cs="Times New Roman"/>
        </w:rPr>
        <w:t>FOR_it</w:t>
      </w:r>
      <w:proofErr w:type="spellEnd"/>
      <w:r w:rsidRPr="00CA63A7">
        <w:rPr>
          <w:rFonts w:ascii="Times New Roman" w:hAnsi="Times New Roman" w:cs="Times New Roman"/>
        </w:rPr>
        <w:t xml:space="preserve"> = β0 + β1CTE_it + β2RSA_it + β3CTA_it + β4INC_it + β5MOA_it + β6SIZE_it + β7AGE_it + β8CAR_it + β9ROA_it + β10BIND_it + β11LEV_it + </w:t>
      </w:r>
      <w:proofErr w:type="spellStart"/>
      <w:r w:rsidRPr="00CA63A7">
        <w:rPr>
          <w:rFonts w:ascii="Times New Roman" w:hAnsi="Times New Roman" w:cs="Times New Roman"/>
        </w:rPr>
        <w:t>μ_i</w:t>
      </w:r>
      <w:proofErr w:type="spellEnd"/>
      <w:r w:rsidRPr="00CA63A7">
        <w:rPr>
          <w:rFonts w:ascii="Times New Roman" w:hAnsi="Times New Roman" w:cs="Times New Roman"/>
        </w:rPr>
        <w:t xml:space="preserve"> + </w:t>
      </w:r>
      <w:proofErr w:type="spellStart"/>
      <w:r w:rsidRPr="00CA63A7">
        <w:rPr>
          <w:rFonts w:ascii="Times New Roman" w:hAnsi="Times New Roman" w:cs="Times New Roman"/>
        </w:rPr>
        <w:t>ε_it</w:t>
      </w:r>
      <w:proofErr w:type="spellEnd"/>
    </w:p>
    <w:p w14:paraId="00075E92"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 xml:space="preserve">where </w:t>
      </w:r>
      <w:proofErr w:type="spellStart"/>
      <w:r w:rsidRPr="00CA63A7">
        <w:rPr>
          <w:rFonts w:ascii="Times New Roman" w:hAnsi="Times New Roman" w:cs="Times New Roman"/>
        </w:rPr>
        <w:t>FOR_it</w:t>
      </w:r>
      <w:proofErr w:type="spellEnd"/>
      <w:r w:rsidRPr="00CA63A7">
        <w:rPr>
          <w:rFonts w:ascii="Times New Roman" w:hAnsi="Times New Roman" w:cs="Times New Roman"/>
        </w:rPr>
        <w:t xml:space="preserve"> is the fraud occurrence ratio of bank </w:t>
      </w:r>
      <w:proofErr w:type="spellStart"/>
      <w:r w:rsidRPr="00CA63A7">
        <w:rPr>
          <w:rFonts w:ascii="Times New Roman" w:hAnsi="Times New Roman" w:cs="Times New Roman"/>
        </w:rPr>
        <w:t>i</w:t>
      </w:r>
      <w:proofErr w:type="spellEnd"/>
      <w:r w:rsidRPr="00CA63A7">
        <w:rPr>
          <w:rFonts w:ascii="Times New Roman" w:hAnsi="Times New Roman" w:cs="Times New Roman"/>
        </w:rPr>
        <w:t xml:space="preserve"> in year t, the five COSO indices are as defined above, the six control variables follow, </w:t>
      </w:r>
      <w:proofErr w:type="spellStart"/>
      <w:r w:rsidRPr="00CA63A7">
        <w:rPr>
          <w:rFonts w:ascii="Times New Roman" w:hAnsi="Times New Roman" w:cs="Times New Roman"/>
        </w:rPr>
        <w:t>μ_i</w:t>
      </w:r>
      <w:proofErr w:type="spellEnd"/>
      <w:r w:rsidRPr="00CA63A7">
        <w:rPr>
          <w:rFonts w:ascii="Times New Roman" w:hAnsi="Times New Roman" w:cs="Times New Roman"/>
        </w:rPr>
        <w:t xml:space="preserve"> captures unobserved bank-specific heterogeneity, and </w:t>
      </w:r>
      <w:proofErr w:type="spellStart"/>
      <w:r w:rsidRPr="00CA63A7">
        <w:rPr>
          <w:rFonts w:ascii="Times New Roman" w:hAnsi="Times New Roman" w:cs="Times New Roman"/>
        </w:rPr>
        <w:t>ε_it</w:t>
      </w:r>
      <w:proofErr w:type="spellEnd"/>
      <w:r w:rsidRPr="00CA63A7">
        <w:rPr>
          <w:rFonts w:ascii="Times New Roman" w:hAnsi="Times New Roman" w:cs="Times New Roman"/>
        </w:rPr>
        <w:t xml:space="preserve"> is the error term.</w:t>
      </w:r>
    </w:p>
    <w:p w14:paraId="0124BA20" w14:textId="12941247" w:rsidR="00ED15E8" w:rsidRPr="00ED15E8" w:rsidRDefault="004F4FB1" w:rsidP="00ED15E8">
      <w:pPr>
        <w:spacing w:line="360" w:lineRule="auto"/>
        <w:jc w:val="both"/>
        <w:rPr>
          <w:rFonts w:ascii="Times New Roman" w:hAnsi="Times New Roman" w:cs="Times New Roman"/>
        </w:rPr>
      </w:pPr>
      <w:r>
        <w:rPr>
          <w:rFonts w:ascii="Times New Roman" w:hAnsi="Times New Roman" w:cs="Times New Roman"/>
          <w:b/>
          <w:bCs/>
        </w:rPr>
        <w:t xml:space="preserve">3.5 </w:t>
      </w:r>
      <w:r w:rsidR="000848CC" w:rsidRPr="00CA63A7">
        <w:rPr>
          <w:rFonts w:ascii="Times New Roman" w:hAnsi="Times New Roman" w:cs="Times New Roman"/>
          <w:b/>
          <w:bCs/>
        </w:rPr>
        <w:t>Data Analysis Technique and Diagnostic Tests.</w:t>
      </w:r>
      <w:r w:rsidR="000848CC" w:rsidRPr="00CA63A7">
        <w:rPr>
          <w:rFonts w:ascii="Times New Roman" w:hAnsi="Times New Roman" w:cs="Times New Roman"/>
        </w:rPr>
        <w:t xml:space="preserve"> </w:t>
      </w:r>
      <w:r w:rsidR="00ED15E8" w:rsidRPr="00ED15E8">
        <w:rPr>
          <w:rFonts w:ascii="Times New Roman" w:hAnsi="Times New Roman" w:cs="Times New Roman"/>
        </w:rPr>
        <w:t xml:space="preserve">The panel least squares estimation was applied and Hausman specification test was applied to select between fixed and random effects estimators. The Hausman test gave a chi-square of 28.47 (p = 0.0028), which </w:t>
      </w:r>
      <w:proofErr w:type="spellStart"/>
      <w:r w:rsidR="00ED15E8" w:rsidRPr="00ED15E8">
        <w:rPr>
          <w:rFonts w:ascii="Times New Roman" w:hAnsi="Times New Roman" w:cs="Times New Roman"/>
        </w:rPr>
        <w:t>favoured</w:t>
      </w:r>
      <w:proofErr w:type="spellEnd"/>
      <w:r w:rsidR="00ED15E8" w:rsidRPr="00ED15E8">
        <w:rPr>
          <w:rFonts w:ascii="Times New Roman" w:hAnsi="Times New Roman" w:cs="Times New Roman"/>
        </w:rPr>
        <w:t xml:space="preserve"> the fixed effects estimator, thus suggesting that unobserved characteristics of banks are correlated with the regressors. All the values of VIF were below 5 and the mean VIF was 1.54, which indicates that there was no severe multicollinearity. The Breusch-Pagan test showed that the data were heteroscedastic and robust standard errors clustered at the bank level were used; the Wooldridge test did not reject the null of no first-order serial correlation; and the Levin-Lin-Chu panel unit </w:t>
      </w:r>
      <w:r w:rsidR="00ED15E8" w:rsidRPr="00ED15E8">
        <w:rPr>
          <w:rFonts w:ascii="Times New Roman" w:hAnsi="Times New Roman" w:cs="Times New Roman"/>
        </w:rPr>
        <w:lastRenderedPageBreak/>
        <w:t>root test verified that all variables were stationary at level, which is a necessary condition for the panel regression analysis.</w:t>
      </w:r>
    </w:p>
    <w:p w14:paraId="4099C860" w14:textId="0BF9FFA1" w:rsidR="005E3CD6" w:rsidRPr="00ED15E8" w:rsidRDefault="00ED15E8" w:rsidP="00ED15E8">
      <w:pPr>
        <w:spacing w:line="360" w:lineRule="auto"/>
        <w:jc w:val="both"/>
        <w:rPr>
          <w:rFonts w:ascii="Times New Roman" w:hAnsi="Times New Roman" w:cs="Times New Roman"/>
        </w:rPr>
      </w:pPr>
      <w:r w:rsidRPr="00ED15E8">
        <w:rPr>
          <w:rFonts w:ascii="Times New Roman" w:hAnsi="Times New Roman" w:cs="Times New Roman"/>
        </w:rPr>
        <w:t>The conceptual framework (Figure 1, above) places the five COSO components in a way that they are both individually and jointly influencing fraud prevention, and relies on the opportunity-restriction logic of the Fraud Triangle for control activities and monitoring, and on Agency Theory's information-asymmetry-reduction logic for control environment and information and communication, with risk assessment as the diagnostic link between the two.</w:t>
      </w:r>
    </w:p>
    <w:p w14:paraId="4B80BAEB" w14:textId="166E7EA2" w:rsidR="00CA63A7" w:rsidRDefault="000848CC" w:rsidP="00ED15E8">
      <w:pPr>
        <w:spacing w:line="360" w:lineRule="auto"/>
        <w:jc w:val="both"/>
        <w:rPr>
          <w:rFonts w:ascii="Times New Roman" w:hAnsi="Times New Roman" w:cs="Times New Roman"/>
          <w:b/>
          <w:bCs/>
        </w:rPr>
      </w:pPr>
      <w:r w:rsidRPr="00CA63A7">
        <w:rPr>
          <w:rFonts w:ascii="Times New Roman" w:hAnsi="Times New Roman" w:cs="Times New Roman"/>
          <w:b/>
          <w:bCs/>
        </w:rPr>
        <w:t>Figure 1: Conceptual Framework — Internal Control Systems and Fraud Prevention</w:t>
      </w:r>
    </w:p>
    <w:p w14:paraId="05317ED3" w14:textId="2E44FB25" w:rsidR="00B16861" w:rsidRDefault="00B16861" w:rsidP="00CA63A7">
      <w:pPr>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7638359" wp14:editId="07294C22">
            <wp:extent cx="4694426" cy="2899410"/>
            <wp:effectExtent l="0" t="0" r="0" b="0"/>
            <wp:docPr id="2128076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76656" name="Picture 21280766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7516" cy="2907495"/>
                    </a:xfrm>
                    <a:prstGeom prst="rect">
                      <a:avLst/>
                    </a:prstGeom>
                  </pic:spPr>
                </pic:pic>
              </a:graphicData>
            </a:graphic>
          </wp:inline>
        </w:drawing>
      </w:r>
    </w:p>
    <w:p w14:paraId="17DA55CC" w14:textId="77777777" w:rsidR="005E3CD6" w:rsidRDefault="005E3CD6" w:rsidP="00CA63A7">
      <w:pPr>
        <w:spacing w:line="360" w:lineRule="auto"/>
        <w:jc w:val="both"/>
        <w:rPr>
          <w:rFonts w:ascii="Times New Roman" w:hAnsi="Times New Roman" w:cs="Times New Roman"/>
          <w:b/>
          <w:bCs/>
          <w:sz w:val="28"/>
          <w:szCs w:val="28"/>
        </w:rPr>
      </w:pPr>
    </w:p>
    <w:p w14:paraId="3D7AB0C1" w14:textId="3D0C31AC" w:rsidR="000848CC" w:rsidRPr="00CA63A7" w:rsidRDefault="004F4FB1" w:rsidP="00CA63A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4.0 </w:t>
      </w:r>
      <w:r w:rsidR="000848CC" w:rsidRPr="00CA63A7">
        <w:rPr>
          <w:rFonts w:ascii="Times New Roman" w:hAnsi="Times New Roman" w:cs="Times New Roman"/>
          <w:b/>
          <w:bCs/>
          <w:sz w:val="28"/>
          <w:szCs w:val="28"/>
        </w:rPr>
        <w:t>Results</w:t>
      </w:r>
    </w:p>
    <w:p w14:paraId="0C1926BB" w14:textId="77777777" w:rsidR="00ED15E8" w:rsidRPr="00ED15E8" w:rsidRDefault="004F4FB1" w:rsidP="00ED15E8">
      <w:pPr>
        <w:spacing w:line="360" w:lineRule="auto"/>
        <w:jc w:val="both"/>
        <w:rPr>
          <w:rFonts w:ascii="Times New Roman" w:hAnsi="Times New Roman" w:cs="Times New Roman"/>
        </w:rPr>
      </w:pPr>
      <w:r>
        <w:rPr>
          <w:rFonts w:ascii="Times New Roman" w:hAnsi="Times New Roman" w:cs="Times New Roman"/>
          <w:b/>
          <w:bCs/>
        </w:rPr>
        <w:t xml:space="preserve">4.1 </w:t>
      </w:r>
      <w:r w:rsidR="000848CC" w:rsidRPr="00CA63A7">
        <w:rPr>
          <w:rFonts w:ascii="Times New Roman" w:hAnsi="Times New Roman" w:cs="Times New Roman"/>
          <w:b/>
          <w:bCs/>
        </w:rPr>
        <w:t>Descriptive Statistics.</w:t>
      </w:r>
      <w:r w:rsidR="000848CC" w:rsidRPr="00CA63A7">
        <w:rPr>
          <w:rFonts w:ascii="Times New Roman" w:hAnsi="Times New Roman" w:cs="Times New Roman"/>
        </w:rPr>
        <w:t xml:space="preserve"> </w:t>
      </w:r>
      <w:r w:rsidR="00ED15E8" w:rsidRPr="00ED15E8">
        <w:rPr>
          <w:rFonts w:ascii="Times New Roman" w:hAnsi="Times New Roman" w:cs="Times New Roman"/>
        </w:rPr>
        <w:t xml:space="preserve">Descriptive statistics for the eighty-four bank-year observations are given in Table 4. The Fraud Occurrence Ratio has a mean value of 0.0041 and a standard deviation of 0.0028, which shows moderate but not negligible variation in fraud losses relative to assets, similar to the skewed distribution of recent fraud losses among Nigerian banks (Catherine, 2025). In terms of the internal control indices, Control Activities has the highest mean (0.71) and Risk Assessment has the lowest mean (0.52) which is similar to the comparatively weak and less consistently applied risk-assessment procedures reported in previous Nigerian survey research </w:t>
      </w:r>
      <w:r w:rsidR="00ED15E8" w:rsidRPr="00ED15E8">
        <w:rPr>
          <w:rFonts w:ascii="Times New Roman" w:hAnsi="Times New Roman" w:cs="Times New Roman"/>
        </w:rPr>
        <w:lastRenderedPageBreak/>
        <w:t>(Mustapha et al., 2023). The Fraud Occurrence Ratio appears to be right-skewed and leptokurtic, with a few banks having unusually high losses from fraud in specific years.</w:t>
      </w:r>
    </w:p>
    <w:p w14:paraId="527C0A5E" w14:textId="6E27E474" w:rsidR="000848CC" w:rsidRPr="00CA63A7" w:rsidRDefault="000848CC" w:rsidP="00ED15E8">
      <w:pPr>
        <w:spacing w:line="360" w:lineRule="auto"/>
        <w:jc w:val="both"/>
        <w:rPr>
          <w:rFonts w:ascii="Times New Roman" w:hAnsi="Times New Roman" w:cs="Times New Roman"/>
        </w:rPr>
      </w:pPr>
      <w:r w:rsidRPr="00CA63A7">
        <w:rPr>
          <w:rFonts w:ascii="Times New Roman" w:hAnsi="Times New Roman" w:cs="Times New Roman"/>
          <w:b/>
          <w:bCs/>
        </w:rPr>
        <w:t>Table 4: Descriptive Statistics</w:t>
      </w:r>
    </w:p>
    <w:tbl>
      <w:tblPr>
        <w:tblStyle w:val="GridTable1Light"/>
        <w:tblW w:w="0" w:type="auto"/>
        <w:tblLook w:val="04A0" w:firstRow="1" w:lastRow="0" w:firstColumn="1" w:lastColumn="0" w:noHBand="0" w:noVBand="1"/>
      </w:tblPr>
      <w:tblGrid>
        <w:gridCol w:w="1577"/>
        <w:gridCol w:w="876"/>
        <w:gridCol w:w="710"/>
        <w:gridCol w:w="697"/>
        <w:gridCol w:w="705"/>
        <w:gridCol w:w="657"/>
        <w:gridCol w:w="803"/>
      </w:tblGrid>
      <w:tr w:rsidR="000848CC" w:rsidRPr="00CA63A7" w14:paraId="7B6C5B0D"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A6A278" w14:textId="77777777" w:rsidR="000848CC" w:rsidRPr="00CA63A7" w:rsidRDefault="000848CC" w:rsidP="00CA63A7">
            <w:pPr>
              <w:spacing w:line="360" w:lineRule="auto"/>
              <w:jc w:val="both"/>
              <w:rPr>
                <w:rFonts w:ascii="Times New Roman" w:hAnsi="Times New Roman" w:cs="Times New Roman"/>
                <w:b w:val="0"/>
                <w:bCs w:val="0"/>
              </w:rPr>
            </w:pPr>
            <w:r w:rsidRPr="00CA63A7">
              <w:rPr>
                <w:rFonts w:ascii="Times New Roman" w:hAnsi="Times New Roman" w:cs="Times New Roman"/>
              </w:rPr>
              <w:t>Statistic</w:t>
            </w:r>
          </w:p>
        </w:tc>
        <w:tc>
          <w:tcPr>
            <w:tcW w:w="0" w:type="auto"/>
            <w:hideMark/>
          </w:tcPr>
          <w:p w14:paraId="42B3CC21"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FOR</w:t>
            </w:r>
          </w:p>
        </w:tc>
        <w:tc>
          <w:tcPr>
            <w:tcW w:w="0" w:type="auto"/>
            <w:hideMark/>
          </w:tcPr>
          <w:p w14:paraId="06AAF59E"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CTE</w:t>
            </w:r>
          </w:p>
        </w:tc>
        <w:tc>
          <w:tcPr>
            <w:tcW w:w="0" w:type="auto"/>
            <w:hideMark/>
          </w:tcPr>
          <w:p w14:paraId="679D69E4"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RSA</w:t>
            </w:r>
          </w:p>
        </w:tc>
        <w:tc>
          <w:tcPr>
            <w:tcW w:w="0" w:type="auto"/>
            <w:hideMark/>
          </w:tcPr>
          <w:p w14:paraId="1CF43236"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CTA</w:t>
            </w:r>
          </w:p>
        </w:tc>
        <w:tc>
          <w:tcPr>
            <w:tcW w:w="0" w:type="auto"/>
            <w:hideMark/>
          </w:tcPr>
          <w:p w14:paraId="5F37080C"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INC</w:t>
            </w:r>
          </w:p>
        </w:tc>
        <w:tc>
          <w:tcPr>
            <w:tcW w:w="0" w:type="auto"/>
            <w:hideMark/>
          </w:tcPr>
          <w:p w14:paraId="5D3CAAAB"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MOA</w:t>
            </w:r>
          </w:p>
        </w:tc>
      </w:tr>
      <w:tr w:rsidR="000848CC" w:rsidRPr="00CA63A7" w14:paraId="7BE7506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6EE085F"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Mean</w:t>
            </w:r>
          </w:p>
        </w:tc>
        <w:tc>
          <w:tcPr>
            <w:tcW w:w="0" w:type="auto"/>
            <w:hideMark/>
          </w:tcPr>
          <w:p w14:paraId="74C3E7B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0.0041</w:t>
            </w:r>
          </w:p>
        </w:tc>
        <w:tc>
          <w:tcPr>
            <w:tcW w:w="0" w:type="auto"/>
            <w:hideMark/>
          </w:tcPr>
          <w:p w14:paraId="1A9D7B6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0.64</w:t>
            </w:r>
          </w:p>
        </w:tc>
        <w:tc>
          <w:tcPr>
            <w:tcW w:w="0" w:type="auto"/>
            <w:hideMark/>
          </w:tcPr>
          <w:p w14:paraId="2694C88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0.52</w:t>
            </w:r>
          </w:p>
        </w:tc>
        <w:tc>
          <w:tcPr>
            <w:tcW w:w="0" w:type="auto"/>
            <w:hideMark/>
          </w:tcPr>
          <w:p w14:paraId="34DEE62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0.71</w:t>
            </w:r>
          </w:p>
        </w:tc>
        <w:tc>
          <w:tcPr>
            <w:tcW w:w="0" w:type="auto"/>
            <w:hideMark/>
          </w:tcPr>
          <w:p w14:paraId="662F1AB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0.60</w:t>
            </w:r>
          </w:p>
        </w:tc>
        <w:tc>
          <w:tcPr>
            <w:tcW w:w="0" w:type="auto"/>
            <w:hideMark/>
          </w:tcPr>
          <w:p w14:paraId="3821989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0.66</w:t>
            </w:r>
          </w:p>
        </w:tc>
      </w:tr>
      <w:tr w:rsidR="000848CC" w:rsidRPr="00CA63A7" w14:paraId="70790350"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403D202"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Median</w:t>
            </w:r>
          </w:p>
        </w:tc>
        <w:tc>
          <w:tcPr>
            <w:tcW w:w="0" w:type="auto"/>
            <w:hideMark/>
          </w:tcPr>
          <w:p w14:paraId="519C943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0.0032</w:t>
            </w:r>
          </w:p>
        </w:tc>
        <w:tc>
          <w:tcPr>
            <w:tcW w:w="0" w:type="auto"/>
            <w:hideMark/>
          </w:tcPr>
          <w:p w14:paraId="7EEF7ED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0.63</w:t>
            </w:r>
          </w:p>
        </w:tc>
        <w:tc>
          <w:tcPr>
            <w:tcW w:w="0" w:type="auto"/>
            <w:hideMark/>
          </w:tcPr>
          <w:p w14:paraId="44E2BF8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0.50</w:t>
            </w:r>
          </w:p>
        </w:tc>
        <w:tc>
          <w:tcPr>
            <w:tcW w:w="0" w:type="auto"/>
            <w:hideMark/>
          </w:tcPr>
          <w:p w14:paraId="49DB40F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0.71</w:t>
            </w:r>
          </w:p>
        </w:tc>
        <w:tc>
          <w:tcPr>
            <w:tcW w:w="0" w:type="auto"/>
            <w:hideMark/>
          </w:tcPr>
          <w:p w14:paraId="7B590FA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0.58</w:t>
            </w:r>
          </w:p>
        </w:tc>
        <w:tc>
          <w:tcPr>
            <w:tcW w:w="0" w:type="auto"/>
            <w:hideMark/>
          </w:tcPr>
          <w:p w14:paraId="22BAB9D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0.67</w:t>
            </w:r>
          </w:p>
        </w:tc>
      </w:tr>
      <w:tr w:rsidR="000848CC" w:rsidRPr="00CA63A7" w14:paraId="14A2EF29"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D80FE7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Maximum</w:t>
            </w:r>
          </w:p>
        </w:tc>
        <w:tc>
          <w:tcPr>
            <w:tcW w:w="0" w:type="auto"/>
            <w:hideMark/>
          </w:tcPr>
          <w:p w14:paraId="08AECC0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0.0142</w:t>
            </w:r>
          </w:p>
        </w:tc>
        <w:tc>
          <w:tcPr>
            <w:tcW w:w="0" w:type="auto"/>
            <w:hideMark/>
          </w:tcPr>
          <w:p w14:paraId="34D54C2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0.92</w:t>
            </w:r>
          </w:p>
        </w:tc>
        <w:tc>
          <w:tcPr>
            <w:tcW w:w="0" w:type="auto"/>
            <w:hideMark/>
          </w:tcPr>
          <w:p w14:paraId="75D775C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0.83</w:t>
            </w:r>
          </w:p>
        </w:tc>
        <w:tc>
          <w:tcPr>
            <w:tcW w:w="0" w:type="auto"/>
            <w:hideMark/>
          </w:tcPr>
          <w:p w14:paraId="65CECFB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0.96</w:t>
            </w:r>
          </w:p>
        </w:tc>
        <w:tc>
          <w:tcPr>
            <w:tcW w:w="0" w:type="auto"/>
            <w:hideMark/>
          </w:tcPr>
          <w:p w14:paraId="4A03EA7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0.92</w:t>
            </w:r>
          </w:p>
        </w:tc>
        <w:tc>
          <w:tcPr>
            <w:tcW w:w="0" w:type="auto"/>
            <w:hideMark/>
          </w:tcPr>
          <w:p w14:paraId="13468D2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0.96</w:t>
            </w:r>
          </w:p>
        </w:tc>
      </w:tr>
      <w:tr w:rsidR="000848CC" w:rsidRPr="00CA63A7" w14:paraId="63C7E2BE"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9BDBC61"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Minimum</w:t>
            </w:r>
          </w:p>
        </w:tc>
        <w:tc>
          <w:tcPr>
            <w:tcW w:w="0" w:type="auto"/>
            <w:hideMark/>
          </w:tcPr>
          <w:p w14:paraId="0EF0AFD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0.0006</w:t>
            </w:r>
          </w:p>
        </w:tc>
        <w:tc>
          <w:tcPr>
            <w:tcW w:w="0" w:type="auto"/>
            <w:hideMark/>
          </w:tcPr>
          <w:p w14:paraId="429622A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w:t>
            </w:r>
          </w:p>
        </w:tc>
        <w:tc>
          <w:tcPr>
            <w:tcW w:w="0" w:type="auto"/>
            <w:hideMark/>
          </w:tcPr>
          <w:p w14:paraId="14BBEA7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0.21</w:t>
            </w:r>
          </w:p>
        </w:tc>
        <w:tc>
          <w:tcPr>
            <w:tcW w:w="0" w:type="auto"/>
            <w:hideMark/>
          </w:tcPr>
          <w:p w14:paraId="081F690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0.42</w:t>
            </w:r>
          </w:p>
        </w:tc>
        <w:tc>
          <w:tcPr>
            <w:tcW w:w="0" w:type="auto"/>
            <w:hideMark/>
          </w:tcPr>
          <w:p w14:paraId="380CB3B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0.29</w:t>
            </w:r>
          </w:p>
        </w:tc>
        <w:tc>
          <w:tcPr>
            <w:tcW w:w="0" w:type="auto"/>
            <w:hideMark/>
          </w:tcPr>
          <w:p w14:paraId="5A57579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w:t>
            </w:r>
          </w:p>
        </w:tc>
      </w:tr>
      <w:tr w:rsidR="000848CC" w:rsidRPr="00CA63A7" w14:paraId="634E32D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6527748"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Std. Dev.</w:t>
            </w:r>
          </w:p>
        </w:tc>
        <w:tc>
          <w:tcPr>
            <w:tcW w:w="0" w:type="auto"/>
            <w:hideMark/>
          </w:tcPr>
          <w:p w14:paraId="24B6B9F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0.0028</w:t>
            </w:r>
          </w:p>
        </w:tc>
        <w:tc>
          <w:tcPr>
            <w:tcW w:w="0" w:type="auto"/>
            <w:hideMark/>
          </w:tcPr>
          <w:p w14:paraId="1109AE3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0.14</w:t>
            </w:r>
          </w:p>
        </w:tc>
        <w:tc>
          <w:tcPr>
            <w:tcW w:w="0" w:type="auto"/>
            <w:hideMark/>
          </w:tcPr>
          <w:p w14:paraId="3B6C901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0.16</w:t>
            </w:r>
          </w:p>
        </w:tc>
        <w:tc>
          <w:tcPr>
            <w:tcW w:w="0" w:type="auto"/>
            <w:hideMark/>
          </w:tcPr>
          <w:p w14:paraId="4EE10A6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0.13</w:t>
            </w:r>
          </w:p>
        </w:tc>
        <w:tc>
          <w:tcPr>
            <w:tcW w:w="0" w:type="auto"/>
            <w:hideMark/>
          </w:tcPr>
          <w:p w14:paraId="2A595D9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0.16</w:t>
            </w:r>
          </w:p>
        </w:tc>
        <w:tc>
          <w:tcPr>
            <w:tcW w:w="0" w:type="auto"/>
            <w:hideMark/>
          </w:tcPr>
          <w:p w14:paraId="41688F4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0.15</w:t>
            </w:r>
          </w:p>
        </w:tc>
      </w:tr>
      <w:tr w:rsidR="000848CC" w:rsidRPr="00CA63A7" w14:paraId="2BAFFE4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A01794F"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Observations</w:t>
            </w:r>
          </w:p>
        </w:tc>
        <w:tc>
          <w:tcPr>
            <w:tcW w:w="0" w:type="auto"/>
            <w:hideMark/>
          </w:tcPr>
          <w:p w14:paraId="3597BAA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c>
          <w:tcPr>
            <w:tcW w:w="0" w:type="auto"/>
            <w:hideMark/>
          </w:tcPr>
          <w:p w14:paraId="18E10C5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c>
          <w:tcPr>
            <w:tcW w:w="0" w:type="auto"/>
            <w:hideMark/>
          </w:tcPr>
          <w:p w14:paraId="0CA30D6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c>
          <w:tcPr>
            <w:tcW w:w="0" w:type="auto"/>
            <w:hideMark/>
          </w:tcPr>
          <w:p w14:paraId="6645A07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c>
          <w:tcPr>
            <w:tcW w:w="0" w:type="auto"/>
            <w:hideMark/>
          </w:tcPr>
          <w:p w14:paraId="182A386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c>
          <w:tcPr>
            <w:tcW w:w="0" w:type="auto"/>
            <w:hideMark/>
          </w:tcPr>
          <w:p w14:paraId="26C34161"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84</w:t>
            </w:r>
          </w:p>
        </w:tc>
      </w:tr>
    </w:tbl>
    <w:p w14:paraId="19BAD40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i/>
          <w:iCs/>
        </w:rPr>
        <w:t>Note: SIZE, AGE, CAR, ROA, BIND, and LEV were retained in the regression but omitted here for space. Source: Authors' computation (2026).</w:t>
      </w:r>
    </w:p>
    <w:p w14:paraId="6F61A4F9" w14:textId="77777777" w:rsidR="00ED15E8" w:rsidRPr="00ED15E8" w:rsidRDefault="004F4FB1" w:rsidP="00ED15E8">
      <w:pPr>
        <w:spacing w:line="360" w:lineRule="auto"/>
        <w:jc w:val="both"/>
        <w:rPr>
          <w:rFonts w:ascii="Times New Roman" w:hAnsi="Times New Roman" w:cs="Times New Roman"/>
        </w:rPr>
      </w:pPr>
      <w:r>
        <w:rPr>
          <w:rFonts w:ascii="Times New Roman" w:hAnsi="Times New Roman" w:cs="Times New Roman"/>
          <w:b/>
          <w:bCs/>
        </w:rPr>
        <w:t xml:space="preserve">4.2 </w:t>
      </w:r>
      <w:r w:rsidR="000848CC" w:rsidRPr="00CA63A7">
        <w:rPr>
          <w:rFonts w:ascii="Times New Roman" w:hAnsi="Times New Roman" w:cs="Times New Roman"/>
          <w:b/>
          <w:bCs/>
        </w:rPr>
        <w:t>Correlation Analysis.</w:t>
      </w:r>
      <w:r w:rsidR="000848CC" w:rsidRPr="00CA63A7">
        <w:rPr>
          <w:rFonts w:ascii="Times New Roman" w:hAnsi="Times New Roman" w:cs="Times New Roman"/>
        </w:rPr>
        <w:t xml:space="preserve"> </w:t>
      </w:r>
      <w:r w:rsidR="00ED15E8" w:rsidRPr="00ED15E8">
        <w:rPr>
          <w:rFonts w:ascii="Times New Roman" w:hAnsi="Times New Roman" w:cs="Times New Roman"/>
        </w:rPr>
        <w:t>Table 5 reports the pairwise correlations. As expected, the five internal control components are negatively associated with the Fraud Occurrence Ratio, with the strongest association being between Control Activities and the Fraud Occurrence Ratio (-0.512) and the weakest being between Risk Assessment and the Fraud Occurrence Ratio (-0.198). The highest inter-component correlation is between Control Activities and Monitoring Activities (0.461), which indicates that they share a similar operational focus, but are not close to the conventional multicollinearity threshold.</w:t>
      </w:r>
    </w:p>
    <w:p w14:paraId="6201571F" w14:textId="5AC5D0A9" w:rsidR="000848CC" w:rsidRPr="00CA63A7" w:rsidRDefault="000848CC" w:rsidP="00ED15E8">
      <w:pPr>
        <w:spacing w:line="360" w:lineRule="auto"/>
        <w:jc w:val="both"/>
        <w:rPr>
          <w:rFonts w:ascii="Times New Roman" w:hAnsi="Times New Roman" w:cs="Times New Roman"/>
        </w:rPr>
      </w:pPr>
      <w:r w:rsidRPr="00CA63A7">
        <w:rPr>
          <w:rFonts w:ascii="Times New Roman" w:hAnsi="Times New Roman" w:cs="Times New Roman"/>
          <w:b/>
          <w:bCs/>
        </w:rPr>
        <w:t>Table 5: Correlation Matrix</w:t>
      </w:r>
    </w:p>
    <w:tbl>
      <w:tblPr>
        <w:tblStyle w:val="GridTable1Light"/>
        <w:tblW w:w="0" w:type="auto"/>
        <w:tblLook w:val="04A0" w:firstRow="1" w:lastRow="0" w:firstColumn="1" w:lastColumn="0" w:noHBand="0" w:noVBand="1"/>
      </w:tblPr>
      <w:tblGrid>
        <w:gridCol w:w="1088"/>
        <w:gridCol w:w="836"/>
        <w:gridCol w:w="836"/>
        <w:gridCol w:w="836"/>
        <w:gridCol w:w="836"/>
        <w:gridCol w:w="836"/>
        <w:gridCol w:w="836"/>
      </w:tblGrid>
      <w:tr w:rsidR="000848CC" w:rsidRPr="00CA63A7" w14:paraId="1F53DC85"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783A2B" w14:textId="77777777" w:rsidR="000848CC" w:rsidRPr="00CA63A7" w:rsidRDefault="000848CC" w:rsidP="00CA63A7">
            <w:pPr>
              <w:spacing w:line="360" w:lineRule="auto"/>
              <w:jc w:val="both"/>
              <w:rPr>
                <w:rFonts w:ascii="Times New Roman" w:hAnsi="Times New Roman" w:cs="Times New Roman"/>
                <w:b w:val="0"/>
                <w:bCs w:val="0"/>
              </w:rPr>
            </w:pPr>
            <w:r w:rsidRPr="00CA63A7">
              <w:rPr>
                <w:rFonts w:ascii="Times New Roman" w:hAnsi="Times New Roman" w:cs="Times New Roman"/>
              </w:rPr>
              <w:t>Variable</w:t>
            </w:r>
          </w:p>
        </w:tc>
        <w:tc>
          <w:tcPr>
            <w:tcW w:w="0" w:type="auto"/>
            <w:hideMark/>
          </w:tcPr>
          <w:p w14:paraId="675C71C3"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FOR</w:t>
            </w:r>
          </w:p>
        </w:tc>
        <w:tc>
          <w:tcPr>
            <w:tcW w:w="0" w:type="auto"/>
            <w:hideMark/>
          </w:tcPr>
          <w:p w14:paraId="6085467D"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CTE</w:t>
            </w:r>
          </w:p>
        </w:tc>
        <w:tc>
          <w:tcPr>
            <w:tcW w:w="0" w:type="auto"/>
            <w:hideMark/>
          </w:tcPr>
          <w:p w14:paraId="73EE24E4"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RSA</w:t>
            </w:r>
          </w:p>
        </w:tc>
        <w:tc>
          <w:tcPr>
            <w:tcW w:w="0" w:type="auto"/>
            <w:hideMark/>
          </w:tcPr>
          <w:p w14:paraId="120A25DC"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CTA</w:t>
            </w:r>
          </w:p>
        </w:tc>
        <w:tc>
          <w:tcPr>
            <w:tcW w:w="0" w:type="auto"/>
            <w:hideMark/>
          </w:tcPr>
          <w:p w14:paraId="2A5B131C"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INC</w:t>
            </w:r>
          </w:p>
        </w:tc>
        <w:tc>
          <w:tcPr>
            <w:tcW w:w="0" w:type="auto"/>
            <w:hideMark/>
          </w:tcPr>
          <w:p w14:paraId="02F8D6C4"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MOA</w:t>
            </w:r>
          </w:p>
        </w:tc>
      </w:tr>
      <w:tr w:rsidR="000848CC" w:rsidRPr="00CA63A7" w14:paraId="0F87262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F3FA073"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FOR</w:t>
            </w:r>
          </w:p>
        </w:tc>
        <w:tc>
          <w:tcPr>
            <w:tcW w:w="0" w:type="auto"/>
            <w:hideMark/>
          </w:tcPr>
          <w:p w14:paraId="76FB4D3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c>
          <w:tcPr>
            <w:tcW w:w="0" w:type="auto"/>
            <w:hideMark/>
          </w:tcPr>
          <w:p w14:paraId="21CE377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-0.341</w:t>
            </w:r>
          </w:p>
        </w:tc>
        <w:tc>
          <w:tcPr>
            <w:tcW w:w="0" w:type="auto"/>
            <w:hideMark/>
          </w:tcPr>
          <w:p w14:paraId="7F33574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-0.198</w:t>
            </w:r>
          </w:p>
        </w:tc>
        <w:tc>
          <w:tcPr>
            <w:tcW w:w="0" w:type="auto"/>
            <w:hideMark/>
          </w:tcPr>
          <w:p w14:paraId="6FA91B3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-0.512</w:t>
            </w:r>
          </w:p>
        </w:tc>
        <w:tc>
          <w:tcPr>
            <w:tcW w:w="0" w:type="auto"/>
            <w:hideMark/>
          </w:tcPr>
          <w:p w14:paraId="4585B25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-0.356</w:t>
            </w:r>
          </w:p>
        </w:tc>
        <w:tc>
          <w:tcPr>
            <w:tcW w:w="0" w:type="auto"/>
            <w:hideMark/>
          </w:tcPr>
          <w:p w14:paraId="3518B291"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-0.487</w:t>
            </w:r>
          </w:p>
        </w:tc>
      </w:tr>
      <w:tr w:rsidR="000848CC" w:rsidRPr="00CA63A7" w14:paraId="18CCB939"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ECFE9A8"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CTE</w:t>
            </w:r>
          </w:p>
        </w:tc>
        <w:tc>
          <w:tcPr>
            <w:tcW w:w="0" w:type="auto"/>
            <w:hideMark/>
          </w:tcPr>
          <w:p w14:paraId="1943A80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-0.341</w:t>
            </w:r>
          </w:p>
        </w:tc>
        <w:tc>
          <w:tcPr>
            <w:tcW w:w="0" w:type="auto"/>
            <w:hideMark/>
          </w:tcPr>
          <w:p w14:paraId="5392C24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c>
          <w:tcPr>
            <w:tcW w:w="0" w:type="auto"/>
            <w:hideMark/>
          </w:tcPr>
          <w:p w14:paraId="4034098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0.214</w:t>
            </w:r>
          </w:p>
        </w:tc>
        <w:tc>
          <w:tcPr>
            <w:tcW w:w="0" w:type="auto"/>
            <w:hideMark/>
          </w:tcPr>
          <w:p w14:paraId="275ED49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0.298</w:t>
            </w:r>
          </w:p>
        </w:tc>
        <w:tc>
          <w:tcPr>
            <w:tcW w:w="0" w:type="auto"/>
            <w:hideMark/>
          </w:tcPr>
          <w:p w14:paraId="7C0F70E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0.331</w:t>
            </w:r>
          </w:p>
        </w:tc>
        <w:tc>
          <w:tcPr>
            <w:tcW w:w="0" w:type="auto"/>
            <w:hideMark/>
          </w:tcPr>
          <w:p w14:paraId="776C823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0.276</w:t>
            </w:r>
          </w:p>
        </w:tc>
      </w:tr>
      <w:tr w:rsidR="000848CC" w:rsidRPr="00CA63A7" w14:paraId="64D8DF1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0EA8492"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RSA</w:t>
            </w:r>
          </w:p>
        </w:tc>
        <w:tc>
          <w:tcPr>
            <w:tcW w:w="0" w:type="auto"/>
            <w:hideMark/>
          </w:tcPr>
          <w:p w14:paraId="3FEC85B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-0.198</w:t>
            </w:r>
          </w:p>
        </w:tc>
        <w:tc>
          <w:tcPr>
            <w:tcW w:w="0" w:type="auto"/>
            <w:hideMark/>
          </w:tcPr>
          <w:p w14:paraId="6FD3A66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0.214</w:t>
            </w:r>
          </w:p>
        </w:tc>
        <w:tc>
          <w:tcPr>
            <w:tcW w:w="0" w:type="auto"/>
            <w:hideMark/>
          </w:tcPr>
          <w:p w14:paraId="25A3EE0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c>
          <w:tcPr>
            <w:tcW w:w="0" w:type="auto"/>
            <w:hideMark/>
          </w:tcPr>
          <w:p w14:paraId="1CEF3AF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0.187</w:t>
            </w:r>
          </w:p>
        </w:tc>
        <w:tc>
          <w:tcPr>
            <w:tcW w:w="0" w:type="auto"/>
            <w:hideMark/>
          </w:tcPr>
          <w:p w14:paraId="20B5E6F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0.142</w:t>
            </w:r>
          </w:p>
        </w:tc>
        <w:tc>
          <w:tcPr>
            <w:tcW w:w="0" w:type="auto"/>
            <w:hideMark/>
          </w:tcPr>
          <w:p w14:paraId="7D69F49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0.209</w:t>
            </w:r>
          </w:p>
        </w:tc>
      </w:tr>
      <w:tr w:rsidR="000848CC" w:rsidRPr="00CA63A7" w14:paraId="2B222F3F"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EF2F248"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CTA</w:t>
            </w:r>
          </w:p>
        </w:tc>
        <w:tc>
          <w:tcPr>
            <w:tcW w:w="0" w:type="auto"/>
            <w:hideMark/>
          </w:tcPr>
          <w:p w14:paraId="7945A33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-0.512</w:t>
            </w:r>
          </w:p>
        </w:tc>
        <w:tc>
          <w:tcPr>
            <w:tcW w:w="0" w:type="auto"/>
            <w:hideMark/>
          </w:tcPr>
          <w:p w14:paraId="7F92BCD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0.298</w:t>
            </w:r>
          </w:p>
        </w:tc>
        <w:tc>
          <w:tcPr>
            <w:tcW w:w="0" w:type="auto"/>
            <w:hideMark/>
          </w:tcPr>
          <w:p w14:paraId="3B641BF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0.187</w:t>
            </w:r>
          </w:p>
        </w:tc>
        <w:tc>
          <w:tcPr>
            <w:tcW w:w="0" w:type="auto"/>
            <w:hideMark/>
          </w:tcPr>
          <w:p w14:paraId="0A9196B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c>
          <w:tcPr>
            <w:tcW w:w="0" w:type="auto"/>
            <w:hideMark/>
          </w:tcPr>
          <w:p w14:paraId="0E4ED47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0.339</w:t>
            </w:r>
          </w:p>
        </w:tc>
        <w:tc>
          <w:tcPr>
            <w:tcW w:w="0" w:type="auto"/>
            <w:hideMark/>
          </w:tcPr>
          <w:p w14:paraId="013A0D7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0.461</w:t>
            </w:r>
          </w:p>
        </w:tc>
      </w:tr>
      <w:tr w:rsidR="000848CC" w:rsidRPr="00CA63A7" w14:paraId="2116D01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97B482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INC</w:t>
            </w:r>
          </w:p>
        </w:tc>
        <w:tc>
          <w:tcPr>
            <w:tcW w:w="0" w:type="auto"/>
            <w:hideMark/>
          </w:tcPr>
          <w:p w14:paraId="698BAAF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-0.356</w:t>
            </w:r>
          </w:p>
        </w:tc>
        <w:tc>
          <w:tcPr>
            <w:tcW w:w="0" w:type="auto"/>
            <w:hideMark/>
          </w:tcPr>
          <w:p w14:paraId="2E2B918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0.331</w:t>
            </w:r>
          </w:p>
        </w:tc>
        <w:tc>
          <w:tcPr>
            <w:tcW w:w="0" w:type="auto"/>
            <w:hideMark/>
          </w:tcPr>
          <w:p w14:paraId="587A341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0.142</w:t>
            </w:r>
          </w:p>
        </w:tc>
        <w:tc>
          <w:tcPr>
            <w:tcW w:w="0" w:type="auto"/>
            <w:hideMark/>
          </w:tcPr>
          <w:p w14:paraId="632E417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0.339</w:t>
            </w:r>
          </w:p>
        </w:tc>
        <w:tc>
          <w:tcPr>
            <w:tcW w:w="0" w:type="auto"/>
            <w:hideMark/>
          </w:tcPr>
          <w:p w14:paraId="0092083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c>
          <w:tcPr>
            <w:tcW w:w="0" w:type="auto"/>
            <w:hideMark/>
          </w:tcPr>
          <w:p w14:paraId="7D50D56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0.318</w:t>
            </w:r>
          </w:p>
        </w:tc>
      </w:tr>
      <w:tr w:rsidR="000848CC" w:rsidRPr="00CA63A7" w14:paraId="29308E0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338FBDD"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MOA</w:t>
            </w:r>
          </w:p>
        </w:tc>
        <w:tc>
          <w:tcPr>
            <w:tcW w:w="0" w:type="auto"/>
            <w:hideMark/>
          </w:tcPr>
          <w:p w14:paraId="3C22FF0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-0.487</w:t>
            </w:r>
          </w:p>
        </w:tc>
        <w:tc>
          <w:tcPr>
            <w:tcW w:w="0" w:type="auto"/>
            <w:hideMark/>
          </w:tcPr>
          <w:p w14:paraId="259EED7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0.276</w:t>
            </w:r>
          </w:p>
        </w:tc>
        <w:tc>
          <w:tcPr>
            <w:tcW w:w="0" w:type="auto"/>
            <w:hideMark/>
          </w:tcPr>
          <w:p w14:paraId="5D09B07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0.209</w:t>
            </w:r>
          </w:p>
        </w:tc>
        <w:tc>
          <w:tcPr>
            <w:tcW w:w="0" w:type="auto"/>
            <w:hideMark/>
          </w:tcPr>
          <w:p w14:paraId="57C4DB0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0.461</w:t>
            </w:r>
          </w:p>
        </w:tc>
        <w:tc>
          <w:tcPr>
            <w:tcW w:w="0" w:type="auto"/>
            <w:hideMark/>
          </w:tcPr>
          <w:p w14:paraId="361405D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0.318</w:t>
            </w:r>
          </w:p>
        </w:tc>
        <w:tc>
          <w:tcPr>
            <w:tcW w:w="0" w:type="auto"/>
            <w:hideMark/>
          </w:tcPr>
          <w:p w14:paraId="393108E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1.000</w:t>
            </w:r>
          </w:p>
        </w:tc>
      </w:tr>
    </w:tbl>
    <w:p w14:paraId="46C51D73"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i/>
          <w:iCs/>
        </w:rPr>
        <w:t>Source: Authors' computation (2026).</w:t>
      </w:r>
    </w:p>
    <w:p w14:paraId="60337610" w14:textId="77777777" w:rsidR="00ED15E8" w:rsidRPr="00ED15E8" w:rsidRDefault="004F4FB1" w:rsidP="00ED15E8">
      <w:pPr>
        <w:spacing w:line="360" w:lineRule="auto"/>
        <w:jc w:val="both"/>
        <w:rPr>
          <w:rFonts w:ascii="Times New Roman" w:hAnsi="Times New Roman" w:cs="Times New Roman"/>
        </w:rPr>
      </w:pPr>
      <w:r>
        <w:rPr>
          <w:rFonts w:ascii="Times New Roman" w:hAnsi="Times New Roman" w:cs="Times New Roman"/>
          <w:b/>
          <w:bCs/>
        </w:rPr>
        <w:lastRenderedPageBreak/>
        <w:t xml:space="preserve">4.3 </w:t>
      </w:r>
      <w:r w:rsidR="000848CC" w:rsidRPr="00CA63A7">
        <w:rPr>
          <w:rFonts w:ascii="Times New Roman" w:hAnsi="Times New Roman" w:cs="Times New Roman"/>
          <w:b/>
          <w:bCs/>
        </w:rPr>
        <w:t>Regression Results.</w:t>
      </w:r>
      <w:r w:rsidR="000848CC" w:rsidRPr="00CA63A7">
        <w:rPr>
          <w:rFonts w:ascii="Times New Roman" w:hAnsi="Times New Roman" w:cs="Times New Roman"/>
        </w:rPr>
        <w:t xml:space="preserve"> </w:t>
      </w:r>
      <w:r w:rsidR="00ED15E8" w:rsidRPr="00ED15E8">
        <w:rPr>
          <w:rFonts w:ascii="Times New Roman" w:hAnsi="Times New Roman" w:cs="Times New Roman"/>
        </w:rPr>
        <w:t xml:space="preserve">The fixed effects regression results with robust standard errors clustered at the bank level are reported in Table 6. Control Activities (β = -0.0089, p &lt; 0.01) and Monitoring Activities (β = -0.0071, p &lt; 0.01) have statistically significant negative relationship with fraud occurrence. Control Environment (β = -0.0034, p &lt; 0.05) and Information and Communication (β = -0.0028, p &lt; 0.05) also have significant negative effects, but smaller in magnitude. The risk assessment coefficient is negative, although not statistically significant (β = -0.0011, p = 0.318), which is similar to the results found by </w:t>
      </w:r>
      <w:proofErr w:type="spellStart"/>
      <w:r w:rsidR="00ED15E8" w:rsidRPr="00ED15E8">
        <w:rPr>
          <w:rFonts w:ascii="Times New Roman" w:hAnsi="Times New Roman" w:cs="Times New Roman"/>
        </w:rPr>
        <w:t>Koutoupis</w:t>
      </w:r>
      <w:proofErr w:type="spellEnd"/>
      <w:r w:rsidR="00ED15E8" w:rsidRPr="00ED15E8">
        <w:rPr>
          <w:rFonts w:ascii="Times New Roman" w:hAnsi="Times New Roman" w:cs="Times New Roman"/>
        </w:rPr>
        <w:t xml:space="preserve"> and </w:t>
      </w:r>
      <w:proofErr w:type="spellStart"/>
      <w:r w:rsidR="00ED15E8" w:rsidRPr="00ED15E8">
        <w:rPr>
          <w:rFonts w:ascii="Times New Roman" w:hAnsi="Times New Roman" w:cs="Times New Roman"/>
        </w:rPr>
        <w:t>Malisiovas</w:t>
      </w:r>
      <w:proofErr w:type="spellEnd"/>
      <w:r w:rsidR="00ED15E8" w:rsidRPr="00ED15E8">
        <w:rPr>
          <w:rFonts w:ascii="Times New Roman" w:hAnsi="Times New Roman" w:cs="Times New Roman"/>
        </w:rPr>
        <w:t xml:space="preserve"> (2023) in the United States banking sector. The Capital Adequacy Ratio (β = -0.0094, p &lt; 0.05) is negatively significant and Leverage (β = 0.0081, p &lt; 0.05) is positively significant among the controls. The model accounts for 61.2 percent of the variation in fraud occurrence within banks, and the F-statistic indicates overall significance.</w:t>
      </w:r>
    </w:p>
    <w:p w14:paraId="24577C5A" w14:textId="486C095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b/>
          <w:bCs/>
        </w:rPr>
        <w:t>Table 6: Fixed Effects Regression Results</w:t>
      </w:r>
    </w:p>
    <w:tbl>
      <w:tblPr>
        <w:tblStyle w:val="GridTable1Light"/>
        <w:tblW w:w="0" w:type="auto"/>
        <w:tblLook w:val="04A0" w:firstRow="1" w:lastRow="0" w:firstColumn="1" w:lastColumn="0" w:noHBand="0" w:noVBand="1"/>
      </w:tblPr>
      <w:tblGrid>
        <w:gridCol w:w="2166"/>
        <w:gridCol w:w="1636"/>
        <w:gridCol w:w="2072"/>
        <w:gridCol w:w="1203"/>
        <w:gridCol w:w="1372"/>
      </w:tblGrid>
      <w:tr w:rsidR="000848CC" w:rsidRPr="00CA63A7" w14:paraId="07C3C61A"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4A489C" w14:textId="77777777" w:rsidR="000848CC" w:rsidRPr="00CA63A7" w:rsidRDefault="000848CC" w:rsidP="00CA63A7">
            <w:pPr>
              <w:spacing w:line="360" w:lineRule="auto"/>
              <w:jc w:val="both"/>
              <w:rPr>
                <w:rFonts w:ascii="Times New Roman" w:hAnsi="Times New Roman" w:cs="Times New Roman"/>
                <w:b w:val="0"/>
                <w:bCs w:val="0"/>
              </w:rPr>
            </w:pPr>
            <w:r w:rsidRPr="00CA63A7">
              <w:rPr>
                <w:rFonts w:ascii="Times New Roman" w:hAnsi="Times New Roman" w:cs="Times New Roman"/>
              </w:rPr>
              <w:t>Variable</w:t>
            </w:r>
          </w:p>
        </w:tc>
        <w:tc>
          <w:tcPr>
            <w:tcW w:w="0" w:type="auto"/>
            <w:hideMark/>
          </w:tcPr>
          <w:p w14:paraId="7BD0602F"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Coefficient</w:t>
            </w:r>
          </w:p>
        </w:tc>
        <w:tc>
          <w:tcPr>
            <w:tcW w:w="0" w:type="auto"/>
            <w:hideMark/>
          </w:tcPr>
          <w:p w14:paraId="0406F146"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Robust Std. Error</w:t>
            </w:r>
          </w:p>
        </w:tc>
        <w:tc>
          <w:tcPr>
            <w:tcW w:w="0" w:type="auto"/>
            <w:hideMark/>
          </w:tcPr>
          <w:p w14:paraId="1962CA32"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t-Statistic</w:t>
            </w:r>
          </w:p>
        </w:tc>
        <w:tc>
          <w:tcPr>
            <w:tcW w:w="0" w:type="auto"/>
            <w:hideMark/>
          </w:tcPr>
          <w:p w14:paraId="7DF3A9BD" w14:textId="77777777" w:rsidR="000848CC" w:rsidRPr="00CA63A7"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A63A7">
              <w:rPr>
                <w:rFonts w:ascii="Times New Roman" w:hAnsi="Times New Roman" w:cs="Times New Roman"/>
              </w:rPr>
              <w:t>Probability</w:t>
            </w:r>
          </w:p>
        </w:tc>
      </w:tr>
      <w:tr w:rsidR="000848CC" w:rsidRPr="00CA63A7" w14:paraId="36F16D1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C93927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CTE</w:t>
            </w:r>
          </w:p>
        </w:tc>
        <w:tc>
          <w:tcPr>
            <w:tcW w:w="0" w:type="auto"/>
            <w:hideMark/>
          </w:tcPr>
          <w:p w14:paraId="4466897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-0.0034</w:t>
            </w:r>
          </w:p>
        </w:tc>
        <w:tc>
          <w:tcPr>
            <w:tcW w:w="0" w:type="auto"/>
            <w:hideMark/>
          </w:tcPr>
          <w:p w14:paraId="2CB56B5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0.0015</w:t>
            </w:r>
          </w:p>
        </w:tc>
        <w:tc>
          <w:tcPr>
            <w:tcW w:w="0" w:type="auto"/>
            <w:hideMark/>
          </w:tcPr>
          <w:p w14:paraId="46E37D6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-2.27</w:t>
            </w:r>
          </w:p>
        </w:tc>
        <w:tc>
          <w:tcPr>
            <w:tcW w:w="0" w:type="auto"/>
            <w:hideMark/>
          </w:tcPr>
          <w:p w14:paraId="204FF83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0.0258**</w:t>
            </w:r>
          </w:p>
        </w:tc>
      </w:tr>
      <w:tr w:rsidR="000848CC" w:rsidRPr="00CA63A7" w14:paraId="7435FA9D"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6F28D14"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RSA</w:t>
            </w:r>
          </w:p>
        </w:tc>
        <w:tc>
          <w:tcPr>
            <w:tcW w:w="0" w:type="auto"/>
            <w:hideMark/>
          </w:tcPr>
          <w:p w14:paraId="021B18E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-0.0011</w:t>
            </w:r>
          </w:p>
        </w:tc>
        <w:tc>
          <w:tcPr>
            <w:tcW w:w="0" w:type="auto"/>
            <w:hideMark/>
          </w:tcPr>
          <w:p w14:paraId="6497FBB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0.0011</w:t>
            </w:r>
          </w:p>
        </w:tc>
        <w:tc>
          <w:tcPr>
            <w:tcW w:w="0" w:type="auto"/>
            <w:hideMark/>
          </w:tcPr>
          <w:p w14:paraId="35A0572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-1.00</w:t>
            </w:r>
          </w:p>
        </w:tc>
        <w:tc>
          <w:tcPr>
            <w:tcW w:w="0" w:type="auto"/>
            <w:hideMark/>
          </w:tcPr>
          <w:p w14:paraId="633B479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0.3180</w:t>
            </w:r>
          </w:p>
        </w:tc>
      </w:tr>
      <w:tr w:rsidR="000848CC" w:rsidRPr="00CA63A7" w14:paraId="6E0D845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5DC50E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CTA</w:t>
            </w:r>
          </w:p>
        </w:tc>
        <w:tc>
          <w:tcPr>
            <w:tcW w:w="0" w:type="auto"/>
            <w:hideMark/>
          </w:tcPr>
          <w:p w14:paraId="00193931"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-0.0089</w:t>
            </w:r>
          </w:p>
        </w:tc>
        <w:tc>
          <w:tcPr>
            <w:tcW w:w="0" w:type="auto"/>
            <w:hideMark/>
          </w:tcPr>
          <w:p w14:paraId="62B3BCE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0.0024</w:t>
            </w:r>
          </w:p>
        </w:tc>
        <w:tc>
          <w:tcPr>
            <w:tcW w:w="0" w:type="auto"/>
            <w:hideMark/>
          </w:tcPr>
          <w:p w14:paraId="2462DB4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-3.71</w:t>
            </w:r>
          </w:p>
        </w:tc>
        <w:tc>
          <w:tcPr>
            <w:tcW w:w="0" w:type="auto"/>
            <w:hideMark/>
          </w:tcPr>
          <w:p w14:paraId="7F83602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0.0004***</w:t>
            </w:r>
          </w:p>
        </w:tc>
      </w:tr>
      <w:tr w:rsidR="000848CC" w:rsidRPr="00CA63A7" w14:paraId="3FE3783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79A463C"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INC</w:t>
            </w:r>
          </w:p>
        </w:tc>
        <w:tc>
          <w:tcPr>
            <w:tcW w:w="0" w:type="auto"/>
            <w:hideMark/>
          </w:tcPr>
          <w:p w14:paraId="14853CC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-0.0028</w:t>
            </w:r>
          </w:p>
        </w:tc>
        <w:tc>
          <w:tcPr>
            <w:tcW w:w="0" w:type="auto"/>
            <w:hideMark/>
          </w:tcPr>
          <w:p w14:paraId="567A1F2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0.0013</w:t>
            </w:r>
          </w:p>
        </w:tc>
        <w:tc>
          <w:tcPr>
            <w:tcW w:w="0" w:type="auto"/>
            <w:hideMark/>
          </w:tcPr>
          <w:p w14:paraId="2609C1C2"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-2.15</w:t>
            </w:r>
          </w:p>
        </w:tc>
        <w:tc>
          <w:tcPr>
            <w:tcW w:w="0" w:type="auto"/>
            <w:hideMark/>
          </w:tcPr>
          <w:p w14:paraId="5F5AF7DB"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0.0345**</w:t>
            </w:r>
          </w:p>
        </w:tc>
      </w:tr>
      <w:tr w:rsidR="000848CC" w:rsidRPr="00CA63A7" w14:paraId="14866CD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48849F3"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MOA</w:t>
            </w:r>
          </w:p>
        </w:tc>
        <w:tc>
          <w:tcPr>
            <w:tcW w:w="0" w:type="auto"/>
            <w:hideMark/>
          </w:tcPr>
          <w:p w14:paraId="4B89B2F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-0.0071</w:t>
            </w:r>
          </w:p>
        </w:tc>
        <w:tc>
          <w:tcPr>
            <w:tcW w:w="0" w:type="auto"/>
            <w:hideMark/>
          </w:tcPr>
          <w:p w14:paraId="7CA27BD9"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0.0021</w:t>
            </w:r>
          </w:p>
        </w:tc>
        <w:tc>
          <w:tcPr>
            <w:tcW w:w="0" w:type="auto"/>
            <w:hideMark/>
          </w:tcPr>
          <w:p w14:paraId="00762BC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-3.38</w:t>
            </w:r>
          </w:p>
        </w:tc>
        <w:tc>
          <w:tcPr>
            <w:tcW w:w="0" w:type="auto"/>
            <w:hideMark/>
          </w:tcPr>
          <w:p w14:paraId="507ADD3E"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0.0011***</w:t>
            </w:r>
          </w:p>
        </w:tc>
      </w:tr>
      <w:tr w:rsidR="000848CC" w:rsidRPr="00CA63A7" w14:paraId="3AAD01EF"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40A46D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CAR</w:t>
            </w:r>
          </w:p>
        </w:tc>
        <w:tc>
          <w:tcPr>
            <w:tcW w:w="0" w:type="auto"/>
            <w:hideMark/>
          </w:tcPr>
          <w:p w14:paraId="194BFAE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-0.0094</w:t>
            </w:r>
          </w:p>
        </w:tc>
        <w:tc>
          <w:tcPr>
            <w:tcW w:w="0" w:type="auto"/>
            <w:hideMark/>
          </w:tcPr>
          <w:p w14:paraId="12E41E46"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0.0042</w:t>
            </w:r>
          </w:p>
        </w:tc>
        <w:tc>
          <w:tcPr>
            <w:tcW w:w="0" w:type="auto"/>
            <w:hideMark/>
          </w:tcPr>
          <w:p w14:paraId="546A0E1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-2.24</w:t>
            </w:r>
          </w:p>
        </w:tc>
        <w:tc>
          <w:tcPr>
            <w:tcW w:w="0" w:type="auto"/>
            <w:hideMark/>
          </w:tcPr>
          <w:p w14:paraId="03AA6338"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0.0278**</w:t>
            </w:r>
          </w:p>
        </w:tc>
      </w:tr>
      <w:tr w:rsidR="000848CC" w:rsidRPr="00CA63A7" w14:paraId="5BED002F"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A2FF635"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LEV</w:t>
            </w:r>
          </w:p>
        </w:tc>
        <w:tc>
          <w:tcPr>
            <w:tcW w:w="0" w:type="auto"/>
            <w:hideMark/>
          </w:tcPr>
          <w:p w14:paraId="3D05149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0.0081</w:t>
            </w:r>
          </w:p>
        </w:tc>
        <w:tc>
          <w:tcPr>
            <w:tcW w:w="0" w:type="auto"/>
            <w:hideMark/>
          </w:tcPr>
          <w:p w14:paraId="06F2B2D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0.0037</w:t>
            </w:r>
          </w:p>
        </w:tc>
        <w:tc>
          <w:tcPr>
            <w:tcW w:w="0" w:type="auto"/>
            <w:hideMark/>
          </w:tcPr>
          <w:p w14:paraId="27C332AD"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2.19</w:t>
            </w:r>
          </w:p>
        </w:tc>
        <w:tc>
          <w:tcPr>
            <w:tcW w:w="0" w:type="auto"/>
            <w:hideMark/>
          </w:tcPr>
          <w:p w14:paraId="067BF18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0.0314**</w:t>
            </w:r>
          </w:p>
        </w:tc>
      </w:tr>
      <w:tr w:rsidR="000848CC" w:rsidRPr="00CA63A7" w14:paraId="630DB86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E2D03DC"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Constant</w:t>
            </w:r>
          </w:p>
        </w:tc>
        <w:tc>
          <w:tcPr>
            <w:tcW w:w="0" w:type="auto"/>
            <w:hideMark/>
          </w:tcPr>
          <w:p w14:paraId="0FF9E145"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0.0312</w:t>
            </w:r>
          </w:p>
        </w:tc>
        <w:tc>
          <w:tcPr>
            <w:tcW w:w="0" w:type="auto"/>
            <w:hideMark/>
          </w:tcPr>
          <w:p w14:paraId="0043DF7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0.0098</w:t>
            </w:r>
          </w:p>
        </w:tc>
        <w:tc>
          <w:tcPr>
            <w:tcW w:w="0" w:type="auto"/>
            <w:hideMark/>
          </w:tcPr>
          <w:p w14:paraId="46DFE7E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3.18</w:t>
            </w:r>
          </w:p>
        </w:tc>
        <w:tc>
          <w:tcPr>
            <w:tcW w:w="0" w:type="auto"/>
            <w:hideMark/>
          </w:tcPr>
          <w:p w14:paraId="16D0CB2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0.0021***</w:t>
            </w:r>
          </w:p>
        </w:tc>
      </w:tr>
      <w:tr w:rsidR="000848CC" w:rsidRPr="00CA63A7" w14:paraId="3A5E34DC"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0676A0F"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R-squared (within)</w:t>
            </w:r>
          </w:p>
        </w:tc>
        <w:tc>
          <w:tcPr>
            <w:tcW w:w="0" w:type="auto"/>
            <w:hideMark/>
          </w:tcPr>
          <w:p w14:paraId="3A5C8EDA"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0.612</w:t>
            </w:r>
          </w:p>
        </w:tc>
        <w:tc>
          <w:tcPr>
            <w:tcW w:w="0" w:type="auto"/>
            <w:hideMark/>
          </w:tcPr>
          <w:p w14:paraId="0BE10D07"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53BD7220"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25D0126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48CC" w:rsidRPr="00CA63A7" w14:paraId="3F37571A"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B1EAE0B"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F-statistic (Prob.)</w:t>
            </w:r>
          </w:p>
        </w:tc>
        <w:tc>
          <w:tcPr>
            <w:tcW w:w="0" w:type="auto"/>
            <w:hideMark/>
          </w:tcPr>
          <w:p w14:paraId="7307B8D4"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63A7">
              <w:rPr>
                <w:rFonts w:ascii="Times New Roman" w:hAnsi="Times New Roman" w:cs="Times New Roman"/>
              </w:rPr>
              <w:t>12.84 (0.0000)</w:t>
            </w:r>
          </w:p>
        </w:tc>
        <w:tc>
          <w:tcPr>
            <w:tcW w:w="0" w:type="auto"/>
            <w:hideMark/>
          </w:tcPr>
          <w:p w14:paraId="0A4A9F3F"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6BCBDBAC"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06B740A3" w14:textId="77777777" w:rsidR="000848CC" w:rsidRPr="00CA63A7"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9154887"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 xml:space="preserve">*** Significant at 1%; ** Significant at 5%. SIZE, AGE, and BIND were retained in the model but omitted here for space; only SIZE reached significance at conventional levels (p = 0.049). </w:t>
      </w:r>
      <w:r w:rsidRPr="00CA63A7">
        <w:rPr>
          <w:rFonts w:ascii="Times New Roman" w:hAnsi="Times New Roman" w:cs="Times New Roman"/>
          <w:i/>
          <w:iCs/>
        </w:rPr>
        <w:t>Source: Authors' computation (2026).</w:t>
      </w:r>
    </w:p>
    <w:p w14:paraId="25E5E0BE" w14:textId="77777777" w:rsidR="00ED15E8" w:rsidRDefault="004F4FB1" w:rsidP="00ED15E8">
      <w:pPr>
        <w:spacing w:line="360" w:lineRule="auto"/>
        <w:jc w:val="both"/>
        <w:rPr>
          <w:rFonts w:ascii="Times New Roman" w:hAnsi="Times New Roman" w:cs="Times New Roman"/>
        </w:rPr>
      </w:pPr>
      <w:r w:rsidRPr="004F4FB1">
        <w:rPr>
          <w:rFonts w:ascii="Times New Roman" w:hAnsi="Times New Roman" w:cs="Times New Roman"/>
          <w:b/>
          <w:bCs/>
        </w:rPr>
        <w:t>4.4 Robustness Checks.</w:t>
      </w:r>
      <w:r>
        <w:rPr>
          <w:rFonts w:ascii="Times New Roman" w:hAnsi="Times New Roman" w:cs="Times New Roman"/>
        </w:rPr>
        <w:t xml:space="preserve"> </w:t>
      </w:r>
      <w:r w:rsidR="00ED15E8" w:rsidRPr="00ED15E8">
        <w:rPr>
          <w:rFonts w:ascii="Times New Roman" w:hAnsi="Times New Roman" w:cs="Times New Roman"/>
        </w:rPr>
        <w:t xml:space="preserve">The model was re-estimated with the natural log of total fraud losses in naira as the alternative dependent variable and a one-year lagged specification of the internal control indices, as a robustness check. Coefficient sign, relative magnitude, and significance ranking were generally consistent between both checks (Control Activities and Monitoring </w:t>
      </w:r>
      <w:r w:rsidR="00ED15E8" w:rsidRPr="00ED15E8">
        <w:rPr>
          <w:rFonts w:ascii="Times New Roman" w:hAnsi="Times New Roman" w:cs="Times New Roman"/>
        </w:rPr>
        <w:lastRenderedPageBreak/>
        <w:t>Activities were the most significant and strongest predictors, while Control Environment and Information and Communication were significant, and Risk Assessment was not significant), thereby increasing the confidence that the baseline findings are not a result of the measurement choice or contemporaneous endogeneity.</w:t>
      </w:r>
    </w:p>
    <w:p w14:paraId="6A931874" w14:textId="55B15A1E" w:rsidR="00637690" w:rsidRPr="00637690" w:rsidRDefault="00637690" w:rsidP="00ED15E8">
      <w:pPr>
        <w:spacing w:line="360" w:lineRule="auto"/>
        <w:jc w:val="both"/>
        <w:rPr>
          <w:rFonts w:ascii="Times New Roman" w:hAnsi="Times New Roman" w:cs="Times New Roman"/>
          <w:b/>
          <w:bCs/>
        </w:rPr>
      </w:pPr>
      <w:r w:rsidRPr="00637690">
        <w:rPr>
          <w:rFonts w:ascii="Times New Roman" w:hAnsi="Times New Roman" w:cs="Times New Roman"/>
          <w:b/>
          <w:bCs/>
        </w:rPr>
        <w:t>4.5 Summary of Hypotheses Testing</w:t>
      </w:r>
    </w:p>
    <w:tbl>
      <w:tblPr>
        <w:tblStyle w:val="GridTable1Light"/>
        <w:tblW w:w="0" w:type="auto"/>
        <w:tblLook w:val="04A0" w:firstRow="1" w:lastRow="0" w:firstColumn="1" w:lastColumn="0" w:noHBand="0" w:noVBand="1"/>
      </w:tblPr>
      <w:tblGrid>
        <w:gridCol w:w="1350"/>
        <w:gridCol w:w="1736"/>
      </w:tblGrid>
      <w:tr w:rsidR="00637690" w:rsidRPr="00637690" w14:paraId="4B5EA75F" w14:textId="77777777" w:rsidTr="00637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602C16"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Hypothesis</w:t>
            </w:r>
          </w:p>
        </w:tc>
        <w:tc>
          <w:tcPr>
            <w:tcW w:w="0" w:type="auto"/>
            <w:hideMark/>
          </w:tcPr>
          <w:p w14:paraId="47881A1D" w14:textId="77777777" w:rsidR="00637690" w:rsidRPr="00637690" w:rsidRDefault="00637690" w:rsidP="0063769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Decision</w:t>
            </w:r>
          </w:p>
        </w:tc>
      </w:tr>
      <w:tr w:rsidR="00637690" w:rsidRPr="00637690" w14:paraId="3E7DF996"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947C361"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H01</w:t>
            </w:r>
          </w:p>
        </w:tc>
        <w:tc>
          <w:tcPr>
            <w:tcW w:w="0" w:type="auto"/>
            <w:hideMark/>
          </w:tcPr>
          <w:p w14:paraId="211F07E1" w14:textId="77777777" w:rsidR="00637690" w:rsidRPr="00637690"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Rejected</w:t>
            </w:r>
          </w:p>
        </w:tc>
      </w:tr>
      <w:tr w:rsidR="00637690" w:rsidRPr="00637690" w14:paraId="0EBD1BCE"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1DCC7D6"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H02</w:t>
            </w:r>
          </w:p>
        </w:tc>
        <w:tc>
          <w:tcPr>
            <w:tcW w:w="0" w:type="auto"/>
            <w:hideMark/>
          </w:tcPr>
          <w:p w14:paraId="0DEB1624" w14:textId="77777777" w:rsidR="00637690" w:rsidRPr="00637690"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Failed to Reject</w:t>
            </w:r>
          </w:p>
        </w:tc>
      </w:tr>
      <w:tr w:rsidR="00637690" w:rsidRPr="00637690" w14:paraId="3DD68700"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7E06536"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H03</w:t>
            </w:r>
          </w:p>
        </w:tc>
        <w:tc>
          <w:tcPr>
            <w:tcW w:w="0" w:type="auto"/>
            <w:hideMark/>
          </w:tcPr>
          <w:p w14:paraId="46978502" w14:textId="77777777" w:rsidR="00637690" w:rsidRPr="00637690"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Rejected</w:t>
            </w:r>
          </w:p>
        </w:tc>
      </w:tr>
      <w:tr w:rsidR="00637690" w:rsidRPr="00637690" w14:paraId="18B26334"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6A05ECB4"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H04</w:t>
            </w:r>
          </w:p>
        </w:tc>
        <w:tc>
          <w:tcPr>
            <w:tcW w:w="0" w:type="auto"/>
            <w:hideMark/>
          </w:tcPr>
          <w:p w14:paraId="0056B034" w14:textId="77777777" w:rsidR="00637690" w:rsidRPr="00637690"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Rejected</w:t>
            </w:r>
          </w:p>
        </w:tc>
      </w:tr>
      <w:tr w:rsidR="00637690" w:rsidRPr="00637690" w14:paraId="2E19546D"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E949118" w14:textId="77777777" w:rsidR="00637690" w:rsidRPr="00637690" w:rsidRDefault="00637690" w:rsidP="00637690">
            <w:pPr>
              <w:spacing w:after="160" w:line="360" w:lineRule="auto"/>
              <w:jc w:val="both"/>
              <w:rPr>
                <w:rFonts w:ascii="Times New Roman" w:hAnsi="Times New Roman" w:cs="Times New Roman"/>
              </w:rPr>
            </w:pPr>
            <w:r w:rsidRPr="00637690">
              <w:rPr>
                <w:rFonts w:ascii="Times New Roman" w:hAnsi="Times New Roman" w:cs="Times New Roman"/>
              </w:rPr>
              <w:t>H05</w:t>
            </w:r>
          </w:p>
        </w:tc>
        <w:tc>
          <w:tcPr>
            <w:tcW w:w="0" w:type="auto"/>
            <w:hideMark/>
          </w:tcPr>
          <w:p w14:paraId="748F0756" w14:textId="77777777" w:rsidR="00637690" w:rsidRPr="00637690"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7690">
              <w:rPr>
                <w:rFonts w:ascii="Times New Roman" w:hAnsi="Times New Roman" w:cs="Times New Roman"/>
              </w:rPr>
              <w:t>Rejected</w:t>
            </w:r>
          </w:p>
        </w:tc>
      </w:tr>
    </w:tbl>
    <w:p w14:paraId="1B6B69A8" w14:textId="77777777" w:rsidR="00637690" w:rsidRPr="00637690" w:rsidRDefault="00637690" w:rsidP="00637690">
      <w:pPr>
        <w:spacing w:line="360" w:lineRule="auto"/>
        <w:jc w:val="both"/>
        <w:rPr>
          <w:rFonts w:ascii="Times New Roman" w:hAnsi="Times New Roman" w:cs="Times New Roman"/>
        </w:rPr>
      </w:pPr>
      <w:r w:rsidRPr="00637690">
        <w:rPr>
          <w:rFonts w:ascii="Times New Roman" w:hAnsi="Times New Roman" w:cs="Times New Roman"/>
        </w:rPr>
        <w:t>The results of the hypothesis testing show that four of the five null hypotheses were rejected, thus supporting the hypothesis that Control Environment, Control Activities, Information and Communication and Monitoring Activities have significant influence on fraud prevention. Risk Assessment was the only measure to show a statistically significant effect.</w:t>
      </w:r>
    </w:p>
    <w:p w14:paraId="6CA1CA18" w14:textId="278269E7" w:rsidR="004B4F0F" w:rsidRDefault="000848CC" w:rsidP="00CA63A7">
      <w:pPr>
        <w:spacing w:line="360" w:lineRule="auto"/>
        <w:jc w:val="both"/>
        <w:rPr>
          <w:rFonts w:ascii="Times New Roman" w:hAnsi="Times New Roman" w:cs="Times New Roman"/>
        </w:rPr>
      </w:pPr>
      <w:r w:rsidRPr="00CA63A7">
        <w:rPr>
          <w:rFonts w:ascii="Times New Roman" w:hAnsi="Times New Roman" w:cs="Times New Roman"/>
          <w:b/>
          <w:bCs/>
        </w:rPr>
        <w:t>Figure 2: Trend Analysis of Fraud Incidence and Internal Control Effectiveness among Nigerian Deposit Money Banks (2019–2024)</w:t>
      </w:r>
      <w:r w:rsidRPr="00CA63A7">
        <w:rPr>
          <w:rFonts w:ascii="Times New Roman" w:hAnsi="Times New Roman" w:cs="Times New Roman"/>
        </w:rPr>
        <w:t xml:space="preserve"> </w:t>
      </w:r>
    </w:p>
    <w:p w14:paraId="42D5FAC7" w14:textId="65940532" w:rsidR="00BA7DAB" w:rsidRPr="00BA7DAB" w:rsidRDefault="00C857F2" w:rsidP="00CA63A7">
      <w:pPr>
        <w:spacing w:line="360" w:lineRule="auto"/>
        <w:jc w:val="both"/>
        <w:rPr>
          <w:rFonts w:ascii="Times New Roman" w:hAnsi="Times New Roman" w:cs="Times New Roman"/>
        </w:rPr>
      </w:pPr>
      <w:r w:rsidRPr="00C857F2">
        <w:rPr>
          <w:rFonts w:ascii="Times New Roman" w:hAnsi="Times New Roman" w:cs="Times New Roman"/>
          <w:noProof/>
        </w:rPr>
        <w:drawing>
          <wp:inline distT="0" distB="0" distL="0" distR="0" wp14:anchorId="6B7549A0" wp14:editId="0D9670CB">
            <wp:extent cx="4019550" cy="266700"/>
            <wp:effectExtent l="0" t="0" r="0" b="0"/>
            <wp:docPr id="188250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05131" name=""/>
                    <pic:cNvPicPr/>
                  </pic:nvPicPr>
                  <pic:blipFill>
                    <a:blip r:embed="rId8"/>
                    <a:stretch>
                      <a:fillRect/>
                    </a:stretch>
                  </pic:blipFill>
                  <pic:spPr>
                    <a:xfrm>
                      <a:off x="0" y="0"/>
                      <a:ext cx="4019550" cy="266700"/>
                    </a:xfrm>
                    <a:prstGeom prst="rect">
                      <a:avLst/>
                    </a:prstGeom>
                  </pic:spPr>
                </pic:pic>
              </a:graphicData>
            </a:graphic>
          </wp:inline>
        </w:drawing>
      </w:r>
    </w:p>
    <w:p w14:paraId="6B5E7E43" w14:textId="77777777" w:rsidR="00637690" w:rsidRDefault="00C857F2" w:rsidP="00CA63A7">
      <w:pPr>
        <w:spacing w:line="360" w:lineRule="auto"/>
        <w:jc w:val="both"/>
        <w:rPr>
          <w:rFonts w:ascii="Times New Roman" w:hAnsi="Times New Roman" w:cs="Times New Roman"/>
          <w:b/>
          <w:bCs/>
          <w:sz w:val="28"/>
          <w:szCs w:val="28"/>
        </w:rPr>
      </w:pPr>
      <w:r>
        <w:rPr>
          <w:noProof/>
        </w:rPr>
        <w:lastRenderedPageBreak/>
        <w:drawing>
          <wp:inline distT="0" distB="0" distL="0" distR="0" wp14:anchorId="49E25E55" wp14:editId="2994CA46">
            <wp:extent cx="6124575" cy="3200400"/>
            <wp:effectExtent l="0" t="0" r="9525" b="0"/>
            <wp:docPr id="971728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3200400"/>
                    </a:xfrm>
                    <a:prstGeom prst="rect">
                      <a:avLst/>
                    </a:prstGeom>
                    <a:noFill/>
                    <a:ln>
                      <a:noFill/>
                    </a:ln>
                  </pic:spPr>
                </pic:pic>
              </a:graphicData>
            </a:graphic>
          </wp:inline>
        </w:drawing>
      </w:r>
    </w:p>
    <w:p w14:paraId="3AA5C6F9" w14:textId="25AFFBE0" w:rsidR="000848CC" w:rsidRPr="00CA63A7" w:rsidRDefault="004F4FB1" w:rsidP="00CA63A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5.0 </w:t>
      </w:r>
      <w:r w:rsidR="000848CC" w:rsidRPr="00CA63A7">
        <w:rPr>
          <w:rFonts w:ascii="Times New Roman" w:hAnsi="Times New Roman" w:cs="Times New Roman"/>
          <w:b/>
          <w:bCs/>
          <w:sz w:val="28"/>
          <w:szCs w:val="28"/>
        </w:rPr>
        <w:t>Discussion of Findings</w:t>
      </w:r>
    </w:p>
    <w:p w14:paraId="2D4508DB" w14:textId="77777777" w:rsidR="00BA51CE" w:rsidRPr="00BA51CE" w:rsidRDefault="00BA51CE" w:rsidP="00BA51CE">
      <w:pPr>
        <w:spacing w:line="360" w:lineRule="auto"/>
        <w:jc w:val="both"/>
        <w:rPr>
          <w:rFonts w:ascii="Times New Roman" w:hAnsi="Times New Roman" w:cs="Times New Roman"/>
        </w:rPr>
      </w:pPr>
      <w:r w:rsidRPr="00BA51CE">
        <w:rPr>
          <w:rFonts w:ascii="Times New Roman" w:hAnsi="Times New Roman" w:cs="Times New Roman"/>
        </w:rPr>
        <w:t xml:space="preserve">The result of the strongest negative effect of Control Activities on fraud occurrence supports the opportunity-restriction aspect of Fraud Triangle Theory and the result of Hassan et al. (2025) which showed that governance and information technology practices significantly reduce fraud by </w:t>
      </w:r>
      <w:proofErr w:type="spellStart"/>
      <w:r w:rsidRPr="00BA51CE">
        <w:rPr>
          <w:rFonts w:ascii="Times New Roman" w:hAnsi="Times New Roman" w:cs="Times New Roman"/>
        </w:rPr>
        <w:t>minimising</w:t>
      </w:r>
      <w:proofErr w:type="spellEnd"/>
      <w:r w:rsidRPr="00BA51CE">
        <w:rPr>
          <w:rFonts w:ascii="Times New Roman" w:hAnsi="Times New Roman" w:cs="Times New Roman"/>
        </w:rPr>
        <w:t xml:space="preserve"> opportunity. It also aligns with Kanu et al. (2022), who identified transaction-level controls as the more immediate lever, as the majority of reported fraud cases were committed by the bank staff that are directly involved in the daily transaction processes, such as supervisors and cashiers. The similar impact of Monitoring Activities is consistent with </w:t>
      </w:r>
      <w:proofErr w:type="spellStart"/>
      <w:r w:rsidRPr="00BA51CE">
        <w:rPr>
          <w:rFonts w:ascii="Times New Roman" w:hAnsi="Times New Roman" w:cs="Times New Roman"/>
        </w:rPr>
        <w:t>Oyerogba</w:t>
      </w:r>
      <w:proofErr w:type="spellEnd"/>
      <w:r w:rsidRPr="00BA51CE">
        <w:rPr>
          <w:rFonts w:ascii="Times New Roman" w:hAnsi="Times New Roman" w:cs="Times New Roman"/>
        </w:rPr>
        <w:t xml:space="preserve"> (2021) who surveyed Nigerian forensic and audit professionals and found that auditor skill and technique had significant predictive power for fraud detection; the current findings also apply this argument to prevention, that is, a more active function of internal audit prevents fraud even before the event is discovered.</w:t>
      </w:r>
    </w:p>
    <w:p w14:paraId="4D5AC102" w14:textId="4AE9E339" w:rsidR="00BA51CE" w:rsidRPr="00BA51CE" w:rsidRDefault="00BA51CE" w:rsidP="00BA51CE">
      <w:pPr>
        <w:spacing w:line="360" w:lineRule="auto"/>
        <w:jc w:val="both"/>
        <w:rPr>
          <w:rFonts w:ascii="Times New Roman" w:hAnsi="Times New Roman" w:cs="Times New Roman"/>
        </w:rPr>
      </w:pPr>
      <w:r w:rsidRPr="00BA51CE">
        <w:rPr>
          <w:rFonts w:ascii="Times New Roman" w:hAnsi="Times New Roman" w:cs="Times New Roman"/>
        </w:rPr>
        <w:t xml:space="preserve">The weaker, but still present, influence of the Control Environment and Information and Communication dimensions indicates that the ethical-tone and communication-channel dimension is important, but not as powerful as the procedural dimensions, as the Agency Theory framing used here suggests: a strong control environment has a more long-term influence on misconduct than the immediate influence of the control activities. This is in line with Dewi et al. (2024) who </w:t>
      </w:r>
      <w:r w:rsidRPr="00BA51CE">
        <w:rPr>
          <w:rFonts w:ascii="Times New Roman" w:hAnsi="Times New Roman" w:cs="Times New Roman"/>
        </w:rPr>
        <w:lastRenderedPageBreak/>
        <w:t>revealed that the effectiveness of fraud detection is influenced by both tone at the top and information competence together, not separately, by internal auditors in Indonesia.</w:t>
      </w:r>
    </w:p>
    <w:p w14:paraId="2DAB4212" w14:textId="77777777" w:rsidR="00BA51CE" w:rsidRPr="00BA51CE" w:rsidRDefault="00BA51CE" w:rsidP="00BA51CE">
      <w:pPr>
        <w:spacing w:line="360" w:lineRule="auto"/>
        <w:jc w:val="both"/>
        <w:rPr>
          <w:rFonts w:ascii="Times New Roman" w:hAnsi="Times New Roman" w:cs="Times New Roman"/>
        </w:rPr>
      </w:pPr>
      <w:r w:rsidRPr="00BA51CE">
        <w:rPr>
          <w:rFonts w:ascii="Times New Roman" w:hAnsi="Times New Roman" w:cs="Times New Roman"/>
        </w:rPr>
        <w:t xml:space="preserve">The most theoretically interesting result is the statistically insignificant effect of Risk Assessment, which is repeated in an entirely different banking system. </w:t>
      </w:r>
      <w:proofErr w:type="spellStart"/>
      <w:r w:rsidRPr="00BA51CE">
        <w:rPr>
          <w:rFonts w:ascii="Times New Roman" w:hAnsi="Times New Roman" w:cs="Times New Roman"/>
        </w:rPr>
        <w:t>Koutoupis</w:t>
      </w:r>
      <w:proofErr w:type="spellEnd"/>
      <w:r w:rsidRPr="00BA51CE">
        <w:rPr>
          <w:rFonts w:ascii="Times New Roman" w:hAnsi="Times New Roman" w:cs="Times New Roman"/>
        </w:rPr>
        <w:t xml:space="preserve"> and </w:t>
      </w:r>
      <w:proofErr w:type="spellStart"/>
      <w:r w:rsidRPr="00BA51CE">
        <w:rPr>
          <w:rFonts w:ascii="Times New Roman" w:hAnsi="Times New Roman" w:cs="Times New Roman"/>
        </w:rPr>
        <w:t>Malisiovas</w:t>
      </w:r>
      <w:proofErr w:type="spellEnd"/>
      <w:r w:rsidRPr="00BA51CE">
        <w:rPr>
          <w:rFonts w:ascii="Times New Roman" w:hAnsi="Times New Roman" w:cs="Times New Roman"/>
        </w:rPr>
        <w:t xml:space="preserve"> (2023) also discovered that Risk Assessment was the weakest and least constant predictor of over two hundred United States bank holding companies. This convergence across banking systems with </w:t>
      </w:r>
      <w:proofErr w:type="spellStart"/>
      <w:r w:rsidRPr="00BA51CE">
        <w:rPr>
          <w:rFonts w:ascii="Times New Roman" w:hAnsi="Times New Roman" w:cs="Times New Roman"/>
        </w:rPr>
        <w:t>Nyakarimi</w:t>
      </w:r>
      <w:proofErr w:type="spellEnd"/>
      <w:r w:rsidRPr="00BA51CE">
        <w:rPr>
          <w:rFonts w:ascii="Times New Roman" w:hAnsi="Times New Roman" w:cs="Times New Roman"/>
        </w:rPr>
        <w:t xml:space="preserve"> et al. (2020) finding that control environment, not risk assessment, was the driver of fraud prevention outcomes in Kenyan banks and with Mustapha et al. (2023) finding that staff commitment to risk assessment derived procedures was inconsistent in Nigerian banks, even when the procedures were documented in policy, indicates that risk assessment frameworks, despite being well documented in policy, are often not translated into measurable fraud restraint unless they are operationalized through the more concrete mechanisms of control activities and monitoring. This is a significant discovery for bank boards: having a fraud risk register with no investment in control activities and monitoring seems to be of little measurable value, which is also consistent with the findings of Toshiba's fraud, which was enabled not by the lack of risk identification, but by the lack of effective monitoring of identified risks, as concluded by Demetriades and Owusu-Agyei (2021).</w:t>
      </w:r>
    </w:p>
    <w:p w14:paraId="41DB9161" w14:textId="77777777" w:rsidR="00BA51CE" w:rsidRDefault="00BA51CE" w:rsidP="00BA51CE">
      <w:pPr>
        <w:spacing w:line="360" w:lineRule="auto"/>
        <w:jc w:val="both"/>
        <w:rPr>
          <w:rFonts w:ascii="Times New Roman" w:hAnsi="Times New Roman" w:cs="Times New Roman"/>
        </w:rPr>
      </w:pPr>
      <w:r w:rsidRPr="00BA51CE">
        <w:rPr>
          <w:rFonts w:ascii="Times New Roman" w:hAnsi="Times New Roman" w:cs="Times New Roman"/>
        </w:rPr>
        <w:t xml:space="preserve">The trend shown in Figure 2, where the ratio of disclosed control effectiveness increased while the ratio of fraud occurrence increased at an even greater rate over the period 2019-2024, warrants attention as it may seem to counter the regression results. The solution is to understand that the trend is a single index that combines all five elements, whereas the regression reveals that these aggregate indicators are quite heterogeneous, with banks increasing disclosure and documentation raising the composite index, while the operational mechanisms that the regression identifies as key are lagging behind the rapid evolution of digital fraud typologies (Tade, 2022). This aligns with </w:t>
      </w:r>
      <w:proofErr w:type="spellStart"/>
      <w:r w:rsidRPr="00BA51CE">
        <w:rPr>
          <w:rFonts w:ascii="Times New Roman" w:hAnsi="Times New Roman" w:cs="Times New Roman"/>
        </w:rPr>
        <w:t>Abeki</w:t>
      </w:r>
      <w:proofErr w:type="spellEnd"/>
      <w:r w:rsidRPr="00BA51CE">
        <w:rPr>
          <w:rFonts w:ascii="Times New Roman" w:hAnsi="Times New Roman" w:cs="Times New Roman"/>
        </w:rPr>
        <w:t xml:space="preserve"> (2023), who stated that a good internal control system does not just rely on policy documents, but needs to incorporate the human, procedural and digital aspects in a credible manner to prevent fraud.</w:t>
      </w:r>
    </w:p>
    <w:p w14:paraId="15066641" w14:textId="42DD60E9" w:rsidR="000848CC" w:rsidRPr="004F4FB1" w:rsidRDefault="004F4FB1" w:rsidP="00BA51CE">
      <w:pPr>
        <w:spacing w:line="360" w:lineRule="auto"/>
        <w:jc w:val="both"/>
        <w:rPr>
          <w:rFonts w:ascii="Times New Roman" w:hAnsi="Times New Roman" w:cs="Times New Roman"/>
        </w:rPr>
      </w:pPr>
      <w:r w:rsidRPr="004F4FB1">
        <w:rPr>
          <w:rFonts w:ascii="Times New Roman" w:hAnsi="Times New Roman" w:cs="Times New Roman"/>
          <w:b/>
          <w:bCs/>
        </w:rPr>
        <w:t>6.0</w:t>
      </w:r>
      <w:r>
        <w:rPr>
          <w:rFonts w:ascii="Times New Roman" w:hAnsi="Times New Roman" w:cs="Times New Roman"/>
        </w:rPr>
        <w:t xml:space="preserve"> </w:t>
      </w:r>
      <w:r w:rsidR="000848CC" w:rsidRPr="00CA63A7">
        <w:rPr>
          <w:rFonts w:ascii="Times New Roman" w:hAnsi="Times New Roman" w:cs="Times New Roman"/>
          <w:b/>
          <w:bCs/>
        </w:rPr>
        <w:t>Conclusion and Recommendations</w:t>
      </w:r>
    </w:p>
    <w:p w14:paraId="1595BF0E" w14:textId="1101A752" w:rsidR="00BA51CE" w:rsidRDefault="004F4FB1" w:rsidP="00BA51CE">
      <w:pPr>
        <w:spacing w:line="360" w:lineRule="auto"/>
        <w:jc w:val="both"/>
        <w:rPr>
          <w:rFonts w:ascii="Times New Roman" w:hAnsi="Times New Roman" w:cs="Times New Roman"/>
        </w:rPr>
      </w:pPr>
      <w:r>
        <w:rPr>
          <w:rFonts w:ascii="Times New Roman" w:hAnsi="Times New Roman" w:cs="Times New Roman"/>
          <w:b/>
          <w:bCs/>
        </w:rPr>
        <w:t xml:space="preserve">6.1 </w:t>
      </w:r>
      <w:r w:rsidR="000848CC" w:rsidRPr="00CA63A7">
        <w:rPr>
          <w:rFonts w:ascii="Times New Roman" w:hAnsi="Times New Roman" w:cs="Times New Roman"/>
          <w:b/>
          <w:bCs/>
        </w:rPr>
        <w:t>Conclusion.</w:t>
      </w:r>
      <w:r w:rsidR="000848CC" w:rsidRPr="00CA63A7">
        <w:rPr>
          <w:rFonts w:ascii="Times New Roman" w:hAnsi="Times New Roman" w:cs="Times New Roman"/>
        </w:rPr>
        <w:t xml:space="preserve"> </w:t>
      </w:r>
    </w:p>
    <w:p w14:paraId="2A1353E6" w14:textId="77777777" w:rsidR="00184240" w:rsidRPr="00045F66" w:rsidRDefault="00184240" w:rsidP="00184240">
      <w:pPr>
        <w:spacing w:before="100" w:beforeAutospacing="1" w:after="100" w:afterAutospacing="1" w:line="240" w:lineRule="auto"/>
        <w:rPr>
          <w:rFonts w:ascii="Times New Roman" w:eastAsia="Times New Roman" w:hAnsi="Times New Roman" w:cs="Times New Roman"/>
          <w:lang w:eastAsia="en-GB"/>
        </w:rPr>
      </w:pPr>
      <w:r w:rsidRPr="00045F66">
        <w:rPr>
          <w:rFonts w:ascii="Times New Roman" w:eastAsia="Times New Roman" w:hAnsi="Times New Roman" w:cs="Times New Roman"/>
          <w:lang w:eastAsia="en-GB"/>
        </w:rPr>
        <w:lastRenderedPageBreak/>
        <w:t xml:space="preserve">This study investigated the effect of internal control systems on fraud prevention in listed Nigerian deposit money banks between 2019 and 2024. Using fixed effects panel regression, the study found that the five COSO components do not contribute equally to fraud prevention. Control activities and monitoring activities had the strongest and most consistent negative effects on fraud occurrence, indicating that transaction-level controls, </w:t>
      </w:r>
      <w:proofErr w:type="spellStart"/>
      <w:r w:rsidRPr="00045F66">
        <w:rPr>
          <w:rFonts w:ascii="Times New Roman" w:eastAsia="Times New Roman" w:hAnsi="Times New Roman" w:cs="Times New Roman"/>
          <w:lang w:eastAsia="en-GB"/>
        </w:rPr>
        <w:t>authorisation</w:t>
      </w:r>
      <w:proofErr w:type="spellEnd"/>
      <w:r w:rsidRPr="00045F66">
        <w:rPr>
          <w:rFonts w:ascii="Times New Roman" w:eastAsia="Times New Roman" w:hAnsi="Times New Roman" w:cs="Times New Roman"/>
          <w:lang w:eastAsia="en-GB"/>
        </w:rPr>
        <w:t xml:space="preserve"> procedures, segregation of duties, internal audit independence, and continuous monitoring are central to reducing fraud losses. Control environment and information and communication also contributed significantly, though their effects were smaller. Risk assessment showed a negative but statistically insignificant relationship with fraud occurrence, suggesting that documented risk identification processes may not reduce fraud unless they are effectively translated into operational controls and monitoring practices. Overall, the findings indicate that banks should move beyond the formal disclosure of internal control structures and focus more on the actual effectiveness of controls in daily operations. Regulators should also strengthen supervisory attention to the practical implementation of disclosed control systems.</w:t>
      </w:r>
    </w:p>
    <w:p w14:paraId="6E901F72" w14:textId="77777777" w:rsidR="00184240" w:rsidRPr="00BA51CE" w:rsidRDefault="00184240" w:rsidP="00BA51CE">
      <w:pPr>
        <w:spacing w:line="360" w:lineRule="auto"/>
        <w:jc w:val="both"/>
        <w:rPr>
          <w:rFonts w:ascii="Times New Roman" w:hAnsi="Times New Roman" w:cs="Times New Roman"/>
        </w:rPr>
      </w:pPr>
    </w:p>
    <w:p w14:paraId="2CCF2B38" w14:textId="5C4D6C49" w:rsidR="00BA51CE" w:rsidRPr="00AB668A" w:rsidRDefault="00BA51CE" w:rsidP="00BA51CE">
      <w:pPr>
        <w:spacing w:line="360" w:lineRule="auto"/>
        <w:jc w:val="both"/>
        <w:rPr>
          <w:rFonts w:ascii="Times New Roman" w:hAnsi="Times New Roman" w:cs="Times New Roman"/>
          <w:b/>
          <w:bCs/>
        </w:rPr>
      </w:pPr>
      <w:r w:rsidRPr="001C0CA2">
        <w:rPr>
          <w:rFonts w:ascii="Times New Roman" w:hAnsi="Times New Roman" w:cs="Times New Roman"/>
          <w:b/>
          <w:bCs/>
        </w:rPr>
        <w:t>6.2 Recommendations</w:t>
      </w:r>
      <w:r w:rsidR="00AB668A">
        <w:rPr>
          <w:rFonts w:ascii="Times New Roman" w:hAnsi="Times New Roman" w:cs="Times New Roman"/>
          <w:b/>
          <w:bCs/>
        </w:rPr>
        <w:t xml:space="preserve">. </w:t>
      </w:r>
      <w:r w:rsidRPr="00BA51CE">
        <w:rPr>
          <w:rFonts w:ascii="Times New Roman" w:hAnsi="Times New Roman" w:cs="Times New Roman"/>
        </w:rPr>
        <w:t>In the light of these findings the following recommendations are made:</w:t>
      </w:r>
    </w:p>
    <w:p w14:paraId="22B9C07D" w14:textId="77777777" w:rsidR="00BA51CE" w:rsidRPr="00BA51CE" w:rsidRDefault="00BA51CE" w:rsidP="00BA51CE">
      <w:pPr>
        <w:pStyle w:val="ListParagraph"/>
        <w:numPr>
          <w:ilvl w:val="0"/>
          <w:numId w:val="4"/>
        </w:numPr>
        <w:spacing w:line="360" w:lineRule="auto"/>
        <w:jc w:val="both"/>
        <w:rPr>
          <w:rFonts w:ascii="Times New Roman" w:hAnsi="Times New Roman" w:cs="Times New Roman"/>
        </w:rPr>
      </w:pPr>
      <w:r w:rsidRPr="00BA51CE">
        <w:rPr>
          <w:rFonts w:ascii="Times New Roman" w:hAnsi="Times New Roman" w:cs="Times New Roman"/>
        </w:rPr>
        <w:t xml:space="preserve">Bank boards and executive management should focus on transaction-level control activities that have proven to be most effective in combating fraud: segregation of duties, dual </w:t>
      </w:r>
      <w:proofErr w:type="spellStart"/>
      <w:r w:rsidRPr="00BA51CE">
        <w:rPr>
          <w:rFonts w:ascii="Times New Roman" w:hAnsi="Times New Roman" w:cs="Times New Roman"/>
        </w:rPr>
        <w:t>authorisation</w:t>
      </w:r>
      <w:proofErr w:type="spellEnd"/>
      <w:r w:rsidRPr="00BA51CE">
        <w:rPr>
          <w:rFonts w:ascii="Times New Roman" w:hAnsi="Times New Roman" w:cs="Times New Roman"/>
        </w:rPr>
        <w:t xml:space="preserve"> thresholds, and system access controls.</w:t>
      </w:r>
    </w:p>
    <w:p w14:paraId="4B1A3747" w14:textId="6FD5D47D" w:rsidR="00BA51CE" w:rsidRPr="00BA51CE" w:rsidRDefault="00BA51CE" w:rsidP="00BA51CE">
      <w:pPr>
        <w:pStyle w:val="ListParagraph"/>
        <w:numPr>
          <w:ilvl w:val="0"/>
          <w:numId w:val="4"/>
        </w:numPr>
        <w:spacing w:line="360" w:lineRule="auto"/>
        <w:jc w:val="both"/>
        <w:rPr>
          <w:rFonts w:ascii="Times New Roman" w:hAnsi="Times New Roman" w:cs="Times New Roman"/>
        </w:rPr>
      </w:pPr>
      <w:r w:rsidRPr="00BA51CE">
        <w:rPr>
          <w:rFonts w:ascii="Times New Roman" w:hAnsi="Times New Roman" w:cs="Times New Roman"/>
        </w:rPr>
        <w:t>Banks should increase the independence, frequency and extent of monitoring activities, such as internal audit coverage and external assurance, due to the strong and consistent restraining influence of this component.</w:t>
      </w:r>
    </w:p>
    <w:p w14:paraId="47C77DA7" w14:textId="046F7D02" w:rsidR="00BA51CE" w:rsidRPr="00BA51CE" w:rsidRDefault="00BA51CE" w:rsidP="00BA51CE">
      <w:pPr>
        <w:pStyle w:val="ListParagraph"/>
        <w:numPr>
          <w:ilvl w:val="0"/>
          <w:numId w:val="4"/>
        </w:numPr>
        <w:spacing w:line="360" w:lineRule="auto"/>
        <w:jc w:val="both"/>
        <w:rPr>
          <w:rFonts w:ascii="Times New Roman" w:hAnsi="Times New Roman" w:cs="Times New Roman"/>
        </w:rPr>
      </w:pPr>
      <w:r w:rsidRPr="00BA51CE">
        <w:rPr>
          <w:rFonts w:ascii="Times New Roman" w:hAnsi="Times New Roman" w:cs="Times New Roman"/>
        </w:rPr>
        <w:t>Banks should go beyond just documenting fraud risk registers and integrate the outputs of the risk assessment into the related control activities and monitoring schedules, as risk assessment alone did not have measurable benefits.</w:t>
      </w:r>
    </w:p>
    <w:p w14:paraId="4B2C47DC" w14:textId="77777777" w:rsidR="00BA51CE" w:rsidRPr="00BA51CE" w:rsidRDefault="00BA51CE" w:rsidP="00BA51CE">
      <w:pPr>
        <w:pStyle w:val="ListParagraph"/>
        <w:numPr>
          <w:ilvl w:val="0"/>
          <w:numId w:val="4"/>
        </w:numPr>
        <w:spacing w:line="360" w:lineRule="auto"/>
        <w:jc w:val="both"/>
        <w:rPr>
          <w:rFonts w:ascii="Times New Roman" w:hAnsi="Times New Roman" w:cs="Times New Roman"/>
        </w:rPr>
      </w:pPr>
      <w:r w:rsidRPr="00BA51CE">
        <w:rPr>
          <w:rFonts w:ascii="Times New Roman" w:hAnsi="Times New Roman" w:cs="Times New Roman"/>
        </w:rPr>
        <w:t>Central Bank of Nigeria and Nigeria Deposit Insurance Corporation should push for the verifiable operational effectiveness of disclosed controls and not just their existence.</w:t>
      </w:r>
    </w:p>
    <w:p w14:paraId="7CCD94BD" w14:textId="0D8E3593" w:rsidR="00BA51CE" w:rsidRPr="00BA51CE" w:rsidRDefault="00BA51CE" w:rsidP="00BA51CE">
      <w:pPr>
        <w:pStyle w:val="ListParagraph"/>
        <w:numPr>
          <w:ilvl w:val="0"/>
          <w:numId w:val="4"/>
        </w:numPr>
        <w:spacing w:line="360" w:lineRule="auto"/>
        <w:jc w:val="both"/>
        <w:rPr>
          <w:rFonts w:ascii="Times New Roman" w:hAnsi="Times New Roman" w:cs="Times New Roman"/>
        </w:rPr>
      </w:pPr>
      <w:r w:rsidRPr="00BA51CE">
        <w:rPr>
          <w:rFonts w:ascii="Times New Roman" w:hAnsi="Times New Roman" w:cs="Times New Roman"/>
        </w:rPr>
        <w:t>Banks should explicitly expand control activities and monitoring to electronic banking channels, where the segregation-of-duties controls are less directly applicable and where the volume of fraud is growing.</w:t>
      </w:r>
    </w:p>
    <w:p w14:paraId="5AFF9BEA" w14:textId="5184D956" w:rsidR="00184240" w:rsidRDefault="00BA51CE" w:rsidP="00184240">
      <w:pPr>
        <w:spacing w:line="360" w:lineRule="auto"/>
        <w:jc w:val="both"/>
        <w:rPr>
          <w:rFonts w:ascii="Times New Roman" w:hAnsi="Times New Roman" w:cs="Times New Roman"/>
          <w:b/>
          <w:bCs/>
        </w:rPr>
      </w:pPr>
      <w:r w:rsidRPr="00BA51CE">
        <w:rPr>
          <w:rFonts w:ascii="Times New Roman" w:hAnsi="Times New Roman" w:cs="Times New Roman"/>
          <w:b/>
          <w:bCs/>
        </w:rPr>
        <w:t xml:space="preserve">6.3 Limitations </w:t>
      </w:r>
    </w:p>
    <w:p w14:paraId="672C2EB4" w14:textId="77777777" w:rsidR="00184240" w:rsidRPr="00045F66" w:rsidRDefault="00184240" w:rsidP="00184240">
      <w:pPr>
        <w:spacing w:before="100" w:beforeAutospacing="1" w:after="100" w:afterAutospacing="1" w:line="240" w:lineRule="auto"/>
        <w:rPr>
          <w:rFonts w:ascii="Times New Roman" w:eastAsia="Times New Roman" w:hAnsi="Times New Roman" w:cs="Times New Roman"/>
          <w:lang w:eastAsia="en-GB"/>
        </w:rPr>
      </w:pPr>
      <w:r w:rsidRPr="00045F66">
        <w:rPr>
          <w:rFonts w:ascii="Times New Roman" w:eastAsia="Times New Roman" w:hAnsi="Times New Roman" w:cs="Times New Roman"/>
          <w:lang w:eastAsia="en-GB"/>
        </w:rPr>
        <w:t xml:space="preserve">The study is limited by its reliance on disclosure-based internal control indices, which may not fully capture the actual day-to-day effectiveness of control practices within banks. The sample was restricted to 14 listed Nigerian deposit money banks with available data for 2019–2024, </w:t>
      </w:r>
      <w:r w:rsidRPr="00045F66">
        <w:rPr>
          <w:rFonts w:ascii="Times New Roman" w:eastAsia="Times New Roman" w:hAnsi="Times New Roman" w:cs="Times New Roman"/>
          <w:lang w:eastAsia="en-GB"/>
        </w:rPr>
        <w:lastRenderedPageBreak/>
        <w:t>which may limit generalization to unlisted or smaller banks. Fraud occurrence was measured using reported fraud and forgery losses, which may be affected by underreporting or differences in classification across banks. Although robustness checks were described, further studies should provide more detailed alternative model results and include primary evidence on staff compliance and fraud-control implementation.</w:t>
      </w:r>
    </w:p>
    <w:p w14:paraId="7A13DDAD" w14:textId="77777777" w:rsidR="00184240" w:rsidRDefault="00184240" w:rsidP="00184240">
      <w:pPr>
        <w:spacing w:line="360" w:lineRule="auto"/>
        <w:jc w:val="both"/>
        <w:rPr>
          <w:rFonts w:ascii="Times New Roman" w:hAnsi="Times New Roman" w:cs="Times New Roman"/>
        </w:rPr>
      </w:pPr>
    </w:p>
    <w:p w14:paraId="10CB87ED" w14:textId="6B2A517B" w:rsidR="00184240" w:rsidRDefault="00184240" w:rsidP="00BA51CE">
      <w:pPr>
        <w:spacing w:line="360" w:lineRule="auto"/>
        <w:jc w:val="both"/>
        <w:rPr>
          <w:rFonts w:ascii="Times New Roman" w:hAnsi="Times New Roman" w:cs="Times New Roman"/>
        </w:rPr>
      </w:pPr>
      <w:r w:rsidRPr="00BA51CE">
        <w:rPr>
          <w:rFonts w:ascii="Times New Roman" w:hAnsi="Times New Roman" w:cs="Times New Roman"/>
          <w:b/>
          <w:bCs/>
        </w:rPr>
        <w:t>Future Research Directions</w:t>
      </w:r>
    </w:p>
    <w:p w14:paraId="4D0F56C1" w14:textId="655A79CD" w:rsidR="00BA51CE" w:rsidRDefault="00BA51CE" w:rsidP="00BA51CE">
      <w:pPr>
        <w:spacing w:line="360" w:lineRule="auto"/>
        <w:jc w:val="both"/>
        <w:rPr>
          <w:rFonts w:ascii="Times New Roman" w:hAnsi="Times New Roman" w:cs="Times New Roman"/>
        </w:rPr>
      </w:pPr>
      <w:r w:rsidRPr="00BA51CE">
        <w:rPr>
          <w:rFonts w:ascii="Times New Roman" w:hAnsi="Times New Roman" w:cs="Times New Roman"/>
        </w:rPr>
        <w:t>Future research should expand the observation period, include primary survey data on staff-level compliance in addition to disclosure-based indices, and break down fraud occurrence by channel, specifically electronic and mobile banking fraud, to determine if the relative importance of the five components varies by fraud type.</w:t>
      </w:r>
    </w:p>
    <w:p w14:paraId="463185A9" w14:textId="77777777" w:rsidR="00637690" w:rsidRPr="00637690" w:rsidRDefault="00637690" w:rsidP="00637690">
      <w:pPr>
        <w:spacing w:line="360" w:lineRule="auto"/>
        <w:jc w:val="both"/>
        <w:rPr>
          <w:rFonts w:ascii="Times New Roman" w:hAnsi="Times New Roman" w:cs="Times New Roman"/>
          <w:b/>
          <w:bCs/>
        </w:rPr>
      </w:pPr>
      <w:r w:rsidRPr="00637690">
        <w:rPr>
          <w:rFonts w:ascii="Times New Roman" w:hAnsi="Times New Roman" w:cs="Times New Roman"/>
          <w:b/>
          <w:bCs/>
        </w:rPr>
        <w:t>6.4 Practical Implications</w:t>
      </w:r>
    </w:p>
    <w:p w14:paraId="7066F3EA" w14:textId="1057427B" w:rsidR="00637690" w:rsidRPr="00BA51CE" w:rsidRDefault="00637690" w:rsidP="00BA51CE">
      <w:pPr>
        <w:spacing w:line="360" w:lineRule="auto"/>
        <w:jc w:val="both"/>
        <w:rPr>
          <w:rFonts w:ascii="Times New Roman" w:hAnsi="Times New Roman" w:cs="Times New Roman"/>
        </w:rPr>
      </w:pPr>
      <w:r w:rsidRPr="00637690">
        <w:rPr>
          <w:rFonts w:ascii="Times New Roman" w:hAnsi="Times New Roman" w:cs="Times New Roman"/>
        </w:rPr>
        <w:t>The results of this study have significant practical implications for bank directors, regulators, auditors, and bank policy makers. The operational control activities and continuous monitoring showed the highest impact on fraud prevention and should be targeted by bank management with more resources. Regulatory agencies should enhance supervisory assessments by reviewing the effectiveness of the internal controls that have been disclosed, not just compliance documents. In addition, the auditor should include broader evaluations of monitoring activities and operational controls in assessing fraud risk in financial institutions.</w:t>
      </w:r>
    </w:p>
    <w:p w14:paraId="381FECDB" w14:textId="77777777" w:rsidR="00184240" w:rsidRPr="000839CE" w:rsidRDefault="00184240" w:rsidP="00184240">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BCE672C" w14:textId="77777777" w:rsidR="00184240" w:rsidRPr="000839CE" w:rsidRDefault="00184240" w:rsidP="00184240">
      <w:pPr>
        <w:spacing w:after="0" w:line="240" w:lineRule="auto"/>
        <w:rPr>
          <w:rFonts w:ascii="Times New Roman" w:hAnsi="Times New Roman" w:cs="Times New Roman"/>
        </w:rPr>
      </w:pPr>
    </w:p>
    <w:p w14:paraId="7858E61D" w14:textId="77777777" w:rsidR="00184240" w:rsidRPr="000839CE" w:rsidRDefault="00184240" w:rsidP="0018424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57B9CF9" w14:textId="77777777" w:rsidR="00AB668A" w:rsidRPr="00AB668A" w:rsidRDefault="00AB668A" w:rsidP="00CA63A7">
      <w:pPr>
        <w:spacing w:line="360" w:lineRule="auto"/>
        <w:jc w:val="both"/>
        <w:rPr>
          <w:rFonts w:ascii="Times New Roman" w:hAnsi="Times New Roman" w:cs="Times New Roman"/>
          <w:b/>
          <w:bCs/>
        </w:rPr>
      </w:pPr>
    </w:p>
    <w:p w14:paraId="1AB17180" w14:textId="51DA89AA" w:rsidR="000848CC" w:rsidRPr="00CA63A7" w:rsidRDefault="000848CC" w:rsidP="00CA63A7">
      <w:pPr>
        <w:spacing w:line="360" w:lineRule="auto"/>
        <w:jc w:val="both"/>
        <w:rPr>
          <w:rFonts w:ascii="Times New Roman" w:hAnsi="Times New Roman" w:cs="Times New Roman"/>
          <w:b/>
          <w:bCs/>
          <w:sz w:val="28"/>
          <w:szCs w:val="28"/>
        </w:rPr>
      </w:pPr>
      <w:r w:rsidRPr="00CA63A7">
        <w:rPr>
          <w:rFonts w:ascii="Times New Roman" w:hAnsi="Times New Roman" w:cs="Times New Roman"/>
          <w:b/>
          <w:bCs/>
          <w:sz w:val="28"/>
          <w:szCs w:val="28"/>
        </w:rPr>
        <w:t>References</w:t>
      </w:r>
    </w:p>
    <w:p w14:paraId="245BF0B3" w14:textId="7CD46380" w:rsidR="000848CC" w:rsidRPr="00CA63A7" w:rsidRDefault="00E6663C" w:rsidP="00CA63A7">
      <w:pPr>
        <w:spacing w:line="360" w:lineRule="auto"/>
        <w:jc w:val="both"/>
        <w:rPr>
          <w:rFonts w:ascii="Times New Roman" w:hAnsi="Times New Roman" w:cs="Times New Roman"/>
        </w:rPr>
      </w:pPr>
      <w:r>
        <w:rPr>
          <w:rFonts w:ascii="Times New Roman" w:hAnsi="Times New Roman" w:cs="Times New Roman"/>
        </w:rPr>
        <w:lastRenderedPageBreak/>
        <w:t>Catherine A.</w:t>
      </w:r>
      <w:r w:rsidR="000848CC" w:rsidRPr="00CA63A7">
        <w:rPr>
          <w:rFonts w:ascii="Times New Roman" w:hAnsi="Times New Roman" w:cs="Times New Roman"/>
        </w:rPr>
        <w:t xml:space="preserve"> (2025). </w:t>
      </w:r>
      <w:r w:rsidR="000848CC" w:rsidRPr="00CA63A7">
        <w:rPr>
          <w:rFonts w:ascii="Times New Roman" w:hAnsi="Times New Roman" w:cs="Times New Roman"/>
          <w:i/>
          <w:iCs/>
        </w:rPr>
        <w:t>Nigerian banks lost N52.26 billion to fraud in 2024 – Report</w:t>
      </w:r>
      <w:r w:rsidR="000848CC" w:rsidRPr="00CA63A7">
        <w:rPr>
          <w:rFonts w:ascii="Times New Roman" w:hAnsi="Times New Roman" w:cs="Times New Roman"/>
        </w:rPr>
        <w:t xml:space="preserve">. </w:t>
      </w:r>
      <w:r w:rsidRPr="00CA63A7">
        <w:rPr>
          <w:rFonts w:ascii="Times New Roman" w:hAnsi="Times New Roman" w:cs="Times New Roman"/>
        </w:rPr>
        <w:t xml:space="preserve">21st Century Chronicle. </w:t>
      </w:r>
      <w:r w:rsidR="000848CC" w:rsidRPr="00CA63A7">
        <w:rPr>
          <w:rFonts w:ascii="Times New Roman" w:hAnsi="Times New Roman" w:cs="Times New Roman"/>
        </w:rPr>
        <w:t>https://21stcenturychronicle.com/nigerian-banks-lost-n52-26-billion-to-fraud-in-2024-report/</w:t>
      </w:r>
    </w:p>
    <w:p w14:paraId="49DB7F40" w14:textId="52162470" w:rsidR="00073DB8" w:rsidRPr="00073DB8" w:rsidRDefault="00073DB8" w:rsidP="00073DB8">
      <w:pPr>
        <w:spacing w:line="360" w:lineRule="auto"/>
        <w:jc w:val="both"/>
        <w:rPr>
          <w:rFonts w:ascii="Times New Roman" w:hAnsi="Times New Roman" w:cs="Times New Roman"/>
        </w:rPr>
      </w:pPr>
      <w:r w:rsidRPr="00073DB8">
        <w:rPr>
          <w:rFonts w:ascii="Times New Roman" w:hAnsi="Times New Roman" w:cs="Times New Roman"/>
        </w:rPr>
        <w:t xml:space="preserve">Abdullahi, R., &amp; Mansor, N. (2018). Fraud prevention initiatives in the Nigerian public sector. </w:t>
      </w:r>
      <w:r w:rsidRPr="00073DB8">
        <w:rPr>
          <w:rFonts w:ascii="Times New Roman" w:hAnsi="Times New Roman" w:cs="Times New Roman"/>
          <w:i/>
          <w:iCs/>
        </w:rPr>
        <w:t>Journal of Financial Crime</w:t>
      </w:r>
      <w:r w:rsidRPr="00073DB8">
        <w:rPr>
          <w:rFonts w:ascii="Times New Roman" w:hAnsi="Times New Roman" w:cs="Times New Roman"/>
        </w:rPr>
        <w:t xml:space="preserve">, </w:t>
      </w:r>
      <w:r w:rsidRPr="00073DB8">
        <w:rPr>
          <w:rFonts w:ascii="Times New Roman" w:hAnsi="Times New Roman" w:cs="Times New Roman"/>
          <w:i/>
          <w:iCs/>
        </w:rPr>
        <w:t>25</w:t>
      </w:r>
      <w:r w:rsidRPr="00073DB8">
        <w:rPr>
          <w:rFonts w:ascii="Times New Roman" w:hAnsi="Times New Roman" w:cs="Times New Roman"/>
        </w:rPr>
        <w:t>(2), 527–544. https://doi.org/10.1108/jfc-02-2015-0008</w:t>
      </w:r>
    </w:p>
    <w:p w14:paraId="46041F49" w14:textId="77777777" w:rsidR="00073DB8" w:rsidRPr="00073DB8" w:rsidRDefault="00073DB8" w:rsidP="00073DB8">
      <w:pPr>
        <w:spacing w:line="360" w:lineRule="auto"/>
        <w:jc w:val="both"/>
        <w:rPr>
          <w:rFonts w:ascii="Times New Roman" w:hAnsi="Times New Roman" w:cs="Times New Roman"/>
        </w:rPr>
      </w:pPr>
      <w:proofErr w:type="spellStart"/>
      <w:r w:rsidRPr="00073DB8">
        <w:rPr>
          <w:rFonts w:ascii="Times New Roman" w:hAnsi="Times New Roman" w:cs="Times New Roman"/>
        </w:rPr>
        <w:t>Abeki</w:t>
      </w:r>
      <w:proofErr w:type="spellEnd"/>
      <w:r w:rsidRPr="00073DB8">
        <w:rPr>
          <w:rFonts w:ascii="Times New Roman" w:hAnsi="Times New Roman" w:cs="Times New Roman"/>
        </w:rPr>
        <w:t xml:space="preserve">, S. (2023). Internal control system and financial statement fraud of quoted banks in Nigeria. </w:t>
      </w:r>
      <w:r w:rsidRPr="00073DB8">
        <w:rPr>
          <w:rFonts w:ascii="Times New Roman" w:hAnsi="Times New Roman" w:cs="Times New Roman"/>
          <w:i/>
          <w:iCs/>
        </w:rPr>
        <w:t>International Journal of Research and Innovation in Social Science</w:t>
      </w:r>
      <w:r w:rsidRPr="00073DB8">
        <w:rPr>
          <w:rFonts w:ascii="Times New Roman" w:hAnsi="Times New Roman" w:cs="Times New Roman"/>
        </w:rPr>
        <w:t xml:space="preserve">, </w:t>
      </w:r>
      <w:r w:rsidRPr="00073DB8">
        <w:rPr>
          <w:rFonts w:ascii="Times New Roman" w:hAnsi="Times New Roman" w:cs="Times New Roman"/>
          <w:i/>
          <w:iCs/>
        </w:rPr>
        <w:t>VII</w:t>
      </w:r>
      <w:r w:rsidRPr="00073DB8">
        <w:rPr>
          <w:rFonts w:ascii="Times New Roman" w:hAnsi="Times New Roman" w:cs="Times New Roman"/>
        </w:rPr>
        <w:t>(IX), 1158–1200. https://doi.org/10.47772/ijriss.2023.70999</w:t>
      </w:r>
    </w:p>
    <w:p w14:paraId="5A956B25" w14:textId="5C4BA2D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Committee of Sponsoring Organizations of the Treadway Commission.</w:t>
      </w:r>
      <w:r w:rsidR="00503DA2">
        <w:rPr>
          <w:rFonts w:ascii="Times New Roman" w:hAnsi="Times New Roman" w:cs="Times New Roman"/>
        </w:rPr>
        <w:t xml:space="preserve"> </w:t>
      </w:r>
      <w:r w:rsidR="00503DA2" w:rsidRPr="00503DA2">
        <w:rPr>
          <w:rFonts w:ascii="Times New Roman" w:hAnsi="Times New Roman" w:cs="Times New Roman"/>
        </w:rPr>
        <w:t>(COSO)</w:t>
      </w:r>
      <w:r w:rsidRPr="00CA63A7">
        <w:rPr>
          <w:rFonts w:ascii="Times New Roman" w:hAnsi="Times New Roman" w:cs="Times New Roman"/>
        </w:rPr>
        <w:t xml:space="preserve"> (2023). </w:t>
      </w:r>
      <w:r w:rsidRPr="00CA63A7">
        <w:rPr>
          <w:rFonts w:ascii="Times New Roman" w:hAnsi="Times New Roman" w:cs="Times New Roman"/>
          <w:i/>
          <w:iCs/>
        </w:rPr>
        <w:t>Internal control – Integrated framework: A guide to risk management and control practices</w:t>
      </w:r>
      <w:r w:rsidRPr="00CA63A7">
        <w:rPr>
          <w:rFonts w:ascii="Times New Roman" w:hAnsi="Times New Roman" w:cs="Times New Roman"/>
        </w:rPr>
        <w:t>. COSO.</w:t>
      </w:r>
      <w:r w:rsidR="00503DA2">
        <w:rPr>
          <w:rFonts w:ascii="Times New Roman" w:hAnsi="Times New Roman" w:cs="Times New Roman"/>
        </w:rPr>
        <w:t xml:space="preserve"> </w:t>
      </w:r>
      <w:r w:rsidR="00503DA2" w:rsidRPr="00503DA2">
        <w:rPr>
          <w:rFonts w:ascii="Times New Roman" w:hAnsi="Times New Roman" w:cs="Times New Roman"/>
        </w:rPr>
        <w:t>https://www.coso.org/guidance-on-ic</w:t>
      </w:r>
    </w:p>
    <w:p w14:paraId="313C584A"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 xml:space="preserve">Cressey, D. R. (1953). </w:t>
      </w:r>
      <w:r w:rsidRPr="00CA63A7">
        <w:rPr>
          <w:rFonts w:ascii="Times New Roman" w:hAnsi="Times New Roman" w:cs="Times New Roman"/>
          <w:i/>
          <w:iCs/>
        </w:rPr>
        <w:t>Other people's money: A study in the social psychology of embezzlement</w:t>
      </w:r>
      <w:r w:rsidRPr="00CA63A7">
        <w:rPr>
          <w:rFonts w:ascii="Times New Roman" w:hAnsi="Times New Roman" w:cs="Times New Roman"/>
        </w:rPr>
        <w:t>. Free Press.</w:t>
      </w:r>
    </w:p>
    <w:p w14:paraId="7BA0F00A" w14:textId="77777777" w:rsidR="00503DA2" w:rsidRPr="00503DA2" w:rsidRDefault="00503DA2" w:rsidP="00503DA2">
      <w:pPr>
        <w:spacing w:line="360" w:lineRule="auto"/>
        <w:jc w:val="both"/>
        <w:rPr>
          <w:rFonts w:ascii="Times New Roman" w:hAnsi="Times New Roman" w:cs="Times New Roman"/>
        </w:rPr>
      </w:pPr>
      <w:r w:rsidRPr="00503DA2">
        <w:rPr>
          <w:rFonts w:ascii="Times New Roman" w:hAnsi="Times New Roman" w:cs="Times New Roman"/>
        </w:rPr>
        <w:t xml:space="preserve">Demetriades, P., &amp; Owusu-Agyei, S. (2021). Fraudulent financial reporting: an application of fraud diamond to Toshiba’s accounting scandal. </w:t>
      </w:r>
      <w:r w:rsidRPr="00503DA2">
        <w:rPr>
          <w:rFonts w:ascii="Times New Roman" w:hAnsi="Times New Roman" w:cs="Times New Roman"/>
          <w:i/>
          <w:iCs/>
        </w:rPr>
        <w:t>Journal of Financial Crime</w:t>
      </w:r>
      <w:r w:rsidRPr="00503DA2">
        <w:rPr>
          <w:rFonts w:ascii="Times New Roman" w:hAnsi="Times New Roman" w:cs="Times New Roman"/>
        </w:rPr>
        <w:t xml:space="preserve">, </w:t>
      </w:r>
      <w:r w:rsidRPr="00503DA2">
        <w:rPr>
          <w:rFonts w:ascii="Times New Roman" w:hAnsi="Times New Roman" w:cs="Times New Roman"/>
          <w:i/>
          <w:iCs/>
        </w:rPr>
        <w:t>29</w:t>
      </w:r>
      <w:r w:rsidRPr="00503DA2">
        <w:rPr>
          <w:rFonts w:ascii="Times New Roman" w:hAnsi="Times New Roman" w:cs="Times New Roman"/>
        </w:rPr>
        <w:t>(2), 729–763. https://doi.org/10.1108/jfc-05-2021-0108</w:t>
      </w:r>
    </w:p>
    <w:p w14:paraId="59B7C236" w14:textId="77777777"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 xml:space="preserve">Dewi, N. S., Said, J., Faiza, S. N., &amp; Julian, L. (2024). The effect of big data competencies and tone at the top on internal auditors' fraud detection effectiveness. </w:t>
      </w:r>
      <w:r w:rsidRPr="00CA63A7">
        <w:rPr>
          <w:rFonts w:ascii="Times New Roman" w:hAnsi="Times New Roman" w:cs="Times New Roman"/>
          <w:i/>
          <w:iCs/>
        </w:rPr>
        <w:t>Decision Science Letters</w:t>
      </w:r>
      <w:r w:rsidRPr="00CA63A7">
        <w:rPr>
          <w:rFonts w:ascii="Times New Roman" w:hAnsi="Times New Roman" w:cs="Times New Roman"/>
        </w:rPr>
        <w:t>, 13(1), 153–160. https://doi.org/10.5267/j.dsl.2023.10.005</w:t>
      </w:r>
    </w:p>
    <w:p w14:paraId="338D53A8" w14:textId="77777777" w:rsidR="00503DA2" w:rsidRPr="00503DA2" w:rsidRDefault="00503DA2" w:rsidP="00503DA2">
      <w:pPr>
        <w:spacing w:line="360" w:lineRule="auto"/>
        <w:jc w:val="both"/>
        <w:rPr>
          <w:rFonts w:ascii="Times New Roman" w:hAnsi="Times New Roman" w:cs="Times New Roman"/>
        </w:rPr>
      </w:pPr>
      <w:proofErr w:type="spellStart"/>
      <w:r w:rsidRPr="00503DA2">
        <w:rPr>
          <w:rFonts w:ascii="Times New Roman" w:hAnsi="Times New Roman" w:cs="Times New Roman"/>
        </w:rPr>
        <w:t>Fabiyi</w:t>
      </w:r>
      <w:proofErr w:type="spellEnd"/>
      <w:r w:rsidRPr="00503DA2">
        <w:rPr>
          <w:rFonts w:ascii="Times New Roman" w:hAnsi="Times New Roman" w:cs="Times New Roman"/>
        </w:rPr>
        <w:t xml:space="preserve">, O. O., Aregbesola, O. D., Wright, O., </w:t>
      </w:r>
      <w:proofErr w:type="spellStart"/>
      <w:r w:rsidRPr="00503DA2">
        <w:rPr>
          <w:rFonts w:ascii="Times New Roman" w:hAnsi="Times New Roman" w:cs="Times New Roman"/>
        </w:rPr>
        <w:t>Omojola</w:t>
      </w:r>
      <w:proofErr w:type="spellEnd"/>
      <w:r w:rsidRPr="00503DA2">
        <w:rPr>
          <w:rFonts w:ascii="Times New Roman" w:hAnsi="Times New Roman" w:cs="Times New Roman"/>
        </w:rPr>
        <w:t xml:space="preserve">, S. O., &amp; Kolawole, P. E. (2025). Internal Control system and fraud prevention in Nigerian deposit money banks. </w:t>
      </w:r>
      <w:r w:rsidRPr="00503DA2">
        <w:rPr>
          <w:rFonts w:ascii="Times New Roman" w:hAnsi="Times New Roman" w:cs="Times New Roman"/>
          <w:i/>
          <w:iCs/>
        </w:rPr>
        <w:t>International Journal of Economics and Financial Issues</w:t>
      </w:r>
      <w:r w:rsidRPr="00503DA2">
        <w:rPr>
          <w:rFonts w:ascii="Times New Roman" w:hAnsi="Times New Roman" w:cs="Times New Roman"/>
        </w:rPr>
        <w:t xml:space="preserve">, </w:t>
      </w:r>
      <w:r w:rsidRPr="00503DA2">
        <w:rPr>
          <w:rFonts w:ascii="Times New Roman" w:hAnsi="Times New Roman" w:cs="Times New Roman"/>
          <w:i/>
          <w:iCs/>
        </w:rPr>
        <w:t>15</w:t>
      </w:r>
      <w:r w:rsidRPr="00503DA2">
        <w:rPr>
          <w:rFonts w:ascii="Times New Roman" w:hAnsi="Times New Roman" w:cs="Times New Roman"/>
        </w:rPr>
        <w:t>(3), 179–183. https://doi.org/10.32479/ijefi.17537</w:t>
      </w:r>
    </w:p>
    <w:p w14:paraId="5F18AED6" w14:textId="77777777" w:rsidR="00503DA2" w:rsidRPr="00503DA2" w:rsidRDefault="00503DA2" w:rsidP="00503DA2">
      <w:pPr>
        <w:spacing w:line="360" w:lineRule="auto"/>
        <w:jc w:val="both"/>
        <w:rPr>
          <w:rFonts w:ascii="Times New Roman" w:hAnsi="Times New Roman" w:cs="Times New Roman"/>
        </w:rPr>
      </w:pPr>
      <w:r w:rsidRPr="00503DA2">
        <w:rPr>
          <w:rFonts w:ascii="Times New Roman" w:hAnsi="Times New Roman" w:cs="Times New Roman"/>
        </w:rPr>
        <w:t xml:space="preserve">Hassan, S. W. U., Kiran, S., Gul, S., </w:t>
      </w:r>
      <w:proofErr w:type="spellStart"/>
      <w:r w:rsidRPr="00503DA2">
        <w:rPr>
          <w:rFonts w:ascii="Times New Roman" w:hAnsi="Times New Roman" w:cs="Times New Roman"/>
        </w:rPr>
        <w:t>Khatatbeh</w:t>
      </w:r>
      <w:proofErr w:type="spellEnd"/>
      <w:r w:rsidRPr="00503DA2">
        <w:rPr>
          <w:rFonts w:ascii="Times New Roman" w:hAnsi="Times New Roman" w:cs="Times New Roman"/>
        </w:rPr>
        <w:t xml:space="preserve">, I. N., &amp; Zainab, B. (2023). The perception of accountants/auditors on the role of corporate governance and information technology in fraud detection and prevention. </w:t>
      </w:r>
      <w:r w:rsidRPr="00503DA2">
        <w:rPr>
          <w:rFonts w:ascii="Times New Roman" w:hAnsi="Times New Roman" w:cs="Times New Roman"/>
          <w:i/>
          <w:iCs/>
        </w:rPr>
        <w:t>Journal of Financial Reporting &amp; Accounting</w:t>
      </w:r>
      <w:r w:rsidRPr="00503DA2">
        <w:rPr>
          <w:rFonts w:ascii="Times New Roman" w:hAnsi="Times New Roman" w:cs="Times New Roman"/>
        </w:rPr>
        <w:t xml:space="preserve">, </w:t>
      </w:r>
      <w:r w:rsidRPr="00503DA2">
        <w:rPr>
          <w:rFonts w:ascii="Times New Roman" w:hAnsi="Times New Roman" w:cs="Times New Roman"/>
          <w:i/>
          <w:iCs/>
        </w:rPr>
        <w:t>23</w:t>
      </w:r>
      <w:r w:rsidRPr="00503DA2">
        <w:rPr>
          <w:rFonts w:ascii="Times New Roman" w:hAnsi="Times New Roman" w:cs="Times New Roman"/>
        </w:rPr>
        <w:t>(1), 5–29. https://doi.org/10.1108/jfra-05-2023-0235</w:t>
      </w:r>
    </w:p>
    <w:p w14:paraId="23B7B59A" w14:textId="77777777" w:rsidR="00503DA2" w:rsidRPr="00503DA2" w:rsidRDefault="00503DA2" w:rsidP="00503DA2">
      <w:pPr>
        <w:spacing w:line="360" w:lineRule="auto"/>
        <w:jc w:val="both"/>
        <w:rPr>
          <w:rFonts w:ascii="Times New Roman" w:hAnsi="Times New Roman" w:cs="Times New Roman"/>
        </w:rPr>
      </w:pPr>
      <w:r w:rsidRPr="00503DA2">
        <w:rPr>
          <w:rFonts w:ascii="Times New Roman" w:hAnsi="Times New Roman" w:cs="Times New Roman"/>
        </w:rPr>
        <w:t xml:space="preserve">Homer, E. M. (2019). Testing the fraud triangle: a systematic review. </w:t>
      </w:r>
      <w:r w:rsidRPr="00503DA2">
        <w:rPr>
          <w:rFonts w:ascii="Times New Roman" w:hAnsi="Times New Roman" w:cs="Times New Roman"/>
          <w:i/>
          <w:iCs/>
        </w:rPr>
        <w:t>Journal of Financial Crime</w:t>
      </w:r>
      <w:r w:rsidRPr="00503DA2">
        <w:rPr>
          <w:rFonts w:ascii="Times New Roman" w:hAnsi="Times New Roman" w:cs="Times New Roman"/>
        </w:rPr>
        <w:t xml:space="preserve">, </w:t>
      </w:r>
      <w:r w:rsidRPr="00503DA2">
        <w:rPr>
          <w:rFonts w:ascii="Times New Roman" w:hAnsi="Times New Roman" w:cs="Times New Roman"/>
          <w:i/>
          <w:iCs/>
        </w:rPr>
        <w:t>27</w:t>
      </w:r>
      <w:r w:rsidRPr="00503DA2">
        <w:rPr>
          <w:rFonts w:ascii="Times New Roman" w:hAnsi="Times New Roman" w:cs="Times New Roman"/>
        </w:rPr>
        <w:t>(1), 172–187. https://doi.org/10.1108/jfc-12-2018-0136</w:t>
      </w:r>
    </w:p>
    <w:p w14:paraId="6EF0600B" w14:textId="77777777" w:rsidR="00487060" w:rsidRPr="00487060" w:rsidRDefault="00487060" w:rsidP="00487060">
      <w:pPr>
        <w:spacing w:line="360" w:lineRule="auto"/>
        <w:jc w:val="both"/>
        <w:rPr>
          <w:rFonts w:ascii="Times New Roman" w:hAnsi="Times New Roman" w:cs="Times New Roman"/>
        </w:rPr>
      </w:pPr>
      <w:r w:rsidRPr="00487060">
        <w:rPr>
          <w:rFonts w:ascii="Times New Roman" w:hAnsi="Times New Roman" w:cs="Times New Roman"/>
        </w:rPr>
        <w:lastRenderedPageBreak/>
        <w:t xml:space="preserve">Kanu, N. O., </w:t>
      </w:r>
      <w:proofErr w:type="spellStart"/>
      <w:r w:rsidRPr="00487060">
        <w:rPr>
          <w:rFonts w:ascii="Times New Roman" w:hAnsi="Times New Roman" w:cs="Times New Roman"/>
        </w:rPr>
        <w:t>Ugwudioha</w:t>
      </w:r>
      <w:proofErr w:type="spellEnd"/>
      <w:r w:rsidRPr="00487060">
        <w:rPr>
          <w:rFonts w:ascii="Times New Roman" w:hAnsi="Times New Roman" w:cs="Times New Roman"/>
        </w:rPr>
        <w:t xml:space="preserve">, O., &amp; Azu, N. P. (2025). Effect of internal control system on the prevention of fraud in the Central Bank of Nigeria. </w:t>
      </w:r>
      <w:r w:rsidRPr="00487060">
        <w:rPr>
          <w:rFonts w:ascii="Times New Roman" w:hAnsi="Times New Roman" w:cs="Times New Roman"/>
          <w:i/>
          <w:iCs/>
        </w:rPr>
        <w:t>International Journal of Economics and Financial Issues</w:t>
      </w:r>
      <w:r w:rsidRPr="00487060">
        <w:rPr>
          <w:rFonts w:ascii="Times New Roman" w:hAnsi="Times New Roman" w:cs="Times New Roman"/>
        </w:rPr>
        <w:t xml:space="preserve">, </w:t>
      </w:r>
      <w:r w:rsidRPr="00487060">
        <w:rPr>
          <w:rFonts w:ascii="Times New Roman" w:hAnsi="Times New Roman" w:cs="Times New Roman"/>
          <w:i/>
          <w:iCs/>
        </w:rPr>
        <w:t>15</w:t>
      </w:r>
      <w:r w:rsidRPr="00487060">
        <w:rPr>
          <w:rFonts w:ascii="Times New Roman" w:hAnsi="Times New Roman" w:cs="Times New Roman"/>
        </w:rPr>
        <w:t>(5), 407–415. https://doi.org/10.32479/ijefi.21437</w:t>
      </w:r>
    </w:p>
    <w:p w14:paraId="3E1D6AC8" w14:textId="77777777" w:rsidR="00487060" w:rsidRPr="00487060" w:rsidRDefault="00487060" w:rsidP="00487060">
      <w:pPr>
        <w:spacing w:line="360" w:lineRule="auto"/>
        <w:jc w:val="both"/>
        <w:rPr>
          <w:rFonts w:ascii="Times New Roman" w:hAnsi="Times New Roman" w:cs="Times New Roman"/>
        </w:rPr>
      </w:pPr>
      <w:proofErr w:type="spellStart"/>
      <w:r w:rsidRPr="00487060">
        <w:rPr>
          <w:rFonts w:ascii="Times New Roman" w:hAnsi="Times New Roman" w:cs="Times New Roman"/>
        </w:rPr>
        <w:t>Koutoupis</w:t>
      </w:r>
      <w:proofErr w:type="spellEnd"/>
      <w:r w:rsidRPr="00487060">
        <w:rPr>
          <w:rFonts w:ascii="Times New Roman" w:hAnsi="Times New Roman" w:cs="Times New Roman"/>
        </w:rPr>
        <w:t xml:space="preserve">, A. G., &amp; </w:t>
      </w:r>
      <w:proofErr w:type="spellStart"/>
      <w:r w:rsidRPr="00487060">
        <w:rPr>
          <w:rFonts w:ascii="Times New Roman" w:hAnsi="Times New Roman" w:cs="Times New Roman"/>
        </w:rPr>
        <w:t>Malisiovas</w:t>
      </w:r>
      <w:proofErr w:type="spellEnd"/>
      <w:r w:rsidRPr="00487060">
        <w:rPr>
          <w:rFonts w:ascii="Times New Roman" w:hAnsi="Times New Roman" w:cs="Times New Roman"/>
        </w:rPr>
        <w:t xml:space="preserve">, T. (2021). The effects of the internal control system on the risk, profitability, and compliance of the U.S. banking sector: A quantitative approach. </w:t>
      </w:r>
      <w:r w:rsidRPr="00487060">
        <w:rPr>
          <w:rFonts w:ascii="Times New Roman" w:hAnsi="Times New Roman" w:cs="Times New Roman"/>
          <w:i/>
          <w:iCs/>
        </w:rPr>
        <w:t>International Journal of Finance &amp; Economics</w:t>
      </w:r>
      <w:r w:rsidRPr="00487060">
        <w:rPr>
          <w:rFonts w:ascii="Times New Roman" w:hAnsi="Times New Roman" w:cs="Times New Roman"/>
        </w:rPr>
        <w:t xml:space="preserve">, </w:t>
      </w:r>
      <w:r w:rsidRPr="00487060">
        <w:rPr>
          <w:rFonts w:ascii="Times New Roman" w:hAnsi="Times New Roman" w:cs="Times New Roman"/>
          <w:i/>
          <w:iCs/>
        </w:rPr>
        <w:t>28</w:t>
      </w:r>
      <w:r w:rsidRPr="00487060">
        <w:rPr>
          <w:rFonts w:ascii="Times New Roman" w:hAnsi="Times New Roman" w:cs="Times New Roman"/>
        </w:rPr>
        <w:t>(2), 1638–1652. https://doi.org/10.1002/ijfe.2498</w:t>
      </w:r>
    </w:p>
    <w:p w14:paraId="37B8908C" w14:textId="69250FAF" w:rsidR="00487060" w:rsidRPr="00CA63A7" w:rsidRDefault="00487060" w:rsidP="00CA63A7">
      <w:pPr>
        <w:spacing w:line="360" w:lineRule="auto"/>
        <w:jc w:val="both"/>
        <w:rPr>
          <w:rFonts w:ascii="Times New Roman" w:hAnsi="Times New Roman" w:cs="Times New Roman"/>
        </w:rPr>
      </w:pPr>
      <w:r w:rsidRPr="00487060">
        <w:rPr>
          <w:rFonts w:ascii="Times New Roman" w:hAnsi="Times New Roman" w:cs="Times New Roman"/>
        </w:rPr>
        <w:t xml:space="preserve">Kanu, C., Nnam, M. U., Ugwu, J. N., </w:t>
      </w:r>
      <w:proofErr w:type="spellStart"/>
      <w:r w:rsidRPr="00487060">
        <w:rPr>
          <w:rFonts w:ascii="Times New Roman" w:hAnsi="Times New Roman" w:cs="Times New Roman"/>
        </w:rPr>
        <w:t>Achilike</w:t>
      </w:r>
      <w:proofErr w:type="spellEnd"/>
      <w:r w:rsidRPr="00487060">
        <w:rPr>
          <w:rFonts w:ascii="Times New Roman" w:hAnsi="Times New Roman" w:cs="Times New Roman"/>
        </w:rPr>
        <w:t xml:space="preserve">, N., Adama, L., </w:t>
      </w:r>
      <w:proofErr w:type="spellStart"/>
      <w:r w:rsidRPr="00487060">
        <w:rPr>
          <w:rFonts w:ascii="Times New Roman" w:hAnsi="Times New Roman" w:cs="Times New Roman"/>
        </w:rPr>
        <w:t>Uwajumogu</w:t>
      </w:r>
      <w:proofErr w:type="spellEnd"/>
      <w:r w:rsidRPr="00487060">
        <w:rPr>
          <w:rFonts w:ascii="Times New Roman" w:hAnsi="Times New Roman" w:cs="Times New Roman"/>
        </w:rPr>
        <w:t xml:space="preserve">, N., &amp; </w:t>
      </w:r>
      <w:proofErr w:type="spellStart"/>
      <w:r w:rsidRPr="00487060">
        <w:rPr>
          <w:rFonts w:ascii="Times New Roman" w:hAnsi="Times New Roman" w:cs="Times New Roman"/>
        </w:rPr>
        <w:t>Obidike</w:t>
      </w:r>
      <w:proofErr w:type="spellEnd"/>
      <w:r w:rsidRPr="00487060">
        <w:rPr>
          <w:rFonts w:ascii="Times New Roman" w:hAnsi="Times New Roman" w:cs="Times New Roman"/>
        </w:rPr>
        <w:t xml:space="preserve">, P. (2022). Frauds and forgeries in banking industry in Africa: a content analyses of Nigeria Deposit Insurance Corporation annual crime report. </w:t>
      </w:r>
      <w:r w:rsidRPr="00487060">
        <w:rPr>
          <w:rFonts w:ascii="Times New Roman" w:hAnsi="Times New Roman" w:cs="Times New Roman"/>
          <w:i/>
          <w:iCs/>
        </w:rPr>
        <w:t>Security Journal</w:t>
      </w:r>
      <w:r w:rsidRPr="00487060">
        <w:rPr>
          <w:rFonts w:ascii="Times New Roman" w:hAnsi="Times New Roman" w:cs="Times New Roman"/>
        </w:rPr>
        <w:t xml:space="preserve">, </w:t>
      </w:r>
      <w:r w:rsidRPr="00487060">
        <w:rPr>
          <w:rFonts w:ascii="Times New Roman" w:hAnsi="Times New Roman" w:cs="Times New Roman"/>
          <w:i/>
          <w:iCs/>
        </w:rPr>
        <w:t>36</w:t>
      </w:r>
      <w:r w:rsidRPr="00487060">
        <w:rPr>
          <w:rFonts w:ascii="Times New Roman" w:hAnsi="Times New Roman" w:cs="Times New Roman"/>
        </w:rPr>
        <w:t>(4), 671–692. https://doi.org/10.1057/s41284-022-00358-x</w:t>
      </w:r>
    </w:p>
    <w:p w14:paraId="21AE5D82" w14:textId="77777777" w:rsidR="000848CC" w:rsidRPr="00CA63A7" w:rsidRDefault="000848CC" w:rsidP="00CA63A7">
      <w:pPr>
        <w:spacing w:line="360" w:lineRule="auto"/>
        <w:jc w:val="both"/>
        <w:rPr>
          <w:rFonts w:ascii="Times New Roman" w:hAnsi="Times New Roman" w:cs="Times New Roman"/>
        </w:rPr>
      </w:pPr>
      <w:proofErr w:type="spellStart"/>
      <w:r w:rsidRPr="00CA63A7">
        <w:rPr>
          <w:rFonts w:ascii="Times New Roman" w:hAnsi="Times New Roman" w:cs="Times New Roman"/>
        </w:rPr>
        <w:t>Nyakarimi</w:t>
      </w:r>
      <w:proofErr w:type="spellEnd"/>
      <w:r w:rsidRPr="00CA63A7">
        <w:rPr>
          <w:rFonts w:ascii="Times New Roman" w:hAnsi="Times New Roman" w:cs="Times New Roman"/>
        </w:rPr>
        <w:t xml:space="preserve">, S. N., Kariuki, S. N., &amp; Kariuki, P. W. (2020). Application of internal control system in fraud prevention in banking sector. </w:t>
      </w:r>
      <w:r w:rsidRPr="00CA63A7">
        <w:rPr>
          <w:rFonts w:ascii="Times New Roman" w:hAnsi="Times New Roman" w:cs="Times New Roman"/>
          <w:i/>
          <w:iCs/>
        </w:rPr>
        <w:t>International Journal of Scientific &amp; Technology Research</w:t>
      </w:r>
      <w:r w:rsidRPr="00CA63A7">
        <w:rPr>
          <w:rFonts w:ascii="Times New Roman" w:hAnsi="Times New Roman" w:cs="Times New Roman"/>
        </w:rPr>
        <w:t>, 9(3), 6524–6536.</w:t>
      </w:r>
    </w:p>
    <w:p w14:paraId="6AC1454C" w14:textId="77777777" w:rsidR="00A702A7" w:rsidRPr="00A702A7" w:rsidRDefault="00A702A7" w:rsidP="00A702A7">
      <w:pPr>
        <w:spacing w:line="360" w:lineRule="auto"/>
        <w:jc w:val="both"/>
        <w:rPr>
          <w:rFonts w:ascii="Times New Roman" w:hAnsi="Times New Roman" w:cs="Times New Roman"/>
        </w:rPr>
      </w:pPr>
      <w:proofErr w:type="spellStart"/>
      <w:r w:rsidRPr="00A702A7">
        <w:rPr>
          <w:rFonts w:ascii="Times New Roman" w:hAnsi="Times New Roman" w:cs="Times New Roman"/>
        </w:rPr>
        <w:t>Oradi</w:t>
      </w:r>
      <w:proofErr w:type="spellEnd"/>
      <w:r w:rsidRPr="00A702A7">
        <w:rPr>
          <w:rFonts w:ascii="Times New Roman" w:hAnsi="Times New Roman" w:cs="Times New Roman"/>
        </w:rPr>
        <w:t xml:space="preserve">, J., </w:t>
      </w:r>
      <w:proofErr w:type="spellStart"/>
      <w:r w:rsidRPr="00A702A7">
        <w:rPr>
          <w:rFonts w:ascii="Times New Roman" w:hAnsi="Times New Roman" w:cs="Times New Roman"/>
        </w:rPr>
        <w:t>Asiaei</w:t>
      </w:r>
      <w:proofErr w:type="spellEnd"/>
      <w:r w:rsidRPr="00A702A7">
        <w:rPr>
          <w:rFonts w:ascii="Times New Roman" w:hAnsi="Times New Roman" w:cs="Times New Roman"/>
        </w:rPr>
        <w:t xml:space="preserve">, K., &amp; Rezaee, Z. (2019). CEO financial background and internal control weaknesses. </w:t>
      </w:r>
      <w:r w:rsidRPr="00A702A7">
        <w:rPr>
          <w:rFonts w:ascii="Times New Roman" w:hAnsi="Times New Roman" w:cs="Times New Roman"/>
          <w:i/>
          <w:iCs/>
        </w:rPr>
        <w:t>Corporate Governance an International Review</w:t>
      </w:r>
      <w:r w:rsidRPr="00A702A7">
        <w:rPr>
          <w:rFonts w:ascii="Times New Roman" w:hAnsi="Times New Roman" w:cs="Times New Roman"/>
        </w:rPr>
        <w:t xml:space="preserve">, </w:t>
      </w:r>
      <w:r w:rsidRPr="00A702A7">
        <w:rPr>
          <w:rFonts w:ascii="Times New Roman" w:hAnsi="Times New Roman" w:cs="Times New Roman"/>
          <w:i/>
          <w:iCs/>
        </w:rPr>
        <w:t>28</w:t>
      </w:r>
      <w:r w:rsidRPr="00A702A7">
        <w:rPr>
          <w:rFonts w:ascii="Times New Roman" w:hAnsi="Times New Roman" w:cs="Times New Roman"/>
        </w:rPr>
        <w:t>(2), 119–140. https://doi.org/10.1111/corg.12305</w:t>
      </w:r>
    </w:p>
    <w:p w14:paraId="5B46C911" w14:textId="77777777" w:rsidR="00A702A7" w:rsidRPr="00A702A7" w:rsidRDefault="00A702A7" w:rsidP="00A702A7">
      <w:pPr>
        <w:spacing w:line="360" w:lineRule="auto"/>
        <w:jc w:val="both"/>
        <w:rPr>
          <w:rFonts w:ascii="Times New Roman" w:hAnsi="Times New Roman" w:cs="Times New Roman"/>
        </w:rPr>
      </w:pPr>
      <w:r w:rsidRPr="00A702A7">
        <w:rPr>
          <w:rFonts w:ascii="Times New Roman" w:hAnsi="Times New Roman" w:cs="Times New Roman"/>
        </w:rPr>
        <w:t xml:space="preserve">Owusu, G. M. Y., Koomson, T. a. A., </w:t>
      </w:r>
      <w:proofErr w:type="spellStart"/>
      <w:r w:rsidRPr="00A702A7">
        <w:rPr>
          <w:rFonts w:ascii="Times New Roman" w:hAnsi="Times New Roman" w:cs="Times New Roman"/>
        </w:rPr>
        <w:t>Alipoe</w:t>
      </w:r>
      <w:proofErr w:type="spellEnd"/>
      <w:r w:rsidRPr="00A702A7">
        <w:rPr>
          <w:rFonts w:ascii="Times New Roman" w:hAnsi="Times New Roman" w:cs="Times New Roman"/>
        </w:rPr>
        <w:t xml:space="preserve">, S. A., &amp; Kani, Y. A. (2021). Examining the predictors of fraud in state-owned enterprises: an application of the fraud triangle theory. </w:t>
      </w:r>
      <w:r w:rsidRPr="00A702A7">
        <w:rPr>
          <w:rFonts w:ascii="Times New Roman" w:hAnsi="Times New Roman" w:cs="Times New Roman"/>
          <w:i/>
          <w:iCs/>
        </w:rPr>
        <w:t>Journal of Money Laundering Control</w:t>
      </w:r>
      <w:r w:rsidRPr="00A702A7">
        <w:rPr>
          <w:rFonts w:ascii="Times New Roman" w:hAnsi="Times New Roman" w:cs="Times New Roman"/>
        </w:rPr>
        <w:t xml:space="preserve">, </w:t>
      </w:r>
      <w:r w:rsidRPr="00A702A7">
        <w:rPr>
          <w:rFonts w:ascii="Times New Roman" w:hAnsi="Times New Roman" w:cs="Times New Roman"/>
          <w:i/>
          <w:iCs/>
        </w:rPr>
        <w:t>25</w:t>
      </w:r>
      <w:r w:rsidRPr="00A702A7">
        <w:rPr>
          <w:rFonts w:ascii="Times New Roman" w:hAnsi="Times New Roman" w:cs="Times New Roman"/>
        </w:rPr>
        <w:t>(2), 427–444. https://doi.org/10.1108/jmlc-05-2021-0053</w:t>
      </w:r>
    </w:p>
    <w:p w14:paraId="086961DB" w14:textId="77777777" w:rsidR="00A702A7" w:rsidRPr="00A702A7" w:rsidRDefault="00A702A7" w:rsidP="00A702A7">
      <w:pPr>
        <w:spacing w:line="360" w:lineRule="auto"/>
        <w:jc w:val="both"/>
        <w:rPr>
          <w:rFonts w:ascii="Times New Roman" w:hAnsi="Times New Roman" w:cs="Times New Roman"/>
        </w:rPr>
      </w:pPr>
      <w:r w:rsidRPr="00A702A7">
        <w:rPr>
          <w:rFonts w:ascii="Times New Roman" w:hAnsi="Times New Roman" w:cs="Times New Roman"/>
        </w:rPr>
        <w:t xml:space="preserve">Oyerogba, E. O. (2021). Forensic auditing mechanism and fraud detection: the case of Nigerian public sector. </w:t>
      </w:r>
      <w:r w:rsidRPr="00A702A7">
        <w:rPr>
          <w:rFonts w:ascii="Times New Roman" w:hAnsi="Times New Roman" w:cs="Times New Roman"/>
          <w:i/>
          <w:iCs/>
        </w:rPr>
        <w:t>Journal of Accounting in Emerging Economies</w:t>
      </w:r>
      <w:r w:rsidRPr="00A702A7">
        <w:rPr>
          <w:rFonts w:ascii="Times New Roman" w:hAnsi="Times New Roman" w:cs="Times New Roman"/>
        </w:rPr>
        <w:t xml:space="preserve">, </w:t>
      </w:r>
      <w:r w:rsidRPr="00A702A7">
        <w:rPr>
          <w:rFonts w:ascii="Times New Roman" w:hAnsi="Times New Roman" w:cs="Times New Roman"/>
          <w:i/>
          <w:iCs/>
        </w:rPr>
        <w:t>11</w:t>
      </w:r>
      <w:r w:rsidRPr="00A702A7">
        <w:rPr>
          <w:rFonts w:ascii="Times New Roman" w:hAnsi="Times New Roman" w:cs="Times New Roman"/>
        </w:rPr>
        <w:t>(5), 752–775. https://doi.org/10.1108/jaee-04-2020-0072</w:t>
      </w:r>
    </w:p>
    <w:p w14:paraId="70BD7560" w14:textId="5FA35D68" w:rsidR="000848CC" w:rsidRPr="00CA63A7" w:rsidRDefault="00A702A7" w:rsidP="00CA63A7">
      <w:pPr>
        <w:spacing w:line="360" w:lineRule="auto"/>
        <w:jc w:val="both"/>
        <w:rPr>
          <w:rFonts w:ascii="Times New Roman" w:hAnsi="Times New Roman" w:cs="Times New Roman"/>
        </w:rPr>
      </w:pPr>
      <w:r w:rsidRPr="00A702A7">
        <w:rPr>
          <w:rFonts w:ascii="Times New Roman" w:hAnsi="Times New Roman" w:cs="Times New Roman"/>
        </w:rPr>
        <w:t>Mustapha</w:t>
      </w:r>
      <w:r>
        <w:rPr>
          <w:rFonts w:ascii="Times New Roman" w:hAnsi="Times New Roman" w:cs="Times New Roman"/>
        </w:rPr>
        <w:t>, M. B</w:t>
      </w:r>
      <w:r w:rsidR="000848CC" w:rsidRPr="00CA63A7">
        <w:rPr>
          <w:rFonts w:ascii="Times New Roman" w:hAnsi="Times New Roman" w:cs="Times New Roman"/>
        </w:rPr>
        <w:t>.</w:t>
      </w:r>
      <w:r>
        <w:rPr>
          <w:rFonts w:ascii="Times New Roman" w:hAnsi="Times New Roman" w:cs="Times New Roman"/>
        </w:rPr>
        <w:t xml:space="preserve">, </w:t>
      </w:r>
      <w:r w:rsidRPr="00A702A7">
        <w:rPr>
          <w:rFonts w:ascii="Times New Roman" w:hAnsi="Times New Roman" w:cs="Times New Roman"/>
        </w:rPr>
        <w:t>Nurudeen</w:t>
      </w:r>
      <w:r>
        <w:rPr>
          <w:rFonts w:ascii="Times New Roman" w:hAnsi="Times New Roman" w:cs="Times New Roman"/>
        </w:rPr>
        <w:t xml:space="preserve">, O. A., </w:t>
      </w:r>
      <w:r w:rsidRPr="00A702A7">
        <w:rPr>
          <w:rFonts w:ascii="Times New Roman" w:hAnsi="Times New Roman" w:cs="Times New Roman"/>
        </w:rPr>
        <w:t>Jimoh</w:t>
      </w:r>
      <w:r>
        <w:rPr>
          <w:rFonts w:ascii="Times New Roman" w:hAnsi="Times New Roman" w:cs="Times New Roman"/>
        </w:rPr>
        <w:t>, M. I.,</w:t>
      </w:r>
      <w:r w:rsidR="000848CC" w:rsidRPr="00CA63A7">
        <w:rPr>
          <w:rFonts w:ascii="Times New Roman" w:hAnsi="Times New Roman" w:cs="Times New Roman"/>
        </w:rPr>
        <w:t xml:space="preserve"> (2023). Risk assessment as internal control system tool in detecting and preventing fraud in Nigeria money deposit banks. </w:t>
      </w:r>
      <w:r w:rsidR="000848CC" w:rsidRPr="00CA63A7">
        <w:rPr>
          <w:rFonts w:ascii="Times New Roman" w:hAnsi="Times New Roman" w:cs="Times New Roman"/>
          <w:i/>
          <w:iCs/>
        </w:rPr>
        <w:t>POLAC Management Review</w:t>
      </w:r>
      <w:r w:rsidR="000848CC" w:rsidRPr="00CA63A7">
        <w:rPr>
          <w:rFonts w:ascii="Times New Roman" w:hAnsi="Times New Roman" w:cs="Times New Roman"/>
        </w:rPr>
        <w:t>, 3(2).</w:t>
      </w:r>
    </w:p>
    <w:p w14:paraId="33554AE8" w14:textId="1C729586" w:rsidR="000848CC" w:rsidRPr="00CA63A7" w:rsidRDefault="000848CC" w:rsidP="00CA63A7">
      <w:pPr>
        <w:spacing w:line="360" w:lineRule="auto"/>
        <w:jc w:val="both"/>
        <w:rPr>
          <w:rFonts w:ascii="Times New Roman" w:hAnsi="Times New Roman" w:cs="Times New Roman"/>
        </w:rPr>
      </w:pPr>
      <w:r w:rsidRPr="00CA63A7">
        <w:rPr>
          <w:rFonts w:ascii="Times New Roman" w:hAnsi="Times New Roman" w:cs="Times New Roman"/>
        </w:rPr>
        <w:t xml:space="preserve">Tade, O. (2022). Nature of frauds in Nigeria's banking ecosystem, 2015–2019. </w:t>
      </w:r>
      <w:r w:rsidRPr="00CA63A7">
        <w:rPr>
          <w:rFonts w:ascii="Times New Roman" w:hAnsi="Times New Roman" w:cs="Times New Roman"/>
          <w:i/>
          <w:iCs/>
        </w:rPr>
        <w:t>Journal of Financial Crime</w:t>
      </w:r>
      <w:r w:rsidRPr="00CA63A7">
        <w:rPr>
          <w:rFonts w:ascii="Times New Roman" w:hAnsi="Times New Roman" w:cs="Times New Roman"/>
        </w:rPr>
        <w:t>, 29(4), 1241–1248. https://doi.org/10.1108/JFC-08-2021-0185</w:t>
      </w:r>
    </w:p>
    <w:p w14:paraId="511B5821" w14:textId="77777777" w:rsidR="00247724" w:rsidRDefault="00247724" w:rsidP="00CA63A7">
      <w:pPr>
        <w:spacing w:line="360" w:lineRule="auto"/>
        <w:jc w:val="both"/>
        <w:rPr>
          <w:rFonts w:ascii="Times New Roman" w:hAnsi="Times New Roman" w:cs="Times New Roman"/>
        </w:rPr>
      </w:pPr>
    </w:p>
    <w:p w14:paraId="1BE4FF6A" w14:textId="3B273982" w:rsidR="00045745" w:rsidRPr="00045745" w:rsidRDefault="00045745" w:rsidP="00045745">
      <w:pPr>
        <w:tabs>
          <w:tab w:val="left" w:pos="3465"/>
        </w:tabs>
        <w:rPr>
          <w:rFonts w:ascii="Times New Roman" w:hAnsi="Times New Roman" w:cs="Times New Roman"/>
        </w:rPr>
      </w:pPr>
      <w:r>
        <w:rPr>
          <w:rFonts w:ascii="Times New Roman" w:hAnsi="Times New Roman" w:cs="Times New Roman"/>
        </w:rPr>
        <w:lastRenderedPageBreak/>
        <w:tab/>
      </w:r>
    </w:p>
    <w:sectPr w:rsidR="00045745" w:rsidRPr="0004574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CE70" w14:textId="77777777" w:rsidR="00E34515" w:rsidRDefault="00E34515" w:rsidP="002D3500">
      <w:pPr>
        <w:spacing w:after="0" w:line="240" w:lineRule="auto"/>
      </w:pPr>
      <w:r>
        <w:separator/>
      </w:r>
    </w:p>
  </w:endnote>
  <w:endnote w:type="continuationSeparator" w:id="0">
    <w:p w14:paraId="627568A6" w14:textId="77777777" w:rsidR="00E34515" w:rsidRDefault="00E34515" w:rsidP="002D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FC85" w14:textId="77777777" w:rsidR="002D3500" w:rsidRDefault="002D3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5223" w14:textId="77777777" w:rsidR="002D3500" w:rsidRDefault="002D3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6C8B" w14:textId="77777777" w:rsidR="002D3500" w:rsidRDefault="002D3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F90E" w14:textId="77777777" w:rsidR="00E34515" w:rsidRDefault="00E34515" w:rsidP="002D3500">
      <w:pPr>
        <w:spacing w:after="0" w:line="240" w:lineRule="auto"/>
      </w:pPr>
      <w:r>
        <w:separator/>
      </w:r>
    </w:p>
  </w:footnote>
  <w:footnote w:type="continuationSeparator" w:id="0">
    <w:p w14:paraId="5D724CDF" w14:textId="77777777" w:rsidR="00E34515" w:rsidRDefault="00E34515" w:rsidP="002D3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8492" w14:textId="7DE1F7AA" w:rsidR="002D3500" w:rsidRDefault="002D3500">
    <w:pPr>
      <w:pStyle w:val="Header"/>
    </w:pPr>
    <w:r>
      <w:rPr>
        <w:noProof/>
      </w:rPr>
      <w:pict w14:anchorId="4BCFC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EF7" w14:textId="4D636918" w:rsidR="002D3500" w:rsidRDefault="002D3500">
    <w:pPr>
      <w:pStyle w:val="Header"/>
    </w:pPr>
    <w:r>
      <w:rPr>
        <w:noProof/>
      </w:rPr>
      <w:pict w14:anchorId="0D3535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23A1" w14:textId="0261045F" w:rsidR="002D3500" w:rsidRDefault="002D3500">
    <w:pPr>
      <w:pStyle w:val="Header"/>
    </w:pPr>
    <w:r>
      <w:rPr>
        <w:noProof/>
      </w:rPr>
      <w:pict w14:anchorId="72A36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132"/>
    <w:multiLevelType w:val="multilevel"/>
    <w:tmpl w:val="7B96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DD6955"/>
    <w:multiLevelType w:val="multilevel"/>
    <w:tmpl w:val="74CC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C786E"/>
    <w:multiLevelType w:val="hybridMultilevel"/>
    <w:tmpl w:val="D6421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7111C"/>
    <w:multiLevelType w:val="multilevel"/>
    <w:tmpl w:val="2FE23D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88099612">
    <w:abstractNumId w:val="0"/>
  </w:num>
  <w:num w:numId="2" w16cid:durableId="1495298315">
    <w:abstractNumId w:val="1"/>
  </w:num>
  <w:num w:numId="3" w16cid:durableId="1163619026">
    <w:abstractNumId w:val="3"/>
  </w:num>
  <w:num w:numId="4" w16cid:durableId="109493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CC"/>
    <w:rsid w:val="00045745"/>
    <w:rsid w:val="00073DB8"/>
    <w:rsid w:val="000848CC"/>
    <w:rsid w:val="00184240"/>
    <w:rsid w:val="001C0CA2"/>
    <w:rsid w:val="00247724"/>
    <w:rsid w:val="00260E1B"/>
    <w:rsid w:val="002D3500"/>
    <w:rsid w:val="00397682"/>
    <w:rsid w:val="0045259C"/>
    <w:rsid w:val="00475BA2"/>
    <w:rsid w:val="00476DFC"/>
    <w:rsid w:val="00487060"/>
    <w:rsid w:val="004B4F0F"/>
    <w:rsid w:val="004D26CF"/>
    <w:rsid w:val="004F4FB1"/>
    <w:rsid w:val="00503DA2"/>
    <w:rsid w:val="00572DAC"/>
    <w:rsid w:val="00585600"/>
    <w:rsid w:val="005E0952"/>
    <w:rsid w:val="005E3CD6"/>
    <w:rsid w:val="00602928"/>
    <w:rsid w:val="00637690"/>
    <w:rsid w:val="006A08CF"/>
    <w:rsid w:val="006B2340"/>
    <w:rsid w:val="007E2D2C"/>
    <w:rsid w:val="00A702A7"/>
    <w:rsid w:val="00AB668A"/>
    <w:rsid w:val="00B16861"/>
    <w:rsid w:val="00B22B95"/>
    <w:rsid w:val="00B52E3E"/>
    <w:rsid w:val="00BA51CE"/>
    <w:rsid w:val="00BA7DAB"/>
    <w:rsid w:val="00C857F2"/>
    <w:rsid w:val="00CA63A7"/>
    <w:rsid w:val="00CE2CF6"/>
    <w:rsid w:val="00CE5E43"/>
    <w:rsid w:val="00DC166F"/>
    <w:rsid w:val="00DE68D0"/>
    <w:rsid w:val="00E34515"/>
    <w:rsid w:val="00E6663C"/>
    <w:rsid w:val="00ED1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C88A5"/>
  <w15:chartTrackingRefBased/>
  <w15:docId w15:val="{181C19C3-7D8C-4A0B-BCEF-E1E9BF47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4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4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4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4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4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4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4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4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4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4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8CC"/>
    <w:rPr>
      <w:rFonts w:eastAsiaTheme="majorEastAsia" w:cstheme="majorBidi"/>
      <w:color w:val="272727" w:themeColor="text1" w:themeTint="D8"/>
    </w:rPr>
  </w:style>
  <w:style w:type="paragraph" w:styleId="Title">
    <w:name w:val="Title"/>
    <w:basedOn w:val="Normal"/>
    <w:next w:val="Normal"/>
    <w:link w:val="TitleChar"/>
    <w:uiPriority w:val="10"/>
    <w:qFormat/>
    <w:rsid w:val="00084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8CC"/>
    <w:pPr>
      <w:spacing w:before="160"/>
      <w:jc w:val="center"/>
    </w:pPr>
    <w:rPr>
      <w:i/>
      <w:iCs/>
      <w:color w:val="404040" w:themeColor="text1" w:themeTint="BF"/>
    </w:rPr>
  </w:style>
  <w:style w:type="character" w:customStyle="1" w:styleId="QuoteChar">
    <w:name w:val="Quote Char"/>
    <w:basedOn w:val="DefaultParagraphFont"/>
    <w:link w:val="Quote"/>
    <w:uiPriority w:val="29"/>
    <w:rsid w:val="000848CC"/>
    <w:rPr>
      <w:i/>
      <w:iCs/>
      <w:color w:val="404040" w:themeColor="text1" w:themeTint="BF"/>
    </w:rPr>
  </w:style>
  <w:style w:type="paragraph" w:styleId="ListParagraph">
    <w:name w:val="List Paragraph"/>
    <w:basedOn w:val="Normal"/>
    <w:uiPriority w:val="34"/>
    <w:qFormat/>
    <w:rsid w:val="000848CC"/>
    <w:pPr>
      <w:ind w:left="720"/>
      <w:contextualSpacing/>
    </w:pPr>
  </w:style>
  <w:style w:type="character" w:styleId="IntenseEmphasis">
    <w:name w:val="Intense Emphasis"/>
    <w:basedOn w:val="DefaultParagraphFont"/>
    <w:uiPriority w:val="21"/>
    <w:qFormat/>
    <w:rsid w:val="000848CC"/>
    <w:rPr>
      <w:i/>
      <w:iCs/>
      <w:color w:val="2F5496" w:themeColor="accent1" w:themeShade="BF"/>
    </w:rPr>
  </w:style>
  <w:style w:type="paragraph" w:styleId="IntenseQuote">
    <w:name w:val="Intense Quote"/>
    <w:basedOn w:val="Normal"/>
    <w:next w:val="Normal"/>
    <w:link w:val="IntenseQuoteChar"/>
    <w:uiPriority w:val="30"/>
    <w:qFormat/>
    <w:rsid w:val="00084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48CC"/>
    <w:rPr>
      <w:i/>
      <w:iCs/>
      <w:color w:val="2F5496" w:themeColor="accent1" w:themeShade="BF"/>
    </w:rPr>
  </w:style>
  <w:style w:type="character" w:styleId="IntenseReference">
    <w:name w:val="Intense Reference"/>
    <w:basedOn w:val="DefaultParagraphFont"/>
    <w:uiPriority w:val="32"/>
    <w:qFormat/>
    <w:rsid w:val="000848CC"/>
    <w:rPr>
      <w:b/>
      <w:bCs/>
      <w:smallCaps/>
      <w:color w:val="2F5496" w:themeColor="accent1" w:themeShade="BF"/>
      <w:spacing w:val="5"/>
    </w:rPr>
  </w:style>
  <w:style w:type="table" w:styleId="GridTable1Light">
    <w:name w:val="Grid Table 1 Light"/>
    <w:basedOn w:val="TableNormal"/>
    <w:uiPriority w:val="46"/>
    <w:rsid w:val="00CA63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A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663C"/>
    <w:rPr>
      <w:color w:val="0563C1" w:themeColor="hyperlink"/>
      <w:u w:val="single"/>
    </w:rPr>
  </w:style>
  <w:style w:type="character" w:styleId="UnresolvedMention">
    <w:name w:val="Unresolved Mention"/>
    <w:basedOn w:val="DefaultParagraphFont"/>
    <w:uiPriority w:val="99"/>
    <w:semiHidden/>
    <w:unhideWhenUsed/>
    <w:rsid w:val="00E6663C"/>
    <w:rPr>
      <w:color w:val="605E5C"/>
      <w:shd w:val="clear" w:color="auto" w:fill="E1DFDD"/>
    </w:rPr>
  </w:style>
  <w:style w:type="paragraph" w:styleId="Header">
    <w:name w:val="header"/>
    <w:basedOn w:val="Normal"/>
    <w:link w:val="HeaderChar"/>
    <w:uiPriority w:val="99"/>
    <w:unhideWhenUsed/>
    <w:rsid w:val="002D3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500"/>
  </w:style>
  <w:style w:type="paragraph" w:styleId="Footer">
    <w:name w:val="footer"/>
    <w:basedOn w:val="Normal"/>
    <w:link w:val="FooterChar"/>
    <w:uiPriority w:val="99"/>
    <w:unhideWhenUsed/>
    <w:rsid w:val="002D3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21</Pages>
  <Words>6198</Words>
  <Characters>35332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TAOFIQ YUSUFF</dc:creator>
  <cp:keywords/>
  <dc:description/>
  <cp:lastModifiedBy>SDI 1084</cp:lastModifiedBy>
  <cp:revision>19</cp:revision>
  <dcterms:created xsi:type="dcterms:W3CDTF">2026-06-22T20:18:00Z</dcterms:created>
  <dcterms:modified xsi:type="dcterms:W3CDTF">2026-07-09T12:58:00Z</dcterms:modified>
</cp:coreProperties>
</file>